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5C46E" w14:textId="77777777" w:rsidR="006B6CE6" w:rsidRPr="005071A1" w:rsidRDefault="006B6CE6" w:rsidP="008C3244">
      <w:r w:rsidRPr="005071A1">
        <w:object w:dxaOrig="2146" w:dyaOrig="1561" w14:anchorId="7918A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96192461" r:id="rId9"/>
        </w:object>
      </w:r>
    </w:p>
    <w:p w14:paraId="46EDA479" w14:textId="77777777" w:rsidR="006B6CE6" w:rsidRPr="005071A1" w:rsidRDefault="006B6CE6" w:rsidP="008C3244">
      <w:pPr>
        <w:pStyle w:val="ShortT"/>
        <w:spacing w:before="240"/>
      </w:pPr>
      <w:r w:rsidRPr="005071A1">
        <w:t>Superannuation Act 1922</w:t>
      </w:r>
    </w:p>
    <w:p w14:paraId="25CBA11B" w14:textId="77777777" w:rsidR="006B6CE6" w:rsidRPr="005071A1" w:rsidRDefault="006B6CE6" w:rsidP="008C3244">
      <w:pPr>
        <w:pStyle w:val="CompiledActNo"/>
        <w:spacing w:before="240"/>
      </w:pPr>
      <w:r w:rsidRPr="005071A1">
        <w:t>No.</w:t>
      </w:r>
      <w:r w:rsidR="008B2950" w:rsidRPr="005071A1">
        <w:t> </w:t>
      </w:r>
      <w:r w:rsidRPr="005071A1">
        <w:t>33, 1922</w:t>
      </w:r>
    </w:p>
    <w:p w14:paraId="0FF058E9" w14:textId="212F512F" w:rsidR="006B6CE6" w:rsidRPr="005071A1" w:rsidRDefault="006B6CE6" w:rsidP="008C3244">
      <w:pPr>
        <w:spacing w:before="1000"/>
        <w:rPr>
          <w:rFonts w:cs="Arial"/>
          <w:b/>
          <w:sz w:val="32"/>
          <w:szCs w:val="32"/>
        </w:rPr>
      </w:pPr>
      <w:r w:rsidRPr="005071A1">
        <w:rPr>
          <w:rFonts w:cs="Arial"/>
          <w:b/>
          <w:sz w:val="32"/>
          <w:szCs w:val="32"/>
        </w:rPr>
        <w:t>Compilation No.</w:t>
      </w:r>
      <w:r w:rsidR="008B2950" w:rsidRPr="005071A1">
        <w:rPr>
          <w:rFonts w:cs="Arial"/>
          <w:b/>
          <w:sz w:val="32"/>
          <w:szCs w:val="32"/>
        </w:rPr>
        <w:t> </w:t>
      </w:r>
      <w:r w:rsidRPr="005071A1">
        <w:rPr>
          <w:rFonts w:cs="Arial"/>
          <w:b/>
          <w:sz w:val="32"/>
          <w:szCs w:val="32"/>
        </w:rPr>
        <w:fldChar w:fldCharType="begin"/>
      </w:r>
      <w:r w:rsidRPr="005071A1">
        <w:rPr>
          <w:rFonts w:cs="Arial"/>
          <w:b/>
          <w:sz w:val="32"/>
          <w:szCs w:val="32"/>
        </w:rPr>
        <w:instrText xml:space="preserve"> DOCPROPERTY  CompilationNumber </w:instrText>
      </w:r>
      <w:r w:rsidRPr="005071A1">
        <w:rPr>
          <w:rFonts w:cs="Arial"/>
          <w:b/>
          <w:sz w:val="32"/>
          <w:szCs w:val="32"/>
        </w:rPr>
        <w:fldChar w:fldCharType="separate"/>
      </w:r>
      <w:r w:rsidR="00B1494D">
        <w:rPr>
          <w:rFonts w:cs="Arial"/>
          <w:b/>
          <w:sz w:val="32"/>
          <w:szCs w:val="32"/>
        </w:rPr>
        <w:t>28</w:t>
      </w:r>
      <w:r w:rsidRPr="005071A1">
        <w:rPr>
          <w:rFonts w:cs="Arial"/>
          <w:b/>
          <w:sz w:val="32"/>
          <w:szCs w:val="32"/>
        </w:rPr>
        <w:fldChar w:fldCharType="end"/>
      </w:r>
    </w:p>
    <w:p w14:paraId="128F9CCB" w14:textId="2420DC84" w:rsidR="006B6CE6" w:rsidRPr="005071A1" w:rsidRDefault="00BC0DF5" w:rsidP="00962E93">
      <w:pPr>
        <w:tabs>
          <w:tab w:val="left" w:pos="2551"/>
        </w:tabs>
        <w:spacing w:before="480"/>
        <w:rPr>
          <w:rFonts w:cs="Arial"/>
          <w:sz w:val="24"/>
        </w:rPr>
      </w:pPr>
      <w:r w:rsidRPr="005071A1">
        <w:rPr>
          <w:rFonts w:cs="Arial"/>
          <w:b/>
          <w:sz w:val="24"/>
        </w:rPr>
        <w:t>Compilation date:</w:t>
      </w:r>
      <w:r w:rsidR="007C0A71" w:rsidRPr="005071A1">
        <w:rPr>
          <w:rFonts w:cs="Arial"/>
          <w:b/>
          <w:sz w:val="24"/>
        </w:rPr>
        <w:tab/>
      </w:r>
      <w:r w:rsidR="006B6CE6" w:rsidRPr="00B1494D">
        <w:rPr>
          <w:rFonts w:cs="Arial"/>
          <w:sz w:val="24"/>
        </w:rPr>
        <w:fldChar w:fldCharType="begin"/>
      </w:r>
      <w:r w:rsidR="00B1494D" w:rsidRPr="00B1494D">
        <w:rPr>
          <w:rFonts w:cs="Arial"/>
          <w:sz w:val="24"/>
        </w:rPr>
        <w:instrText>DOCPROPERTY StartDate \@ "d MMMM yyyy" \* MERGEFORMAT</w:instrText>
      </w:r>
      <w:r w:rsidR="006B6CE6" w:rsidRPr="00B1494D">
        <w:rPr>
          <w:rFonts w:cs="Arial"/>
          <w:sz w:val="24"/>
        </w:rPr>
        <w:fldChar w:fldCharType="separate"/>
      </w:r>
      <w:r w:rsidR="00B1494D" w:rsidRPr="00B1494D">
        <w:rPr>
          <w:rFonts w:cs="Arial"/>
          <w:bCs/>
          <w:sz w:val="24"/>
        </w:rPr>
        <w:t>11</w:t>
      </w:r>
      <w:r w:rsidR="00B1494D" w:rsidRPr="00B1494D">
        <w:rPr>
          <w:rFonts w:cs="Arial"/>
          <w:sz w:val="24"/>
        </w:rPr>
        <w:t xml:space="preserve"> December 2024</w:t>
      </w:r>
      <w:r w:rsidR="006B6CE6" w:rsidRPr="00B1494D">
        <w:rPr>
          <w:rFonts w:cs="Arial"/>
          <w:sz w:val="24"/>
        </w:rPr>
        <w:fldChar w:fldCharType="end"/>
      </w:r>
    </w:p>
    <w:p w14:paraId="2A7EC96D" w14:textId="0E0865C1" w:rsidR="002E26DD" w:rsidRPr="005071A1" w:rsidRDefault="00962E93" w:rsidP="00B1494D">
      <w:pPr>
        <w:tabs>
          <w:tab w:val="left" w:pos="2551"/>
        </w:tabs>
        <w:spacing w:before="240" w:after="240"/>
        <w:ind w:left="2551" w:hanging="2551"/>
        <w:rPr>
          <w:rFonts w:cs="Arial"/>
          <w:sz w:val="24"/>
        </w:rPr>
      </w:pPr>
      <w:r w:rsidRPr="005071A1">
        <w:rPr>
          <w:rFonts w:cs="Arial"/>
          <w:b/>
          <w:sz w:val="24"/>
        </w:rPr>
        <w:t>Includes amendments:</w:t>
      </w:r>
      <w:r w:rsidR="002E26DD" w:rsidRPr="005071A1">
        <w:rPr>
          <w:rFonts w:cs="Arial"/>
          <w:b/>
          <w:sz w:val="24"/>
        </w:rPr>
        <w:tab/>
      </w:r>
      <w:r w:rsidR="002E26DD" w:rsidRPr="00B1494D">
        <w:rPr>
          <w:rFonts w:cs="Arial"/>
          <w:sz w:val="24"/>
        </w:rPr>
        <w:fldChar w:fldCharType="begin"/>
      </w:r>
      <w:r w:rsidR="002E26DD" w:rsidRPr="00B1494D">
        <w:rPr>
          <w:rFonts w:cs="Arial"/>
          <w:sz w:val="24"/>
        </w:rPr>
        <w:instrText xml:space="preserve"> DOCPROPERTY IncludesUpTo </w:instrText>
      </w:r>
      <w:r w:rsidR="002E26DD" w:rsidRPr="00B1494D">
        <w:rPr>
          <w:rFonts w:cs="Arial"/>
          <w:sz w:val="24"/>
        </w:rPr>
        <w:fldChar w:fldCharType="separate"/>
      </w:r>
      <w:r w:rsidR="00B1494D" w:rsidRPr="00B1494D">
        <w:rPr>
          <w:rFonts w:cs="Arial"/>
          <w:sz w:val="24"/>
        </w:rPr>
        <w:t>Act No. 115, 2024</w:t>
      </w:r>
      <w:r w:rsidR="002E26DD" w:rsidRPr="00B1494D">
        <w:rPr>
          <w:rFonts w:cs="Arial"/>
          <w:sz w:val="24"/>
        </w:rPr>
        <w:fldChar w:fldCharType="end"/>
      </w:r>
    </w:p>
    <w:p w14:paraId="5D021E7B" w14:textId="77777777" w:rsidR="006B6CE6" w:rsidRPr="005071A1" w:rsidRDefault="006B6CE6" w:rsidP="008C3244">
      <w:pPr>
        <w:pageBreakBefore/>
        <w:rPr>
          <w:rFonts w:cs="Arial"/>
          <w:b/>
          <w:sz w:val="32"/>
          <w:szCs w:val="32"/>
        </w:rPr>
      </w:pPr>
      <w:r w:rsidRPr="005071A1">
        <w:rPr>
          <w:rFonts w:cs="Arial"/>
          <w:b/>
          <w:sz w:val="32"/>
          <w:szCs w:val="32"/>
        </w:rPr>
        <w:lastRenderedPageBreak/>
        <w:t>About this compilation</w:t>
      </w:r>
    </w:p>
    <w:p w14:paraId="35584441" w14:textId="77777777" w:rsidR="006B6CE6" w:rsidRPr="005071A1" w:rsidRDefault="006B6CE6" w:rsidP="008C3244">
      <w:pPr>
        <w:spacing w:before="240"/>
        <w:rPr>
          <w:rFonts w:cs="Arial"/>
        </w:rPr>
      </w:pPr>
      <w:r w:rsidRPr="005071A1">
        <w:rPr>
          <w:rFonts w:cs="Arial"/>
          <w:b/>
          <w:szCs w:val="22"/>
        </w:rPr>
        <w:t>This compilation</w:t>
      </w:r>
    </w:p>
    <w:p w14:paraId="163F36DA" w14:textId="0DDB1E7D" w:rsidR="006B6CE6" w:rsidRPr="005071A1" w:rsidRDefault="006B6CE6" w:rsidP="008C3244">
      <w:pPr>
        <w:spacing w:before="120" w:after="120"/>
        <w:rPr>
          <w:rFonts w:cs="Arial"/>
          <w:szCs w:val="22"/>
        </w:rPr>
      </w:pPr>
      <w:r w:rsidRPr="005071A1">
        <w:rPr>
          <w:rFonts w:cs="Arial"/>
          <w:szCs w:val="22"/>
        </w:rPr>
        <w:t xml:space="preserve">This is a compilation of the </w:t>
      </w:r>
      <w:r w:rsidRPr="005071A1">
        <w:rPr>
          <w:rFonts w:cs="Arial"/>
          <w:i/>
          <w:szCs w:val="22"/>
        </w:rPr>
        <w:fldChar w:fldCharType="begin"/>
      </w:r>
      <w:r w:rsidRPr="005071A1">
        <w:rPr>
          <w:rFonts w:cs="Arial"/>
          <w:i/>
          <w:szCs w:val="22"/>
        </w:rPr>
        <w:instrText xml:space="preserve"> STYLEREF  ShortT </w:instrText>
      </w:r>
      <w:r w:rsidRPr="005071A1">
        <w:rPr>
          <w:rFonts w:cs="Arial"/>
          <w:i/>
          <w:szCs w:val="22"/>
        </w:rPr>
        <w:fldChar w:fldCharType="separate"/>
      </w:r>
      <w:r w:rsidR="00845A31">
        <w:rPr>
          <w:rFonts w:cs="Arial"/>
          <w:i/>
          <w:noProof/>
          <w:szCs w:val="22"/>
        </w:rPr>
        <w:t>Superannuation Act 1922</w:t>
      </w:r>
      <w:r w:rsidRPr="005071A1">
        <w:rPr>
          <w:rFonts w:cs="Arial"/>
          <w:i/>
          <w:szCs w:val="22"/>
        </w:rPr>
        <w:fldChar w:fldCharType="end"/>
      </w:r>
      <w:r w:rsidRPr="005071A1">
        <w:rPr>
          <w:rFonts w:cs="Arial"/>
          <w:szCs w:val="22"/>
        </w:rPr>
        <w:t xml:space="preserve"> that shows the text of the law as amended and in force on </w:t>
      </w:r>
      <w:r w:rsidRPr="00B1494D">
        <w:rPr>
          <w:rFonts w:cs="Arial"/>
          <w:szCs w:val="22"/>
        </w:rPr>
        <w:fldChar w:fldCharType="begin"/>
      </w:r>
      <w:r w:rsidR="00B1494D" w:rsidRPr="00B1494D">
        <w:rPr>
          <w:rFonts w:cs="Arial"/>
          <w:szCs w:val="22"/>
        </w:rPr>
        <w:instrText>DOCPROPERTY StartDate \@ "d MMMM yyyy" \* MERGEFORMAT</w:instrText>
      </w:r>
      <w:r w:rsidRPr="00B1494D">
        <w:rPr>
          <w:rFonts w:cs="Arial"/>
          <w:szCs w:val="22"/>
        </w:rPr>
        <w:fldChar w:fldCharType="separate"/>
      </w:r>
      <w:r w:rsidR="00B1494D" w:rsidRPr="00B1494D">
        <w:rPr>
          <w:rFonts w:cs="Arial"/>
          <w:szCs w:val="22"/>
        </w:rPr>
        <w:t>11 December 2024</w:t>
      </w:r>
      <w:r w:rsidRPr="00B1494D">
        <w:rPr>
          <w:rFonts w:cs="Arial"/>
          <w:szCs w:val="22"/>
        </w:rPr>
        <w:fldChar w:fldCharType="end"/>
      </w:r>
      <w:r w:rsidRPr="005071A1">
        <w:rPr>
          <w:rFonts w:cs="Arial"/>
          <w:szCs w:val="22"/>
        </w:rPr>
        <w:t xml:space="preserve"> (the </w:t>
      </w:r>
      <w:r w:rsidRPr="005071A1">
        <w:rPr>
          <w:rFonts w:cs="Arial"/>
          <w:b/>
          <w:i/>
          <w:szCs w:val="22"/>
        </w:rPr>
        <w:t>compilation date</w:t>
      </w:r>
      <w:r w:rsidRPr="005071A1">
        <w:rPr>
          <w:rFonts w:cs="Arial"/>
          <w:szCs w:val="22"/>
        </w:rPr>
        <w:t>).</w:t>
      </w:r>
    </w:p>
    <w:p w14:paraId="1227F661" w14:textId="77777777" w:rsidR="006B6CE6" w:rsidRPr="005071A1" w:rsidRDefault="006B6CE6" w:rsidP="008C3244">
      <w:pPr>
        <w:spacing w:after="120"/>
        <w:rPr>
          <w:rFonts w:cs="Arial"/>
          <w:szCs w:val="22"/>
        </w:rPr>
      </w:pPr>
      <w:r w:rsidRPr="005071A1">
        <w:rPr>
          <w:rFonts w:cs="Arial"/>
          <w:szCs w:val="22"/>
        </w:rPr>
        <w:t xml:space="preserve">The notes at the end of this compilation (the </w:t>
      </w:r>
      <w:r w:rsidRPr="005071A1">
        <w:rPr>
          <w:rFonts w:cs="Arial"/>
          <w:b/>
          <w:i/>
          <w:szCs w:val="22"/>
        </w:rPr>
        <w:t>endnotes</w:t>
      </w:r>
      <w:r w:rsidRPr="005071A1">
        <w:rPr>
          <w:rFonts w:cs="Arial"/>
          <w:szCs w:val="22"/>
        </w:rPr>
        <w:t>) include information about amending laws and the amendment history of provisions of the compiled law.</w:t>
      </w:r>
    </w:p>
    <w:p w14:paraId="2223AF06" w14:textId="77777777" w:rsidR="006B6CE6" w:rsidRPr="005071A1" w:rsidRDefault="006B6CE6" w:rsidP="008C3244">
      <w:pPr>
        <w:tabs>
          <w:tab w:val="left" w:pos="5640"/>
        </w:tabs>
        <w:spacing w:before="120" w:after="120"/>
        <w:rPr>
          <w:rFonts w:cs="Arial"/>
          <w:b/>
          <w:szCs w:val="22"/>
        </w:rPr>
      </w:pPr>
      <w:r w:rsidRPr="005071A1">
        <w:rPr>
          <w:rFonts w:cs="Arial"/>
          <w:b/>
          <w:szCs w:val="22"/>
        </w:rPr>
        <w:t>Uncommenced amendments</w:t>
      </w:r>
    </w:p>
    <w:p w14:paraId="4DFE2D1B" w14:textId="77777777" w:rsidR="006B6CE6" w:rsidRPr="005071A1" w:rsidRDefault="006B6CE6" w:rsidP="008C3244">
      <w:pPr>
        <w:spacing w:after="120"/>
        <w:rPr>
          <w:rFonts w:cs="Arial"/>
          <w:szCs w:val="22"/>
        </w:rPr>
      </w:pPr>
      <w:r w:rsidRPr="005071A1">
        <w:rPr>
          <w:rFonts w:cs="Arial"/>
          <w:szCs w:val="22"/>
        </w:rPr>
        <w:t xml:space="preserve">The effect of uncommenced amendments is not shown in the text of the compiled law. Any uncommenced amendments affecting the law are accessible on the </w:t>
      </w:r>
      <w:r w:rsidR="00DD1A39" w:rsidRPr="005071A1">
        <w:rPr>
          <w:rFonts w:cs="Arial"/>
          <w:szCs w:val="22"/>
        </w:rPr>
        <w:t>Register</w:t>
      </w:r>
      <w:r w:rsidRPr="005071A1">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2B1539EE" w14:textId="77777777" w:rsidR="006B6CE6" w:rsidRPr="005071A1" w:rsidRDefault="006B6CE6" w:rsidP="008C3244">
      <w:pPr>
        <w:spacing w:before="120" w:after="120"/>
        <w:rPr>
          <w:rFonts w:cs="Arial"/>
          <w:b/>
          <w:szCs w:val="22"/>
        </w:rPr>
      </w:pPr>
      <w:r w:rsidRPr="005071A1">
        <w:rPr>
          <w:rFonts w:cs="Arial"/>
          <w:b/>
          <w:szCs w:val="22"/>
        </w:rPr>
        <w:t>Application, saving and transitional provisions for provisions and amendments</w:t>
      </w:r>
    </w:p>
    <w:p w14:paraId="685C201F" w14:textId="77777777" w:rsidR="006B6CE6" w:rsidRPr="005071A1" w:rsidRDefault="006B6CE6" w:rsidP="008C3244">
      <w:pPr>
        <w:spacing w:after="120"/>
        <w:rPr>
          <w:rFonts w:cs="Arial"/>
          <w:szCs w:val="22"/>
        </w:rPr>
      </w:pPr>
      <w:r w:rsidRPr="005071A1">
        <w:rPr>
          <w:rFonts w:cs="Arial"/>
          <w:szCs w:val="22"/>
        </w:rPr>
        <w:t>If the operation of a provision or amendment of the compiled law is affected by an application, saving or transitional provision that is not included in this compilation, details are included in the endnotes.</w:t>
      </w:r>
    </w:p>
    <w:p w14:paraId="31493C19" w14:textId="77777777" w:rsidR="006B6CE6" w:rsidRPr="005071A1" w:rsidRDefault="006B6CE6" w:rsidP="008C3244">
      <w:pPr>
        <w:spacing w:after="120"/>
        <w:rPr>
          <w:rFonts w:cs="Arial"/>
          <w:b/>
          <w:szCs w:val="22"/>
        </w:rPr>
      </w:pPr>
      <w:r w:rsidRPr="005071A1">
        <w:rPr>
          <w:rFonts w:cs="Arial"/>
          <w:b/>
          <w:szCs w:val="22"/>
        </w:rPr>
        <w:t>Editorial changes</w:t>
      </w:r>
    </w:p>
    <w:p w14:paraId="61936811" w14:textId="77777777" w:rsidR="006B6CE6" w:rsidRPr="005071A1" w:rsidRDefault="006B6CE6" w:rsidP="008C3244">
      <w:pPr>
        <w:spacing w:after="120"/>
        <w:rPr>
          <w:rFonts w:cs="Arial"/>
          <w:szCs w:val="22"/>
        </w:rPr>
      </w:pPr>
      <w:r w:rsidRPr="005071A1">
        <w:rPr>
          <w:rFonts w:cs="Arial"/>
          <w:szCs w:val="22"/>
        </w:rPr>
        <w:t>For more information about any editorial changes made in this compilation, see the endnotes.</w:t>
      </w:r>
    </w:p>
    <w:p w14:paraId="6F0C3DF9" w14:textId="77777777" w:rsidR="006B6CE6" w:rsidRPr="005071A1" w:rsidRDefault="006B6CE6" w:rsidP="008C3244">
      <w:pPr>
        <w:spacing w:before="120" w:after="120"/>
        <w:rPr>
          <w:rFonts w:cs="Arial"/>
          <w:b/>
          <w:szCs w:val="22"/>
        </w:rPr>
      </w:pPr>
      <w:r w:rsidRPr="005071A1">
        <w:rPr>
          <w:rFonts w:cs="Arial"/>
          <w:b/>
          <w:szCs w:val="22"/>
        </w:rPr>
        <w:t>Modifications</w:t>
      </w:r>
    </w:p>
    <w:p w14:paraId="43B26594" w14:textId="77777777" w:rsidR="006B6CE6" w:rsidRPr="005071A1" w:rsidRDefault="006B6CE6" w:rsidP="008C3244">
      <w:pPr>
        <w:spacing w:after="120"/>
        <w:rPr>
          <w:rFonts w:cs="Arial"/>
          <w:szCs w:val="22"/>
        </w:rPr>
      </w:pPr>
      <w:r w:rsidRPr="005071A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2DEFBCCD" w14:textId="77777777" w:rsidR="006B6CE6" w:rsidRPr="005071A1" w:rsidRDefault="006B6CE6" w:rsidP="008C3244">
      <w:pPr>
        <w:spacing w:before="80" w:after="120"/>
        <w:rPr>
          <w:rFonts w:cs="Arial"/>
          <w:b/>
          <w:szCs w:val="22"/>
        </w:rPr>
      </w:pPr>
      <w:r w:rsidRPr="005071A1">
        <w:rPr>
          <w:rFonts w:cs="Arial"/>
          <w:b/>
          <w:szCs w:val="22"/>
        </w:rPr>
        <w:t>Self</w:t>
      </w:r>
      <w:r w:rsidR="004510F0">
        <w:rPr>
          <w:rFonts w:cs="Arial"/>
          <w:b/>
          <w:szCs w:val="22"/>
        </w:rPr>
        <w:noBreakHyphen/>
      </w:r>
      <w:r w:rsidRPr="005071A1">
        <w:rPr>
          <w:rFonts w:cs="Arial"/>
          <w:b/>
          <w:szCs w:val="22"/>
        </w:rPr>
        <w:t>repealing provisions</w:t>
      </w:r>
    </w:p>
    <w:p w14:paraId="612ADCBD" w14:textId="77777777" w:rsidR="006B6CE6" w:rsidRPr="005071A1" w:rsidRDefault="006B6CE6" w:rsidP="008C3244">
      <w:pPr>
        <w:spacing w:after="120"/>
        <w:rPr>
          <w:rFonts w:cs="Arial"/>
          <w:szCs w:val="22"/>
        </w:rPr>
      </w:pPr>
      <w:r w:rsidRPr="005071A1">
        <w:rPr>
          <w:rFonts w:cs="Arial"/>
          <w:szCs w:val="22"/>
        </w:rPr>
        <w:t>If a provision of the compiled law has been repealed in accordance with a provision of the law, details are included in the endnotes.</w:t>
      </w:r>
    </w:p>
    <w:p w14:paraId="44631773" w14:textId="77777777" w:rsidR="006B6CE6" w:rsidRPr="005071A1" w:rsidRDefault="006B6CE6" w:rsidP="008C3244">
      <w:pPr>
        <w:pStyle w:val="Header"/>
        <w:tabs>
          <w:tab w:val="clear" w:pos="4150"/>
          <w:tab w:val="clear" w:pos="8307"/>
        </w:tabs>
      </w:pPr>
      <w:r w:rsidRPr="004510F0">
        <w:rPr>
          <w:rStyle w:val="CharChapNo"/>
        </w:rPr>
        <w:t xml:space="preserve"> </w:t>
      </w:r>
      <w:r w:rsidRPr="004510F0">
        <w:rPr>
          <w:rStyle w:val="CharChapText"/>
          <w:rFonts w:eastAsiaTheme="minorHAnsi"/>
        </w:rPr>
        <w:t xml:space="preserve"> </w:t>
      </w:r>
    </w:p>
    <w:p w14:paraId="288779FC" w14:textId="77777777" w:rsidR="006B6CE6" w:rsidRPr="005071A1" w:rsidRDefault="006B6CE6" w:rsidP="008C3244">
      <w:pPr>
        <w:pStyle w:val="Header"/>
        <w:tabs>
          <w:tab w:val="clear" w:pos="4150"/>
          <w:tab w:val="clear" w:pos="8307"/>
        </w:tabs>
      </w:pPr>
      <w:r w:rsidRPr="004510F0">
        <w:rPr>
          <w:rStyle w:val="CharPartNo"/>
        </w:rPr>
        <w:t xml:space="preserve"> </w:t>
      </w:r>
      <w:r w:rsidRPr="004510F0">
        <w:rPr>
          <w:rStyle w:val="CharPartText"/>
        </w:rPr>
        <w:t xml:space="preserve"> </w:t>
      </w:r>
    </w:p>
    <w:p w14:paraId="705F7EE7" w14:textId="77777777" w:rsidR="006B6CE6" w:rsidRPr="005071A1" w:rsidRDefault="006B6CE6" w:rsidP="008C3244">
      <w:pPr>
        <w:pStyle w:val="Header"/>
        <w:tabs>
          <w:tab w:val="clear" w:pos="4150"/>
          <w:tab w:val="clear" w:pos="8307"/>
        </w:tabs>
      </w:pPr>
      <w:r w:rsidRPr="004510F0">
        <w:rPr>
          <w:rStyle w:val="CharDivNo"/>
        </w:rPr>
        <w:t xml:space="preserve"> </w:t>
      </w:r>
      <w:r w:rsidRPr="004510F0">
        <w:rPr>
          <w:rStyle w:val="CharDivText"/>
        </w:rPr>
        <w:t xml:space="preserve"> </w:t>
      </w:r>
    </w:p>
    <w:p w14:paraId="1A945344" w14:textId="77777777" w:rsidR="006B6CE6" w:rsidRPr="005071A1" w:rsidRDefault="006B6CE6" w:rsidP="008C3244">
      <w:pPr>
        <w:sectPr w:rsidR="006B6CE6" w:rsidRPr="005071A1" w:rsidSect="0020596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474B082E" w14:textId="77777777" w:rsidR="00B33542" w:rsidRPr="005071A1" w:rsidRDefault="00B33542" w:rsidP="009B7AF5">
      <w:r w:rsidRPr="005071A1">
        <w:rPr>
          <w:rFonts w:cs="Times New Roman"/>
          <w:sz w:val="36"/>
        </w:rPr>
        <w:lastRenderedPageBreak/>
        <w:t>Contents</w:t>
      </w:r>
    </w:p>
    <w:p w14:paraId="716131BC" w14:textId="2A743F3D" w:rsidR="00723C3F" w:rsidRDefault="00597006">
      <w:pPr>
        <w:pStyle w:val="TOC2"/>
        <w:rPr>
          <w:rFonts w:asciiTheme="minorHAnsi" w:eastAsiaTheme="minorEastAsia" w:hAnsiTheme="minorHAnsi" w:cstheme="minorBidi"/>
          <w:b w:val="0"/>
          <w:noProof/>
          <w:kern w:val="2"/>
          <w:szCs w:val="24"/>
          <w14:ligatures w14:val="standardContextual"/>
        </w:rPr>
      </w:pPr>
      <w:r w:rsidRPr="005071A1">
        <w:rPr>
          <w:iCs/>
          <w:szCs w:val="28"/>
        </w:rPr>
        <w:fldChar w:fldCharType="begin"/>
      </w:r>
      <w:r w:rsidRPr="005071A1">
        <w:instrText xml:space="preserve"> TOC \o "1-9" \t "ActHead 1,2,ActHead 2,2,ActHead 3,3,ActHead 4,4,ActHead 5,5, Schedule,2, Schedule Text,3, NotesSection,6" </w:instrText>
      </w:r>
      <w:r w:rsidRPr="005071A1">
        <w:rPr>
          <w:rFonts w:eastAsiaTheme="minorHAnsi" w:cstheme="minorBidi"/>
          <w:b w:val="0"/>
          <w:kern w:val="0"/>
          <w:sz w:val="22"/>
          <w:lang w:eastAsia="en-US"/>
        </w:rPr>
        <w:fldChar w:fldCharType="separate"/>
      </w:r>
      <w:r w:rsidR="00723C3F">
        <w:rPr>
          <w:noProof/>
        </w:rPr>
        <w:t>Part I—Preliminary</w:t>
      </w:r>
      <w:r w:rsidR="00723C3F" w:rsidRPr="00723C3F">
        <w:rPr>
          <w:b w:val="0"/>
          <w:noProof/>
          <w:sz w:val="18"/>
        </w:rPr>
        <w:tab/>
      </w:r>
      <w:r w:rsidR="00723C3F" w:rsidRPr="00723C3F">
        <w:rPr>
          <w:b w:val="0"/>
          <w:noProof/>
          <w:sz w:val="18"/>
        </w:rPr>
        <w:fldChar w:fldCharType="begin"/>
      </w:r>
      <w:r w:rsidR="00723C3F" w:rsidRPr="00723C3F">
        <w:rPr>
          <w:b w:val="0"/>
          <w:noProof/>
          <w:sz w:val="18"/>
        </w:rPr>
        <w:instrText xml:space="preserve"> PAGEREF _Toc185577382 \h </w:instrText>
      </w:r>
      <w:r w:rsidR="00723C3F" w:rsidRPr="00723C3F">
        <w:rPr>
          <w:b w:val="0"/>
          <w:noProof/>
          <w:sz w:val="18"/>
        </w:rPr>
      </w:r>
      <w:r w:rsidR="00723C3F" w:rsidRPr="00723C3F">
        <w:rPr>
          <w:b w:val="0"/>
          <w:noProof/>
          <w:sz w:val="18"/>
        </w:rPr>
        <w:fldChar w:fldCharType="separate"/>
      </w:r>
      <w:r w:rsidR="00845A31">
        <w:rPr>
          <w:b w:val="0"/>
          <w:noProof/>
          <w:sz w:val="18"/>
        </w:rPr>
        <w:t>1</w:t>
      </w:r>
      <w:r w:rsidR="00723C3F" w:rsidRPr="00723C3F">
        <w:rPr>
          <w:b w:val="0"/>
          <w:noProof/>
          <w:sz w:val="18"/>
        </w:rPr>
        <w:fldChar w:fldCharType="end"/>
      </w:r>
    </w:p>
    <w:p w14:paraId="38BDEE43" w14:textId="5C7B663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723C3F">
        <w:rPr>
          <w:noProof/>
        </w:rPr>
        <w:tab/>
      </w:r>
      <w:r w:rsidRPr="00723C3F">
        <w:rPr>
          <w:noProof/>
        </w:rPr>
        <w:fldChar w:fldCharType="begin"/>
      </w:r>
      <w:r w:rsidRPr="00723C3F">
        <w:rPr>
          <w:noProof/>
        </w:rPr>
        <w:instrText xml:space="preserve"> PAGEREF _Toc185577383 \h </w:instrText>
      </w:r>
      <w:r w:rsidRPr="00723C3F">
        <w:rPr>
          <w:noProof/>
        </w:rPr>
      </w:r>
      <w:r w:rsidRPr="00723C3F">
        <w:rPr>
          <w:noProof/>
        </w:rPr>
        <w:fldChar w:fldCharType="separate"/>
      </w:r>
      <w:r w:rsidR="00845A31">
        <w:rPr>
          <w:noProof/>
        </w:rPr>
        <w:t>1</w:t>
      </w:r>
      <w:r w:rsidRPr="00723C3F">
        <w:rPr>
          <w:noProof/>
        </w:rPr>
        <w:fldChar w:fldCharType="end"/>
      </w:r>
    </w:p>
    <w:p w14:paraId="696A48A5" w14:textId="5C0A9BB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723C3F">
        <w:rPr>
          <w:noProof/>
        </w:rPr>
        <w:tab/>
      </w:r>
      <w:r w:rsidRPr="00723C3F">
        <w:rPr>
          <w:noProof/>
        </w:rPr>
        <w:fldChar w:fldCharType="begin"/>
      </w:r>
      <w:r w:rsidRPr="00723C3F">
        <w:rPr>
          <w:noProof/>
        </w:rPr>
        <w:instrText xml:space="preserve"> PAGEREF _Toc185577384 \h </w:instrText>
      </w:r>
      <w:r w:rsidRPr="00723C3F">
        <w:rPr>
          <w:noProof/>
        </w:rPr>
      </w:r>
      <w:r w:rsidRPr="00723C3F">
        <w:rPr>
          <w:noProof/>
        </w:rPr>
        <w:fldChar w:fldCharType="separate"/>
      </w:r>
      <w:r w:rsidR="00845A31">
        <w:rPr>
          <w:noProof/>
        </w:rPr>
        <w:t>1</w:t>
      </w:r>
      <w:r w:rsidRPr="00723C3F">
        <w:rPr>
          <w:noProof/>
        </w:rPr>
        <w:fldChar w:fldCharType="end"/>
      </w:r>
    </w:p>
    <w:p w14:paraId="2D71C6A6" w14:textId="1616B10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Operation of this Act on or after 1 July 2011</w:t>
      </w:r>
      <w:r w:rsidRPr="00723C3F">
        <w:rPr>
          <w:noProof/>
        </w:rPr>
        <w:tab/>
      </w:r>
      <w:r w:rsidRPr="00723C3F">
        <w:rPr>
          <w:noProof/>
        </w:rPr>
        <w:fldChar w:fldCharType="begin"/>
      </w:r>
      <w:r w:rsidRPr="00723C3F">
        <w:rPr>
          <w:noProof/>
        </w:rPr>
        <w:instrText xml:space="preserve"> PAGEREF _Toc185577385 \h </w:instrText>
      </w:r>
      <w:r w:rsidRPr="00723C3F">
        <w:rPr>
          <w:noProof/>
        </w:rPr>
      </w:r>
      <w:r w:rsidRPr="00723C3F">
        <w:rPr>
          <w:noProof/>
        </w:rPr>
        <w:fldChar w:fldCharType="separate"/>
      </w:r>
      <w:r w:rsidR="00845A31">
        <w:rPr>
          <w:noProof/>
        </w:rPr>
        <w:t>1</w:t>
      </w:r>
      <w:r w:rsidRPr="00723C3F">
        <w:rPr>
          <w:noProof/>
        </w:rPr>
        <w:fldChar w:fldCharType="end"/>
      </w:r>
    </w:p>
    <w:p w14:paraId="00DE8694" w14:textId="2E3EB26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w:t>
      </w:r>
      <w:r>
        <w:rPr>
          <w:noProof/>
        </w:rPr>
        <w:tab/>
        <w:t>Interpretation</w:t>
      </w:r>
      <w:r w:rsidRPr="00723C3F">
        <w:rPr>
          <w:noProof/>
        </w:rPr>
        <w:tab/>
      </w:r>
      <w:r w:rsidRPr="00723C3F">
        <w:rPr>
          <w:noProof/>
        </w:rPr>
        <w:fldChar w:fldCharType="begin"/>
      </w:r>
      <w:r w:rsidRPr="00723C3F">
        <w:rPr>
          <w:noProof/>
        </w:rPr>
        <w:instrText xml:space="preserve"> PAGEREF _Toc185577386 \h </w:instrText>
      </w:r>
      <w:r w:rsidRPr="00723C3F">
        <w:rPr>
          <w:noProof/>
        </w:rPr>
      </w:r>
      <w:r w:rsidRPr="00723C3F">
        <w:rPr>
          <w:noProof/>
        </w:rPr>
        <w:fldChar w:fldCharType="separate"/>
      </w:r>
      <w:r w:rsidR="00845A31">
        <w:rPr>
          <w:noProof/>
        </w:rPr>
        <w:t>1</w:t>
      </w:r>
      <w:r w:rsidRPr="00723C3F">
        <w:rPr>
          <w:noProof/>
        </w:rPr>
        <w:fldChar w:fldCharType="end"/>
      </w:r>
    </w:p>
    <w:p w14:paraId="73DD9F0C" w14:textId="0BE892E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4AA</w:t>
      </w:r>
      <w:r>
        <w:rPr>
          <w:noProof/>
        </w:rPr>
        <w:tab/>
        <w:t>Members of the Defence Force</w:t>
      </w:r>
      <w:r w:rsidRPr="00723C3F">
        <w:rPr>
          <w:noProof/>
        </w:rPr>
        <w:tab/>
      </w:r>
      <w:r w:rsidRPr="00723C3F">
        <w:rPr>
          <w:noProof/>
        </w:rPr>
        <w:fldChar w:fldCharType="begin"/>
      </w:r>
      <w:r w:rsidRPr="00723C3F">
        <w:rPr>
          <w:noProof/>
        </w:rPr>
        <w:instrText xml:space="preserve"> PAGEREF _Toc185577387 \h </w:instrText>
      </w:r>
      <w:r w:rsidRPr="00723C3F">
        <w:rPr>
          <w:noProof/>
        </w:rPr>
      </w:r>
      <w:r w:rsidRPr="00723C3F">
        <w:rPr>
          <w:noProof/>
        </w:rPr>
        <w:fldChar w:fldCharType="separate"/>
      </w:r>
      <w:r w:rsidR="00845A31">
        <w:rPr>
          <w:noProof/>
        </w:rPr>
        <w:t>10</w:t>
      </w:r>
      <w:r w:rsidRPr="00723C3F">
        <w:rPr>
          <w:noProof/>
        </w:rPr>
        <w:fldChar w:fldCharType="end"/>
      </w:r>
    </w:p>
    <w:p w14:paraId="182B93E9" w14:textId="73E3A90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Salaries of officers in First Division of Public Service and statutory offices</w:t>
      </w:r>
      <w:r w:rsidRPr="00723C3F">
        <w:rPr>
          <w:noProof/>
        </w:rPr>
        <w:tab/>
      </w:r>
      <w:r w:rsidRPr="00723C3F">
        <w:rPr>
          <w:noProof/>
        </w:rPr>
        <w:fldChar w:fldCharType="begin"/>
      </w:r>
      <w:r w:rsidRPr="00723C3F">
        <w:rPr>
          <w:noProof/>
        </w:rPr>
        <w:instrText xml:space="preserve"> PAGEREF _Toc185577388 \h </w:instrText>
      </w:r>
      <w:r w:rsidRPr="00723C3F">
        <w:rPr>
          <w:noProof/>
        </w:rPr>
      </w:r>
      <w:r w:rsidRPr="00723C3F">
        <w:rPr>
          <w:noProof/>
        </w:rPr>
        <w:fldChar w:fldCharType="separate"/>
      </w:r>
      <w:r w:rsidR="00845A31">
        <w:rPr>
          <w:noProof/>
        </w:rPr>
        <w:t>11</w:t>
      </w:r>
      <w:r w:rsidRPr="00723C3F">
        <w:rPr>
          <w:noProof/>
        </w:rPr>
        <w:fldChar w:fldCharType="end"/>
      </w:r>
    </w:p>
    <w:p w14:paraId="5AD61D19" w14:textId="133EAD4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5</w:t>
      </w:r>
      <w:r>
        <w:rPr>
          <w:noProof/>
        </w:rPr>
        <w:tab/>
        <w:t>Medical examination of employees</w:t>
      </w:r>
      <w:r w:rsidRPr="00723C3F">
        <w:rPr>
          <w:noProof/>
        </w:rPr>
        <w:tab/>
      </w:r>
      <w:r w:rsidRPr="00723C3F">
        <w:rPr>
          <w:noProof/>
        </w:rPr>
        <w:fldChar w:fldCharType="begin"/>
      </w:r>
      <w:r w:rsidRPr="00723C3F">
        <w:rPr>
          <w:noProof/>
        </w:rPr>
        <w:instrText xml:space="preserve"> PAGEREF _Toc185577389 \h </w:instrText>
      </w:r>
      <w:r w:rsidRPr="00723C3F">
        <w:rPr>
          <w:noProof/>
        </w:rPr>
      </w:r>
      <w:r w:rsidRPr="00723C3F">
        <w:rPr>
          <w:noProof/>
        </w:rPr>
        <w:fldChar w:fldCharType="separate"/>
      </w:r>
      <w:r w:rsidR="00845A31">
        <w:rPr>
          <w:noProof/>
        </w:rPr>
        <w:t>12</w:t>
      </w:r>
      <w:r w:rsidRPr="00723C3F">
        <w:rPr>
          <w:noProof/>
        </w:rPr>
        <w:fldChar w:fldCharType="end"/>
      </w:r>
    </w:p>
    <w:p w14:paraId="63271E8C" w14:textId="5E3C9AC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6</w:t>
      </w:r>
      <w:r>
        <w:rPr>
          <w:noProof/>
        </w:rPr>
        <w:tab/>
        <w:t xml:space="preserve">Application of the </w:t>
      </w:r>
      <w:r w:rsidRPr="004E7B03">
        <w:rPr>
          <w:i/>
          <w:noProof/>
        </w:rPr>
        <w:t>Criminal Code</w:t>
      </w:r>
      <w:r w:rsidRPr="00723C3F">
        <w:rPr>
          <w:noProof/>
        </w:rPr>
        <w:tab/>
      </w:r>
      <w:r w:rsidRPr="00723C3F">
        <w:rPr>
          <w:noProof/>
        </w:rPr>
        <w:fldChar w:fldCharType="begin"/>
      </w:r>
      <w:r w:rsidRPr="00723C3F">
        <w:rPr>
          <w:noProof/>
        </w:rPr>
        <w:instrText xml:space="preserve"> PAGEREF _Toc185577390 \h </w:instrText>
      </w:r>
      <w:r w:rsidRPr="00723C3F">
        <w:rPr>
          <w:noProof/>
        </w:rPr>
      </w:r>
      <w:r w:rsidRPr="00723C3F">
        <w:rPr>
          <w:noProof/>
        </w:rPr>
        <w:fldChar w:fldCharType="separate"/>
      </w:r>
      <w:r w:rsidR="00845A31">
        <w:rPr>
          <w:noProof/>
        </w:rPr>
        <w:t>13</w:t>
      </w:r>
      <w:r w:rsidRPr="00723C3F">
        <w:rPr>
          <w:noProof/>
        </w:rPr>
        <w:fldChar w:fldCharType="end"/>
      </w:r>
    </w:p>
    <w:p w14:paraId="6ECBD239" w14:textId="1CB011B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7</w:t>
      </w:r>
      <w:r>
        <w:rPr>
          <w:noProof/>
        </w:rPr>
        <w:tab/>
        <w:t>Superannuation provision for certain persons by way of life assurance</w:t>
      </w:r>
      <w:r w:rsidRPr="00723C3F">
        <w:rPr>
          <w:noProof/>
        </w:rPr>
        <w:tab/>
      </w:r>
      <w:r w:rsidRPr="00723C3F">
        <w:rPr>
          <w:noProof/>
        </w:rPr>
        <w:fldChar w:fldCharType="begin"/>
      </w:r>
      <w:r w:rsidRPr="00723C3F">
        <w:rPr>
          <w:noProof/>
        </w:rPr>
        <w:instrText xml:space="preserve"> PAGEREF _Toc185577391 \h </w:instrText>
      </w:r>
      <w:r w:rsidRPr="00723C3F">
        <w:rPr>
          <w:noProof/>
        </w:rPr>
      </w:r>
      <w:r w:rsidRPr="00723C3F">
        <w:rPr>
          <w:noProof/>
        </w:rPr>
        <w:fldChar w:fldCharType="separate"/>
      </w:r>
      <w:r w:rsidR="00845A31">
        <w:rPr>
          <w:noProof/>
        </w:rPr>
        <w:t>13</w:t>
      </w:r>
      <w:r w:rsidRPr="00723C3F">
        <w:rPr>
          <w:noProof/>
        </w:rPr>
        <w:fldChar w:fldCharType="end"/>
      </w:r>
    </w:p>
    <w:p w14:paraId="1C4CCE18" w14:textId="143F2262"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III—Contributions</w:t>
      </w:r>
      <w:r w:rsidRPr="00723C3F">
        <w:rPr>
          <w:b w:val="0"/>
          <w:noProof/>
          <w:sz w:val="18"/>
        </w:rPr>
        <w:tab/>
      </w:r>
      <w:r w:rsidRPr="00723C3F">
        <w:rPr>
          <w:b w:val="0"/>
          <w:noProof/>
          <w:sz w:val="18"/>
        </w:rPr>
        <w:fldChar w:fldCharType="begin"/>
      </w:r>
      <w:r w:rsidRPr="00723C3F">
        <w:rPr>
          <w:b w:val="0"/>
          <w:noProof/>
          <w:sz w:val="18"/>
        </w:rPr>
        <w:instrText xml:space="preserve"> PAGEREF _Toc185577392 \h </w:instrText>
      </w:r>
      <w:r w:rsidRPr="00723C3F">
        <w:rPr>
          <w:b w:val="0"/>
          <w:noProof/>
          <w:sz w:val="18"/>
        </w:rPr>
      </w:r>
      <w:r w:rsidRPr="00723C3F">
        <w:rPr>
          <w:b w:val="0"/>
          <w:noProof/>
          <w:sz w:val="18"/>
        </w:rPr>
        <w:fldChar w:fldCharType="separate"/>
      </w:r>
      <w:r w:rsidR="00845A31">
        <w:rPr>
          <w:b w:val="0"/>
          <w:noProof/>
          <w:sz w:val="18"/>
        </w:rPr>
        <w:t>17</w:t>
      </w:r>
      <w:r w:rsidRPr="00723C3F">
        <w:rPr>
          <w:b w:val="0"/>
          <w:noProof/>
          <w:sz w:val="18"/>
        </w:rPr>
        <w:fldChar w:fldCharType="end"/>
      </w:r>
    </w:p>
    <w:p w14:paraId="498B2C16" w14:textId="66B09F4B"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1—Contributions by employees</w:t>
      </w:r>
      <w:r w:rsidRPr="00723C3F">
        <w:rPr>
          <w:b w:val="0"/>
          <w:noProof/>
          <w:sz w:val="18"/>
        </w:rPr>
        <w:tab/>
      </w:r>
      <w:r w:rsidRPr="00723C3F">
        <w:rPr>
          <w:b w:val="0"/>
          <w:noProof/>
          <w:sz w:val="18"/>
        </w:rPr>
        <w:fldChar w:fldCharType="begin"/>
      </w:r>
      <w:r w:rsidRPr="00723C3F">
        <w:rPr>
          <w:b w:val="0"/>
          <w:noProof/>
          <w:sz w:val="18"/>
        </w:rPr>
        <w:instrText xml:space="preserve"> PAGEREF _Toc185577393 \h </w:instrText>
      </w:r>
      <w:r w:rsidRPr="00723C3F">
        <w:rPr>
          <w:b w:val="0"/>
          <w:noProof/>
          <w:sz w:val="18"/>
        </w:rPr>
      </w:r>
      <w:r w:rsidRPr="00723C3F">
        <w:rPr>
          <w:b w:val="0"/>
          <w:noProof/>
          <w:sz w:val="18"/>
        </w:rPr>
        <w:fldChar w:fldCharType="separate"/>
      </w:r>
      <w:r w:rsidR="00845A31">
        <w:rPr>
          <w:b w:val="0"/>
          <w:noProof/>
          <w:sz w:val="18"/>
        </w:rPr>
        <w:t>17</w:t>
      </w:r>
      <w:r w:rsidRPr="00723C3F">
        <w:rPr>
          <w:b w:val="0"/>
          <w:noProof/>
          <w:sz w:val="18"/>
        </w:rPr>
        <w:fldChar w:fldCharType="end"/>
      </w:r>
    </w:p>
    <w:p w14:paraId="7B2718C3" w14:textId="323B16C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Commencement and cessation of contributions</w:t>
      </w:r>
      <w:r w:rsidRPr="00723C3F">
        <w:rPr>
          <w:noProof/>
        </w:rPr>
        <w:tab/>
      </w:r>
      <w:r w:rsidRPr="00723C3F">
        <w:rPr>
          <w:noProof/>
        </w:rPr>
        <w:fldChar w:fldCharType="begin"/>
      </w:r>
      <w:r w:rsidRPr="00723C3F">
        <w:rPr>
          <w:noProof/>
        </w:rPr>
        <w:instrText xml:space="preserve"> PAGEREF _Toc185577394 \h </w:instrText>
      </w:r>
      <w:r w:rsidRPr="00723C3F">
        <w:rPr>
          <w:noProof/>
        </w:rPr>
      </w:r>
      <w:r w:rsidRPr="00723C3F">
        <w:rPr>
          <w:noProof/>
        </w:rPr>
        <w:fldChar w:fldCharType="separate"/>
      </w:r>
      <w:r w:rsidR="00845A31">
        <w:rPr>
          <w:noProof/>
        </w:rPr>
        <w:t>17</w:t>
      </w:r>
      <w:r w:rsidRPr="00723C3F">
        <w:rPr>
          <w:noProof/>
        </w:rPr>
        <w:fldChar w:fldCharType="end"/>
      </w:r>
    </w:p>
    <w:p w14:paraId="25EDE9B3" w14:textId="3025874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19A</w:t>
      </w:r>
      <w:r>
        <w:rPr>
          <w:noProof/>
        </w:rPr>
        <w:tab/>
        <w:t>Contributions not payable on or after 1 July 1976</w:t>
      </w:r>
      <w:r w:rsidRPr="00723C3F">
        <w:rPr>
          <w:noProof/>
        </w:rPr>
        <w:tab/>
      </w:r>
      <w:r w:rsidRPr="00723C3F">
        <w:rPr>
          <w:noProof/>
        </w:rPr>
        <w:fldChar w:fldCharType="begin"/>
      </w:r>
      <w:r w:rsidRPr="00723C3F">
        <w:rPr>
          <w:noProof/>
        </w:rPr>
        <w:instrText xml:space="preserve"> PAGEREF _Toc185577395 \h </w:instrText>
      </w:r>
      <w:r w:rsidRPr="00723C3F">
        <w:rPr>
          <w:noProof/>
        </w:rPr>
      </w:r>
      <w:r w:rsidRPr="00723C3F">
        <w:rPr>
          <w:noProof/>
        </w:rPr>
        <w:fldChar w:fldCharType="separate"/>
      </w:r>
      <w:r w:rsidR="00845A31">
        <w:rPr>
          <w:noProof/>
        </w:rPr>
        <w:t>21</w:t>
      </w:r>
      <w:r w:rsidRPr="00723C3F">
        <w:rPr>
          <w:noProof/>
        </w:rPr>
        <w:fldChar w:fldCharType="end"/>
      </w:r>
    </w:p>
    <w:p w14:paraId="332B516B" w14:textId="7DC40234"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2—Units of pension</w:t>
      </w:r>
      <w:r w:rsidRPr="00723C3F">
        <w:rPr>
          <w:b w:val="0"/>
          <w:noProof/>
          <w:sz w:val="18"/>
        </w:rPr>
        <w:tab/>
      </w:r>
      <w:r w:rsidRPr="00723C3F">
        <w:rPr>
          <w:b w:val="0"/>
          <w:noProof/>
          <w:sz w:val="18"/>
        </w:rPr>
        <w:fldChar w:fldCharType="begin"/>
      </w:r>
      <w:r w:rsidRPr="00723C3F">
        <w:rPr>
          <w:b w:val="0"/>
          <w:noProof/>
          <w:sz w:val="18"/>
        </w:rPr>
        <w:instrText xml:space="preserve"> PAGEREF _Toc185577396 \h </w:instrText>
      </w:r>
      <w:r w:rsidRPr="00723C3F">
        <w:rPr>
          <w:b w:val="0"/>
          <w:noProof/>
          <w:sz w:val="18"/>
        </w:rPr>
      </w:r>
      <w:r w:rsidRPr="00723C3F">
        <w:rPr>
          <w:b w:val="0"/>
          <w:noProof/>
          <w:sz w:val="18"/>
        </w:rPr>
        <w:fldChar w:fldCharType="separate"/>
      </w:r>
      <w:r w:rsidR="00845A31">
        <w:rPr>
          <w:b w:val="0"/>
          <w:noProof/>
          <w:sz w:val="18"/>
        </w:rPr>
        <w:t>22</w:t>
      </w:r>
      <w:r w:rsidRPr="00723C3F">
        <w:rPr>
          <w:b w:val="0"/>
          <w:noProof/>
          <w:sz w:val="18"/>
        </w:rPr>
        <w:fldChar w:fldCharType="end"/>
      </w:r>
    </w:p>
    <w:p w14:paraId="1FDF4419" w14:textId="7837117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Units of pension</w:t>
      </w:r>
      <w:r w:rsidRPr="00723C3F">
        <w:rPr>
          <w:noProof/>
        </w:rPr>
        <w:tab/>
      </w:r>
      <w:r w:rsidRPr="00723C3F">
        <w:rPr>
          <w:noProof/>
        </w:rPr>
        <w:fldChar w:fldCharType="begin"/>
      </w:r>
      <w:r w:rsidRPr="00723C3F">
        <w:rPr>
          <w:noProof/>
        </w:rPr>
        <w:instrText xml:space="preserve"> PAGEREF _Toc185577397 \h </w:instrText>
      </w:r>
      <w:r w:rsidRPr="00723C3F">
        <w:rPr>
          <w:noProof/>
        </w:rPr>
      </w:r>
      <w:r w:rsidRPr="00723C3F">
        <w:rPr>
          <w:noProof/>
        </w:rPr>
        <w:fldChar w:fldCharType="separate"/>
      </w:r>
      <w:r w:rsidR="00845A31">
        <w:rPr>
          <w:noProof/>
        </w:rPr>
        <w:t>22</w:t>
      </w:r>
      <w:r w:rsidRPr="00723C3F">
        <w:rPr>
          <w:noProof/>
        </w:rPr>
        <w:fldChar w:fldCharType="end"/>
      </w:r>
    </w:p>
    <w:p w14:paraId="53443ED5" w14:textId="2874BC7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20AA</w:t>
      </w:r>
      <w:r>
        <w:rPr>
          <w:noProof/>
        </w:rPr>
        <w:tab/>
        <w:t>Obligation to make additional contributions after 4 February 1976</w:t>
      </w:r>
      <w:r w:rsidRPr="00723C3F">
        <w:rPr>
          <w:noProof/>
        </w:rPr>
        <w:tab/>
      </w:r>
      <w:r w:rsidRPr="00723C3F">
        <w:rPr>
          <w:noProof/>
        </w:rPr>
        <w:fldChar w:fldCharType="begin"/>
      </w:r>
      <w:r w:rsidRPr="00723C3F">
        <w:rPr>
          <w:noProof/>
        </w:rPr>
        <w:instrText xml:space="preserve"> PAGEREF _Toc185577398 \h </w:instrText>
      </w:r>
      <w:r w:rsidRPr="00723C3F">
        <w:rPr>
          <w:noProof/>
        </w:rPr>
      </w:r>
      <w:r w:rsidRPr="00723C3F">
        <w:rPr>
          <w:noProof/>
        </w:rPr>
        <w:fldChar w:fldCharType="separate"/>
      </w:r>
      <w:r w:rsidR="00845A31">
        <w:rPr>
          <w:noProof/>
        </w:rPr>
        <w:t>26</w:t>
      </w:r>
      <w:r w:rsidRPr="00723C3F">
        <w:rPr>
          <w:noProof/>
        </w:rPr>
        <w:fldChar w:fldCharType="end"/>
      </w:r>
    </w:p>
    <w:p w14:paraId="7C2B63B7" w14:textId="5D91155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20AB</w:t>
      </w:r>
      <w:r>
        <w:rPr>
          <w:noProof/>
        </w:rPr>
        <w:tab/>
        <w:t>Elections consequential upon operation of section 20AA</w:t>
      </w:r>
      <w:r w:rsidRPr="00723C3F">
        <w:rPr>
          <w:noProof/>
        </w:rPr>
        <w:tab/>
      </w:r>
      <w:r w:rsidRPr="00723C3F">
        <w:rPr>
          <w:noProof/>
        </w:rPr>
        <w:fldChar w:fldCharType="begin"/>
      </w:r>
      <w:r w:rsidRPr="00723C3F">
        <w:rPr>
          <w:noProof/>
        </w:rPr>
        <w:instrText xml:space="preserve"> PAGEREF _Toc185577399 \h </w:instrText>
      </w:r>
      <w:r w:rsidRPr="00723C3F">
        <w:rPr>
          <w:noProof/>
        </w:rPr>
      </w:r>
      <w:r w:rsidRPr="00723C3F">
        <w:rPr>
          <w:noProof/>
        </w:rPr>
        <w:fldChar w:fldCharType="separate"/>
      </w:r>
      <w:r w:rsidR="00845A31">
        <w:rPr>
          <w:noProof/>
        </w:rPr>
        <w:t>27</w:t>
      </w:r>
      <w:r w:rsidRPr="00723C3F">
        <w:rPr>
          <w:noProof/>
        </w:rPr>
        <w:fldChar w:fldCharType="end"/>
      </w:r>
    </w:p>
    <w:p w14:paraId="279D6ABA" w14:textId="333EBBC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20A</w:t>
      </w:r>
      <w:r>
        <w:rPr>
          <w:noProof/>
        </w:rPr>
        <w:tab/>
        <w:t>Rights of employees over 40 years of age</w:t>
      </w:r>
      <w:r w:rsidRPr="00723C3F">
        <w:rPr>
          <w:noProof/>
        </w:rPr>
        <w:tab/>
      </w:r>
      <w:r w:rsidRPr="00723C3F">
        <w:rPr>
          <w:noProof/>
        </w:rPr>
        <w:fldChar w:fldCharType="begin"/>
      </w:r>
      <w:r w:rsidRPr="00723C3F">
        <w:rPr>
          <w:noProof/>
        </w:rPr>
        <w:instrText xml:space="preserve"> PAGEREF _Toc185577400 \h </w:instrText>
      </w:r>
      <w:r w:rsidRPr="00723C3F">
        <w:rPr>
          <w:noProof/>
        </w:rPr>
      </w:r>
      <w:r w:rsidRPr="00723C3F">
        <w:rPr>
          <w:noProof/>
        </w:rPr>
        <w:fldChar w:fldCharType="separate"/>
      </w:r>
      <w:r w:rsidR="00845A31">
        <w:rPr>
          <w:noProof/>
        </w:rPr>
        <w:t>28</w:t>
      </w:r>
      <w:r w:rsidRPr="00723C3F">
        <w:rPr>
          <w:noProof/>
        </w:rPr>
        <w:fldChar w:fldCharType="end"/>
      </w:r>
    </w:p>
    <w:p w14:paraId="5D14362A" w14:textId="07FBF14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20B</w:t>
      </w:r>
      <w:r>
        <w:rPr>
          <w:noProof/>
        </w:rPr>
        <w:tab/>
        <w:t>Effect of reduction in salary or prescribed amount</w:t>
      </w:r>
      <w:r w:rsidRPr="00723C3F">
        <w:rPr>
          <w:noProof/>
        </w:rPr>
        <w:tab/>
      </w:r>
      <w:r w:rsidRPr="00723C3F">
        <w:rPr>
          <w:noProof/>
        </w:rPr>
        <w:fldChar w:fldCharType="begin"/>
      </w:r>
      <w:r w:rsidRPr="00723C3F">
        <w:rPr>
          <w:noProof/>
        </w:rPr>
        <w:instrText xml:space="preserve"> PAGEREF _Toc185577401 \h </w:instrText>
      </w:r>
      <w:r w:rsidRPr="00723C3F">
        <w:rPr>
          <w:noProof/>
        </w:rPr>
      </w:r>
      <w:r w:rsidRPr="00723C3F">
        <w:rPr>
          <w:noProof/>
        </w:rPr>
        <w:fldChar w:fldCharType="separate"/>
      </w:r>
      <w:r w:rsidR="00845A31">
        <w:rPr>
          <w:noProof/>
        </w:rPr>
        <w:t>30</w:t>
      </w:r>
      <w:r w:rsidRPr="00723C3F">
        <w:rPr>
          <w:noProof/>
        </w:rPr>
        <w:fldChar w:fldCharType="end"/>
      </w:r>
    </w:p>
    <w:p w14:paraId="6B6EC5DE" w14:textId="0676DDD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Exemption of employee who has made adequate provision</w:t>
      </w:r>
      <w:r w:rsidRPr="00723C3F">
        <w:rPr>
          <w:noProof/>
        </w:rPr>
        <w:tab/>
      </w:r>
      <w:r w:rsidRPr="00723C3F">
        <w:rPr>
          <w:noProof/>
        </w:rPr>
        <w:fldChar w:fldCharType="begin"/>
      </w:r>
      <w:r w:rsidRPr="00723C3F">
        <w:rPr>
          <w:noProof/>
        </w:rPr>
        <w:instrText xml:space="preserve"> PAGEREF _Toc185577402 \h </w:instrText>
      </w:r>
      <w:r w:rsidRPr="00723C3F">
        <w:rPr>
          <w:noProof/>
        </w:rPr>
      </w:r>
      <w:r w:rsidRPr="00723C3F">
        <w:rPr>
          <w:noProof/>
        </w:rPr>
        <w:fldChar w:fldCharType="separate"/>
      </w:r>
      <w:r w:rsidR="00845A31">
        <w:rPr>
          <w:noProof/>
        </w:rPr>
        <w:t>30</w:t>
      </w:r>
      <w:r w:rsidRPr="00723C3F">
        <w:rPr>
          <w:noProof/>
        </w:rPr>
        <w:fldChar w:fldCharType="end"/>
      </w:r>
    </w:p>
    <w:p w14:paraId="13A9C2F9" w14:textId="3B238DC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Interpretation</w:t>
      </w:r>
      <w:r w:rsidRPr="00723C3F">
        <w:rPr>
          <w:noProof/>
        </w:rPr>
        <w:tab/>
      </w:r>
      <w:r w:rsidRPr="00723C3F">
        <w:rPr>
          <w:noProof/>
        </w:rPr>
        <w:fldChar w:fldCharType="begin"/>
      </w:r>
      <w:r w:rsidRPr="00723C3F">
        <w:rPr>
          <w:noProof/>
        </w:rPr>
        <w:instrText xml:space="preserve"> PAGEREF _Toc185577403 \h </w:instrText>
      </w:r>
      <w:r w:rsidRPr="00723C3F">
        <w:rPr>
          <w:noProof/>
        </w:rPr>
      </w:r>
      <w:r w:rsidRPr="00723C3F">
        <w:rPr>
          <w:noProof/>
        </w:rPr>
        <w:fldChar w:fldCharType="separate"/>
      </w:r>
      <w:r w:rsidR="00845A31">
        <w:rPr>
          <w:noProof/>
        </w:rPr>
        <w:t>30</w:t>
      </w:r>
      <w:r w:rsidRPr="00723C3F">
        <w:rPr>
          <w:noProof/>
        </w:rPr>
        <w:fldChar w:fldCharType="end"/>
      </w:r>
    </w:p>
    <w:p w14:paraId="72A97E88" w14:textId="3192CA36"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2A—Non</w:t>
      </w:r>
      <w:r>
        <w:rPr>
          <w:noProof/>
        </w:rPr>
        <w:noBreakHyphen/>
        <w:t>contributory units of pension</w:t>
      </w:r>
      <w:r w:rsidRPr="00723C3F">
        <w:rPr>
          <w:b w:val="0"/>
          <w:noProof/>
          <w:sz w:val="18"/>
        </w:rPr>
        <w:tab/>
      </w:r>
      <w:r w:rsidRPr="00723C3F">
        <w:rPr>
          <w:b w:val="0"/>
          <w:noProof/>
          <w:sz w:val="18"/>
        </w:rPr>
        <w:fldChar w:fldCharType="begin"/>
      </w:r>
      <w:r w:rsidRPr="00723C3F">
        <w:rPr>
          <w:b w:val="0"/>
          <w:noProof/>
          <w:sz w:val="18"/>
        </w:rPr>
        <w:instrText xml:space="preserve"> PAGEREF _Toc185577404 \h </w:instrText>
      </w:r>
      <w:r w:rsidRPr="00723C3F">
        <w:rPr>
          <w:b w:val="0"/>
          <w:noProof/>
          <w:sz w:val="18"/>
        </w:rPr>
      </w:r>
      <w:r w:rsidRPr="00723C3F">
        <w:rPr>
          <w:b w:val="0"/>
          <w:noProof/>
          <w:sz w:val="18"/>
        </w:rPr>
        <w:fldChar w:fldCharType="separate"/>
      </w:r>
      <w:r w:rsidR="00845A31">
        <w:rPr>
          <w:b w:val="0"/>
          <w:noProof/>
          <w:sz w:val="18"/>
        </w:rPr>
        <w:t>31</w:t>
      </w:r>
      <w:r w:rsidRPr="00723C3F">
        <w:rPr>
          <w:b w:val="0"/>
          <w:noProof/>
          <w:sz w:val="18"/>
        </w:rPr>
        <w:fldChar w:fldCharType="end"/>
      </w:r>
    </w:p>
    <w:p w14:paraId="6B680A76" w14:textId="0F04FFA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22A</w:t>
      </w:r>
      <w:r>
        <w:rPr>
          <w:noProof/>
        </w:rPr>
        <w:tab/>
        <w:t>Election to take up rejected units as non</w:t>
      </w:r>
      <w:r>
        <w:rPr>
          <w:noProof/>
        </w:rPr>
        <w:noBreakHyphen/>
        <w:t>contributory units</w:t>
      </w:r>
      <w:r w:rsidRPr="00723C3F">
        <w:rPr>
          <w:noProof/>
        </w:rPr>
        <w:tab/>
      </w:r>
      <w:r w:rsidRPr="00723C3F">
        <w:rPr>
          <w:noProof/>
        </w:rPr>
        <w:fldChar w:fldCharType="begin"/>
      </w:r>
      <w:r w:rsidRPr="00723C3F">
        <w:rPr>
          <w:noProof/>
        </w:rPr>
        <w:instrText xml:space="preserve"> PAGEREF _Toc185577405 \h </w:instrText>
      </w:r>
      <w:r w:rsidRPr="00723C3F">
        <w:rPr>
          <w:noProof/>
        </w:rPr>
      </w:r>
      <w:r w:rsidRPr="00723C3F">
        <w:rPr>
          <w:noProof/>
        </w:rPr>
        <w:fldChar w:fldCharType="separate"/>
      </w:r>
      <w:r w:rsidR="00845A31">
        <w:rPr>
          <w:noProof/>
        </w:rPr>
        <w:t>31</w:t>
      </w:r>
      <w:r w:rsidRPr="00723C3F">
        <w:rPr>
          <w:noProof/>
        </w:rPr>
        <w:fldChar w:fldCharType="end"/>
      </w:r>
    </w:p>
    <w:p w14:paraId="11662FCE" w14:textId="2959075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22B</w:t>
      </w:r>
      <w:r>
        <w:rPr>
          <w:noProof/>
        </w:rPr>
        <w:tab/>
        <w:t>Election by certain contributors to convert existing units to non</w:t>
      </w:r>
      <w:r>
        <w:rPr>
          <w:noProof/>
        </w:rPr>
        <w:noBreakHyphen/>
        <w:t>contributory units</w:t>
      </w:r>
      <w:r w:rsidRPr="00723C3F">
        <w:rPr>
          <w:noProof/>
        </w:rPr>
        <w:tab/>
      </w:r>
      <w:r w:rsidRPr="00723C3F">
        <w:rPr>
          <w:noProof/>
        </w:rPr>
        <w:fldChar w:fldCharType="begin"/>
      </w:r>
      <w:r w:rsidRPr="00723C3F">
        <w:rPr>
          <w:noProof/>
        </w:rPr>
        <w:instrText xml:space="preserve"> PAGEREF _Toc185577406 \h </w:instrText>
      </w:r>
      <w:r w:rsidRPr="00723C3F">
        <w:rPr>
          <w:noProof/>
        </w:rPr>
      </w:r>
      <w:r w:rsidRPr="00723C3F">
        <w:rPr>
          <w:noProof/>
        </w:rPr>
        <w:fldChar w:fldCharType="separate"/>
      </w:r>
      <w:r w:rsidR="00845A31">
        <w:rPr>
          <w:noProof/>
        </w:rPr>
        <w:t>32</w:t>
      </w:r>
      <w:r w:rsidRPr="00723C3F">
        <w:rPr>
          <w:noProof/>
        </w:rPr>
        <w:fldChar w:fldCharType="end"/>
      </w:r>
    </w:p>
    <w:p w14:paraId="1844AAB6" w14:textId="15D8473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22C</w:t>
      </w:r>
      <w:r>
        <w:rPr>
          <w:noProof/>
        </w:rPr>
        <w:tab/>
        <w:t>Election to take up units as non</w:t>
      </w:r>
      <w:r>
        <w:rPr>
          <w:noProof/>
        </w:rPr>
        <w:noBreakHyphen/>
        <w:t>contributory units where salary increased after attainment of maximum age for retirement</w:t>
      </w:r>
      <w:r w:rsidRPr="00723C3F">
        <w:rPr>
          <w:noProof/>
        </w:rPr>
        <w:tab/>
      </w:r>
      <w:r w:rsidRPr="00723C3F">
        <w:rPr>
          <w:noProof/>
        </w:rPr>
        <w:fldChar w:fldCharType="begin"/>
      </w:r>
      <w:r w:rsidRPr="00723C3F">
        <w:rPr>
          <w:noProof/>
        </w:rPr>
        <w:instrText xml:space="preserve"> PAGEREF _Toc185577407 \h </w:instrText>
      </w:r>
      <w:r w:rsidRPr="00723C3F">
        <w:rPr>
          <w:noProof/>
        </w:rPr>
      </w:r>
      <w:r w:rsidRPr="00723C3F">
        <w:rPr>
          <w:noProof/>
        </w:rPr>
        <w:fldChar w:fldCharType="separate"/>
      </w:r>
      <w:r w:rsidR="00845A31">
        <w:rPr>
          <w:noProof/>
        </w:rPr>
        <w:t>34</w:t>
      </w:r>
      <w:r w:rsidRPr="00723C3F">
        <w:rPr>
          <w:noProof/>
        </w:rPr>
        <w:fldChar w:fldCharType="end"/>
      </w:r>
    </w:p>
    <w:p w14:paraId="1D55B66D" w14:textId="47283C1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22D</w:t>
      </w:r>
      <w:r>
        <w:rPr>
          <w:noProof/>
        </w:rPr>
        <w:tab/>
        <w:t>Election ineffective if number of contributory units is, or falls below, number of initial units</w:t>
      </w:r>
      <w:r w:rsidRPr="00723C3F">
        <w:rPr>
          <w:noProof/>
        </w:rPr>
        <w:tab/>
      </w:r>
      <w:r w:rsidRPr="00723C3F">
        <w:rPr>
          <w:noProof/>
        </w:rPr>
        <w:fldChar w:fldCharType="begin"/>
      </w:r>
      <w:r w:rsidRPr="00723C3F">
        <w:rPr>
          <w:noProof/>
        </w:rPr>
        <w:instrText xml:space="preserve"> PAGEREF _Toc185577408 \h </w:instrText>
      </w:r>
      <w:r w:rsidRPr="00723C3F">
        <w:rPr>
          <w:noProof/>
        </w:rPr>
      </w:r>
      <w:r w:rsidRPr="00723C3F">
        <w:rPr>
          <w:noProof/>
        </w:rPr>
        <w:fldChar w:fldCharType="separate"/>
      </w:r>
      <w:r w:rsidR="00845A31">
        <w:rPr>
          <w:noProof/>
        </w:rPr>
        <w:t>35</w:t>
      </w:r>
      <w:r w:rsidRPr="00723C3F">
        <w:rPr>
          <w:noProof/>
        </w:rPr>
        <w:fldChar w:fldCharType="end"/>
      </w:r>
    </w:p>
    <w:p w14:paraId="7C4430D0" w14:textId="24BD228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22E</w:t>
      </w:r>
      <w:r>
        <w:rPr>
          <w:noProof/>
        </w:rPr>
        <w:tab/>
        <w:t>Election ineffective if number of contributory units is, or falls below, one</w:t>
      </w:r>
      <w:r>
        <w:rPr>
          <w:noProof/>
        </w:rPr>
        <w:noBreakHyphen/>
        <w:t>half of full unit entitlement</w:t>
      </w:r>
      <w:r w:rsidRPr="00723C3F">
        <w:rPr>
          <w:noProof/>
        </w:rPr>
        <w:tab/>
      </w:r>
      <w:r w:rsidRPr="00723C3F">
        <w:rPr>
          <w:noProof/>
        </w:rPr>
        <w:fldChar w:fldCharType="begin"/>
      </w:r>
      <w:r w:rsidRPr="00723C3F">
        <w:rPr>
          <w:noProof/>
        </w:rPr>
        <w:instrText xml:space="preserve"> PAGEREF _Toc185577409 \h </w:instrText>
      </w:r>
      <w:r w:rsidRPr="00723C3F">
        <w:rPr>
          <w:noProof/>
        </w:rPr>
      </w:r>
      <w:r w:rsidRPr="00723C3F">
        <w:rPr>
          <w:noProof/>
        </w:rPr>
        <w:fldChar w:fldCharType="separate"/>
      </w:r>
      <w:r w:rsidR="00845A31">
        <w:rPr>
          <w:noProof/>
        </w:rPr>
        <w:t>39</w:t>
      </w:r>
      <w:r w:rsidRPr="00723C3F">
        <w:rPr>
          <w:noProof/>
        </w:rPr>
        <w:fldChar w:fldCharType="end"/>
      </w:r>
    </w:p>
    <w:p w14:paraId="5F1184C3" w14:textId="1DB7D1D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22F</w:t>
      </w:r>
      <w:r>
        <w:rPr>
          <w:noProof/>
        </w:rPr>
        <w:tab/>
        <w:t>Effect of election</w:t>
      </w:r>
      <w:r w:rsidRPr="00723C3F">
        <w:rPr>
          <w:noProof/>
        </w:rPr>
        <w:tab/>
      </w:r>
      <w:r w:rsidRPr="00723C3F">
        <w:rPr>
          <w:noProof/>
        </w:rPr>
        <w:fldChar w:fldCharType="begin"/>
      </w:r>
      <w:r w:rsidRPr="00723C3F">
        <w:rPr>
          <w:noProof/>
        </w:rPr>
        <w:instrText xml:space="preserve"> PAGEREF _Toc185577410 \h </w:instrText>
      </w:r>
      <w:r w:rsidRPr="00723C3F">
        <w:rPr>
          <w:noProof/>
        </w:rPr>
      </w:r>
      <w:r w:rsidRPr="00723C3F">
        <w:rPr>
          <w:noProof/>
        </w:rPr>
        <w:fldChar w:fldCharType="separate"/>
      </w:r>
      <w:r w:rsidR="00845A31">
        <w:rPr>
          <w:noProof/>
        </w:rPr>
        <w:t>42</w:t>
      </w:r>
      <w:r w:rsidRPr="00723C3F">
        <w:rPr>
          <w:noProof/>
        </w:rPr>
        <w:fldChar w:fldCharType="end"/>
      </w:r>
    </w:p>
    <w:p w14:paraId="3E1F0794" w14:textId="77E91F9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22G</w:t>
      </w:r>
      <w:r>
        <w:rPr>
          <w:noProof/>
        </w:rPr>
        <w:tab/>
        <w:t>Cessation of non</w:t>
      </w:r>
      <w:r>
        <w:rPr>
          <w:noProof/>
        </w:rPr>
        <w:noBreakHyphen/>
        <w:t>contributory units where contributor exempted from contributing for more than two units</w:t>
      </w:r>
      <w:r w:rsidRPr="00723C3F">
        <w:rPr>
          <w:noProof/>
        </w:rPr>
        <w:tab/>
      </w:r>
      <w:r w:rsidRPr="00723C3F">
        <w:rPr>
          <w:noProof/>
        </w:rPr>
        <w:fldChar w:fldCharType="begin"/>
      </w:r>
      <w:r w:rsidRPr="00723C3F">
        <w:rPr>
          <w:noProof/>
        </w:rPr>
        <w:instrText xml:space="preserve"> PAGEREF _Toc185577411 \h </w:instrText>
      </w:r>
      <w:r w:rsidRPr="00723C3F">
        <w:rPr>
          <w:noProof/>
        </w:rPr>
      </w:r>
      <w:r w:rsidRPr="00723C3F">
        <w:rPr>
          <w:noProof/>
        </w:rPr>
        <w:fldChar w:fldCharType="separate"/>
      </w:r>
      <w:r w:rsidR="00845A31">
        <w:rPr>
          <w:noProof/>
        </w:rPr>
        <w:t>44</w:t>
      </w:r>
      <w:r w:rsidRPr="00723C3F">
        <w:rPr>
          <w:noProof/>
        </w:rPr>
        <w:fldChar w:fldCharType="end"/>
      </w:r>
    </w:p>
    <w:p w14:paraId="47729155" w14:textId="27483D5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22H</w:t>
      </w:r>
      <w:r>
        <w:rPr>
          <w:noProof/>
        </w:rPr>
        <w:tab/>
        <w:t>Election not to contribute for units, or to contribute for units at age sixty</w:t>
      </w:r>
      <w:r>
        <w:rPr>
          <w:noProof/>
        </w:rPr>
        <w:noBreakHyphen/>
        <w:t>five rates, ineffective in certain cases</w:t>
      </w:r>
      <w:r w:rsidRPr="00723C3F">
        <w:rPr>
          <w:noProof/>
        </w:rPr>
        <w:tab/>
      </w:r>
      <w:r w:rsidRPr="00723C3F">
        <w:rPr>
          <w:noProof/>
        </w:rPr>
        <w:fldChar w:fldCharType="begin"/>
      </w:r>
      <w:r w:rsidRPr="00723C3F">
        <w:rPr>
          <w:noProof/>
        </w:rPr>
        <w:instrText xml:space="preserve"> PAGEREF _Toc185577412 \h </w:instrText>
      </w:r>
      <w:r w:rsidRPr="00723C3F">
        <w:rPr>
          <w:noProof/>
        </w:rPr>
      </w:r>
      <w:r w:rsidRPr="00723C3F">
        <w:rPr>
          <w:noProof/>
        </w:rPr>
        <w:fldChar w:fldCharType="separate"/>
      </w:r>
      <w:r w:rsidR="00845A31">
        <w:rPr>
          <w:noProof/>
        </w:rPr>
        <w:t>44</w:t>
      </w:r>
      <w:r w:rsidRPr="00723C3F">
        <w:rPr>
          <w:noProof/>
        </w:rPr>
        <w:fldChar w:fldCharType="end"/>
      </w:r>
    </w:p>
    <w:p w14:paraId="113E382F" w14:textId="1DF2503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22J</w:t>
      </w:r>
      <w:r>
        <w:rPr>
          <w:noProof/>
        </w:rPr>
        <w:tab/>
        <w:t>Election to reduce contributory units ineffective in certain cases</w:t>
      </w:r>
      <w:r w:rsidRPr="00723C3F">
        <w:rPr>
          <w:noProof/>
        </w:rPr>
        <w:tab/>
      </w:r>
      <w:r w:rsidRPr="00723C3F">
        <w:rPr>
          <w:noProof/>
        </w:rPr>
        <w:fldChar w:fldCharType="begin"/>
      </w:r>
      <w:r w:rsidRPr="00723C3F">
        <w:rPr>
          <w:noProof/>
        </w:rPr>
        <w:instrText xml:space="preserve"> PAGEREF _Toc185577413 \h </w:instrText>
      </w:r>
      <w:r w:rsidRPr="00723C3F">
        <w:rPr>
          <w:noProof/>
        </w:rPr>
      </w:r>
      <w:r w:rsidRPr="00723C3F">
        <w:rPr>
          <w:noProof/>
        </w:rPr>
        <w:fldChar w:fldCharType="separate"/>
      </w:r>
      <w:r w:rsidR="00845A31">
        <w:rPr>
          <w:noProof/>
        </w:rPr>
        <w:t>45</w:t>
      </w:r>
      <w:r w:rsidRPr="00723C3F">
        <w:rPr>
          <w:noProof/>
        </w:rPr>
        <w:fldChar w:fldCharType="end"/>
      </w:r>
    </w:p>
    <w:p w14:paraId="1AFE0F6F" w14:textId="4A6E717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22K</w:t>
      </w:r>
      <w:r>
        <w:rPr>
          <w:noProof/>
        </w:rPr>
        <w:tab/>
        <w:t>References to full unit entitlement</w:t>
      </w:r>
      <w:r w:rsidRPr="00723C3F">
        <w:rPr>
          <w:noProof/>
        </w:rPr>
        <w:tab/>
      </w:r>
      <w:r w:rsidRPr="00723C3F">
        <w:rPr>
          <w:noProof/>
        </w:rPr>
        <w:fldChar w:fldCharType="begin"/>
      </w:r>
      <w:r w:rsidRPr="00723C3F">
        <w:rPr>
          <w:noProof/>
        </w:rPr>
        <w:instrText xml:space="preserve"> PAGEREF _Toc185577414 \h </w:instrText>
      </w:r>
      <w:r w:rsidRPr="00723C3F">
        <w:rPr>
          <w:noProof/>
        </w:rPr>
      </w:r>
      <w:r w:rsidRPr="00723C3F">
        <w:rPr>
          <w:noProof/>
        </w:rPr>
        <w:fldChar w:fldCharType="separate"/>
      </w:r>
      <w:r w:rsidR="00845A31">
        <w:rPr>
          <w:noProof/>
        </w:rPr>
        <w:t>46</w:t>
      </w:r>
      <w:r w:rsidRPr="00723C3F">
        <w:rPr>
          <w:noProof/>
        </w:rPr>
        <w:fldChar w:fldCharType="end"/>
      </w:r>
    </w:p>
    <w:p w14:paraId="1FA2DD2F" w14:textId="2DC82FF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22L</w:t>
      </w:r>
      <w:r>
        <w:rPr>
          <w:noProof/>
        </w:rPr>
        <w:tab/>
        <w:t>Effect of certain elections in relation to elections to take up non</w:t>
      </w:r>
      <w:r>
        <w:rPr>
          <w:noProof/>
        </w:rPr>
        <w:noBreakHyphen/>
        <w:t>contributory units</w:t>
      </w:r>
      <w:r w:rsidRPr="00723C3F">
        <w:rPr>
          <w:noProof/>
        </w:rPr>
        <w:tab/>
      </w:r>
      <w:r w:rsidRPr="00723C3F">
        <w:rPr>
          <w:noProof/>
        </w:rPr>
        <w:fldChar w:fldCharType="begin"/>
      </w:r>
      <w:r w:rsidRPr="00723C3F">
        <w:rPr>
          <w:noProof/>
        </w:rPr>
        <w:instrText xml:space="preserve"> PAGEREF _Toc185577415 \h </w:instrText>
      </w:r>
      <w:r w:rsidRPr="00723C3F">
        <w:rPr>
          <w:noProof/>
        </w:rPr>
      </w:r>
      <w:r w:rsidRPr="00723C3F">
        <w:rPr>
          <w:noProof/>
        </w:rPr>
        <w:fldChar w:fldCharType="separate"/>
      </w:r>
      <w:r w:rsidR="00845A31">
        <w:rPr>
          <w:noProof/>
        </w:rPr>
        <w:t>46</w:t>
      </w:r>
      <w:r w:rsidRPr="00723C3F">
        <w:rPr>
          <w:noProof/>
        </w:rPr>
        <w:fldChar w:fldCharType="end"/>
      </w:r>
    </w:p>
    <w:p w14:paraId="460C0EF8" w14:textId="432FD06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22M</w:t>
      </w:r>
      <w:r>
        <w:rPr>
          <w:noProof/>
        </w:rPr>
        <w:tab/>
        <w:t>Deferred contributions</w:t>
      </w:r>
      <w:r w:rsidRPr="00723C3F">
        <w:rPr>
          <w:noProof/>
        </w:rPr>
        <w:tab/>
      </w:r>
      <w:r w:rsidRPr="00723C3F">
        <w:rPr>
          <w:noProof/>
        </w:rPr>
        <w:fldChar w:fldCharType="begin"/>
      </w:r>
      <w:r w:rsidRPr="00723C3F">
        <w:rPr>
          <w:noProof/>
        </w:rPr>
        <w:instrText xml:space="preserve"> PAGEREF _Toc185577416 \h </w:instrText>
      </w:r>
      <w:r w:rsidRPr="00723C3F">
        <w:rPr>
          <w:noProof/>
        </w:rPr>
      </w:r>
      <w:r w:rsidRPr="00723C3F">
        <w:rPr>
          <w:noProof/>
        </w:rPr>
        <w:fldChar w:fldCharType="separate"/>
      </w:r>
      <w:r w:rsidR="00845A31">
        <w:rPr>
          <w:noProof/>
        </w:rPr>
        <w:t>47</w:t>
      </w:r>
      <w:r w:rsidRPr="00723C3F">
        <w:rPr>
          <w:noProof/>
        </w:rPr>
        <w:fldChar w:fldCharType="end"/>
      </w:r>
    </w:p>
    <w:p w14:paraId="57A71117" w14:textId="08A36827"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3—Scale of contributions by employees</w:t>
      </w:r>
      <w:r w:rsidRPr="00723C3F">
        <w:rPr>
          <w:b w:val="0"/>
          <w:noProof/>
          <w:sz w:val="18"/>
        </w:rPr>
        <w:tab/>
      </w:r>
      <w:r w:rsidRPr="00723C3F">
        <w:rPr>
          <w:b w:val="0"/>
          <w:noProof/>
          <w:sz w:val="18"/>
        </w:rPr>
        <w:fldChar w:fldCharType="begin"/>
      </w:r>
      <w:r w:rsidRPr="00723C3F">
        <w:rPr>
          <w:b w:val="0"/>
          <w:noProof/>
          <w:sz w:val="18"/>
        </w:rPr>
        <w:instrText xml:space="preserve"> PAGEREF _Toc185577417 \h </w:instrText>
      </w:r>
      <w:r w:rsidRPr="00723C3F">
        <w:rPr>
          <w:b w:val="0"/>
          <w:noProof/>
          <w:sz w:val="18"/>
        </w:rPr>
      </w:r>
      <w:r w:rsidRPr="00723C3F">
        <w:rPr>
          <w:b w:val="0"/>
          <w:noProof/>
          <w:sz w:val="18"/>
        </w:rPr>
        <w:fldChar w:fldCharType="separate"/>
      </w:r>
      <w:r w:rsidR="00845A31">
        <w:rPr>
          <w:b w:val="0"/>
          <w:noProof/>
          <w:sz w:val="18"/>
        </w:rPr>
        <w:t>48</w:t>
      </w:r>
      <w:r w:rsidRPr="00723C3F">
        <w:rPr>
          <w:b w:val="0"/>
          <w:noProof/>
          <w:sz w:val="18"/>
        </w:rPr>
        <w:fldChar w:fldCharType="end"/>
      </w:r>
    </w:p>
    <w:p w14:paraId="3F4786C2" w14:textId="37BADA0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Contributions by employees</w:t>
      </w:r>
      <w:r w:rsidRPr="00723C3F">
        <w:rPr>
          <w:noProof/>
        </w:rPr>
        <w:tab/>
      </w:r>
      <w:r w:rsidRPr="00723C3F">
        <w:rPr>
          <w:noProof/>
        </w:rPr>
        <w:fldChar w:fldCharType="begin"/>
      </w:r>
      <w:r w:rsidRPr="00723C3F">
        <w:rPr>
          <w:noProof/>
        </w:rPr>
        <w:instrText xml:space="preserve"> PAGEREF _Toc185577418 \h </w:instrText>
      </w:r>
      <w:r w:rsidRPr="00723C3F">
        <w:rPr>
          <w:noProof/>
        </w:rPr>
      </w:r>
      <w:r w:rsidRPr="00723C3F">
        <w:rPr>
          <w:noProof/>
        </w:rPr>
        <w:fldChar w:fldCharType="separate"/>
      </w:r>
      <w:r w:rsidR="00845A31">
        <w:rPr>
          <w:noProof/>
        </w:rPr>
        <w:t>48</w:t>
      </w:r>
      <w:r w:rsidRPr="00723C3F">
        <w:rPr>
          <w:noProof/>
        </w:rPr>
        <w:fldChar w:fldCharType="end"/>
      </w:r>
    </w:p>
    <w:p w14:paraId="36098D6E" w14:textId="6E854C5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Election to contribute for full pension at 60 years of age</w:t>
      </w:r>
      <w:r w:rsidRPr="00723C3F">
        <w:rPr>
          <w:noProof/>
        </w:rPr>
        <w:tab/>
      </w:r>
      <w:r w:rsidRPr="00723C3F">
        <w:rPr>
          <w:noProof/>
        </w:rPr>
        <w:fldChar w:fldCharType="begin"/>
      </w:r>
      <w:r w:rsidRPr="00723C3F">
        <w:rPr>
          <w:noProof/>
        </w:rPr>
        <w:instrText xml:space="preserve"> PAGEREF _Toc185577419 \h </w:instrText>
      </w:r>
      <w:r w:rsidRPr="00723C3F">
        <w:rPr>
          <w:noProof/>
        </w:rPr>
      </w:r>
      <w:r w:rsidRPr="00723C3F">
        <w:rPr>
          <w:noProof/>
        </w:rPr>
        <w:fldChar w:fldCharType="separate"/>
      </w:r>
      <w:r w:rsidR="00845A31">
        <w:rPr>
          <w:noProof/>
        </w:rPr>
        <w:t>49</w:t>
      </w:r>
      <w:r w:rsidRPr="00723C3F">
        <w:rPr>
          <w:noProof/>
        </w:rPr>
        <w:fldChar w:fldCharType="end"/>
      </w:r>
    </w:p>
    <w:p w14:paraId="27837D58" w14:textId="3B95390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Election to contribute for additional units at 65 years of age</w:t>
      </w:r>
      <w:r w:rsidRPr="00723C3F">
        <w:rPr>
          <w:noProof/>
        </w:rPr>
        <w:tab/>
      </w:r>
      <w:r w:rsidRPr="00723C3F">
        <w:rPr>
          <w:noProof/>
        </w:rPr>
        <w:fldChar w:fldCharType="begin"/>
      </w:r>
      <w:r w:rsidRPr="00723C3F">
        <w:rPr>
          <w:noProof/>
        </w:rPr>
        <w:instrText xml:space="preserve"> PAGEREF _Toc185577420 \h </w:instrText>
      </w:r>
      <w:r w:rsidRPr="00723C3F">
        <w:rPr>
          <w:noProof/>
        </w:rPr>
      </w:r>
      <w:r w:rsidRPr="00723C3F">
        <w:rPr>
          <w:noProof/>
        </w:rPr>
        <w:fldChar w:fldCharType="separate"/>
      </w:r>
      <w:r w:rsidR="00845A31">
        <w:rPr>
          <w:noProof/>
        </w:rPr>
        <w:t>50</w:t>
      </w:r>
      <w:r w:rsidRPr="00723C3F">
        <w:rPr>
          <w:noProof/>
        </w:rPr>
        <w:fldChar w:fldCharType="end"/>
      </w:r>
    </w:p>
    <w:p w14:paraId="7A6C5E46" w14:textId="257AB639"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4—Contributions for additional benefits for widows</w:t>
      </w:r>
      <w:r w:rsidRPr="00723C3F">
        <w:rPr>
          <w:b w:val="0"/>
          <w:noProof/>
          <w:sz w:val="18"/>
        </w:rPr>
        <w:tab/>
      </w:r>
      <w:r w:rsidRPr="00723C3F">
        <w:rPr>
          <w:b w:val="0"/>
          <w:noProof/>
          <w:sz w:val="18"/>
        </w:rPr>
        <w:fldChar w:fldCharType="begin"/>
      </w:r>
      <w:r w:rsidRPr="00723C3F">
        <w:rPr>
          <w:b w:val="0"/>
          <w:noProof/>
          <w:sz w:val="18"/>
        </w:rPr>
        <w:instrText xml:space="preserve"> PAGEREF _Toc185577421 \h </w:instrText>
      </w:r>
      <w:r w:rsidRPr="00723C3F">
        <w:rPr>
          <w:b w:val="0"/>
          <w:noProof/>
          <w:sz w:val="18"/>
        </w:rPr>
      </w:r>
      <w:r w:rsidRPr="00723C3F">
        <w:rPr>
          <w:b w:val="0"/>
          <w:noProof/>
          <w:sz w:val="18"/>
        </w:rPr>
        <w:fldChar w:fldCharType="separate"/>
      </w:r>
      <w:r w:rsidR="00845A31">
        <w:rPr>
          <w:b w:val="0"/>
          <w:noProof/>
          <w:sz w:val="18"/>
        </w:rPr>
        <w:t>52</w:t>
      </w:r>
      <w:r w:rsidRPr="00723C3F">
        <w:rPr>
          <w:b w:val="0"/>
          <w:noProof/>
          <w:sz w:val="18"/>
        </w:rPr>
        <w:fldChar w:fldCharType="end"/>
      </w:r>
    </w:p>
    <w:p w14:paraId="2A69A44F" w14:textId="6C6DBDF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Additional contributions by existing contributors</w:t>
      </w:r>
      <w:r w:rsidRPr="00723C3F">
        <w:rPr>
          <w:noProof/>
        </w:rPr>
        <w:tab/>
      </w:r>
      <w:r w:rsidRPr="00723C3F">
        <w:rPr>
          <w:noProof/>
        </w:rPr>
        <w:fldChar w:fldCharType="begin"/>
      </w:r>
      <w:r w:rsidRPr="00723C3F">
        <w:rPr>
          <w:noProof/>
        </w:rPr>
        <w:instrText xml:space="preserve"> PAGEREF _Toc185577422 \h </w:instrText>
      </w:r>
      <w:r w:rsidRPr="00723C3F">
        <w:rPr>
          <w:noProof/>
        </w:rPr>
      </w:r>
      <w:r w:rsidRPr="00723C3F">
        <w:rPr>
          <w:noProof/>
        </w:rPr>
        <w:fldChar w:fldCharType="separate"/>
      </w:r>
      <w:r w:rsidR="00845A31">
        <w:rPr>
          <w:noProof/>
        </w:rPr>
        <w:t>52</w:t>
      </w:r>
      <w:r w:rsidRPr="00723C3F">
        <w:rPr>
          <w:noProof/>
        </w:rPr>
        <w:fldChar w:fldCharType="end"/>
      </w:r>
    </w:p>
    <w:p w14:paraId="31D12E5C" w14:textId="6700539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Additional contributions by certain pensioners who become re</w:t>
      </w:r>
      <w:r>
        <w:rPr>
          <w:noProof/>
        </w:rPr>
        <w:noBreakHyphen/>
        <w:t>employed</w:t>
      </w:r>
      <w:r w:rsidRPr="00723C3F">
        <w:rPr>
          <w:noProof/>
        </w:rPr>
        <w:tab/>
      </w:r>
      <w:r w:rsidRPr="00723C3F">
        <w:rPr>
          <w:noProof/>
        </w:rPr>
        <w:fldChar w:fldCharType="begin"/>
      </w:r>
      <w:r w:rsidRPr="00723C3F">
        <w:rPr>
          <w:noProof/>
        </w:rPr>
        <w:instrText xml:space="preserve"> PAGEREF _Toc185577423 \h </w:instrText>
      </w:r>
      <w:r w:rsidRPr="00723C3F">
        <w:rPr>
          <w:noProof/>
        </w:rPr>
      </w:r>
      <w:r w:rsidRPr="00723C3F">
        <w:rPr>
          <w:noProof/>
        </w:rPr>
        <w:fldChar w:fldCharType="separate"/>
      </w:r>
      <w:r w:rsidR="00845A31">
        <w:rPr>
          <w:noProof/>
        </w:rPr>
        <w:t>54</w:t>
      </w:r>
      <w:r w:rsidRPr="00723C3F">
        <w:rPr>
          <w:noProof/>
        </w:rPr>
        <w:fldChar w:fldCharType="end"/>
      </w:r>
    </w:p>
    <w:p w14:paraId="40EC5A16" w14:textId="354A0CA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Cessation of additional contributions</w:t>
      </w:r>
      <w:r w:rsidRPr="00723C3F">
        <w:rPr>
          <w:noProof/>
        </w:rPr>
        <w:tab/>
      </w:r>
      <w:r w:rsidRPr="00723C3F">
        <w:rPr>
          <w:noProof/>
        </w:rPr>
        <w:fldChar w:fldCharType="begin"/>
      </w:r>
      <w:r w:rsidRPr="00723C3F">
        <w:rPr>
          <w:noProof/>
        </w:rPr>
        <w:instrText xml:space="preserve"> PAGEREF _Toc185577424 \h </w:instrText>
      </w:r>
      <w:r w:rsidRPr="00723C3F">
        <w:rPr>
          <w:noProof/>
        </w:rPr>
      </w:r>
      <w:r w:rsidRPr="00723C3F">
        <w:rPr>
          <w:noProof/>
        </w:rPr>
        <w:fldChar w:fldCharType="separate"/>
      </w:r>
      <w:r w:rsidR="00845A31">
        <w:rPr>
          <w:noProof/>
        </w:rPr>
        <w:t>55</w:t>
      </w:r>
      <w:r w:rsidRPr="00723C3F">
        <w:rPr>
          <w:noProof/>
        </w:rPr>
        <w:fldChar w:fldCharType="end"/>
      </w:r>
    </w:p>
    <w:p w14:paraId="4648CF97" w14:textId="7D66EE15"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5—Reserve units of pension</w:t>
      </w:r>
      <w:r w:rsidRPr="00723C3F">
        <w:rPr>
          <w:b w:val="0"/>
          <w:noProof/>
          <w:sz w:val="18"/>
        </w:rPr>
        <w:tab/>
      </w:r>
      <w:r w:rsidRPr="00723C3F">
        <w:rPr>
          <w:b w:val="0"/>
          <w:noProof/>
          <w:sz w:val="18"/>
        </w:rPr>
        <w:fldChar w:fldCharType="begin"/>
      </w:r>
      <w:r w:rsidRPr="00723C3F">
        <w:rPr>
          <w:b w:val="0"/>
          <w:noProof/>
          <w:sz w:val="18"/>
        </w:rPr>
        <w:instrText xml:space="preserve"> PAGEREF _Toc185577425 \h </w:instrText>
      </w:r>
      <w:r w:rsidRPr="00723C3F">
        <w:rPr>
          <w:b w:val="0"/>
          <w:noProof/>
          <w:sz w:val="18"/>
        </w:rPr>
      </w:r>
      <w:r w:rsidRPr="00723C3F">
        <w:rPr>
          <w:b w:val="0"/>
          <w:noProof/>
          <w:sz w:val="18"/>
        </w:rPr>
        <w:fldChar w:fldCharType="separate"/>
      </w:r>
      <w:r w:rsidR="00845A31">
        <w:rPr>
          <w:b w:val="0"/>
          <w:noProof/>
          <w:sz w:val="18"/>
        </w:rPr>
        <w:t>57</w:t>
      </w:r>
      <w:r w:rsidRPr="00723C3F">
        <w:rPr>
          <w:b w:val="0"/>
          <w:noProof/>
          <w:sz w:val="18"/>
        </w:rPr>
        <w:fldChar w:fldCharType="end"/>
      </w:r>
    </w:p>
    <w:p w14:paraId="7250A646" w14:textId="581DEE0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Reserve Units of Pension Account</w:t>
      </w:r>
      <w:r w:rsidRPr="00723C3F">
        <w:rPr>
          <w:noProof/>
        </w:rPr>
        <w:tab/>
      </w:r>
      <w:r w:rsidRPr="00723C3F">
        <w:rPr>
          <w:noProof/>
        </w:rPr>
        <w:fldChar w:fldCharType="begin"/>
      </w:r>
      <w:r w:rsidRPr="00723C3F">
        <w:rPr>
          <w:noProof/>
        </w:rPr>
        <w:instrText xml:space="preserve"> PAGEREF _Toc185577426 \h </w:instrText>
      </w:r>
      <w:r w:rsidRPr="00723C3F">
        <w:rPr>
          <w:noProof/>
        </w:rPr>
      </w:r>
      <w:r w:rsidRPr="00723C3F">
        <w:rPr>
          <w:noProof/>
        </w:rPr>
        <w:fldChar w:fldCharType="separate"/>
      </w:r>
      <w:r w:rsidR="00845A31">
        <w:rPr>
          <w:noProof/>
        </w:rPr>
        <w:t>57</w:t>
      </w:r>
      <w:r w:rsidRPr="00723C3F">
        <w:rPr>
          <w:noProof/>
        </w:rPr>
        <w:fldChar w:fldCharType="end"/>
      </w:r>
    </w:p>
    <w:p w14:paraId="1B07C424" w14:textId="3E94E36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Contributions for reserve units of pension</w:t>
      </w:r>
      <w:r w:rsidRPr="00723C3F">
        <w:rPr>
          <w:noProof/>
        </w:rPr>
        <w:tab/>
      </w:r>
      <w:r w:rsidRPr="00723C3F">
        <w:rPr>
          <w:noProof/>
        </w:rPr>
        <w:fldChar w:fldCharType="begin"/>
      </w:r>
      <w:r w:rsidRPr="00723C3F">
        <w:rPr>
          <w:noProof/>
        </w:rPr>
        <w:instrText xml:space="preserve"> PAGEREF _Toc185577427 \h </w:instrText>
      </w:r>
      <w:r w:rsidRPr="00723C3F">
        <w:rPr>
          <w:noProof/>
        </w:rPr>
      </w:r>
      <w:r w:rsidRPr="00723C3F">
        <w:rPr>
          <w:noProof/>
        </w:rPr>
        <w:fldChar w:fldCharType="separate"/>
      </w:r>
      <w:r w:rsidR="00845A31">
        <w:rPr>
          <w:noProof/>
        </w:rPr>
        <w:t>57</w:t>
      </w:r>
      <w:r w:rsidRPr="00723C3F">
        <w:rPr>
          <w:noProof/>
        </w:rPr>
        <w:fldChar w:fldCharType="end"/>
      </w:r>
    </w:p>
    <w:p w14:paraId="13FC6489" w14:textId="0A8F534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30A</w:t>
      </w:r>
      <w:r>
        <w:rPr>
          <w:noProof/>
        </w:rPr>
        <w:tab/>
        <w:t>Completion of contributions for reserve unit</w:t>
      </w:r>
      <w:r w:rsidRPr="00723C3F">
        <w:rPr>
          <w:noProof/>
        </w:rPr>
        <w:tab/>
      </w:r>
      <w:r w:rsidRPr="00723C3F">
        <w:rPr>
          <w:noProof/>
        </w:rPr>
        <w:fldChar w:fldCharType="begin"/>
      </w:r>
      <w:r w:rsidRPr="00723C3F">
        <w:rPr>
          <w:noProof/>
        </w:rPr>
        <w:instrText xml:space="preserve"> PAGEREF _Toc185577428 \h </w:instrText>
      </w:r>
      <w:r w:rsidRPr="00723C3F">
        <w:rPr>
          <w:noProof/>
        </w:rPr>
      </w:r>
      <w:r w:rsidRPr="00723C3F">
        <w:rPr>
          <w:noProof/>
        </w:rPr>
        <w:fldChar w:fldCharType="separate"/>
      </w:r>
      <w:r w:rsidR="00845A31">
        <w:rPr>
          <w:noProof/>
        </w:rPr>
        <w:t>58</w:t>
      </w:r>
      <w:r w:rsidRPr="00723C3F">
        <w:rPr>
          <w:noProof/>
        </w:rPr>
        <w:fldChar w:fldCharType="end"/>
      </w:r>
    </w:p>
    <w:p w14:paraId="54A98BDF" w14:textId="7B7179D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Transfer of contributions to Superannuation Fund</w:t>
      </w:r>
      <w:r w:rsidRPr="00723C3F">
        <w:rPr>
          <w:noProof/>
        </w:rPr>
        <w:tab/>
      </w:r>
      <w:r w:rsidRPr="00723C3F">
        <w:rPr>
          <w:noProof/>
        </w:rPr>
        <w:fldChar w:fldCharType="begin"/>
      </w:r>
      <w:r w:rsidRPr="00723C3F">
        <w:rPr>
          <w:noProof/>
        </w:rPr>
        <w:instrText xml:space="preserve"> PAGEREF _Toc185577429 \h </w:instrText>
      </w:r>
      <w:r w:rsidRPr="00723C3F">
        <w:rPr>
          <w:noProof/>
        </w:rPr>
      </w:r>
      <w:r w:rsidRPr="00723C3F">
        <w:rPr>
          <w:noProof/>
        </w:rPr>
        <w:fldChar w:fldCharType="separate"/>
      </w:r>
      <w:r w:rsidR="00845A31">
        <w:rPr>
          <w:noProof/>
        </w:rPr>
        <w:t>58</w:t>
      </w:r>
      <w:r w:rsidRPr="00723C3F">
        <w:rPr>
          <w:noProof/>
        </w:rPr>
        <w:fldChar w:fldCharType="end"/>
      </w:r>
    </w:p>
    <w:p w14:paraId="0767DB62" w14:textId="1291D25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Discontinuance of contributions for reserve units</w:t>
      </w:r>
      <w:r w:rsidRPr="00723C3F">
        <w:rPr>
          <w:noProof/>
        </w:rPr>
        <w:tab/>
      </w:r>
      <w:r w:rsidRPr="00723C3F">
        <w:rPr>
          <w:noProof/>
        </w:rPr>
        <w:fldChar w:fldCharType="begin"/>
      </w:r>
      <w:r w:rsidRPr="00723C3F">
        <w:rPr>
          <w:noProof/>
        </w:rPr>
        <w:instrText xml:space="preserve"> PAGEREF _Toc185577430 \h </w:instrText>
      </w:r>
      <w:r w:rsidRPr="00723C3F">
        <w:rPr>
          <w:noProof/>
        </w:rPr>
      </w:r>
      <w:r w:rsidRPr="00723C3F">
        <w:rPr>
          <w:noProof/>
        </w:rPr>
        <w:fldChar w:fldCharType="separate"/>
      </w:r>
      <w:r w:rsidR="00845A31">
        <w:rPr>
          <w:noProof/>
        </w:rPr>
        <w:t>59</w:t>
      </w:r>
      <w:r w:rsidRPr="00723C3F">
        <w:rPr>
          <w:noProof/>
        </w:rPr>
        <w:fldChar w:fldCharType="end"/>
      </w:r>
    </w:p>
    <w:p w14:paraId="3657EB42" w14:textId="1DC63433"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6—Contributions by the Commonwealth</w:t>
      </w:r>
      <w:r w:rsidRPr="00723C3F">
        <w:rPr>
          <w:b w:val="0"/>
          <w:noProof/>
          <w:sz w:val="18"/>
        </w:rPr>
        <w:tab/>
      </w:r>
      <w:r w:rsidRPr="00723C3F">
        <w:rPr>
          <w:b w:val="0"/>
          <w:noProof/>
          <w:sz w:val="18"/>
        </w:rPr>
        <w:fldChar w:fldCharType="begin"/>
      </w:r>
      <w:r w:rsidRPr="00723C3F">
        <w:rPr>
          <w:b w:val="0"/>
          <w:noProof/>
          <w:sz w:val="18"/>
        </w:rPr>
        <w:instrText xml:space="preserve"> PAGEREF _Toc185577431 \h </w:instrText>
      </w:r>
      <w:r w:rsidRPr="00723C3F">
        <w:rPr>
          <w:b w:val="0"/>
          <w:noProof/>
          <w:sz w:val="18"/>
        </w:rPr>
      </w:r>
      <w:r w:rsidRPr="00723C3F">
        <w:rPr>
          <w:b w:val="0"/>
          <w:noProof/>
          <w:sz w:val="18"/>
        </w:rPr>
        <w:fldChar w:fldCharType="separate"/>
      </w:r>
      <w:r w:rsidR="00845A31">
        <w:rPr>
          <w:b w:val="0"/>
          <w:noProof/>
          <w:sz w:val="18"/>
        </w:rPr>
        <w:t>61</w:t>
      </w:r>
      <w:r w:rsidRPr="00723C3F">
        <w:rPr>
          <w:b w:val="0"/>
          <w:noProof/>
          <w:sz w:val="18"/>
        </w:rPr>
        <w:fldChar w:fldCharType="end"/>
      </w:r>
    </w:p>
    <w:p w14:paraId="65E926B4" w14:textId="79722DC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Payments out of Consolidated Revenue Fund</w:t>
      </w:r>
      <w:r w:rsidRPr="00723C3F">
        <w:rPr>
          <w:noProof/>
        </w:rPr>
        <w:tab/>
      </w:r>
      <w:r w:rsidRPr="00723C3F">
        <w:rPr>
          <w:noProof/>
        </w:rPr>
        <w:fldChar w:fldCharType="begin"/>
      </w:r>
      <w:r w:rsidRPr="00723C3F">
        <w:rPr>
          <w:noProof/>
        </w:rPr>
        <w:instrText xml:space="preserve"> PAGEREF _Toc185577432 \h </w:instrText>
      </w:r>
      <w:r w:rsidRPr="00723C3F">
        <w:rPr>
          <w:noProof/>
        </w:rPr>
      </w:r>
      <w:r w:rsidRPr="00723C3F">
        <w:rPr>
          <w:noProof/>
        </w:rPr>
        <w:fldChar w:fldCharType="separate"/>
      </w:r>
      <w:r w:rsidR="00845A31">
        <w:rPr>
          <w:noProof/>
        </w:rPr>
        <w:t>61</w:t>
      </w:r>
      <w:r w:rsidRPr="00723C3F">
        <w:rPr>
          <w:noProof/>
        </w:rPr>
        <w:fldChar w:fldCharType="end"/>
      </w:r>
    </w:p>
    <w:p w14:paraId="3C7EBE87" w14:textId="1C291293"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7—General provisions as to contributions</w:t>
      </w:r>
      <w:r w:rsidRPr="00723C3F">
        <w:rPr>
          <w:b w:val="0"/>
          <w:noProof/>
          <w:sz w:val="18"/>
        </w:rPr>
        <w:tab/>
      </w:r>
      <w:r w:rsidRPr="00723C3F">
        <w:rPr>
          <w:b w:val="0"/>
          <w:noProof/>
          <w:sz w:val="18"/>
        </w:rPr>
        <w:fldChar w:fldCharType="begin"/>
      </w:r>
      <w:r w:rsidRPr="00723C3F">
        <w:rPr>
          <w:b w:val="0"/>
          <w:noProof/>
          <w:sz w:val="18"/>
        </w:rPr>
        <w:instrText xml:space="preserve"> PAGEREF _Toc185577433 \h </w:instrText>
      </w:r>
      <w:r w:rsidRPr="00723C3F">
        <w:rPr>
          <w:b w:val="0"/>
          <w:noProof/>
          <w:sz w:val="18"/>
        </w:rPr>
      </w:r>
      <w:r w:rsidRPr="00723C3F">
        <w:rPr>
          <w:b w:val="0"/>
          <w:noProof/>
          <w:sz w:val="18"/>
        </w:rPr>
        <w:fldChar w:fldCharType="separate"/>
      </w:r>
      <w:r w:rsidR="00845A31">
        <w:rPr>
          <w:b w:val="0"/>
          <w:noProof/>
          <w:sz w:val="18"/>
        </w:rPr>
        <w:t>64</w:t>
      </w:r>
      <w:r w:rsidRPr="00723C3F">
        <w:rPr>
          <w:b w:val="0"/>
          <w:noProof/>
          <w:sz w:val="18"/>
        </w:rPr>
        <w:fldChar w:fldCharType="end"/>
      </w:r>
    </w:p>
    <w:p w14:paraId="65601389" w14:textId="7B169BB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Employees on leave of absence</w:t>
      </w:r>
      <w:r w:rsidRPr="00723C3F">
        <w:rPr>
          <w:noProof/>
        </w:rPr>
        <w:tab/>
      </w:r>
      <w:r w:rsidRPr="00723C3F">
        <w:rPr>
          <w:noProof/>
        </w:rPr>
        <w:fldChar w:fldCharType="begin"/>
      </w:r>
      <w:r w:rsidRPr="00723C3F">
        <w:rPr>
          <w:noProof/>
        </w:rPr>
        <w:instrText xml:space="preserve"> PAGEREF _Toc185577434 \h </w:instrText>
      </w:r>
      <w:r w:rsidRPr="00723C3F">
        <w:rPr>
          <w:noProof/>
        </w:rPr>
      </w:r>
      <w:r w:rsidRPr="00723C3F">
        <w:rPr>
          <w:noProof/>
        </w:rPr>
        <w:fldChar w:fldCharType="separate"/>
      </w:r>
      <w:r w:rsidR="00845A31">
        <w:rPr>
          <w:noProof/>
        </w:rPr>
        <w:t>64</w:t>
      </w:r>
      <w:r w:rsidRPr="00723C3F">
        <w:rPr>
          <w:noProof/>
        </w:rPr>
        <w:fldChar w:fldCharType="end"/>
      </w:r>
    </w:p>
    <w:p w14:paraId="31DA6E73" w14:textId="01F64E9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Manner of payment—deduction from wages or salaries</w:t>
      </w:r>
      <w:r w:rsidRPr="00723C3F">
        <w:rPr>
          <w:noProof/>
        </w:rPr>
        <w:tab/>
      </w:r>
      <w:r w:rsidRPr="00723C3F">
        <w:rPr>
          <w:noProof/>
        </w:rPr>
        <w:fldChar w:fldCharType="begin"/>
      </w:r>
      <w:r w:rsidRPr="00723C3F">
        <w:rPr>
          <w:noProof/>
        </w:rPr>
        <w:instrText xml:space="preserve"> PAGEREF _Toc185577435 \h </w:instrText>
      </w:r>
      <w:r w:rsidRPr="00723C3F">
        <w:rPr>
          <w:noProof/>
        </w:rPr>
      </w:r>
      <w:r w:rsidRPr="00723C3F">
        <w:rPr>
          <w:noProof/>
        </w:rPr>
        <w:fldChar w:fldCharType="separate"/>
      </w:r>
      <w:r w:rsidR="00845A31">
        <w:rPr>
          <w:noProof/>
        </w:rPr>
        <w:t>64</w:t>
      </w:r>
      <w:r w:rsidRPr="00723C3F">
        <w:rPr>
          <w:noProof/>
        </w:rPr>
        <w:fldChar w:fldCharType="end"/>
      </w:r>
    </w:p>
    <w:p w14:paraId="23CBF909" w14:textId="3B15152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35A</w:t>
      </w:r>
      <w:r>
        <w:rPr>
          <w:noProof/>
        </w:rPr>
        <w:tab/>
        <w:t>Deferment of contributions of contributors under Defence Force Retirement and Death Benefits Act</w:t>
      </w:r>
      <w:r w:rsidRPr="00723C3F">
        <w:rPr>
          <w:noProof/>
        </w:rPr>
        <w:tab/>
      </w:r>
      <w:r w:rsidRPr="00723C3F">
        <w:rPr>
          <w:noProof/>
        </w:rPr>
        <w:fldChar w:fldCharType="begin"/>
      </w:r>
      <w:r w:rsidRPr="00723C3F">
        <w:rPr>
          <w:noProof/>
        </w:rPr>
        <w:instrText xml:space="preserve"> PAGEREF _Toc185577436 \h </w:instrText>
      </w:r>
      <w:r w:rsidRPr="00723C3F">
        <w:rPr>
          <w:noProof/>
        </w:rPr>
      </w:r>
      <w:r w:rsidRPr="00723C3F">
        <w:rPr>
          <w:noProof/>
        </w:rPr>
        <w:fldChar w:fldCharType="separate"/>
      </w:r>
      <w:r w:rsidR="00845A31">
        <w:rPr>
          <w:noProof/>
        </w:rPr>
        <w:t>64</w:t>
      </w:r>
      <w:r w:rsidRPr="00723C3F">
        <w:rPr>
          <w:noProof/>
        </w:rPr>
        <w:fldChar w:fldCharType="end"/>
      </w:r>
    </w:p>
    <w:p w14:paraId="631D9E24" w14:textId="063E9D7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35B</w:t>
      </w:r>
      <w:r>
        <w:rPr>
          <w:noProof/>
        </w:rPr>
        <w:tab/>
        <w:t>Order in which reduction of contributory units to take effect</w:t>
      </w:r>
      <w:r w:rsidRPr="00723C3F">
        <w:rPr>
          <w:noProof/>
        </w:rPr>
        <w:tab/>
      </w:r>
      <w:r w:rsidRPr="00723C3F">
        <w:rPr>
          <w:noProof/>
        </w:rPr>
        <w:fldChar w:fldCharType="begin"/>
      </w:r>
      <w:r w:rsidRPr="00723C3F">
        <w:rPr>
          <w:noProof/>
        </w:rPr>
        <w:instrText xml:space="preserve"> PAGEREF _Toc185577437 \h </w:instrText>
      </w:r>
      <w:r w:rsidRPr="00723C3F">
        <w:rPr>
          <w:noProof/>
        </w:rPr>
      </w:r>
      <w:r w:rsidRPr="00723C3F">
        <w:rPr>
          <w:noProof/>
        </w:rPr>
        <w:fldChar w:fldCharType="separate"/>
      </w:r>
      <w:r w:rsidR="00845A31">
        <w:rPr>
          <w:noProof/>
        </w:rPr>
        <w:t>65</w:t>
      </w:r>
      <w:r w:rsidRPr="00723C3F">
        <w:rPr>
          <w:noProof/>
        </w:rPr>
        <w:fldChar w:fldCharType="end"/>
      </w:r>
    </w:p>
    <w:p w14:paraId="0248BD0C" w14:textId="1C348C0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Salary</w:t>
      </w:r>
      <w:r w:rsidRPr="00723C3F">
        <w:rPr>
          <w:noProof/>
        </w:rPr>
        <w:tab/>
      </w:r>
      <w:r w:rsidRPr="00723C3F">
        <w:rPr>
          <w:noProof/>
        </w:rPr>
        <w:fldChar w:fldCharType="begin"/>
      </w:r>
      <w:r w:rsidRPr="00723C3F">
        <w:rPr>
          <w:noProof/>
        </w:rPr>
        <w:instrText xml:space="preserve"> PAGEREF _Toc185577438 \h </w:instrText>
      </w:r>
      <w:r w:rsidRPr="00723C3F">
        <w:rPr>
          <w:noProof/>
        </w:rPr>
      </w:r>
      <w:r w:rsidRPr="00723C3F">
        <w:rPr>
          <w:noProof/>
        </w:rPr>
        <w:fldChar w:fldCharType="separate"/>
      </w:r>
      <w:r w:rsidR="00845A31">
        <w:rPr>
          <w:noProof/>
        </w:rPr>
        <w:t>65</w:t>
      </w:r>
      <w:r w:rsidRPr="00723C3F">
        <w:rPr>
          <w:noProof/>
        </w:rPr>
        <w:fldChar w:fldCharType="end"/>
      </w:r>
    </w:p>
    <w:p w14:paraId="3B893367" w14:textId="7FC2BA8B"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IV—Pensions and benefits</w:t>
      </w:r>
      <w:r w:rsidRPr="00723C3F">
        <w:rPr>
          <w:b w:val="0"/>
          <w:noProof/>
          <w:sz w:val="18"/>
        </w:rPr>
        <w:tab/>
      </w:r>
      <w:r w:rsidRPr="00723C3F">
        <w:rPr>
          <w:b w:val="0"/>
          <w:noProof/>
          <w:sz w:val="18"/>
        </w:rPr>
        <w:fldChar w:fldCharType="begin"/>
      </w:r>
      <w:r w:rsidRPr="00723C3F">
        <w:rPr>
          <w:b w:val="0"/>
          <w:noProof/>
          <w:sz w:val="18"/>
        </w:rPr>
        <w:instrText xml:space="preserve"> PAGEREF _Toc185577439 \h </w:instrText>
      </w:r>
      <w:r w:rsidRPr="00723C3F">
        <w:rPr>
          <w:b w:val="0"/>
          <w:noProof/>
          <w:sz w:val="18"/>
        </w:rPr>
      </w:r>
      <w:r w:rsidRPr="00723C3F">
        <w:rPr>
          <w:b w:val="0"/>
          <w:noProof/>
          <w:sz w:val="18"/>
        </w:rPr>
        <w:fldChar w:fldCharType="separate"/>
      </w:r>
      <w:r w:rsidR="00845A31">
        <w:rPr>
          <w:b w:val="0"/>
          <w:noProof/>
          <w:sz w:val="18"/>
        </w:rPr>
        <w:t>67</w:t>
      </w:r>
      <w:r w:rsidRPr="00723C3F">
        <w:rPr>
          <w:b w:val="0"/>
          <w:noProof/>
          <w:sz w:val="18"/>
        </w:rPr>
        <w:fldChar w:fldCharType="end"/>
      </w:r>
    </w:p>
    <w:p w14:paraId="1985B92F" w14:textId="52B88E73"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1—Retirement on pension</w:t>
      </w:r>
      <w:r w:rsidRPr="00723C3F">
        <w:rPr>
          <w:b w:val="0"/>
          <w:noProof/>
          <w:sz w:val="18"/>
        </w:rPr>
        <w:tab/>
      </w:r>
      <w:r w:rsidRPr="00723C3F">
        <w:rPr>
          <w:b w:val="0"/>
          <w:noProof/>
          <w:sz w:val="18"/>
        </w:rPr>
        <w:fldChar w:fldCharType="begin"/>
      </w:r>
      <w:r w:rsidRPr="00723C3F">
        <w:rPr>
          <w:b w:val="0"/>
          <w:noProof/>
          <w:sz w:val="18"/>
        </w:rPr>
        <w:instrText xml:space="preserve"> PAGEREF _Toc185577440 \h </w:instrText>
      </w:r>
      <w:r w:rsidRPr="00723C3F">
        <w:rPr>
          <w:b w:val="0"/>
          <w:noProof/>
          <w:sz w:val="18"/>
        </w:rPr>
      </w:r>
      <w:r w:rsidRPr="00723C3F">
        <w:rPr>
          <w:b w:val="0"/>
          <w:noProof/>
          <w:sz w:val="18"/>
        </w:rPr>
        <w:fldChar w:fldCharType="separate"/>
      </w:r>
      <w:r w:rsidR="00845A31">
        <w:rPr>
          <w:b w:val="0"/>
          <w:noProof/>
          <w:sz w:val="18"/>
        </w:rPr>
        <w:t>67</w:t>
      </w:r>
      <w:r w:rsidRPr="00723C3F">
        <w:rPr>
          <w:b w:val="0"/>
          <w:noProof/>
          <w:sz w:val="18"/>
        </w:rPr>
        <w:fldChar w:fldCharType="end"/>
      </w:r>
    </w:p>
    <w:p w14:paraId="3A1E047C" w14:textId="12D9537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Age of compulsory retirement</w:t>
      </w:r>
      <w:r w:rsidRPr="00723C3F">
        <w:rPr>
          <w:noProof/>
        </w:rPr>
        <w:tab/>
      </w:r>
      <w:r w:rsidRPr="00723C3F">
        <w:rPr>
          <w:noProof/>
        </w:rPr>
        <w:fldChar w:fldCharType="begin"/>
      </w:r>
      <w:r w:rsidRPr="00723C3F">
        <w:rPr>
          <w:noProof/>
        </w:rPr>
        <w:instrText xml:space="preserve"> PAGEREF _Toc185577441 \h </w:instrText>
      </w:r>
      <w:r w:rsidRPr="00723C3F">
        <w:rPr>
          <w:noProof/>
        </w:rPr>
      </w:r>
      <w:r w:rsidRPr="00723C3F">
        <w:rPr>
          <w:noProof/>
        </w:rPr>
        <w:fldChar w:fldCharType="separate"/>
      </w:r>
      <w:r w:rsidR="00845A31">
        <w:rPr>
          <w:noProof/>
        </w:rPr>
        <w:t>67</w:t>
      </w:r>
      <w:r w:rsidRPr="00723C3F">
        <w:rPr>
          <w:noProof/>
        </w:rPr>
        <w:fldChar w:fldCharType="end"/>
      </w:r>
    </w:p>
    <w:p w14:paraId="2C9EDCAB" w14:textId="3020B65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Breakdown, retirement</w:t>
      </w:r>
      <w:r w:rsidRPr="00723C3F">
        <w:rPr>
          <w:noProof/>
        </w:rPr>
        <w:tab/>
      </w:r>
      <w:r w:rsidRPr="00723C3F">
        <w:rPr>
          <w:noProof/>
        </w:rPr>
        <w:fldChar w:fldCharType="begin"/>
      </w:r>
      <w:r w:rsidRPr="00723C3F">
        <w:rPr>
          <w:noProof/>
        </w:rPr>
        <w:instrText xml:space="preserve"> PAGEREF _Toc185577442 \h </w:instrText>
      </w:r>
      <w:r w:rsidRPr="00723C3F">
        <w:rPr>
          <w:noProof/>
        </w:rPr>
      </w:r>
      <w:r w:rsidRPr="00723C3F">
        <w:rPr>
          <w:noProof/>
        </w:rPr>
        <w:fldChar w:fldCharType="separate"/>
      </w:r>
      <w:r w:rsidR="00845A31">
        <w:rPr>
          <w:noProof/>
        </w:rPr>
        <w:t>67</w:t>
      </w:r>
      <w:r w:rsidRPr="00723C3F">
        <w:rPr>
          <w:noProof/>
        </w:rPr>
        <w:fldChar w:fldCharType="end"/>
      </w:r>
    </w:p>
    <w:p w14:paraId="65845ADE" w14:textId="5DA14C9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Retrenchment</w:t>
      </w:r>
      <w:r w:rsidRPr="00723C3F">
        <w:rPr>
          <w:noProof/>
        </w:rPr>
        <w:tab/>
      </w:r>
      <w:r w:rsidRPr="00723C3F">
        <w:rPr>
          <w:noProof/>
        </w:rPr>
        <w:fldChar w:fldCharType="begin"/>
      </w:r>
      <w:r w:rsidRPr="00723C3F">
        <w:rPr>
          <w:noProof/>
        </w:rPr>
        <w:instrText xml:space="preserve"> PAGEREF _Toc185577443 \h </w:instrText>
      </w:r>
      <w:r w:rsidRPr="00723C3F">
        <w:rPr>
          <w:noProof/>
        </w:rPr>
      </w:r>
      <w:r w:rsidRPr="00723C3F">
        <w:rPr>
          <w:noProof/>
        </w:rPr>
        <w:fldChar w:fldCharType="separate"/>
      </w:r>
      <w:r w:rsidR="00845A31">
        <w:rPr>
          <w:noProof/>
        </w:rPr>
        <w:t>67</w:t>
      </w:r>
      <w:r w:rsidRPr="00723C3F">
        <w:rPr>
          <w:noProof/>
        </w:rPr>
        <w:fldChar w:fldCharType="end"/>
      </w:r>
    </w:p>
    <w:p w14:paraId="219EF32E" w14:textId="1FFA671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Dismissal</w:t>
      </w:r>
      <w:r w:rsidRPr="00723C3F">
        <w:rPr>
          <w:noProof/>
        </w:rPr>
        <w:tab/>
      </w:r>
      <w:r w:rsidRPr="00723C3F">
        <w:rPr>
          <w:noProof/>
        </w:rPr>
        <w:fldChar w:fldCharType="begin"/>
      </w:r>
      <w:r w:rsidRPr="00723C3F">
        <w:rPr>
          <w:noProof/>
        </w:rPr>
        <w:instrText xml:space="preserve"> PAGEREF _Toc185577444 \h </w:instrText>
      </w:r>
      <w:r w:rsidRPr="00723C3F">
        <w:rPr>
          <w:noProof/>
        </w:rPr>
      </w:r>
      <w:r w:rsidRPr="00723C3F">
        <w:rPr>
          <w:noProof/>
        </w:rPr>
        <w:fldChar w:fldCharType="separate"/>
      </w:r>
      <w:r w:rsidR="00845A31">
        <w:rPr>
          <w:noProof/>
        </w:rPr>
        <w:t>68</w:t>
      </w:r>
      <w:r w:rsidRPr="00723C3F">
        <w:rPr>
          <w:noProof/>
        </w:rPr>
        <w:fldChar w:fldCharType="end"/>
      </w:r>
    </w:p>
    <w:p w14:paraId="69E40134" w14:textId="03D26FD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Compulsory termination of service of certain contributors for whom no retiring age is fixed by law</w:t>
      </w:r>
      <w:r w:rsidRPr="00723C3F">
        <w:rPr>
          <w:noProof/>
        </w:rPr>
        <w:tab/>
      </w:r>
      <w:r w:rsidRPr="00723C3F">
        <w:rPr>
          <w:noProof/>
        </w:rPr>
        <w:fldChar w:fldCharType="begin"/>
      </w:r>
      <w:r w:rsidRPr="00723C3F">
        <w:rPr>
          <w:noProof/>
        </w:rPr>
        <w:instrText xml:space="preserve"> PAGEREF _Toc185577445 \h </w:instrText>
      </w:r>
      <w:r w:rsidRPr="00723C3F">
        <w:rPr>
          <w:noProof/>
        </w:rPr>
      </w:r>
      <w:r w:rsidRPr="00723C3F">
        <w:rPr>
          <w:noProof/>
        </w:rPr>
        <w:fldChar w:fldCharType="separate"/>
      </w:r>
      <w:r w:rsidR="00845A31">
        <w:rPr>
          <w:noProof/>
        </w:rPr>
        <w:t>68</w:t>
      </w:r>
      <w:r w:rsidRPr="00723C3F">
        <w:rPr>
          <w:noProof/>
        </w:rPr>
        <w:fldChar w:fldCharType="end"/>
      </w:r>
    </w:p>
    <w:p w14:paraId="6B0F0B65" w14:textId="293C073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41A</w:t>
      </w:r>
      <w:r>
        <w:rPr>
          <w:noProof/>
        </w:rPr>
        <w:tab/>
        <w:t>Voluntary termination of service</w:t>
      </w:r>
      <w:r w:rsidRPr="00723C3F">
        <w:rPr>
          <w:noProof/>
        </w:rPr>
        <w:tab/>
      </w:r>
      <w:r w:rsidRPr="00723C3F">
        <w:rPr>
          <w:noProof/>
        </w:rPr>
        <w:fldChar w:fldCharType="begin"/>
      </w:r>
      <w:r w:rsidRPr="00723C3F">
        <w:rPr>
          <w:noProof/>
        </w:rPr>
        <w:instrText xml:space="preserve"> PAGEREF _Toc185577446 \h </w:instrText>
      </w:r>
      <w:r w:rsidRPr="00723C3F">
        <w:rPr>
          <w:noProof/>
        </w:rPr>
      </w:r>
      <w:r w:rsidRPr="00723C3F">
        <w:rPr>
          <w:noProof/>
        </w:rPr>
        <w:fldChar w:fldCharType="separate"/>
      </w:r>
      <w:r w:rsidR="00845A31">
        <w:rPr>
          <w:noProof/>
        </w:rPr>
        <w:t>69</w:t>
      </w:r>
      <w:r w:rsidRPr="00723C3F">
        <w:rPr>
          <w:noProof/>
        </w:rPr>
        <w:fldChar w:fldCharType="end"/>
      </w:r>
    </w:p>
    <w:p w14:paraId="3B3503EC" w14:textId="6B8F332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41B</w:t>
      </w:r>
      <w:r>
        <w:rPr>
          <w:noProof/>
        </w:rPr>
        <w:tab/>
        <w:t>Holders of statutory offices</w:t>
      </w:r>
      <w:r w:rsidRPr="00723C3F">
        <w:rPr>
          <w:noProof/>
        </w:rPr>
        <w:tab/>
      </w:r>
      <w:r w:rsidRPr="00723C3F">
        <w:rPr>
          <w:noProof/>
        </w:rPr>
        <w:fldChar w:fldCharType="begin"/>
      </w:r>
      <w:r w:rsidRPr="00723C3F">
        <w:rPr>
          <w:noProof/>
        </w:rPr>
        <w:instrText xml:space="preserve"> PAGEREF _Toc185577447 \h </w:instrText>
      </w:r>
      <w:r w:rsidRPr="00723C3F">
        <w:rPr>
          <w:noProof/>
        </w:rPr>
      </w:r>
      <w:r w:rsidRPr="00723C3F">
        <w:rPr>
          <w:noProof/>
        </w:rPr>
        <w:fldChar w:fldCharType="separate"/>
      </w:r>
      <w:r w:rsidR="00845A31">
        <w:rPr>
          <w:noProof/>
        </w:rPr>
        <w:t>69</w:t>
      </w:r>
      <w:r w:rsidRPr="00723C3F">
        <w:rPr>
          <w:noProof/>
        </w:rPr>
        <w:fldChar w:fldCharType="end"/>
      </w:r>
    </w:p>
    <w:p w14:paraId="7BE453AA" w14:textId="5F8D94F1"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2—Grant of pensions and benefits</w:t>
      </w:r>
      <w:r w:rsidRPr="00723C3F">
        <w:rPr>
          <w:b w:val="0"/>
          <w:noProof/>
          <w:sz w:val="18"/>
        </w:rPr>
        <w:tab/>
      </w:r>
      <w:r w:rsidRPr="00723C3F">
        <w:rPr>
          <w:b w:val="0"/>
          <w:noProof/>
          <w:sz w:val="18"/>
        </w:rPr>
        <w:fldChar w:fldCharType="begin"/>
      </w:r>
      <w:r w:rsidRPr="00723C3F">
        <w:rPr>
          <w:b w:val="0"/>
          <w:noProof/>
          <w:sz w:val="18"/>
        </w:rPr>
        <w:instrText xml:space="preserve"> PAGEREF _Toc185577448 \h </w:instrText>
      </w:r>
      <w:r w:rsidRPr="00723C3F">
        <w:rPr>
          <w:b w:val="0"/>
          <w:noProof/>
          <w:sz w:val="18"/>
        </w:rPr>
      </w:r>
      <w:r w:rsidRPr="00723C3F">
        <w:rPr>
          <w:b w:val="0"/>
          <w:noProof/>
          <w:sz w:val="18"/>
        </w:rPr>
        <w:fldChar w:fldCharType="separate"/>
      </w:r>
      <w:r w:rsidR="00845A31">
        <w:rPr>
          <w:b w:val="0"/>
          <w:noProof/>
          <w:sz w:val="18"/>
        </w:rPr>
        <w:t>71</w:t>
      </w:r>
      <w:r w:rsidRPr="00723C3F">
        <w:rPr>
          <w:b w:val="0"/>
          <w:noProof/>
          <w:sz w:val="18"/>
        </w:rPr>
        <w:fldChar w:fldCharType="end"/>
      </w:r>
    </w:p>
    <w:p w14:paraId="016AA649" w14:textId="3E04831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Value of units of pension</w:t>
      </w:r>
      <w:r w:rsidRPr="00723C3F">
        <w:rPr>
          <w:noProof/>
        </w:rPr>
        <w:tab/>
      </w:r>
      <w:r w:rsidRPr="00723C3F">
        <w:rPr>
          <w:noProof/>
        </w:rPr>
        <w:fldChar w:fldCharType="begin"/>
      </w:r>
      <w:r w:rsidRPr="00723C3F">
        <w:rPr>
          <w:noProof/>
        </w:rPr>
        <w:instrText xml:space="preserve"> PAGEREF _Toc185577449 \h </w:instrText>
      </w:r>
      <w:r w:rsidRPr="00723C3F">
        <w:rPr>
          <w:noProof/>
        </w:rPr>
      </w:r>
      <w:r w:rsidRPr="00723C3F">
        <w:rPr>
          <w:noProof/>
        </w:rPr>
        <w:fldChar w:fldCharType="separate"/>
      </w:r>
      <w:r w:rsidR="00845A31">
        <w:rPr>
          <w:noProof/>
        </w:rPr>
        <w:t>71</w:t>
      </w:r>
      <w:r w:rsidRPr="00723C3F">
        <w:rPr>
          <w:noProof/>
        </w:rPr>
        <w:fldChar w:fldCharType="end"/>
      </w:r>
    </w:p>
    <w:p w14:paraId="7379E601" w14:textId="75825F6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Amount of pension on retirement in respect of units other than non</w:t>
      </w:r>
      <w:r>
        <w:rPr>
          <w:noProof/>
        </w:rPr>
        <w:noBreakHyphen/>
        <w:t>contributory units</w:t>
      </w:r>
      <w:r w:rsidRPr="00723C3F">
        <w:rPr>
          <w:noProof/>
        </w:rPr>
        <w:tab/>
      </w:r>
      <w:r w:rsidRPr="00723C3F">
        <w:rPr>
          <w:noProof/>
        </w:rPr>
        <w:fldChar w:fldCharType="begin"/>
      </w:r>
      <w:r w:rsidRPr="00723C3F">
        <w:rPr>
          <w:noProof/>
        </w:rPr>
        <w:instrText xml:space="preserve"> PAGEREF _Toc185577450 \h </w:instrText>
      </w:r>
      <w:r w:rsidRPr="00723C3F">
        <w:rPr>
          <w:noProof/>
        </w:rPr>
      </w:r>
      <w:r w:rsidRPr="00723C3F">
        <w:rPr>
          <w:noProof/>
        </w:rPr>
        <w:fldChar w:fldCharType="separate"/>
      </w:r>
      <w:r w:rsidR="00845A31">
        <w:rPr>
          <w:noProof/>
        </w:rPr>
        <w:t>71</w:t>
      </w:r>
      <w:r w:rsidRPr="00723C3F">
        <w:rPr>
          <w:noProof/>
        </w:rPr>
        <w:fldChar w:fldCharType="end"/>
      </w:r>
    </w:p>
    <w:p w14:paraId="2679AA01" w14:textId="7D5EF6B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43A</w:t>
      </w:r>
      <w:r>
        <w:rPr>
          <w:noProof/>
        </w:rPr>
        <w:tab/>
        <w:t>Additional pension in respect of non</w:t>
      </w:r>
      <w:r>
        <w:rPr>
          <w:noProof/>
        </w:rPr>
        <w:noBreakHyphen/>
        <w:t>contributory units</w:t>
      </w:r>
      <w:r w:rsidRPr="00723C3F">
        <w:rPr>
          <w:noProof/>
        </w:rPr>
        <w:tab/>
      </w:r>
      <w:r w:rsidRPr="00723C3F">
        <w:rPr>
          <w:noProof/>
        </w:rPr>
        <w:fldChar w:fldCharType="begin"/>
      </w:r>
      <w:r w:rsidRPr="00723C3F">
        <w:rPr>
          <w:noProof/>
        </w:rPr>
        <w:instrText xml:space="preserve"> PAGEREF _Toc185577451 \h </w:instrText>
      </w:r>
      <w:r w:rsidRPr="00723C3F">
        <w:rPr>
          <w:noProof/>
        </w:rPr>
      </w:r>
      <w:r w:rsidRPr="00723C3F">
        <w:rPr>
          <w:noProof/>
        </w:rPr>
        <w:fldChar w:fldCharType="separate"/>
      </w:r>
      <w:r w:rsidR="00845A31">
        <w:rPr>
          <w:noProof/>
        </w:rPr>
        <w:t>71</w:t>
      </w:r>
      <w:r w:rsidRPr="00723C3F">
        <w:rPr>
          <w:noProof/>
        </w:rPr>
        <w:fldChar w:fldCharType="end"/>
      </w:r>
    </w:p>
    <w:p w14:paraId="247BAE20" w14:textId="31EB703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Contributor remaining in Service after attaining maximum age for retirement</w:t>
      </w:r>
      <w:r w:rsidRPr="00723C3F">
        <w:rPr>
          <w:noProof/>
        </w:rPr>
        <w:tab/>
      </w:r>
      <w:r w:rsidRPr="00723C3F">
        <w:rPr>
          <w:noProof/>
        </w:rPr>
        <w:fldChar w:fldCharType="begin"/>
      </w:r>
      <w:r w:rsidRPr="00723C3F">
        <w:rPr>
          <w:noProof/>
        </w:rPr>
        <w:instrText xml:space="preserve"> PAGEREF _Toc185577452 \h </w:instrText>
      </w:r>
      <w:r w:rsidRPr="00723C3F">
        <w:rPr>
          <w:noProof/>
        </w:rPr>
      </w:r>
      <w:r w:rsidRPr="00723C3F">
        <w:rPr>
          <w:noProof/>
        </w:rPr>
        <w:fldChar w:fldCharType="separate"/>
      </w:r>
      <w:r w:rsidR="00845A31">
        <w:rPr>
          <w:noProof/>
        </w:rPr>
        <w:t>72</w:t>
      </w:r>
      <w:r w:rsidRPr="00723C3F">
        <w:rPr>
          <w:noProof/>
        </w:rPr>
        <w:fldChar w:fldCharType="end"/>
      </w:r>
    </w:p>
    <w:p w14:paraId="37D3B939" w14:textId="1097B4A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Retirement through invalidity—amount of pension</w:t>
      </w:r>
      <w:r w:rsidRPr="00723C3F">
        <w:rPr>
          <w:noProof/>
        </w:rPr>
        <w:tab/>
      </w:r>
      <w:r w:rsidRPr="00723C3F">
        <w:rPr>
          <w:noProof/>
        </w:rPr>
        <w:fldChar w:fldCharType="begin"/>
      </w:r>
      <w:r w:rsidRPr="00723C3F">
        <w:rPr>
          <w:noProof/>
        </w:rPr>
        <w:instrText xml:space="preserve"> PAGEREF _Toc185577453 \h </w:instrText>
      </w:r>
      <w:r w:rsidRPr="00723C3F">
        <w:rPr>
          <w:noProof/>
        </w:rPr>
      </w:r>
      <w:r w:rsidRPr="00723C3F">
        <w:rPr>
          <w:noProof/>
        </w:rPr>
        <w:fldChar w:fldCharType="separate"/>
      </w:r>
      <w:r w:rsidR="00845A31">
        <w:rPr>
          <w:noProof/>
        </w:rPr>
        <w:t>74</w:t>
      </w:r>
      <w:r w:rsidRPr="00723C3F">
        <w:rPr>
          <w:noProof/>
        </w:rPr>
        <w:fldChar w:fldCharType="end"/>
      </w:r>
    </w:p>
    <w:p w14:paraId="50759101" w14:textId="5537D1D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Pension to spouse and children on death of contributor</w:t>
      </w:r>
      <w:r w:rsidRPr="00723C3F">
        <w:rPr>
          <w:noProof/>
        </w:rPr>
        <w:tab/>
      </w:r>
      <w:r w:rsidRPr="00723C3F">
        <w:rPr>
          <w:noProof/>
        </w:rPr>
        <w:fldChar w:fldCharType="begin"/>
      </w:r>
      <w:r w:rsidRPr="00723C3F">
        <w:rPr>
          <w:noProof/>
        </w:rPr>
        <w:instrText xml:space="preserve"> PAGEREF _Toc185577454 \h </w:instrText>
      </w:r>
      <w:r w:rsidRPr="00723C3F">
        <w:rPr>
          <w:noProof/>
        </w:rPr>
      </w:r>
      <w:r w:rsidRPr="00723C3F">
        <w:rPr>
          <w:noProof/>
        </w:rPr>
        <w:fldChar w:fldCharType="separate"/>
      </w:r>
      <w:r w:rsidR="00845A31">
        <w:rPr>
          <w:noProof/>
        </w:rPr>
        <w:t>76</w:t>
      </w:r>
      <w:r w:rsidRPr="00723C3F">
        <w:rPr>
          <w:noProof/>
        </w:rPr>
        <w:fldChar w:fldCharType="end"/>
      </w:r>
    </w:p>
    <w:p w14:paraId="4948B046" w14:textId="2D60786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Pension to spouse and children on death of pensioner</w:t>
      </w:r>
      <w:r w:rsidRPr="00723C3F">
        <w:rPr>
          <w:noProof/>
        </w:rPr>
        <w:tab/>
      </w:r>
      <w:r w:rsidRPr="00723C3F">
        <w:rPr>
          <w:noProof/>
        </w:rPr>
        <w:fldChar w:fldCharType="begin"/>
      </w:r>
      <w:r w:rsidRPr="00723C3F">
        <w:rPr>
          <w:noProof/>
        </w:rPr>
        <w:instrText xml:space="preserve"> PAGEREF _Toc185577455 \h </w:instrText>
      </w:r>
      <w:r w:rsidRPr="00723C3F">
        <w:rPr>
          <w:noProof/>
        </w:rPr>
      </w:r>
      <w:r w:rsidRPr="00723C3F">
        <w:rPr>
          <w:noProof/>
        </w:rPr>
        <w:fldChar w:fldCharType="separate"/>
      </w:r>
      <w:r w:rsidR="00845A31">
        <w:rPr>
          <w:noProof/>
        </w:rPr>
        <w:t>78</w:t>
      </w:r>
      <w:r w:rsidRPr="00723C3F">
        <w:rPr>
          <w:noProof/>
        </w:rPr>
        <w:fldChar w:fldCharType="end"/>
      </w:r>
    </w:p>
    <w:p w14:paraId="049F5044" w14:textId="6F87F2A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Pension to orphans on death of contributor or pensioner</w:t>
      </w:r>
      <w:r w:rsidRPr="00723C3F">
        <w:rPr>
          <w:noProof/>
        </w:rPr>
        <w:tab/>
      </w:r>
      <w:r w:rsidRPr="00723C3F">
        <w:rPr>
          <w:noProof/>
        </w:rPr>
        <w:fldChar w:fldCharType="begin"/>
      </w:r>
      <w:r w:rsidRPr="00723C3F">
        <w:rPr>
          <w:noProof/>
        </w:rPr>
        <w:instrText xml:space="preserve"> PAGEREF _Toc185577456 \h </w:instrText>
      </w:r>
      <w:r w:rsidRPr="00723C3F">
        <w:rPr>
          <w:noProof/>
        </w:rPr>
      </w:r>
      <w:r w:rsidRPr="00723C3F">
        <w:rPr>
          <w:noProof/>
        </w:rPr>
        <w:fldChar w:fldCharType="separate"/>
      </w:r>
      <w:r w:rsidR="00845A31">
        <w:rPr>
          <w:noProof/>
        </w:rPr>
        <w:t>79</w:t>
      </w:r>
      <w:r w:rsidRPr="00723C3F">
        <w:rPr>
          <w:noProof/>
        </w:rPr>
        <w:fldChar w:fldCharType="end"/>
      </w:r>
    </w:p>
    <w:p w14:paraId="6ED6E437" w14:textId="1B887E7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48AA</w:t>
      </w:r>
      <w:r>
        <w:rPr>
          <w:noProof/>
        </w:rPr>
        <w:tab/>
        <w:t>Restoration of widow’s or widower’s pension previously cancelled on remarriage</w:t>
      </w:r>
      <w:r w:rsidRPr="00723C3F">
        <w:rPr>
          <w:noProof/>
        </w:rPr>
        <w:tab/>
      </w:r>
      <w:r w:rsidRPr="00723C3F">
        <w:rPr>
          <w:noProof/>
        </w:rPr>
        <w:fldChar w:fldCharType="begin"/>
      </w:r>
      <w:r w:rsidRPr="00723C3F">
        <w:rPr>
          <w:noProof/>
        </w:rPr>
        <w:instrText xml:space="preserve"> PAGEREF _Toc185577457 \h </w:instrText>
      </w:r>
      <w:r w:rsidRPr="00723C3F">
        <w:rPr>
          <w:noProof/>
        </w:rPr>
      </w:r>
      <w:r w:rsidRPr="00723C3F">
        <w:rPr>
          <w:noProof/>
        </w:rPr>
        <w:fldChar w:fldCharType="separate"/>
      </w:r>
      <w:r w:rsidR="00845A31">
        <w:rPr>
          <w:noProof/>
        </w:rPr>
        <w:t>81</w:t>
      </w:r>
      <w:r w:rsidRPr="00723C3F">
        <w:rPr>
          <w:noProof/>
        </w:rPr>
        <w:fldChar w:fldCharType="end"/>
      </w:r>
    </w:p>
    <w:p w14:paraId="44FE15EE" w14:textId="7C14C23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48AB</w:t>
      </w:r>
      <w:r>
        <w:rPr>
          <w:noProof/>
        </w:rPr>
        <w:tab/>
        <w:t>Special grants of pension</w:t>
      </w:r>
      <w:r w:rsidRPr="00723C3F">
        <w:rPr>
          <w:noProof/>
        </w:rPr>
        <w:tab/>
      </w:r>
      <w:r w:rsidRPr="00723C3F">
        <w:rPr>
          <w:noProof/>
        </w:rPr>
        <w:fldChar w:fldCharType="begin"/>
      </w:r>
      <w:r w:rsidRPr="00723C3F">
        <w:rPr>
          <w:noProof/>
        </w:rPr>
        <w:instrText xml:space="preserve"> PAGEREF _Toc185577458 \h </w:instrText>
      </w:r>
      <w:r w:rsidRPr="00723C3F">
        <w:rPr>
          <w:noProof/>
        </w:rPr>
      </w:r>
      <w:r w:rsidRPr="00723C3F">
        <w:rPr>
          <w:noProof/>
        </w:rPr>
        <w:fldChar w:fldCharType="separate"/>
      </w:r>
      <w:r w:rsidR="00845A31">
        <w:rPr>
          <w:noProof/>
        </w:rPr>
        <w:t>81</w:t>
      </w:r>
      <w:r w:rsidRPr="00723C3F">
        <w:rPr>
          <w:noProof/>
        </w:rPr>
        <w:fldChar w:fldCharType="end"/>
      </w:r>
    </w:p>
    <w:p w14:paraId="629C205A" w14:textId="3BAD68C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48ABA</w:t>
      </w:r>
      <w:r>
        <w:rPr>
          <w:noProof/>
        </w:rPr>
        <w:tab/>
        <w:t>Deceased pensioner survived by more than one spouse</w:t>
      </w:r>
      <w:r w:rsidRPr="00723C3F">
        <w:rPr>
          <w:noProof/>
        </w:rPr>
        <w:tab/>
      </w:r>
      <w:r w:rsidRPr="00723C3F">
        <w:rPr>
          <w:noProof/>
        </w:rPr>
        <w:fldChar w:fldCharType="begin"/>
      </w:r>
      <w:r w:rsidRPr="00723C3F">
        <w:rPr>
          <w:noProof/>
        </w:rPr>
        <w:instrText xml:space="preserve"> PAGEREF _Toc185577459 \h </w:instrText>
      </w:r>
      <w:r w:rsidRPr="00723C3F">
        <w:rPr>
          <w:noProof/>
        </w:rPr>
      </w:r>
      <w:r w:rsidRPr="00723C3F">
        <w:rPr>
          <w:noProof/>
        </w:rPr>
        <w:fldChar w:fldCharType="separate"/>
      </w:r>
      <w:r w:rsidR="00845A31">
        <w:rPr>
          <w:noProof/>
        </w:rPr>
        <w:t>84</w:t>
      </w:r>
      <w:r w:rsidRPr="00723C3F">
        <w:rPr>
          <w:noProof/>
        </w:rPr>
        <w:fldChar w:fldCharType="end"/>
      </w:r>
    </w:p>
    <w:p w14:paraId="1A92152F" w14:textId="73523B7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48AC</w:t>
      </w:r>
      <w:r>
        <w:rPr>
          <w:noProof/>
        </w:rPr>
        <w:tab/>
        <w:t>Minimum pension rates payable in respect of children</w:t>
      </w:r>
      <w:r w:rsidRPr="00723C3F">
        <w:rPr>
          <w:noProof/>
        </w:rPr>
        <w:tab/>
      </w:r>
      <w:r w:rsidRPr="00723C3F">
        <w:rPr>
          <w:noProof/>
        </w:rPr>
        <w:fldChar w:fldCharType="begin"/>
      </w:r>
      <w:r w:rsidRPr="00723C3F">
        <w:rPr>
          <w:noProof/>
        </w:rPr>
        <w:instrText xml:space="preserve"> PAGEREF _Toc185577460 \h </w:instrText>
      </w:r>
      <w:r w:rsidRPr="00723C3F">
        <w:rPr>
          <w:noProof/>
        </w:rPr>
      </w:r>
      <w:r w:rsidRPr="00723C3F">
        <w:rPr>
          <w:noProof/>
        </w:rPr>
        <w:fldChar w:fldCharType="separate"/>
      </w:r>
      <w:r w:rsidR="00845A31">
        <w:rPr>
          <w:noProof/>
        </w:rPr>
        <w:t>87</w:t>
      </w:r>
      <w:r w:rsidRPr="00723C3F">
        <w:rPr>
          <w:noProof/>
        </w:rPr>
        <w:fldChar w:fldCharType="end"/>
      </w:r>
    </w:p>
    <w:p w14:paraId="7143628B" w14:textId="5418CDE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48AD</w:t>
      </w:r>
      <w:r>
        <w:rPr>
          <w:noProof/>
        </w:rPr>
        <w:tab/>
        <w:t>Application of section 47 on and after 1 July 1976</w:t>
      </w:r>
      <w:r w:rsidRPr="00723C3F">
        <w:rPr>
          <w:noProof/>
        </w:rPr>
        <w:tab/>
      </w:r>
      <w:r w:rsidRPr="00723C3F">
        <w:rPr>
          <w:noProof/>
        </w:rPr>
        <w:fldChar w:fldCharType="begin"/>
      </w:r>
      <w:r w:rsidRPr="00723C3F">
        <w:rPr>
          <w:noProof/>
        </w:rPr>
        <w:instrText xml:space="preserve"> PAGEREF _Toc185577461 \h </w:instrText>
      </w:r>
      <w:r w:rsidRPr="00723C3F">
        <w:rPr>
          <w:noProof/>
        </w:rPr>
      </w:r>
      <w:r w:rsidRPr="00723C3F">
        <w:rPr>
          <w:noProof/>
        </w:rPr>
        <w:fldChar w:fldCharType="separate"/>
      </w:r>
      <w:r w:rsidR="00845A31">
        <w:rPr>
          <w:noProof/>
        </w:rPr>
        <w:t>89</w:t>
      </w:r>
      <w:r w:rsidRPr="00723C3F">
        <w:rPr>
          <w:noProof/>
        </w:rPr>
        <w:fldChar w:fldCharType="end"/>
      </w:r>
    </w:p>
    <w:p w14:paraId="412870B9" w14:textId="77BAF4C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48A</w:t>
      </w:r>
      <w:r>
        <w:rPr>
          <w:noProof/>
        </w:rPr>
        <w:tab/>
        <w:t>Pension not payable in respect of children in certain circumstances</w:t>
      </w:r>
      <w:r w:rsidRPr="00723C3F">
        <w:rPr>
          <w:noProof/>
        </w:rPr>
        <w:tab/>
      </w:r>
      <w:r w:rsidRPr="00723C3F">
        <w:rPr>
          <w:noProof/>
        </w:rPr>
        <w:fldChar w:fldCharType="begin"/>
      </w:r>
      <w:r w:rsidRPr="00723C3F">
        <w:rPr>
          <w:noProof/>
        </w:rPr>
        <w:instrText xml:space="preserve"> PAGEREF _Toc185577462 \h </w:instrText>
      </w:r>
      <w:r w:rsidRPr="00723C3F">
        <w:rPr>
          <w:noProof/>
        </w:rPr>
      </w:r>
      <w:r w:rsidRPr="00723C3F">
        <w:rPr>
          <w:noProof/>
        </w:rPr>
        <w:fldChar w:fldCharType="separate"/>
      </w:r>
      <w:r w:rsidR="00845A31">
        <w:rPr>
          <w:noProof/>
        </w:rPr>
        <w:t>89</w:t>
      </w:r>
      <w:r w:rsidRPr="00723C3F">
        <w:rPr>
          <w:noProof/>
        </w:rPr>
        <w:fldChar w:fldCharType="end"/>
      </w:r>
    </w:p>
    <w:p w14:paraId="4779375B" w14:textId="136A2CC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48B</w:t>
      </w:r>
      <w:r>
        <w:rPr>
          <w:noProof/>
        </w:rPr>
        <w:tab/>
        <w:t>Pension not payable in certain circumstances</w:t>
      </w:r>
      <w:r w:rsidRPr="00723C3F">
        <w:rPr>
          <w:noProof/>
        </w:rPr>
        <w:tab/>
      </w:r>
      <w:r w:rsidRPr="00723C3F">
        <w:rPr>
          <w:noProof/>
        </w:rPr>
        <w:fldChar w:fldCharType="begin"/>
      </w:r>
      <w:r w:rsidRPr="00723C3F">
        <w:rPr>
          <w:noProof/>
        </w:rPr>
        <w:instrText xml:space="preserve"> PAGEREF _Toc185577463 \h </w:instrText>
      </w:r>
      <w:r w:rsidRPr="00723C3F">
        <w:rPr>
          <w:noProof/>
        </w:rPr>
      </w:r>
      <w:r w:rsidRPr="00723C3F">
        <w:rPr>
          <w:noProof/>
        </w:rPr>
        <w:fldChar w:fldCharType="separate"/>
      </w:r>
      <w:r w:rsidR="00845A31">
        <w:rPr>
          <w:noProof/>
        </w:rPr>
        <w:t>90</w:t>
      </w:r>
      <w:r w:rsidRPr="00723C3F">
        <w:rPr>
          <w:noProof/>
        </w:rPr>
        <w:fldChar w:fldCharType="end"/>
      </w:r>
    </w:p>
    <w:p w14:paraId="104D8936" w14:textId="27D255F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48C</w:t>
      </w:r>
      <w:r>
        <w:rPr>
          <w:noProof/>
        </w:rPr>
        <w:tab/>
        <w:t>Pension to or in respect of certain contributors under Defence Force Retirement and Death Benefits Act</w:t>
      </w:r>
      <w:r w:rsidRPr="00723C3F">
        <w:rPr>
          <w:noProof/>
        </w:rPr>
        <w:tab/>
      </w:r>
      <w:r w:rsidRPr="00723C3F">
        <w:rPr>
          <w:noProof/>
        </w:rPr>
        <w:fldChar w:fldCharType="begin"/>
      </w:r>
      <w:r w:rsidRPr="00723C3F">
        <w:rPr>
          <w:noProof/>
        </w:rPr>
        <w:instrText xml:space="preserve"> PAGEREF _Toc185577464 \h </w:instrText>
      </w:r>
      <w:r w:rsidRPr="00723C3F">
        <w:rPr>
          <w:noProof/>
        </w:rPr>
      </w:r>
      <w:r w:rsidRPr="00723C3F">
        <w:rPr>
          <w:noProof/>
        </w:rPr>
        <w:fldChar w:fldCharType="separate"/>
      </w:r>
      <w:r w:rsidR="00845A31">
        <w:rPr>
          <w:noProof/>
        </w:rPr>
        <w:t>91</w:t>
      </w:r>
      <w:r w:rsidRPr="00723C3F">
        <w:rPr>
          <w:noProof/>
        </w:rPr>
        <w:fldChar w:fldCharType="end"/>
      </w:r>
    </w:p>
    <w:p w14:paraId="0995865B" w14:textId="782B283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Refund of contributions on death of contributor without dependants</w:t>
      </w:r>
      <w:r w:rsidRPr="00723C3F">
        <w:rPr>
          <w:noProof/>
        </w:rPr>
        <w:tab/>
      </w:r>
      <w:r w:rsidRPr="00723C3F">
        <w:rPr>
          <w:noProof/>
        </w:rPr>
        <w:fldChar w:fldCharType="begin"/>
      </w:r>
      <w:r w:rsidRPr="00723C3F">
        <w:rPr>
          <w:noProof/>
        </w:rPr>
        <w:instrText xml:space="preserve"> PAGEREF _Toc185577465 \h </w:instrText>
      </w:r>
      <w:r w:rsidRPr="00723C3F">
        <w:rPr>
          <w:noProof/>
        </w:rPr>
      </w:r>
      <w:r w:rsidRPr="00723C3F">
        <w:rPr>
          <w:noProof/>
        </w:rPr>
        <w:fldChar w:fldCharType="separate"/>
      </w:r>
      <w:r w:rsidR="00845A31">
        <w:rPr>
          <w:noProof/>
        </w:rPr>
        <w:t>93</w:t>
      </w:r>
      <w:r w:rsidRPr="00723C3F">
        <w:rPr>
          <w:noProof/>
        </w:rPr>
        <w:fldChar w:fldCharType="end"/>
      </w:r>
    </w:p>
    <w:p w14:paraId="48500B34" w14:textId="1328342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Choice of benefits for contributor who is retrenched</w:t>
      </w:r>
      <w:r w:rsidRPr="00723C3F">
        <w:rPr>
          <w:noProof/>
        </w:rPr>
        <w:tab/>
      </w:r>
      <w:r w:rsidRPr="00723C3F">
        <w:rPr>
          <w:noProof/>
        </w:rPr>
        <w:fldChar w:fldCharType="begin"/>
      </w:r>
      <w:r w:rsidRPr="00723C3F">
        <w:rPr>
          <w:noProof/>
        </w:rPr>
        <w:instrText xml:space="preserve"> PAGEREF _Toc185577466 \h </w:instrText>
      </w:r>
      <w:r w:rsidRPr="00723C3F">
        <w:rPr>
          <w:noProof/>
        </w:rPr>
      </w:r>
      <w:r w:rsidRPr="00723C3F">
        <w:rPr>
          <w:noProof/>
        </w:rPr>
        <w:fldChar w:fldCharType="separate"/>
      </w:r>
      <w:r w:rsidR="00845A31">
        <w:rPr>
          <w:noProof/>
        </w:rPr>
        <w:t>94</w:t>
      </w:r>
      <w:r w:rsidRPr="00723C3F">
        <w:rPr>
          <w:noProof/>
        </w:rPr>
        <w:fldChar w:fldCharType="end"/>
      </w:r>
    </w:p>
    <w:p w14:paraId="41CAA1EE" w14:textId="13BE0E9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Refund of contributions in event of resignation, dismissal or discharge</w:t>
      </w:r>
      <w:r w:rsidRPr="00723C3F">
        <w:rPr>
          <w:noProof/>
        </w:rPr>
        <w:tab/>
      </w:r>
      <w:r w:rsidRPr="00723C3F">
        <w:rPr>
          <w:noProof/>
        </w:rPr>
        <w:fldChar w:fldCharType="begin"/>
      </w:r>
      <w:r w:rsidRPr="00723C3F">
        <w:rPr>
          <w:noProof/>
        </w:rPr>
        <w:instrText xml:space="preserve"> PAGEREF _Toc185577467 \h </w:instrText>
      </w:r>
      <w:r w:rsidRPr="00723C3F">
        <w:rPr>
          <w:noProof/>
        </w:rPr>
      </w:r>
      <w:r w:rsidRPr="00723C3F">
        <w:rPr>
          <w:noProof/>
        </w:rPr>
        <w:fldChar w:fldCharType="separate"/>
      </w:r>
      <w:r w:rsidR="00845A31">
        <w:rPr>
          <w:noProof/>
        </w:rPr>
        <w:t>95</w:t>
      </w:r>
      <w:r w:rsidRPr="00723C3F">
        <w:rPr>
          <w:noProof/>
        </w:rPr>
        <w:fldChar w:fldCharType="end"/>
      </w:r>
    </w:p>
    <w:p w14:paraId="15B311B6" w14:textId="275B4EA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Rights of contributors who resign to contest elections</w:t>
      </w:r>
      <w:r w:rsidRPr="00723C3F">
        <w:rPr>
          <w:noProof/>
        </w:rPr>
        <w:tab/>
      </w:r>
      <w:r w:rsidRPr="00723C3F">
        <w:rPr>
          <w:noProof/>
        </w:rPr>
        <w:fldChar w:fldCharType="begin"/>
      </w:r>
      <w:r w:rsidRPr="00723C3F">
        <w:rPr>
          <w:noProof/>
        </w:rPr>
        <w:instrText xml:space="preserve"> PAGEREF _Toc185577468 \h </w:instrText>
      </w:r>
      <w:r w:rsidRPr="00723C3F">
        <w:rPr>
          <w:noProof/>
        </w:rPr>
      </w:r>
      <w:r w:rsidRPr="00723C3F">
        <w:rPr>
          <w:noProof/>
        </w:rPr>
        <w:fldChar w:fldCharType="separate"/>
      </w:r>
      <w:r w:rsidR="00845A31">
        <w:rPr>
          <w:noProof/>
        </w:rPr>
        <w:t>95</w:t>
      </w:r>
      <w:r w:rsidRPr="00723C3F">
        <w:rPr>
          <w:noProof/>
        </w:rPr>
        <w:fldChar w:fldCharType="end"/>
      </w:r>
    </w:p>
    <w:p w14:paraId="11BB3C53" w14:textId="2CE3FF0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Certain contributors who change the nature of their employment to continue as contributors</w:t>
      </w:r>
      <w:r w:rsidRPr="00723C3F">
        <w:rPr>
          <w:noProof/>
        </w:rPr>
        <w:tab/>
      </w:r>
      <w:r w:rsidRPr="00723C3F">
        <w:rPr>
          <w:noProof/>
        </w:rPr>
        <w:fldChar w:fldCharType="begin"/>
      </w:r>
      <w:r w:rsidRPr="00723C3F">
        <w:rPr>
          <w:noProof/>
        </w:rPr>
        <w:instrText xml:space="preserve"> PAGEREF _Toc185577469 \h </w:instrText>
      </w:r>
      <w:r w:rsidRPr="00723C3F">
        <w:rPr>
          <w:noProof/>
        </w:rPr>
      </w:r>
      <w:r w:rsidRPr="00723C3F">
        <w:rPr>
          <w:noProof/>
        </w:rPr>
        <w:fldChar w:fldCharType="separate"/>
      </w:r>
      <w:r w:rsidR="00845A31">
        <w:rPr>
          <w:noProof/>
        </w:rPr>
        <w:t>99</w:t>
      </w:r>
      <w:r w:rsidRPr="00723C3F">
        <w:rPr>
          <w:noProof/>
        </w:rPr>
        <w:fldChar w:fldCharType="end"/>
      </w:r>
    </w:p>
    <w:p w14:paraId="57060163" w14:textId="36240DB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Desertion by pensioner of spouse or child</w:t>
      </w:r>
      <w:r w:rsidRPr="00723C3F">
        <w:rPr>
          <w:noProof/>
        </w:rPr>
        <w:tab/>
      </w:r>
      <w:r w:rsidRPr="00723C3F">
        <w:rPr>
          <w:noProof/>
        </w:rPr>
        <w:fldChar w:fldCharType="begin"/>
      </w:r>
      <w:r w:rsidRPr="00723C3F">
        <w:rPr>
          <w:noProof/>
        </w:rPr>
        <w:instrText xml:space="preserve"> PAGEREF _Toc185577470 \h </w:instrText>
      </w:r>
      <w:r w:rsidRPr="00723C3F">
        <w:rPr>
          <w:noProof/>
        </w:rPr>
      </w:r>
      <w:r w:rsidRPr="00723C3F">
        <w:rPr>
          <w:noProof/>
        </w:rPr>
        <w:fldChar w:fldCharType="separate"/>
      </w:r>
      <w:r w:rsidR="00845A31">
        <w:rPr>
          <w:noProof/>
        </w:rPr>
        <w:t>99</w:t>
      </w:r>
      <w:r w:rsidRPr="00723C3F">
        <w:rPr>
          <w:noProof/>
        </w:rPr>
        <w:fldChar w:fldCharType="end"/>
      </w:r>
    </w:p>
    <w:p w14:paraId="1C700683" w14:textId="5728391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Payments to children</w:t>
      </w:r>
      <w:r w:rsidRPr="00723C3F">
        <w:rPr>
          <w:noProof/>
        </w:rPr>
        <w:tab/>
      </w:r>
      <w:r w:rsidRPr="00723C3F">
        <w:rPr>
          <w:noProof/>
        </w:rPr>
        <w:fldChar w:fldCharType="begin"/>
      </w:r>
      <w:r w:rsidRPr="00723C3F">
        <w:rPr>
          <w:noProof/>
        </w:rPr>
        <w:instrText xml:space="preserve"> PAGEREF _Toc185577471 \h </w:instrText>
      </w:r>
      <w:r w:rsidRPr="00723C3F">
        <w:rPr>
          <w:noProof/>
        </w:rPr>
      </w:r>
      <w:r w:rsidRPr="00723C3F">
        <w:rPr>
          <w:noProof/>
        </w:rPr>
        <w:fldChar w:fldCharType="separate"/>
      </w:r>
      <w:r w:rsidR="00845A31">
        <w:rPr>
          <w:noProof/>
        </w:rPr>
        <w:t>100</w:t>
      </w:r>
      <w:r w:rsidRPr="00723C3F">
        <w:rPr>
          <w:noProof/>
        </w:rPr>
        <w:fldChar w:fldCharType="end"/>
      </w:r>
    </w:p>
    <w:p w14:paraId="10B69760" w14:textId="200C5DA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Period for which pensions payable</w:t>
      </w:r>
      <w:r w:rsidRPr="00723C3F">
        <w:rPr>
          <w:noProof/>
        </w:rPr>
        <w:tab/>
      </w:r>
      <w:r w:rsidRPr="00723C3F">
        <w:rPr>
          <w:noProof/>
        </w:rPr>
        <w:fldChar w:fldCharType="begin"/>
      </w:r>
      <w:r w:rsidRPr="00723C3F">
        <w:rPr>
          <w:noProof/>
        </w:rPr>
        <w:instrText xml:space="preserve"> PAGEREF _Toc185577472 \h </w:instrText>
      </w:r>
      <w:r w:rsidRPr="00723C3F">
        <w:rPr>
          <w:noProof/>
        </w:rPr>
      </w:r>
      <w:r w:rsidRPr="00723C3F">
        <w:rPr>
          <w:noProof/>
        </w:rPr>
        <w:fldChar w:fldCharType="separate"/>
      </w:r>
      <w:r w:rsidR="00845A31">
        <w:rPr>
          <w:noProof/>
        </w:rPr>
        <w:t>101</w:t>
      </w:r>
      <w:r w:rsidRPr="00723C3F">
        <w:rPr>
          <w:noProof/>
        </w:rPr>
        <w:fldChar w:fldCharType="end"/>
      </w:r>
    </w:p>
    <w:p w14:paraId="47D9F1CD" w14:textId="19AD5F2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Payment of pension instalments</w:t>
      </w:r>
      <w:r w:rsidRPr="00723C3F">
        <w:rPr>
          <w:noProof/>
        </w:rPr>
        <w:tab/>
      </w:r>
      <w:r w:rsidRPr="00723C3F">
        <w:rPr>
          <w:noProof/>
        </w:rPr>
        <w:fldChar w:fldCharType="begin"/>
      </w:r>
      <w:r w:rsidRPr="00723C3F">
        <w:rPr>
          <w:noProof/>
        </w:rPr>
        <w:instrText xml:space="preserve"> PAGEREF _Toc185577473 \h </w:instrText>
      </w:r>
      <w:r w:rsidRPr="00723C3F">
        <w:rPr>
          <w:noProof/>
        </w:rPr>
      </w:r>
      <w:r w:rsidRPr="00723C3F">
        <w:rPr>
          <w:noProof/>
        </w:rPr>
        <w:fldChar w:fldCharType="separate"/>
      </w:r>
      <w:r w:rsidR="00845A31">
        <w:rPr>
          <w:noProof/>
        </w:rPr>
        <w:t>101</w:t>
      </w:r>
      <w:r w:rsidRPr="00723C3F">
        <w:rPr>
          <w:noProof/>
        </w:rPr>
        <w:fldChar w:fldCharType="end"/>
      </w:r>
    </w:p>
    <w:p w14:paraId="0F1E1A98" w14:textId="390635C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Minimum pension</w:t>
      </w:r>
      <w:r w:rsidRPr="00723C3F">
        <w:rPr>
          <w:noProof/>
        </w:rPr>
        <w:tab/>
      </w:r>
      <w:r w:rsidRPr="00723C3F">
        <w:rPr>
          <w:noProof/>
        </w:rPr>
        <w:fldChar w:fldCharType="begin"/>
      </w:r>
      <w:r w:rsidRPr="00723C3F">
        <w:rPr>
          <w:noProof/>
        </w:rPr>
        <w:instrText xml:space="preserve"> PAGEREF _Toc185577474 \h </w:instrText>
      </w:r>
      <w:r w:rsidRPr="00723C3F">
        <w:rPr>
          <w:noProof/>
        </w:rPr>
      </w:r>
      <w:r w:rsidRPr="00723C3F">
        <w:rPr>
          <w:noProof/>
        </w:rPr>
        <w:fldChar w:fldCharType="separate"/>
      </w:r>
      <w:r w:rsidR="00845A31">
        <w:rPr>
          <w:noProof/>
        </w:rPr>
        <w:t>101</w:t>
      </w:r>
      <w:r w:rsidRPr="00723C3F">
        <w:rPr>
          <w:noProof/>
        </w:rPr>
        <w:fldChar w:fldCharType="end"/>
      </w:r>
    </w:p>
    <w:p w14:paraId="10EEF9E3" w14:textId="44E48D3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Payment to person other than pensioner</w:t>
      </w:r>
      <w:r w:rsidRPr="00723C3F">
        <w:rPr>
          <w:noProof/>
        </w:rPr>
        <w:tab/>
      </w:r>
      <w:r w:rsidRPr="00723C3F">
        <w:rPr>
          <w:noProof/>
        </w:rPr>
        <w:fldChar w:fldCharType="begin"/>
      </w:r>
      <w:r w:rsidRPr="00723C3F">
        <w:rPr>
          <w:noProof/>
        </w:rPr>
        <w:instrText xml:space="preserve"> PAGEREF _Toc185577475 \h </w:instrText>
      </w:r>
      <w:r w:rsidRPr="00723C3F">
        <w:rPr>
          <w:noProof/>
        </w:rPr>
      </w:r>
      <w:r w:rsidRPr="00723C3F">
        <w:rPr>
          <w:noProof/>
        </w:rPr>
        <w:fldChar w:fldCharType="separate"/>
      </w:r>
      <w:r w:rsidR="00845A31">
        <w:rPr>
          <w:noProof/>
        </w:rPr>
        <w:t>102</w:t>
      </w:r>
      <w:r w:rsidRPr="00723C3F">
        <w:rPr>
          <w:noProof/>
        </w:rPr>
        <w:fldChar w:fldCharType="end"/>
      </w:r>
    </w:p>
    <w:p w14:paraId="3AF52393" w14:textId="7707EA5A"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5—Existing pension rights</w:t>
      </w:r>
      <w:r w:rsidRPr="00723C3F">
        <w:rPr>
          <w:b w:val="0"/>
          <w:noProof/>
          <w:sz w:val="18"/>
        </w:rPr>
        <w:tab/>
      </w:r>
      <w:r w:rsidRPr="00723C3F">
        <w:rPr>
          <w:b w:val="0"/>
          <w:noProof/>
          <w:sz w:val="18"/>
        </w:rPr>
        <w:fldChar w:fldCharType="begin"/>
      </w:r>
      <w:r w:rsidRPr="00723C3F">
        <w:rPr>
          <w:b w:val="0"/>
          <w:noProof/>
          <w:sz w:val="18"/>
        </w:rPr>
        <w:instrText xml:space="preserve"> PAGEREF _Toc185577476 \h </w:instrText>
      </w:r>
      <w:r w:rsidRPr="00723C3F">
        <w:rPr>
          <w:b w:val="0"/>
          <w:noProof/>
          <w:sz w:val="18"/>
        </w:rPr>
      </w:r>
      <w:r w:rsidRPr="00723C3F">
        <w:rPr>
          <w:b w:val="0"/>
          <w:noProof/>
          <w:sz w:val="18"/>
        </w:rPr>
        <w:fldChar w:fldCharType="separate"/>
      </w:r>
      <w:r w:rsidR="00845A31">
        <w:rPr>
          <w:b w:val="0"/>
          <w:noProof/>
          <w:sz w:val="18"/>
        </w:rPr>
        <w:t>103</w:t>
      </w:r>
      <w:r w:rsidRPr="00723C3F">
        <w:rPr>
          <w:b w:val="0"/>
          <w:noProof/>
          <w:sz w:val="18"/>
        </w:rPr>
        <w:fldChar w:fldCharType="end"/>
      </w:r>
    </w:p>
    <w:p w14:paraId="69629B63" w14:textId="42B0EC0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Application of Division</w:t>
      </w:r>
      <w:r w:rsidRPr="00723C3F">
        <w:rPr>
          <w:noProof/>
        </w:rPr>
        <w:tab/>
      </w:r>
      <w:r w:rsidRPr="00723C3F">
        <w:rPr>
          <w:noProof/>
        </w:rPr>
        <w:fldChar w:fldCharType="begin"/>
      </w:r>
      <w:r w:rsidRPr="00723C3F">
        <w:rPr>
          <w:noProof/>
        </w:rPr>
        <w:instrText xml:space="preserve"> PAGEREF _Toc185577477 \h </w:instrText>
      </w:r>
      <w:r w:rsidRPr="00723C3F">
        <w:rPr>
          <w:noProof/>
        </w:rPr>
      </w:r>
      <w:r w:rsidRPr="00723C3F">
        <w:rPr>
          <w:noProof/>
        </w:rPr>
        <w:fldChar w:fldCharType="separate"/>
      </w:r>
      <w:r w:rsidR="00845A31">
        <w:rPr>
          <w:noProof/>
        </w:rPr>
        <w:t>103</w:t>
      </w:r>
      <w:r w:rsidRPr="00723C3F">
        <w:rPr>
          <w:noProof/>
        </w:rPr>
        <w:fldChar w:fldCharType="end"/>
      </w:r>
    </w:p>
    <w:p w14:paraId="06F00EC4" w14:textId="778C42F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Certain pensioners who become employees not to contribute except in respect of difference</w:t>
      </w:r>
      <w:r w:rsidRPr="00723C3F">
        <w:rPr>
          <w:noProof/>
        </w:rPr>
        <w:tab/>
      </w:r>
      <w:r w:rsidRPr="00723C3F">
        <w:rPr>
          <w:noProof/>
        </w:rPr>
        <w:fldChar w:fldCharType="begin"/>
      </w:r>
      <w:r w:rsidRPr="00723C3F">
        <w:rPr>
          <w:noProof/>
        </w:rPr>
        <w:instrText xml:space="preserve"> PAGEREF _Toc185577478 \h </w:instrText>
      </w:r>
      <w:r w:rsidRPr="00723C3F">
        <w:rPr>
          <w:noProof/>
        </w:rPr>
      </w:r>
      <w:r w:rsidRPr="00723C3F">
        <w:rPr>
          <w:noProof/>
        </w:rPr>
        <w:fldChar w:fldCharType="separate"/>
      </w:r>
      <w:r w:rsidR="00845A31">
        <w:rPr>
          <w:noProof/>
        </w:rPr>
        <w:t>103</w:t>
      </w:r>
      <w:r w:rsidRPr="00723C3F">
        <w:rPr>
          <w:noProof/>
        </w:rPr>
        <w:fldChar w:fldCharType="end"/>
      </w:r>
    </w:p>
    <w:p w14:paraId="42733AF6" w14:textId="10C72A3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Rights under other Acts and State Acts</w:t>
      </w:r>
      <w:r w:rsidRPr="00723C3F">
        <w:rPr>
          <w:noProof/>
        </w:rPr>
        <w:tab/>
      </w:r>
      <w:r w:rsidRPr="00723C3F">
        <w:rPr>
          <w:noProof/>
        </w:rPr>
        <w:fldChar w:fldCharType="begin"/>
      </w:r>
      <w:r w:rsidRPr="00723C3F">
        <w:rPr>
          <w:noProof/>
        </w:rPr>
        <w:instrText xml:space="preserve"> PAGEREF _Toc185577479 \h </w:instrText>
      </w:r>
      <w:r w:rsidRPr="00723C3F">
        <w:rPr>
          <w:noProof/>
        </w:rPr>
      </w:r>
      <w:r w:rsidRPr="00723C3F">
        <w:rPr>
          <w:noProof/>
        </w:rPr>
        <w:fldChar w:fldCharType="separate"/>
      </w:r>
      <w:r w:rsidR="00845A31">
        <w:rPr>
          <w:noProof/>
        </w:rPr>
        <w:t>104</w:t>
      </w:r>
      <w:r w:rsidRPr="00723C3F">
        <w:rPr>
          <w:noProof/>
        </w:rPr>
        <w:fldChar w:fldCharType="end"/>
      </w:r>
    </w:p>
    <w:p w14:paraId="59A9CD53" w14:textId="2C1B2F4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Election to come under Act for difference</w:t>
      </w:r>
      <w:r w:rsidRPr="00723C3F">
        <w:rPr>
          <w:noProof/>
        </w:rPr>
        <w:tab/>
      </w:r>
      <w:r w:rsidRPr="00723C3F">
        <w:rPr>
          <w:noProof/>
        </w:rPr>
        <w:fldChar w:fldCharType="begin"/>
      </w:r>
      <w:r w:rsidRPr="00723C3F">
        <w:rPr>
          <w:noProof/>
        </w:rPr>
        <w:instrText xml:space="preserve"> PAGEREF _Toc185577480 \h </w:instrText>
      </w:r>
      <w:r w:rsidRPr="00723C3F">
        <w:rPr>
          <w:noProof/>
        </w:rPr>
      </w:r>
      <w:r w:rsidRPr="00723C3F">
        <w:rPr>
          <w:noProof/>
        </w:rPr>
        <w:fldChar w:fldCharType="separate"/>
      </w:r>
      <w:r w:rsidR="00845A31">
        <w:rPr>
          <w:noProof/>
        </w:rPr>
        <w:t>105</w:t>
      </w:r>
      <w:r w:rsidRPr="00723C3F">
        <w:rPr>
          <w:noProof/>
        </w:rPr>
        <w:fldChar w:fldCharType="end"/>
      </w:r>
    </w:p>
    <w:p w14:paraId="6236E0D0" w14:textId="36F81DF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Right of employee not electing under section 69 to come under Act for limited purposes</w:t>
      </w:r>
      <w:r w:rsidRPr="00723C3F">
        <w:rPr>
          <w:noProof/>
        </w:rPr>
        <w:tab/>
      </w:r>
      <w:r w:rsidRPr="00723C3F">
        <w:rPr>
          <w:noProof/>
        </w:rPr>
        <w:fldChar w:fldCharType="begin"/>
      </w:r>
      <w:r w:rsidRPr="00723C3F">
        <w:rPr>
          <w:noProof/>
        </w:rPr>
        <w:instrText xml:space="preserve"> PAGEREF _Toc185577481 \h </w:instrText>
      </w:r>
      <w:r w:rsidRPr="00723C3F">
        <w:rPr>
          <w:noProof/>
        </w:rPr>
      </w:r>
      <w:r w:rsidRPr="00723C3F">
        <w:rPr>
          <w:noProof/>
        </w:rPr>
        <w:fldChar w:fldCharType="separate"/>
      </w:r>
      <w:r w:rsidR="00845A31">
        <w:rPr>
          <w:noProof/>
        </w:rPr>
        <w:t>106</w:t>
      </w:r>
      <w:r w:rsidRPr="00723C3F">
        <w:rPr>
          <w:noProof/>
        </w:rPr>
        <w:fldChar w:fldCharType="end"/>
      </w:r>
    </w:p>
    <w:p w14:paraId="6E5B6879" w14:textId="6B7CB17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Exchange of pension rights for equivalent rights under this Act</w:t>
      </w:r>
      <w:r w:rsidRPr="00723C3F">
        <w:rPr>
          <w:noProof/>
        </w:rPr>
        <w:tab/>
      </w:r>
      <w:r w:rsidRPr="00723C3F">
        <w:rPr>
          <w:noProof/>
        </w:rPr>
        <w:fldChar w:fldCharType="begin"/>
      </w:r>
      <w:r w:rsidRPr="00723C3F">
        <w:rPr>
          <w:noProof/>
        </w:rPr>
        <w:instrText xml:space="preserve"> PAGEREF _Toc185577482 \h </w:instrText>
      </w:r>
      <w:r w:rsidRPr="00723C3F">
        <w:rPr>
          <w:noProof/>
        </w:rPr>
      </w:r>
      <w:r w:rsidRPr="00723C3F">
        <w:rPr>
          <w:noProof/>
        </w:rPr>
        <w:fldChar w:fldCharType="separate"/>
      </w:r>
      <w:r w:rsidR="00845A31">
        <w:rPr>
          <w:noProof/>
        </w:rPr>
        <w:t>107</w:t>
      </w:r>
      <w:r w:rsidRPr="00723C3F">
        <w:rPr>
          <w:noProof/>
        </w:rPr>
        <w:fldChar w:fldCharType="end"/>
      </w:r>
    </w:p>
    <w:p w14:paraId="43C3CCCA" w14:textId="13BDCF3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Employee having right to refund or gratuity under other law may exchange his rights for equivalent rights under this Act</w:t>
      </w:r>
      <w:r w:rsidRPr="00723C3F">
        <w:rPr>
          <w:noProof/>
        </w:rPr>
        <w:tab/>
      </w:r>
      <w:r w:rsidRPr="00723C3F">
        <w:rPr>
          <w:noProof/>
        </w:rPr>
        <w:fldChar w:fldCharType="begin"/>
      </w:r>
      <w:r w:rsidRPr="00723C3F">
        <w:rPr>
          <w:noProof/>
        </w:rPr>
        <w:instrText xml:space="preserve"> PAGEREF _Toc185577483 \h </w:instrText>
      </w:r>
      <w:r w:rsidRPr="00723C3F">
        <w:rPr>
          <w:noProof/>
        </w:rPr>
      </w:r>
      <w:r w:rsidRPr="00723C3F">
        <w:rPr>
          <w:noProof/>
        </w:rPr>
        <w:fldChar w:fldCharType="separate"/>
      </w:r>
      <w:r w:rsidR="00845A31">
        <w:rPr>
          <w:noProof/>
        </w:rPr>
        <w:t>109</w:t>
      </w:r>
      <w:r w:rsidRPr="00723C3F">
        <w:rPr>
          <w:noProof/>
        </w:rPr>
        <w:fldChar w:fldCharType="end"/>
      </w:r>
    </w:p>
    <w:p w14:paraId="49942B56" w14:textId="1088446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Increase in certain pensions</w:t>
      </w:r>
      <w:r w:rsidRPr="00723C3F">
        <w:rPr>
          <w:noProof/>
        </w:rPr>
        <w:tab/>
      </w:r>
      <w:r w:rsidRPr="00723C3F">
        <w:rPr>
          <w:noProof/>
        </w:rPr>
        <w:fldChar w:fldCharType="begin"/>
      </w:r>
      <w:r w:rsidRPr="00723C3F">
        <w:rPr>
          <w:noProof/>
        </w:rPr>
        <w:instrText xml:space="preserve"> PAGEREF _Toc185577484 \h </w:instrText>
      </w:r>
      <w:r w:rsidRPr="00723C3F">
        <w:rPr>
          <w:noProof/>
        </w:rPr>
      </w:r>
      <w:r w:rsidRPr="00723C3F">
        <w:rPr>
          <w:noProof/>
        </w:rPr>
        <w:fldChar w:fldCharType="separate"/>
      </w:r>
      <w:r w:rsidR="00845A31">
        <w:rPr>
          <w:noProof/>
        </w:rPr>
        <w:t>111</w:t>
      </w:r>
      <w:r w:rsidRPr="00723C3F">
        <w:rPr>
          <w:noProof/>
        </w:rPr>
        <w:fldChar w:fldCharType="end"/>
      </w:r>
    </w:p>
    <w:p w14:paraId="544F66CC" w14:textId="6EE4CC0E"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6—Assurance policies</w:t>
      </w:r>
      <w:r w:rsidRPr="00723C3F">
        <w:rPr>
          <w:b w:val="0"/>
          <w:noProof/>
          <w:sz w:val="18"/>
        </w:rPr>
        <w:tab/>
      </w:r>
      <w:r w:rsidRPr="00723C3F">
        <w:rPr>
          <w:b w:val="0"/>
          <w:noProof/>
          <w:sz w:val="18"/>
        </w:rPr>
        <w:fldChar w:fldCharType="begin"/>
      </w:r>
      <w:r w:rsidRPr="00723C3F">
        <w:rPr>
          <w:b w:val="0"/>
          <w:noProof/>
          <w:sz w:val="18"/>
        </w:rPr>
        <w:instrText xml:space="preserve"> PAGEREF _Toc185577485 \h </w:instrText>
      </w:r>
      <w:r w:rsidRPr="00723C3F">
        <w:rPr>
          <w:b w:val="0"/>
          <w:noProof/>
          <w:sz w:val="18"/>
        </w:rPr>
      </w:r>
      <w:r w:rsidRPr="00723C3F">
        <w:rPr>
          <w:b w:val="0"/>
          <w:noProof/>
          <w:sz w:val="18"/>
        </w:rPr>
        <w:fldChar w:fldCharType="separate"/>
      </w:r>
      <w:r w:rsidR="00845A31">
        <w:rPr>
          <w:b w:val="0"/>
          <w:noProof/>
          <w:sz w:val="18"/>
        </w:rPr>
        <w:t>112</w:t>
      </w:r>
      <w:r w:rsidRPr="00723C3F">
        <w:rPr>
          <w:b w:val="0"/>
          <w:noProof/>
          <w:sz w:val="18"/>
        </w:rPr>
        <w:fldChar w:fldCharType="end"/>
      </w:r>
    </w:p>
    <w:p w14:paraId="052770D0" w14:textId="5CC6B26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Transfer of policies to Board</w:t>
      </w:r>
      <w:r w:rsidRPr="00723C3F">
        <w:rPr>
          <w:noProof/>
        </w:rPr>
        <w:tab/>
      </w:r>
      <w:r w:rsidRPr="00723C3F">
        <w:rPr>
          <w:noProof/>
        </w:rPr>
        <w:fldChar w:fldCharType="begin"/>
      </w:r>
      <w:r w:rsidRPr="00723C3F">
        <w:rPr>
          <w:noProof/>
        </w:rPr>
        <w:instrText xml:space="preserve"> PAGEREF _Toc185577486 \h </w:instrText>
      </w:r>
      <w:r w:rsidRPr="00723C3F">
        <w:rPr>
          <w:noProof/>
        </w:rPr>
      </w:r>
      <w:r w:rsidRPr="00723C3F">
        <w:rPr>
          <w:noProof/>
        </w:rPr>
        <w:fldChar w:fldCharType="separate"/>
      </w:r>
      <w:r w:rsidR="00845A31">
        <w:rPr>
          <w:noProof/>
        </w:rPr>
        <w:t>112</w:t>
      </w:r>
      <w:r w:rsidRPr="00723C3F">
        <w:rPr>
          <w:noProof/>
        </w:rPr>
        <w:fldChar w:fldCharType="end"/>
      </w:r>
    </w:p>
    <w:p w14:paraId="551F80BA" w14:textId="1E183227"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V—The Provident Account</w:t>
      </w:r>
      <w:r w:rsidRPr="00723C3F">
        <w:rPr>
          <w:b w:val="0"/>
          <w:noProof/>
          <w:sz w:val="18"/>
        </w:rPr>
        <w:tab/>
      </w:r>
      <w:r w:rsidRPr="00723C3F">
        <w:rPr>
          <w:b w:val="0"/>
          <w:noProof/>
          <w:sz w:val="18"/>
        </w:rPr>
        <w:fldChar w:fldCharType="begin"/>
      </w:r>
      <w:r w:rsidRPr="00723C3F">
        <w:rPr>
          <w:b w:val="0"/>
          <w:noProof/>
          <w:sz w:val="18"/>
        </w:rPr>
        <w:instrText xml:space="preserve"> PAGEREF _Toc185577487 \h </w:instrText>
      </w:r>
      <w:r w:rsidRPr="00723C3F">
        <w:rPr>
          <w:b w:val="0"/>
          <w:noProof/>
          <w:sz w:val="18"/>
        </w:rPr>
      </w:r>
      <w:r w:rsidRPr="00723C3F">
        <w:rPr>
          <w:b w:val="0"/>
          <w:noProof/>
          <w:sz w:val="18"/>
        </w:rPr>
        <w:fldChar w:fldCharType="separate"/>
      </w:r>
      <w:r w:rsidR="00845A31">
        <w:rPr>
          <w:b w:val="0"/>
          <w:noProof/>
          <w:sz w:val="18"/>
        </w:rPr>
        <w:t>114</w:t>
      </w:r>
      <w:r w:rsidRPr="00723C3F">
        <w:rPr>
          <w:b w:val="0"/>
          <w:noProof/>
          <w:sz w:val="18"/>
        </w:rPr>
        <w:fldChar w:fldCharType="end"/>
      </w:r>
    </w:p>
    <w:p w14:paraId="349A3D02" w14:textId="7CC3B43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Contributors to Provident Account</w:t>
      </w:r>
      <w:r w:rsidRPr="00723C3F">
        <w:rPr>
          <w:noProof/>
        </w:rPr>
        <w:tab/>
      </w:r>
      <w:r w:rsidRPr="00723C3F">
        <w:rPr>
          <w:noProof/>
        </w:rPr>
        <w:fldChar w:fldCharType="begin"/>
      </w:r>
      <w:r w:rsidRPr="00723C3F">
        <w:rPr>
          <w:noProof/>
        </w:rPr>
        <w:instrText xml:space="preserve"> PAGEREF _Toc185577488 \h </w:instrText>
      </w:r>
      <w:r w:rsidRPr="00723C3F">
        <w:rPr>
          <w:noProof/>
        </w:rPr>
      </w:r>
      <w:r w:rsidRPr="00723C3F">
        <w:rPr>
          <w:noProof/>
        </w:rPr>
        <w:fldChar w:fldCharType="separate"/>
      </w:r>
      <w:r w:rsidR="00845A31">
        <w:rPr>
          <w:noProof/>
        </w:rPr>
        <w:t>114</w:t>
      </w:r>
      <w:r w:rsidRPr="00723C3F">
        <w:rPr>
          <w:noProof/>
        </w:rPr>
        <w:fldChar w:fldCharType="end"/>
      </w:r>
    </w:p>
    <w:p w14:paraId="1C233C9C" w14:textId="7AEA340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79A</w:t>
      </w:r>
      <w:r>
        <w:rPr>
          <w:noProof/>
        </w:rPr>
        <w:tab/>
        <w:t>Contributions not payable on or after 1 July 1976</w:t>
      </w:r>
      <w:r w:rsidRPr="00723C3F">
        <w:rPr>
          <w:noProof/>
        </w:rPr>
        <w:tab/>
      </w:r>
      <w:r w:rsidRPr="00723C3F">
        <w:rPr>
          <w:noProof/>
        </w:rPr>
        <w:fldChar w:fldCharType="begin"/>
      </w:r>
      <w:r w:rsidRPr="00723C3F">
        <w:rPr>
          <w:noProof/>
        </w:rPr>
        <w:instrText xml:space="preserve"> PAGEREF _Toc185577489 \h </w:instrText>
      </w:r>
      <w:r w:rsidRPr="00723C3F">
        <w:rPr>
          <w:noProof/>
        </w:rPr>
      </w:r>
      <w:r w:rsidRPr="00723C3F">
        <w:rPr>
          <w:noProof/>
        </w:rPr>
        <w:fldChar w:fldCharType="separate"/>
      </w:r>
      <w:r w:rsidR="00845A31">
        <w:rPr>
          <w:noProof/>
        </w:rPr>
        <w:t>115</w:t>
      </w:r>
      <w:r w:rsidRPr="00723C3F">
        <w:rPr>
          <w:noProof/>
        </w:rPr>
        <w:fldChar w:fldCharType="end"/>
      </w:r>
    </w:p>
    <w:p w14:paraId="0ED90012" w14:textId="1B35930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Contributions to Provident Account</w:t>
      </w:r>
      <w:r w:rsidRPr="00723C3F">
        <w:rPr>
          <w:noProof/>
        </w:rPr>
        <w:tab/>
      </w:r>
      <w:r w:rsidRPr="00723C3F">
        <w:rPr>
          <w:noProof/>
        </w:rPr>
        <w:fldChar w:fldCharType="begin"/>
      </w:r>
      <w:r w:rsidRPr="00723C3F">
        <w:rPr>
          <w:noProof/>
        </w:rPr>
        <w:instrText xml:space="preserve"> PAGEREF _Toc185577490 \h </w:instrText>
      </w:r>
      <w:r w:rsidRPr="00723C3F">
        <w:rPr>
          <w:noProof/>
        </w:rPr>
      </w:r>
      <w:r w:rsidRPr="00723C3F">
        <w:rPr>
          <w:noProof/>
        </w:rPr>
        <w:fldChar w:fldCharType="separate"/>
      </w:r>
      <w:r w:rsidR="00845A31">
        <w:rPr>
          <w:noProof/>
        </w:rPr>
        <w:t>116</w:t>
      </w:r>
      <w:r w:rsidRPr="00723C3F">
        <w:rPr>
          <w:noProof/>
        </w:rPr>
        <w:fldChar w:fldCharType="end"/>
      </w:r>
    </w:p>
    <w:p w14:paraId="35E46C62" w14:textId="76AC8D4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80A</w:t>
      </w:r>
      <w:r>
        <w:rPr>
          <w:noProof/>
        </w:rPr>
        <w:tab/>
        <w:t>Obligation to make contributions where salary increased after 4 February 1976</w:t>
      </w:r>
      <w:r w:rsidRPr="00723C3F">
        <w:rPr>
          <w:noProof/>
        </w:rPr>
        <w:tab/>
      </w:r>
      <w:r w:rsidRPr="00723C3F">
        <w:rPr>
          <w:noProof/>
        </w:rPr>
        <w:fldChar w:fldCharType="begin"/>
      </w:r>
      <w:r w:rsidRPr="00723C3F">
        <w:rPr>
          <w:noProof/>
        </w:rPr>
        <w:instrText xml:space="preserve"> PAGEREF _Toc185577491 \h </w:instrText>
      </w:r>
      <w:r w:rsidRPr="00723C3F">
        <w:rPr>
          <w:noProof/>
        </w:rPr>
      </w:r>
      <w:r w:rsidRPr="00723C3F">
        <w:rPr>
          <w:noProof/>
        </w:rPr>
        <w:fldChar w:fldCharType="separate"/>
      </w:r>
      <w:r w:rsidR="00845A31">
        <w:rPr>
          <w:noProof/>
        </w:rPr>
        <w:t>117</w:t>
      </w:r>
      <w:r w:rsidRPr="00723C3F">
        <w:rPr>
          <w:noProof/>
        </w:rPr>
        <w:fldChar w:fldCharType="end"/>
      </w:r>
    </w:p>
    <w:p w14:paraId="171ECE23" w14:textId="62DB58B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Election to contribute to Provident Account</w:t>
      </w:r>
      <w:r w:rsidRPr="00723C3F">
        <w:rPr>
          <w:noProof/>
        </w:rPr>
        <w:tab/>
      </w:r>
      <w:r w:rsidRPr="00723C3F">
        <w:rPr>
          <w:noProof/>
        </w:rPr>
        <w:fldChar w:fldCharType="begin"/>
      </w:r>
      <w:r w:rsidRPr="00723C3F">
        <w:rPr>
          <w:noProof/>
        </w:rPr>
        <w:instrText xml:space="preserve"> PAGEREF _Toc185577492 \h </w:instrText>
      </w:r>
      <w:r w:rsidRPr="00723C3F">
        <w:rPr>
          <w:noProof/>
        </w:rPr>
      </w:r>
      <w:r w:rsidRPr="00723C3F">
        <w:rPr>
          <w:noProof/>
        </w:rPr>
        <w:fldChar w:fldCharType="separate"/>
      </w:r>
      <w:r w:rsidR="00845A31">
        <w:rPr>
          <w:noProof/>
        </w:rPr>
        <w:t>117</w:t>
      </w:r>
      <w:r w:rsidRPr="00723C3F">
        <w:rPr>
          <w:noProof/>
        </w:rPr>
        <w:fldChar w:fldCharType="end"/>
      </w:r>
    </w:p>
    <w:p w14:paraId="13D6C2B9" w14:textId="3538783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Payments on retirement</w:t>
      </w:r>
      <w:r w:rsidRPr="00723C3F">
        <w:rPr>
          <w:noProof/>
        </w:rPr>
        <w:tab/>
      </w:r>
      <w:r w:rsidRPr="00723C3F">
        <w:rPr>
          <w:noProof/>
        </w:rPr>
        <w:fldChar w:fldCharType="begin"/>
      </w:r>
      <w:r w:rsidRPr="00723C3F">
        <w:rPr>
          <w:noProof/>
        </w:rPr>
        <w:instrText xml:space="preserve"> PAGEREF _Toc185577493 \h </w:instrText>
      </w:r>
      <w:r w:rsidRPr="00723C3F">
        <w:rPr>
          <w:noProof/>
        </w:rPr>
      </w:r>
      <w:r w:rsidRPr="00723C3F">
        <w:rPr>
          <w:noProof/>
        </w:rPr>
        <w:fldChar w:fldCharType="separate"/>
      </w:r>
      <w:r w:rsidR="00845A31">
        <w:rPr>
          <w:noProof/>
        </w:rPr>
        <w:t>118</w:t>
      </w:r>
      <w:r w:rsidRPr="00723C3F">
        <w:rPr>
          <w:noProof/>
        </w:rPr>
        <w:fldChar w:fldCharType="end"/>
      </w:r>
    </w:p>
    <w:p w14:paraId="30F8FAEA" w14:textId="433FEA5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Payment on death of contributor with dependants</w:t>
      </w:r>
      <w:r w:rsidRPr="00723C3F">
        <w:rPr>
          <w:noProof/>
        </w:rPr>
        <w:tab/>
      </w:r>
      <w:r w:rsidRPr="00723C3F">
        <w:rPr>
          <w:noProof/>
        </w:rPr>
        <w:fldChar w:fldCharType="begin"/>
      </w:r>
      <w:r w:rsidRPr="00723C3F">
        <w:rPr>
          <w:noProof/>
        </w:rPr>
        <w:instrText xml:space="preserve"> PAGEREF _Toc185577494 \h </w:instrText>
      </w:r>
      <w:r w:rsidRPr="00723C3F">
        <w:rPr>
          <w:noProof/>
        </w:rPr>
      </w:r>
      <w:r w:rsidRPr="00723C3F">
        <w:rPr>
          <w:noProof/>
        </w:rPr>
        <w:fldChar w:fldCharType="separate"/>
      </w:r>
      <w:r w:rsidR="00845A31">
        <w:rPr>
          <w:noProof/>
        </w:rPr>
        <w:t>119</w:t>
      </w:r>
      <w:r w:rsidRPr="00723C3F">
        <w:rPr>
          <w:noProof/>
        </w:rPr>
        <w:fldChar w:fldCharType="end"/>
      </w:r>
    </w:p>
    <w:p w14:paraId="5ABEB654" w14:textId="59C42AA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83A</w:t>
      </w:r>
      <w:r>
        <w:rPr>
          <w:noProof/>
        </w:rPr>
        <w:tab/>
        <w:t>Payment on death or invalidity in certain circumstances</w:t>
      </w:r>
      <w:r w:rsidRPr="00723C3F">
        <w:rPr>
          <w:noProof/>
        </w:rPr>
        <w:tab/>
      </w:r>
      <w:r w:rsidRPr="00723C3F">
        <w:rPr>
          <w:noProof/>
        </w:rPr>
        <w:fldChar w:fldCharType="begin"/>
      </w:r>
      <w:r w:rsidRPr="00723C3F">
        <w:rPr>
          <w:noProof/>
        </w:rPr>
        <w:instrText xml:space="preserve"> PAGEREF _Toc185577495 \h </w:instrText>
      </w:r>
      <w:r w:rsidRPr="00723C3F">
        <w:rPr>
          <w:noProof/>
        </w:rPr>
      </w:r>
      <w:r w:rsidRPr="00723C3F">
        <w:rPr>
          <w:noProof/>
        </w:rPr>
        <w:fldChar w:fldCharType="separate"/>
      </w:r>
      <w:r w:rsidR="00845A31">
        <w:rPr>
          <w:noProof/>
        </w:rPr>
        <w:t>120</w:t>
      </w:r>
      <w:r w:rsidRPr="00723C3F">
        <w:rPr>
          <w:noProof/>
        </w:rPr>
        <w:fldChar w:fldCharType="end"/>
      </w:r>
    </w:p>
    <w:p w14:paraId="61658DC1" w14:textId="3B1B478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Payment on death of contributor to Provident Account without dependants</w:t>
      </w:r>
      <w:r w:rsidRPr="00723C3F">
        <w:rPr>
          <w:noProof/>
        </w:rPr>
        <w:tab/>
      </w:r>
      <w:r w:rsidRPr="00723C3F">
        <w:rPr>
          <w:noProof/>
        </w:rPr>
        <w:fldChar w:fldCharType="begin"/>
      </w:r>
      <w:r w:rsidRPr="00723C3F">
        <w:rPr>
          <w:noProof/>
        </w:rPr>
        <w:instrText xml:space="preserve"> PAGEREF _Toc185577496 \h </w:instrText>
      </w:r>
      <w:r w:rsidRPr="00723C3F">
        <w:rPr>
          <w:noProof/>
        </w:rPr>
      </w:r>
      <w:r w:rsidRPr="00723C3F">
        <w:rPr>
          <w:noProof/>
        </w:rPr>
        <w:fldChar w:fldCharType="separate"/>
      </w:r>
      <w:r w:rsidR="00845A31">
        <w:rPr>
          <w:noProof/>
        </w:rPr>
        <w:t>121</w:t>
      </w:r>
      <w:r w:rsidRPr="00723C3F">
        <w:rPr>
          <w:noProof/>
        </w:rPr>
        <w:fldChar w:fldCharType="end"/>
      </w:r>
    </w:p>
    <w:p w14:paraId="0FFC0BC5" w14:textId="7E04E71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Payments on resignation or dismissal</w:t>
      </w:r>
      <w:r w:rsidRPr="00723C3F">
        <w:rPr>
          <w:noProof/>
        </w:rPr>
        <w:tab/>
      </w:r>
      <w:r w:rsidRPr="00723C3F">
        <w:rPr>
          <w:noProof/>
        </w:rPr>
        <w:fldChar w:fldCharType="begin"/>
      </w:r>
      <w:r w:rsidRPr="00723C3F">
        <w:rPr>
          <w:noProof/>
        </w:rPr>
        <w:instrText xml:space="preserve"> PAGEREF _Toc185577497 \h </w:instrText>
      </w:r>
      <w:r w:rsidRPr="00723C3F">
        <w:rPr>
          <w:noProof/>
        </w:rPr>
      </w:r>
      <w:r w:rsidRPr="00723C3F">
        <w:rPr>
          <w:noProof/>
        </w:rPr>
        <w:fldChar w:fldCharType="separate"/>
      </w:r>
      <w:r w:rsidR="00845A31">
        <w:rPr>
          <w:noProof/>
        </w:rPr>
        <w:t>121</w:t>
      </w:r>
      <w:r w:rsidRPr="00723C3F">
        <w:rPr>
          <w:noProof/>
        </w:rPr>
        <w:fldChar w:fldCharType="end"/>
      </w:r>
    </w:p>
    <w:p w14:paraId="535C3232" w14:textId="78F110F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Certain contributors to the Provident Account who change the nature of their employment to continue as contributors</w:t>
      </w:r>
      <w:r w:rsidRPr="00723C3F">
        <w:rPr>
          <w:noProof/>
        </w:rPr>
        <w:tab/>
      </w:r>
      <w:r w:rsidRPr="00723C3F">
        <w:rPr>
          <w:noProof/>
        </w:rPr>
        <w:fldChar w:fldCharType="begin"/>
      </w:r>
      <w:r w:rsidRPr="00723C3F">
        <w:rPr>
          <w:noProof/>
        </w:rPr>
        <w:instrText xml:space="preserve"> PAGEREF _Toc185577498 \h </w:instrText>
      </w:r>
      <w:r w:rsidRPr="00723C3F">
        <w:rPr>
          <w:noProof/>
        </w:rPr>
      </w:r>
      <w:r w:rsidRPr="00723C3F">
        <w:rPr>
          <w:noProof/>
        </w:rPr>
        <w:fldChar w:fldCharType="separate"/>
      </w:r>
      <w:r w:rsidR="00845A31">
        <w:rPr>
          <w:noProof/>
        </w:rPr>
        <w:t>122</w:t>
      </w:r>
      <w:r w:rsidRPr="00723C3F">
        <w:rPr>
          <w:noProof/>
        </w:rPr>
        <w:fldChar w:fldCharType="end"/>
      </w:r>
    </w:p>
    <w:p w14:paraId="12FE99C2" w14:textId="4E60936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Retrenchment</w:t>
      </w:r>
      <w:r w:rsidRPr="00723C3F">
        <w:rPr>
          <w:noProof/>
        </w:rPr>
        <w:tab/>
      </w:r>
      <w:r w:rsidRPr="00723C3F">
        <w:rPr>
          <w:noProof/>
        </w:rPr>
        <w:fldChar w:fldCharType="begin"/>
      </w:r>
      <w:r w:rsidRPr="00723C3F">
        <w:rPr>
          <w:noProof/>
        </w:rPr>
        <w:instrText xml:space="preserve"> PAGEREF _Toc185577499 \h </w:instrText>
      </w:r>
      <w:r w:rsidRPr="00723C3F">
        <w:rPr>
          <w:noProof/>
        </w:rPr>
      </w:r>
      <w:r w:rsidRPr="00723C3F">
        <w:rPr>
          <w:noProof/>
        </w:rPr>
        <w:fldChar w:fldCharType="separate"/>
      </w:r>
      <w:r w:rsidR="00845A31">
        <w:rPr>
          <w:noProof/>
        </w:rPr>
        <w:t>122</w:t>
      </w:r>
      <w:r w:rsidRPr="00723C3F">
        <w:rPr>
          <w:noProof/>
        </w:rPr>
        <w:fldChar w:fldCharType="end"/>
      </w:r>
    </w:p>
    <w:p w14:paraId="4C5D690A" w14:textId="11D6E24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87A</w:t>
      </w:r>
      <w:r>
        <w:rPr>
          <w:noProof/>
        </w:rPr>
        <w:tab/>
        <w:t>Dismissal</w:t>
      </w:r>
      <w:r w:rsidRPr="00723C3F">
        <w:rPr>
          <w:noProof/>
        </w:rPr>
        <w:tab/>
      </w:r>
      <w:r w:rsidRPr="00723C3F">
        <w:rPr>
          <w:noProof/>
        </w:rPr>
        <w:fldChar w:fldCharType="begin"/>
      </w:r>
      <w:r w:rsidRPr="00723C3F">
        <w:rPr>
          <w:noProof/>
        </w:rPr>
        <w:instrText xml:space="preserve"> PAGEREF _Toc185577500 \h </w:instrText>
      </w:r>
      <w:r w:rsidRPr="00723C3F">
        <w:rPr>
          <w:noProof/>
        </w:rPr>
      </w:r>
      <w:r w:rsidRPr="00723C3F">
        <w:rPr>
          <w:noProof/>
        </w:rPr>
        <w:fldChar w:fldCharType="separate"/>
      </w:r>
      <w:r w:rsidR="00845A31">
        <w:rPr>
          <w:noProof/>
        </w:rPr>
        <w:t>122</w:t>
      </w:r>
      <w:r w:rsidRPr="00723C3F">
        <w:rPr>
          <w:noProof/>
        </w:rPr>
        <w:fldChar w:fldCharType="end"/>
      </w:r>
    </w:p>
    <w:p w14:paraId="36937C00" w14:textId="4D3BAE9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87B</w:t>
      </w:r>
      <w:r>
        <w:rPr>
          <w:noProof/>
        </w:rPr>
        <w:tab/>
        <w:t>Compulsory termination of service of certain contributors to Provident Account for whom no retiring age is fixed by law</w:t>
      </w:r>
      <w:r w:rsidRPr="00723C3F">
        <w:rPr>
          <w:noProof/>
        </w:rPr>
        <w:tab/>
      </w:r>
      <w:r w:rsidRPr="00723C3F">
        <w:rPr>
          <w:noProof/>
        </w:rPr>
        <w:fldChar w:fldCharType="begin"/>
      </w:r>
      <w:r w:rsidRPr="00723C3F">
        <w:rPr>
          <w:noProof/>
        </w:rPr>
        <w:instrText xml:space="preserve"> PAGEREF _Toc185577501 \h </w:instrText>
      </w:r>
      <w:r w:rsidRPr="00723C3F">
        <w:rPr>
          <w:noProof/>
        </w:rPr>
      </w:r>
      <w:r w:rsidRPr="00723C3F">
        <w:rPr>
          <w:noProof/>
        </w:rPr>
        <w:fldChar w:fldCharType="separate"/>
      </w:r>
      <w:r w:rsidR="00845A31">
        <w:rPr>
          <w:noProof/>
        </w:rPr>
        <w:t>123</w:t>
      </w:r>
      <w:r w:rsidRPr="00723C3F">
        <w:rPr>
          <w:noProof/>
        </w:rPr>
        <w:fldChar w:fldCharType="end"/>
      </w:r>
    </w:p>
    <w:p w14:paraId="5308DDE5" w14:textId="4FE03CE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87C</w:t>
      </w:r>
      <w:r>
        <w:rPr>
          <w:noProof/>
        </w:rPr>
        <w:tab/>
        <w:t>Voluntary termination of service</w:t>
      </w:r>
      <w:r w:rsidRPr="00723C3F">
        <w:rPr>
          <w:noProof/>
        </w:rPr>
        <w:tab/>
      </w:r>
      <w:r w:rsidRPr="00723C3F">
        <w:rPr>
          <w:noProof/>
        </w:rPr>
        <w:fldChar w:fldCharType="begin"/>
      </w:r>
      <w:r w:rsidRPr="00723C3F">
        <w:rPr>
          <w:noProof/>
        </w:rPr>
        <w:instrText xml:space="preserve"> PAGEREF _Toc185577502 \h </w:instrText>
      </w:r>
      <w:r w:rsidRPr="00723C3F">
        <w:rPr>
          <w:noProof/>
        </w:rPr>
      </w:r>
      <w:r w:rsidRPr="00723C3F">
        <w:rPr>
          <w:noProof/>
        </w:rPr>
        <w:fldChar w:fldCharType="separate"/>
      </w:r>
      <w:r w:rsidR="00845A31">
        <w:rPr>
          <w:noProof/>
        </w:rPr>
        <w:t>123</w:t>
      </w:r>
      <w:r w:rsidRPr="00723C3F">
        <w:rPr>
          <w:noProof/>
        </w:rPr>
        <w:fldChar w:fldCharType="end"/>
      </w:r>
    </w:p>
    <w:p w14:paraId="1635887D" w14:textId="0C28954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87D</w:t>
      </w:r>
      <w:r>
        <w:rPr>
          <w:noProof/>
        </w:rPr>
        <w:tab/>
        <w:t>Holders of statutory offices</w:t>
      </w:r>
      <w:r w:rsidRPr="00723C3F">
        <w:rPr>
          <w:noProof/>
        </w:rPr>
        <w:tab/>
      </w:r>
      <w:r w:rsidRPr="00723C3F">
        <w:rPr>
          <w:noProof/>
        </w:rPr>
        <w:fldChar w:fldCharType="begin"/>
      </w:r>
      <w:r w:rsidRPr="00723C3F">
        <w:rPr>
          <w:noProof/>
        </w:rPr>
        <w:instrText xml:space="preserve"> PAGEREF _Toc185577503 \h </w:instrText>
      </w:r>
      <w:r w:rsidRPr="00723C3F">
        <w:rPr>
          <w:noProof/>
        </w:rPr>
      </w:r>
      <w:r w:rsidRPr="00723C3F">
        <w:rPr>
          <w:noProof/>
        </w:rPr>
        <w:fldChar w:fldCharType="separate"/>
      </w:r>
      <w:r w:rsidR="00845A31">
        <w:rPr>
          <w:noProof/>
        </w:rPr>
        <w:t>124</w:t>
      </w:r>
      <w:r w:rsidRPr="00723C3F">
        <w:rPr>
          <w:noProof/>
        </w:rPr>
        <w:fldChar w:fldCharType="end"/>
      </w:r>
    </w:p>
    <w:p w14:paraId="1EC1E546" w14:textId="148DD56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Rights of contributors to Provident Account who resign to contest elections</w:t>
      </w:r>
      <w:r w:rsidRPr="00723C3F">
        <w:rPr>
          <w:noProof/>
        </w:rPr>
        <w:tab/>
      </w:r>
      <w:r w:rsidRPr="00723C3F">
        <w:rPr>
          <w:noProof/>
        </w:rPr>
        <w:fldChar w:fldCharType="begin"/>
      </w:r>
      <w:r w:rsidRPr="00723C3F">
        <w:rPr>
          <w:noProof/>
        </w:rPr>
        <w:instrText xml:space="preserve"> PAGEREF _Toc185577504 \h </w:instrText>
      </w:r>
      <w:r w:rsidRPr="00723C3F">
        <w:rPr>
          <w:noProof/>
        </w:rPr>
      </w:r>
      <w:r w:rsidRPr="00723C3F">
        <w:rPr>
          <w:noProof/>
        </w:rPr>
        <w:fldChar w:fldCharType="separate"/>
      </w:r>
      <w:r w:rsidR="00845A31">
        <w:rPr>
          <w:noProof/>
        </w:rPr>
        <w:t>124</w:t>
      </w:r>
      <w:r w:rsidRPr="00723C3F">
        <w:rPr>
          <w:noProof/>
        </w:rPr>
        <w:fldChar w:fldCharType="end"/>
      </w:r>
    </w:p>
    <w:p w14:paraId="0F857B4F" w14:textId="15115C8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Payment to other person</w:t>
      </w:r>
      <w:r w:rsidRPr="00723C3F">
        <w:rPr>
          <w:noProof/>
        </w:rPr>
        <w:tab/>
      </w:r>
      <w:r w:rsidRPr="00723C3F">
        <w:rPr>
          <w:noProof/>
        </w:rPr>
        <w:fldChar w:fldCharType="begin"/>
      </w:r>
      <w:r w:rsidRPr="00723C3F">
        <w:rPr>
          <w:noProof/>
        </w:rPr>
        <w:instrText xml:space="preserve"> PAGEREF _Toc185577505 \h </w:instrText>
      </w:r>
      <w:r w:rsidRPr="00723C3F">
        <w:rPr>
          <w:noProof/>
        </w:rPr>
      </w:r>
      <w:r w:rsidRPr="00723C3F">
        <w:rPr>
          <w:noProof/>
        </w:rPr>
        <w:fldChar w:fldCharType="separate"/>
      </w:r>
      <w:r w:rsidR="00845A31">
        <w:rPr>
          <w:noProof/>
        </w:rPr>
        <w:t>128</w:t>
      </w:r>
      <w:r w:rsidRPr="00723C3F">
        <w:rPr>
          <w:noProof/>
        </w:rPr>
        <w:fldChar w:fldCharType="end"/>
      </w:r>
    </w:p>
    <w:p w14:paraId="0ED8471D" w14:textId="3E1127D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Rate of interest</w:t>
      </w:r>
      <w:r w:rsidRPr="00723C3F">
        <w:rPr>
          <w:noProof/>
        </w:rPr>
        <w:tab/>
      </w:r>
      <w:r w:rsidRPr="00723C3F">
        <w:rPr>
          <w:noProof/>
        </w:rPr>
        <w:fldChar w:fldCharType="begin"/>
      </w:r>
      <w:r w:rsidRPr="00723C3F">
        <w:rPr>
          <w:noProof/>
        </w:rPr>
        <w:instrText xml:space="preserve"> PAGEREF _Toc185577506 \h </w:instrText>
      </w:r>
      <w:r w:rsidRPr="00723C3F">
        <w:rPr>
          <w:noProof/>
        </w:rPr>
      </w:r>
      <w:r w:rsidRPr="00723C3F">
        <w:rPr>
          <w:noProof/>
        </w:rPr>
        <w:fldChar w:fldCharType="separate"/>
      </w:r>
      <w:r w:rsidR="00845A31">
        <w:rPr>
          <w:noProof/>
        </w:rPr>
        <w:t>128</w:t>
      </w:r>
      <w:r w:rsidRPr="00723C3F">
        <w:rPr>
          <w:noProof/>
        </w:rPr>
        <w:fldChar w:fldCharType="end"/>
      </w:r>
    </w:p>
    <w:p w14:paraId="1A2CECF8" w14:textId="3CBA425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Commencement of benefit</w:t>
      </w:r>
      <w:r w:rsidRPr="00723C3F">
        <w:rPr>
          <w:noProof/>
        </w:rPr>
        <w:tab/>
      </w:r>
      <w:r w:rsidRPr="00723C3F">
        <w:rPr>
          <w:noProof/>
        </w:rPr>
        <w:fldChar w:fldCharType="begin"/>
      </w:r>
      <w:r w:rsidRPr="00723C3F">
        <w:rPr>
          <w:noProof/>
        </w:rPr>
        <w:instrText xml:space="preserve"> PAGEREF _Toc185577507 \h </w:instrText>
      </w:r>
      <w:r w:rsidRPr="00723C3F">
        <w:rPr>
          <w:noProof/>
        </w:rPr>
      </w:r>
      <w:r w:rsidRPr="00723C3F">
        <w:rPr>
          <w:noProof/>
        </w:rPr>
        <w:fldChar w:fldCharType="separate"/>
      </w:r>
      <w:r w:rsidR="00845A31">
        <w:rPr>
          <w:noProof/>
        </w:rPr>
        <w:t>129</w:t>
      </w:r>
      <w:r w:rsidRPr="00723C3F">
        <w:rPr>
          <w:noProof/>
        </w:rPr>
        <w:fldChar w:fldCharType="end"/>
      </w:r>
    </w:p>
    <w:p w14:paraId="488B99DE" w14:textId="65C03A4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Payments out of Consolidated Revenue Fund to Provident Account</w:t>
      </w:r>
      <w:r w:rsidRPr="00723C3F">
        <w:rPr>
          <w:noProof/>
        </w:rPr>
        <w:tab/>
      </w:r>
      <w:r w:rsidRPr="00723C3F">
        <w:rPr>
          <w:noProof/>
        </w:rPr>
        <w:fldChar w:fldCharType="begin"/>
      </w:r>
      <w:r w:rsidRPr="00723C3F">
        <w:rPr>
          <w:noProof/>
        </w:rPr>
        <w:instrText xml:space="preserve"> PAGEREF _Toc185577508 \h </w:instrText>
      </w:r>
      <w:r w:rsidRPr="00723C3F">
        <w:rPr>
          <w:noProof/>
        </w:rPr>
      </w:r>
      <w:r w:rsidRPr="00723C3F">
        <w:rPr>
          <w:noProof/>
        </w:rPr>
        <w:fldChar w:fldCharType="separate"/>
      </w:r>
      <w:r w:rsidR="00845A31">
        <w:rPr>
          <w:noProof/>
        </w:rPr>
        <w:t>130</w:t>
      </w:r>
      <w:r w:rsidRPr="00723C3F">
        <w:rPr>
          <w:noProof/>
        </w:rPr>
        <w:fldChar w:fldCharType="end"/>
      </w:r>
    </w:p>
    <w:p w14:paraId="2E9AC732" w14:textId="2793319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Determination of annual salary</w:t>
      </w:r>
      <w:r w:rsidRPr="00723C3F">
        <w:rPr>
          <w:noProof/>
        </w:rPr>
        <w:tab/>
      </w:r>
      <w:r w:rsidRPr="00723C3F">
        <w:rPr>
          <w:noProof/>
        </w:rPr>
        <w:fldChar w:fldCharType="begin"/>
      </w:r>
      <w:r w:rsidRPr="00723C3F">
        <w:rPr>
          <w:noProof/>
        </w:rPr>
        <w:instrText xml:space="preserve"> PAGEREF _Toc185577509 \h </w:instrText>
      </w:r>
      <w:r w:rsidRPr="00723C3F">
        <w:rPr>
          <w:noProof/>
        </w:rPr>
      </w:r>
      <w:r w:rsidRPr="00723C3F">
        <w:rPr>
          <w:noProof/>
        </w:rPr>
        <w:fldChar w:fldCharType="separate"/>
      </w:r>
      <w:r w:rsidR="00845A31">
        <w:rPr>
          <w:noProof/>
        </w:rPr>
        <w:t>130</w:t>
      </w:r>
      <w:r w:rsidRPr="00723C3F">
        <w:rPr>
          <w:noProof/>
        </w:rPr>
        <w:fldChar w:fldCharType="end"/>
      </w:r>
    </w:p>
    <w:p w14:paraId="02D89213" w14:textId="5C8DBC88"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VA—Family law superannuation splitting</w:t>
      </w:r>
      <w:r w:rsidRPr="00723C3F">
        <w:rPr>
          <w:b w:val="0"/>
          <w:noProof/>
          <w:sz w:val="18"/>
        </w:rPr>
        <w:tab/>
      </w:r>
      <w:r w:rsidRPr="00723C3F">
        <w:rPr>
          <w:b w:val="0"/>
          <w:noProof/>
          <w:sz w:val="18"/>
        </w:rPr>
        <w:fldChar w:fldCharType="begin"/>
      </w:r>
      <w:r w:rsidRPr="00723C3F">
        <w:rPr>
          <w:b w:val="0"/>
          <w:noProof/>
          <w:sz w:val="18"/>
        </w:rPr>
        <w:instrText xml:space="preserve"> PAGEREF _Toc185577510 \h </w:instrText>
      </w:r>
      <w:r w:rsidRPr="00723C3F">
        <w:rPr>
          <w:b w:val="0"/>
          <w:noProof/>
          <w:sz w:val="18"/>
        </w:rPr>
      </w:r>
      <w:r w:rsidRPr="00723C3F">
        <w:rPr>
          <w:b w:val="0"/>
          <w:noProof/>
          <w:sz w:val="18"/>
        </w:rPr>
        <w:fldChar w:fldCharType="separate"/>
      </w:r>
      <w:r w:rsidR="00845A31">
        <w:rPr>
          <w:b w:val="0"/>
          <w:noProof/>
          <w:sz w:val="18"/>
        </w:rPr>
        <w:t>132</w:t>
      </w:r>
      <w:r w:rsidRPr="00723C3F">
        <w:rPr>
          <w:b w:val="0"/>
          <w:noProof/>
          <w:sz w:val="18"/>
        </w:rPr>
        <w:fldChar w:fldCharType="end"/>
      </w:r>
    </w:p>
    <w:p w14:paraId="49688C43" w14:textId="7BA86365"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723C3F">
        <w:rPr>
          <w:b w:val="0"/>
          <w:noProof/>
          <w:sz w:val="18"/>
        </w:rPr>
        <w:tab/>
      </w:r>
      <w:r w:rsidRPr="00723C3F">
        <w:rPr>
          <w:b w:val="0"/>
          <w:noProof/>
          <w:sz w:val="18"/>
        </w:rPr>
        <w:fldChar w:fldCharType="begin"/>
      </w:r>
      <w:r w:rsidRPr="00723C3F">
        <w:rPr>
          <w:b w:val="0"/>
          <w:noProof/>
          <w:sz w:val="18"/>
        </w:rPr>
        <w:instrText xml:space="preserve"> PAGEREF _Toc185577511 \h </w:instrText>
      </w:r>
      <w:r w:rsidRPr="00723C3F">
        <w:rPr>
          <w:b w:val="0"/>
          <w:noProof/>
          <w:sz w:val="18"/>
        </w:rPr>
      </w:r>
      <w:r w:rsidRPr="00723C3F">
        <w:rPr>
          <w:b w:val="0"/>
          <w:noProof/>
          <w:sz w:val="18"/>
        </w:rPr>
        <w:fldChar w:fldCharType="separate"/>
      </w:r>
      <w:r w:rsidR="00845A31">
        <w:rPr>
          <w:b w:val="0"/>
          <w:noProof/>
          <w:sz w:val="18"/>
        </w:rPr>
        <w:t>132</w:t>
      </w:r>
      <w:r w:rsidRPr="00723C3F">
        <w:rPr>
          <w:b w:val="0"/>
          <w:noProof/>
          <w:sz w:val="18"/>
        </w:rPr>
        <w:fldChar w:fldCharType="end"/>
      </w:r>
    </w:p>
    <w:p w14:paraId="4AD9CA5F" w14:textId="66923A0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93DA</w:t>
      </w:r>
      <w:r>
        <w:rPr>
          <w:noProof/>
        </w:rPr>
        <w:tab/>
        <w:t>Definitions</w:t>
      </w:r>
      <w:r w:rsidRPr="00723C3F">
        <w:rPr>
          <w:noProof/>
        </w:rPr>
        <w:tab/>
      </w:r>
      <w:r w:rsidRPr="00723C3F">
        <w:rPr>
          <w:noProof/>
        </w:rPr>
        <w:fldChar w:fldCharType="begin"/>
      </w:r>
      <w:r w:rsidRPr="00723C3F">
        <w:rPr>
          <w:noProof/>
        </w:rPr>
        <w:instrText xml:space="preserve"> PAGEREF _Toc185577512 \h </w:instrText>
      </w:r>
      <w:r w:rsidRPr="00723C3F">
        <w:rPr>
          <w:noProof/>
        </w:rPr>
      </w:r>
      <w:r w:rsidRPr="00723C3F">
        <w:rPr>
          <w:noProof/>
        </w:rPr>
        <w:fldChar w:fldCharType="separate"/>
      </w:r>
      <w:r w:rsidR="00845A31">
        <w:rPr>
          <w:noProof/>
        </w:rPr>
        <w:t>132</w:t>
      </w:r>
      <w:r w:rsidRPr="00723C3F">
        <w:rPr>
          <w:noProof/>
        </w:rPr>
        <w:fldChar w:fldCharType="end"/>
      </w:r>
    </w:p>
    <w:p w14:paraId="20357BCD" w14:textId="258B0BB9"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2—Benefits for non</w:t>
      </w:r>
      <w:r>
        <w:rPr>
          <w:noProof/>
        </w:rPr>
        <w:noBreakHyphen/>
        <w:t>member spouse</w:t>
      </w:r>
      <w:r w:rsidRPr="00723C3F">
        <w:rPr>
          <w:b w:val="0"/>
          <w:noProof/>
          <w:sz w:val="18"/>
        </w:rPr>
        <w:tab/>
      </w:r>
      <w:r w:rsidRPr="00723C3F">
        <w:rPr>
          <w:b w:val="0"/>
          <w:noProof/>
          <w:sz w:val="18"/>
        </w:rPr>
        <w:fldChar w:fldCharType="begin"/>
      </w:r>
      <w:r w:rsidRPr="00723C3F">
        <w:rPr>
          <w:b w:val="0"/>
          <w:noProof/>
          <w:sz w:val="18"/>
        </w:rPr>
        <w:instrText xml:space="preserve"> PAGEREF _Toc185577513 \h </w:instrText>
      </w:r>
      <w:r w:rsidRPr="00723C3F">
        <w:rPr>
          <w:b w:val="0"/>
          <w:noProof/>
          <w:sz w:val="18"/>
        </w:rPr>
      </w:r>
      <w:r w:rsidRPr="00723C3F">
        <w:rPr>
          <w:b w:val="0"/>
          <w:noProof/>
          <w:sz w:val="18"/>
        </w:rPr>
        <w:fldChar w:fldCharType="separate"/>
      </w:r>
      <w:r w:rsidR="00845A31">
        <w:rPr>
          <w:b w:val="0"/>
          <w:noProof/>
          <w:sz w:val="18"/>
        </w:rPr>
        <w:t>135</w:t>
      </w:r>
      <w:r w:rsidRPr="00723C3F">
        <w:rPr>
          <w:b w:val="0"/>
          <w:noProof/>
          <w:sz w:val="18"/>
        </w:rPr>
        <w:fldChar w:fldCharType="end"/>
      </w:r>
    </w:p>
    <w:p w14:paraId="3EDB206B" w14:textId="4FCCC2E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93DB</w:t>
      </w:r>
      <w:r>
        <w:rPr>
          <w:noProof/>
        </w:rPr>
        <w:tab/>
        <w:t>Associate pension for non</w:t>
      </w:r>
      <w:r>
        <w:rPr>
          <w:noProof/>
        </w:rPr>
        <w:noBreakHyphen/>
        <w:t>member spouse</w:t>
      </w:r>
      <w:r w:rsidRPr="00723C3F">
        <w:rPr>
          <w:noProof/>
        </w:rPr>
        <w:tab/>
      </w:r>
      <w:r w:rsidRPr="00723C3F">
        <w:rPr>
          <w:noProof/>
        </w:rPr>
        <w:fldChar w:fldCharType="begin"/>
      </w:r>
      <w:r w:rsidRPr="00723C3F">
        <w:rPr>
          <w:noProof/>
        </w:rPr>
        <w:instrText xml:space="preserve"> PAGEREF _Toc185577514 \h </w:instrText>
      </w:r>
      <w:r w:rsidRPr="00723C3F">
        <w:rPr>
          <w:noProof/>
        </w:rPr>
      </w:r>
      <w:r w:rsidRPr="00723C3F">
        <w:rPr>
          <w:noProof/>
        </w:rPr>
        <w:fldChar w:fldCharType="separate"/>
      </w:r>
      <w:r w:rsidR="00845A31">
        <w:rPr>
          <w:noProof/>
        </w:rPr>
        <w:t>135</w:t>
      </w:r>
      <w:r w:rsidRPr="00723C3F">
        <w:rPr>
          <w:noProof/>
        </w:rPr>
        <w:fldChar w:fldCharType="end"/>
      </w:r>
    </w:p>
    <w:p w14:paraId="77778481" w14:textId="6F0BE99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93DC</w:t>
      </w:r>
      <w:r>
        <w:rPr>
          <w:noProof/>
        </w:rPr>
        <w:tab/>
        <w:t>Commutation of small associate pension</w:t>
      </w:r>
      <w:r w:rsidRPr="00723C3F">
        <w:rPr>
          <w:noProof/>
        </w:rPr>
        <w:tab/>
      </w:r>
      <w:r w:rsidRPr="00723C3F">
        <w:rPr>
          <w:noProof/>
        </w:rPr>
        <w:fldChar w:fldCharType="begin"/>
      </w:r>
      <w:r w:rsidRPr="00723C3F">
        <w:rPr>
          <w:noProof/>
        </w:rPr>
        <w:instrText xml:space="preserve"> PAGEREF _Toc185577515 \h </w:instrText>
      </w:r>
      <w:r w:rsidRPr="00723C3F">
        <w:rPr>
          <w:noProof/>
        </w:rPr>
      </w:r>
      <w:r w:rsidRPr="00723C3F">
        <w:rPr>
          <w:noProof/>
        </w:rPr>
        <w:fldChar w:fldCharType="separate"/>
      </w:r>
      <w:r w:rsidR="00845A31">
        <w:rPr>
          <w:noProof/>
        </w:rPr>
        <w:t>135</w:t>
      </w:r>
      <w:r w:rsidRPr="00723C3F">
        <w:rPr>
          <w:noProof/>
        </w:rPr>
        <w:fldChar w:fldCharType="end"/>
      </w:r>
    </w:p>
    <w:p w14:paraId="3F234EB0" w14:textId="78D6EFA0"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3—Reduction of benefits for member spouse</w:t>
      </w:r>
      <w:r w:rsidRPr="00723C3F">
        <w:rPr>
          <w:b w:val="0"/>
          <w:noProof/>
          <w:sz w:val="18"/>
        </w:rPr>
        <w:tab/>
      </w:r>
      <w:r w:rsidRPr="00723C3F">
        <w:rPr>
          <w:b w:val="0"/>
          <w:noProof/>
          <w:sz w:val="18"/>
        </w:rPr>
        <w:fldChar w:fldCharType="begin"/>
      </w:r>
      <w:r w:rsidRPr="00723C3F">
        <w:rPr>
          <w:b w:val="0"/>
          <w:noProof/>
          <w:sz w:val="18"/>
        </w:rPr>
        <w:instrText xml:space="preserve"> PAGEREF _Toc185577516 \h </w:instrText>
      </w:r>
      <w:r w:rsidRPr="00723C3F">
        <w:rPr>
          <w:b w:val="0"/>
          <w:noProof/>
          <w:sz w:val="18"/>
        </w:rPr>
      </w:r>
      <w:r w:rsidRPr="00723C3F">
        <w:rPr>
          <w:b w:val="0"/>
          <w:noProof/>
          <w:sz w:val="18"/>
        </w:rPr>
        <w:fldChar w:fldCharType="separate"/>
      </w:r>
      <w:r w:rsidR="00845A31">
        <w:rPr>
          <w:b w:val="0"/>
          <w:noProof/>
          <w:sz w:val="18"/>
        </w:rPr>
        <w:t>136</w:t>
      </w:r>
      <w:r w:rsidRPr="00723C3F">
        <w:rPr>
          <w:b w:val="0"/>
          <w:noProof/>
          <w:sz w:val="18"/>
        </w:rPr>
        <w:fldChar w:fldCharType="end"/>
      </w:r>
    </w:p>
    <w:p w14:paraId="488E794C" w14:textId="55153E7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93DD</w:t>
      </w:r>
      <w:r>
        <w:rPr>
          <w:noProof/>
        </w:rPr>
        <w:tab/>
        <w:t>Reduction of standard pension</w:t>
      </w:r>
      <w:r w:rsidRPr="00723C3F">
        <w:rPr>
          <w:noProof/>
        </w:rPr>
        <w:tab/>
      </w:r>
      <w:r w:rsidRPr="00723C3F">
        <w:rPr>
          <w:noProof/>
        </w:rPr>
        <w:fldChar w:fldCharType="begin"/>
      </w:r>
      <w:r w:rsidRPr="00723C3F">
        <w:rPr>
          <w:noProof/>
        </w:rPr>
        <w:instrText xml:space="preserve"> PAGEREF _Toc185577517 \h </w:instrText>
      </w:r>
      <w:r w:rsidRPr="00723C3F">
        <w:rPr>
          <w:noProof/>
        </w:rPr>
      </w:r>
      <w:r w:rsidRPr="00723C3F">
        <w:rPr>
          <w:noProof/>
        </w:rPr>
        <w:fldChar w:fldCharType="separate"/>
      </w:r>
      <w:r w:rsidR="00845A31">
        <w:rPr>
          <w:noProof/>
        </w:rPr>
        <w:t>136</w:t>
      </w:r>
      <w:r w:rsidRPr="00723C3F">
        <w:rPr>
          <w:noProof/>
        </w:rPr>
        <w:fldChar w:fldCharType="end"/>
      </w:r>
    </w:p>
    <w:p w14:paraId="1CD03DC4" w14:textId="4B987280" w:rsidR="00723C3F" w:rsidRDefault="00723C3F" w:rsidP="003824B6">
      <w:pPr>
        <w:pStyle w:val="TOC3"/>
        <w:keepNext/>
        <w:rPr>
          <w:rFonts w:asciiTheme="minorHAnsi" w:eastAsiaTheme="minorEastAsia" w:hAnsiTheme="minorHAnsi" w:cstheme="minorBidi"/>
          <w:b w:val="0"/>
          <w:noProof/>
          <w:kern w:val="2"/>
          <w:sz w:val="24"/>
          <w:szCs w:val="24"/>
          <w14:ligatures w14:val="standardContextual"/>
        </w:rPr>
      </w:pPr>
      <w:r>
        <w:rPr>
          <w:noProof/>
        </w:rPr>
        <w:t>Division 4—Miscellaneous</w:t>
      </w:r>
      <w:r w:rsidRPr="00723C3F">
        <w:rPr>
          <w:b w:val="0"/>
          <w:noProof/>
          <w:sz w:val="18"/>
        </w:rPr>
        <w:tab/>
      </w:r>
      <w:r w:rsidRPr="00723C3F">
        <w:rPr>
          <w:b w:val="0"/>
          <w:noProof/>
          <w:sz w:val="18"/>
        </w:rPr>
        <w:fldChar w:fldCharType="begin"/>
      </w:r>
      <w:r w:rsidRPr="00723C3F">
        <w:rPr>
          <w:b w:val="0"/>
          <w:noProof/>
          <w:sz w:val="18"/>
        </w:rPr>
        <w:instrText xml:space="preserve"> PAGEREF _Toc185577518 \h </w:instrText>
      </w:r>
      <w:r w:rsidRPr="00723C3F">
        <w:rPr>
          <w:b w:val="0"/>
          <w:noProof/>
          <w:sz w:val="18"/>
        </w:rPr>
      </w:r>
      <w:r w:rsidRPr="00723C3F">
        <w:rPr>
          <w:b w:val="0"/>
          <w:noProof/>
          <w:sz w:val="18"/>
        </w:rPr>
        <w:fldChar w:fldCharType="separate"/>
      </w:r>
      <w:r w:rsidR="00845A31">
        <w:rPr>
          <w:b w:val="0"/>
          <w:noProof/>
          <w:sz w:val="18"/>
        </w:rPr>
        <w:t>137</w:t>
      </w:r>
      <w:r w:rsidRPr="00723C3F">
        <w:rPr>
          <w:b w:val="0"/>
          <w:noProof/>
          <w:sz w:val="18"/>
        </w:rPr>
        <w:fldChar w:fldCharType="end"/>
      </w:r>
    </w:p>
    <w:p w14:paraId="7BDE43EB" w14:textId="2A1638C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93DE</w:t>
      </w:r>
      <w:r>
        <w:rPr>
          <w:noProof/>
        </w:rPr>
        <w:tab/>
        <w:t>Ministerial Orders</w:t>
      </w:r>
      <w:r w:rsidRPr="00723C3F">
        <w:rPr>
          <w:noProof/>
        </w:rPr>
        <w:tab/>
      </w:r>
      <w:r w:rsidRPr="00723C3F">
        <w:rPr>
          <w:noProof/>
        </w:rPr>
        <w:fldChar w:fldCharType="begin"/>
      </w:r>
      <w:r w:rsidRPr="00723C3F">
        <w:rPr>
          <w:noProof/>
        </w:rPr>
        <w:instrText xml:space="preserve"> PAGEREF _Toc185577519 \h </w:instrText>
      </w:r>
      <w:r w:rsidRPr="00723C3F">
        <w:rPr>
          <w:noProof/>
        </w:rPr>
      </w:r>
      <w:r w:rsidRPr="00723C3F">
        <w:rPr>
          <w:noProof/>
        </w:rPr>
        <w:fldChar w:fldCharType="separate"/>
      </w:r>
      <w:r w:rsidR="00845A31">
        <w:rPr>
          <w:noProof/>
        </w:rPr>
        <w:t>137</w:t>
      </w:r>
      <w:r w:rsidRPr="00723C3F">
        <w:rPr>
          <w:noProof/>
        </w:rPr>
        <w:fldChar w:fldCharType="end"/>
      </w:r>
    </w:p>
    <w:p w14:paraId="18E085A9" w14:textId="335620AF"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VIA—Special provisions in relation to certain employees formerly in private employment</w:t>
      </w:r>
      <w:r w:rsidRPr="00723C3F">
        <w:rPr>
          <w:b w:val="0"/>
          <w:noProof/>
          <w:sz w:val="18"/>
        </w:rPr>
        <w:tab/>
      </w:r>
      <w:r w:rsidRPr="00723C3F">
        <w:rPr>
          <w:b w:val="0"/>
          <w:noProof/>
          <w:sz w:val="18"/>
        </w:rPr>
        <w:fldChar w:fldCharType="begin"/>
      </w:r>
      <w:r w:rsidRPr="00723C3F">
        <w:rPr>
          <w:b w:val="0"/>
          <w:noProof/>
          <w:sz w:val="18"/>
        </w:rPr>
        <w:instrText xml:space="preserve"> PAGEREF _Toc185577520 \h </w:instrText>
      </w:r>
      <w:r w:rsidRPr="00723C3F">
        <w:rPr>
          <w:b w:val="0"/>
          <w:noProof/>
          <w:sz w:val="18"/>
        </w:rPr>
      </w:r>
      <w:r w:rsidRPr="00723C3F">
        <w:rPr>
          <w:b w:val="0"/>
          <w:noProof/>
          <w:sz w:val="18"/>
        </w:rPr>
        <w:fldChar w:fldCharType="separate"/>
      </w:r>
      <w:r w:rsidR="00845A31">
        <w:rPr>
          <w:b w:val="0"/>
          <w:noProof/>
          <w:sz w:val="18"/>
        </w:rPr>
        <w:t>138</w:t>
      </w:r>
      <w:r w:rsidRPr="00723C3F">
        <w:rPr>
          <w:b w:val="0"/>
          <w:noProof/>
          <w:sz w:val="18"/>
        </w:rPr>
        <w:fldChar w:fldCharType="end"/>
      </w:r>
    </w:p>
    <w:p w14:paraId="78745E76" w14:textId="06773CAE"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723C3F">
        <w:rPr>
          <w:b w:val="0"/>
          <w:noProof/>
          <w:sz w:val="18"/>
        </w:rPr>
        <w:tab/>
      </w:r>
      <w:r w:rsidRPr="00723C3F">
        <w:rPr>
          <w:b w:val="0"/>
          <w:noProof/>
          <w:sz w:val="18"/>
        </w:rPr>
        <w:fldChar w:fldCharType="begin"/>
      </w:r>
      <w:r w:rsidRPr="00723C3F">
        <w:rPr>
          <w:b w:val="0"/>
          <w:noProof/>
          <w:sz w:val="18"/>
        </w:rPr>
        <w:instrText xml:space="preserve"> PAGEREF _Toc185577521 \h </w:instrText>
      </w:r>
      <w:r w:rsidRPr="00723C3F">
        <w:rPr>
          <w:b w:val="0"/>
          <w:noProof/>
          <w:sz w:val="18"/>
        </w:rPr>
      </w:r>
      <w:r w:rsidRPr="00723C3F">
        <w:rPr>
          <w:b w:val="0"/>
          <w:noProof/>
          <w:sz w:val="18"/>
        </w:rPr>
        <w:fldChar w:fldCharType="separate"/>
      </w:r>
      <w:r w:rsidR="00845A31">
        <w:rPr>
          <w:b w:val="0"/>
          <w:noProof/>
          <w:sz w:val="18"/>
        </w:rPr>
        <w:t>138</w:t>
      </w:r>
      <w:r w:rsidRPr="00723C3F">
        <w:rPr>
          <w:b w:val="0"/>
          <w:noProof/>
          <w:sz w:val="18"/>
        </w:rPr>
        <w:fldChar w:fldCharType="end"/>
      </w:r>
    </w:p>
    <w:p w14:paraId="2358CC4E" w14:textId="1774682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100A</w:t>
      </w:r>
      <w:r>
        <w:rPr>
          <w:noProof/>
        </w:rPr>
        <w:tab/>
        <w:t>Interpretation</w:t>
      </w:r>
      <w:r w:rsidRPr="00723C3F">
        <w:rPr>
          <w:noProof/>
        </w:rPr>
        <w:tab/>
      </w:r>
      <w:r w:rsidRPr="00723C3F">
        <w:rPr>
          <w:noProof/>
        </w:rPr>
        <w:fldChar w:fldCharType="begin"/>
      </w:r>
      <w:r w:rsidRPr="00723C3F">
        <w:rPr>
          <w:noProof/>
        </w:rPr>
        <w:instrText xml:space="preserve"> PAGEREF _Toc185577522 \h </w:instrText>
      </w:r>
      <w:r w:rsidRPr="00723C3F">
        <w:rPr>
          <w:noProof/>
        </w:rPr>
      </w:r>
      <w:r w:rsidRPr="00723C3F">
        <w:rPr>
          <w:noProof/>
        </w:rPr>
        <w:fldChar w:fldCharType="separate"/>
      </w:r>
      <w:r w:rsidR="00845A31">
        <w:rPr>
          <w:noProof/>
        </w:rPr>
        <w:t>138</w:t>
      </w:r>
      <w:r w:rsidRPr="00723C3F">
        <w:rPr>
          <w:noProof/>
        </w:rPr>
        <w:fldChar w:fldCharType="end"/>
      </w:r>
    </w:p>
    <w:p w14:paraId="20A2947E" w14:textId="2CCA355F"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2—The Superannuation Fund</w:t>
      </w:r>
      <w:r w:rsidRPr="00723C3F">
        <w:rPr>
          <w:b w:val="0"/>
          <w:noProof/>
          <w:sz w:val="18"/>
        </w:rPr>
        <w:tab/>
      </w:r>
      <w:r w:rsidRPr="00723C3F">
        <w:rPr>
          <w:b w:val="0"/>
          <w:noProof/>
          <w:sz w:val="18"/>
        </w:rPr>
        <w:fldChar w:fldCharType="begin"/>
      </w:r>
      <w:r w:rsidRPr="00723C3F">
        <w:rPr>
          <w:b w:val="0"/>
          <w:noProof/>
          <w:sz w:val="18"/>
        </w:rPr>
        <w:instrText xml:space="preserve"> PAGEREF _Toc185577523 \h </w:instrText>
      </w:r>
      <w:r w:rsidRPr="00723C3F">
        <w:rPr>
          <w:b w:val="0"/>
          <w:noProof/>
          <w:sz w:val="18"/>
        </w:rPr>
      </w:r>
      <w:r w:rsidRPr="00723C3F">
        <w:rPr>
          <w:b w:val="0"/>
          <w:noProof/>
          <w:sz w:val="18"/>
        </w:rPr>
        <w:fldChar w:fldCharType="separate"/>
      </w:r>
      <w:r w:rsidR="00845A31">
        <w:rPr>
          <w:b w:val="0"/>
          <w:noProof/>
          <w:sz w:val="18"/>
        </w:rPr>
        <w:t>141</w:t>
      </w:r>
      <w:r w:rsidRPr="00723C3F">
        <w:rPr>
          <w:b w:val="0"/>
          <w:noProof/>
          <w:sz w:val="18"/>
        </w:rPr>
        <w:fldChar w:fldCharType="end"/>
      </w:r>
    </w:p>
    <w:p w14:paraId="18277C8B" w14:textId="7570A80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100B</w:t>
      </w:r>
      <w:r>
        <w:rPr>
          <w:noProof/>
        </w:rPr>
        <w:tab/>
        <w:t>Definition</w:t>
      </w:r>
      <w:r w:rsidRPr="00723C3F">
        <w:rPr>
          <w:noProof/>
        </w:rPr>
        <w:tab/>
      </w:r>
      <w:r w:rsidRPr="00723C3F">
        <w:rPr>
          <w:noProof/>
        </w:rPr>
        <w:fldChar w:fldCharType="begin"/>
      </w:r>
      <w:r w:rsidRPr="00723C3F">
        <w:rPr>
          <w:noProof/>
        </w:rPr>
        <w:instrText xml:space="preserve"> PAGEREF _Toc185577524 \h </w:instrText>
      </w:r>
      <w:r w:rsidRPr="00723C3F">
        <w:rPr>
          <w:noProof/>
        </w:rPr>
      </w:r>
      <w:r w:rsidRPr="00723C3F">
        <w:rPr>
          <w:noProof/>
        </w:rPr>
        <w:fldChar w:fldCharType="separate"/>
      </w:r>
      <w:r w:rsidR="00845A31">
        <w:rPr>
          <w:noProof/>
        </w:rPr>
        <w:t>141</w:t>
      </w:r>
      <w:r w:rsidRPr="00723C3F">
        <w:rPr>
          <w:noProof/>
        </w:rPr>
        <w:fldChar w:fldCharType="end"/>
      </w:r>
    </w:p>
    <w:p w14:paraId="3DE1A103" w14:textId="2A1B004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100C</w:t>
      </w:r>
      <w:r>
        <w:rPr>
          <w:noProof/>
        </w:rPr>
        <w:tab/>
        <w:t>Contributions for pension by relevant employee</w:t>
      </w:r>
      <w:r w:rsidRPr="00723C3F">
        <w:rPr>
          <w:noProof/>
        </w:rPr>
        <w:tab/>
      </w:r>
      <w:r w:rsidRPr="00723C3F">
        <w:rPr>
          <w:noProof/>
        </w:rPr>
        <w:fldChar w:fldCharType="begin"/>
      </w:r>
      <w:r w:rsidRPr="00723C3F">
        <w:rPr>
          <w:noProof/>
        </w:rPr>
        <w:instrText xml:space="preserve"> PAGEREF _Toc185577525 \h </w:instrText>
      </w:r>
      <w:r w:rsidRPr="00723C3F">
        <w:rPr>
          <w:noProof/>
        </w:rPr>
      </w:r>
      <w:r w:rsidRPr="00723C3F">
        <w:rPr>
          <w:noProof/>
        </w:rPr>
        <w:fldChar w:fldCharType="separate"/>
      </w:r>
      <w:r w:rsidR="00845A31">
        <w:rPr>
          <w:noProof/>
        </w:rPr>
        <w:t>141</w:t>
      </w:r>
      <w:r w:rsidRPr="00723C3F">
        <w:rPr>
          <w:noProof/>
        </w:rPr>
        <w:fldChar w:fldCharType="end"/>
      </w:r>
    </w:p>
    <w:p w14:paraId="13EAB2A1" w14:textId="122BDA5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100D</w:t>
      </w:r>
      <w:r>
        <w:rPr>
          <w:noProof/>
        </w:rPr>
        <w:tab/>
        <w:t>Payment of prescribed amount to Board</w:t>
      </w:r>
      <w:r w:rsidRPr="00723C3F">
        <w:rPr>
          <w:noProof/>
        </w:rPr>
        <w:tab/>
      </w:r>
      <w:r w:rsidRPr="00723C3F">
        <w:rPr>
          <w:noProof/>
        </w:rPr>
        <w:fldChar w:fldCharType="begin"/>
      </w:r>
      <w:r w:rsidRPr="00723C3F">
        <w:rPr>
          <w:noProof/>
        </w:rPr>
        <w:instrText xml:space="preserve"> PAGEREF _Toc185577526 \h </w:instrText>
      </w:r>
      <w:r w:rsidRPr="00723C3F">
        <w:rPr>
          <w:noProof/>
        </w:rPr>
      </w:r>
      <w:r w:rsidRPr="00723C3F">
        <w:rPr>
          <w:noProof/>
        </w:rPr>
        <w:fldChar w:fldCharType="separate"/>
      </w:r>
      <w:r w:rsidR="00845A31">
        <w:rPr>
          <w:noProof/>
        </w:rPr>
        <w:t>145</w:t>
      </w:r>
      <w:r w:rsidRPr="00723C3F">
        <w:rPr>
          <w:noProof/>
        </w:rPr>
        <w:fldChar w:fldCharType="end"/>
      </w:r>
    </w:p>
    <w:p w14:paraId="2DD3895B" w14:textId="40BB573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100E</w:t>
      </w:r>
      <w:r>
        <w:rPr>
          <w:noProof/>
        </w:rPr>
        <w:tab/>
        <w:t>Refunds of contributions to prescribed employees</w:t>
      </w:r>
      <w:r w:rsidRPr="00723C3F">
        <w:rPr>
          <w:noProof/>
        </w:rPr>
        <w:tab/>
      </w:r>
      <w:r w:rsidRPr="00723C3F">
        <w:rPr>
          <w:noProof/>
        </w:rPr>
        <w:fldChar w:fldCharType="begin"/>
      </w:r>
      <w:r w:rsidRPr="00723C3F">
        <w:rPr>
          <w:noProof/>
        </w:rPr>
        <w:instrText xml:space="preserve"> PAGEREF _Toc185577527 \h </w:instrText>
      </w:r>
      <w:r w:rsidRPr="00723C3F">
        <w:rPr>
          <w:noProof/>
        </w:rPr>
      </w:r>
      <w:r w:rsidRPr="00723C3F">
        <w:rPr>
          <w:noProof/>
        </w:rPr>
        <w:fldChar w:fldCharType="separate"/>
      </w:r>
      <w:r w:rsidR="00845A31">
        <w:rPr>
          <w:noProof/>
        </w:rPr>
        <w:t>145</w:t>
      </w:r>
      <w:r w:rsidRPr="00723C3F">
        <w:rPr>
          <w:noProof/>
        </w:rPr>
        <w:fldChar w:fldCharType="end"/>
      </w:r>
    </w:p>
    <w:p w14:paraId="27492ABF" w14:textId="202461D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100F</w:t>
      </w:r>
      <w:r>
        <w:rPr>
          <w:noProof/>
        </w:rPr>
        <w:tab/>
        <w:t>Preservation of other superannuation rights</w:t>
      </w:r>
      <w:r w:rsidRPr="00723C3F">
        <w:rPr>
          <w:noProof/>
        </w:rPr>
        <w:tab/>
      </w:r>
      <w:r w:rsidRPr="00723C3F">
        <w:rPr>
          <w:noProof/>
        </w:rPr>
        <w:fldChar w:fldCharType="begin"/>
      </w:r>
      <w:r w:rsidRPr="00723C3F">
        <w:rPr>
          <w:noProof/>
        </w:rPr>
        <w:instrText xml:space="preserve"> PAGEREF _Toc185577528 \h </w:instrText>
      </w:r>
      <w:r w:rsidRPr="00723C3F">
        <w:rPr>
          <w:noProof/>
        </w:rPr>
      </w:r>
      <w:r w:rsidRPr="00723C3F">
        <w:rPr>
          <w:noProof/>
        </w:rPr>
        <w:fldChar w:fldCharType="separate"/>
      </w:r>
      <w:r w:rsidR="00845A31">
        <w:rPr>
          <w:noProof/>
        </w:rPr>
        <w:t>146</w:t>
      </w:r>
      <w:r w:rsidRPr="00723C3F">
        <w:rPr>
          <w:noProof/>
        </w:rPr>
        <w:fldChar w:fldCharType="end"/>
      </w:r>
    </w:p>
    <w:p w14:paraId="3CF9AE30" w14:textId="38FD65D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100G</w:t>
      </w:r>
      <w:r>
        <w:rPr>
          <w:noProof/>
        </w:rPr>
        <w:tab/>
        <w:t>Increased contributions by the Commonwealth</w:t>
      </w:r>
      <w:r w:rsidRPr="00723C3F">
        <w:rPr>
          <w:noProof/>
        </w:rPr>
        <w:tab/>
      </w:r>
      <w:r w:rsidRPr="00723C3F">
        <w:rPr>
          <w:noProof/>
        </w:rPr>
        <w:fldChar w:fldCharType="begin"/>
      </w:r>
      <w:r w:rsidRPr="00723C3F">
        <w:rPr>
          <w:noProof/>
        </w:rPr>
        <w:instrText xml:space="preserve"> PAGEREF _Toc185577529 \h </w:instrText>
      </w:r>
      <w:r w:rsidRPr="00723C3F">
        <w:rPr>
          <w:noProof/>
        </w:rPr>
      </w:r>
      <w:r w:rsidRPr="00723C3F">
        <w:rPr>
          <w:noProof/>
        </w:rPr>
        <w:fldChar w:fldCharType="separate"/>
      </w:r>
      <w:r w:rsidR="00845A31">
        <w:rPr>
          <w:noProof/>
        </w:rPr>
        <w:t>146</w:t>
      </w:r>
      <w:r w:rsidRPr="00723C3F">
        <w:rPr>
          <w:noProof/>
        </w:rPr>
        <w:fldChar w:fldCharType="end"/>
      </w:r>
    </w:p>
    <w:p w14:paraId="519C483E" w14:textId="4A9DF0B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100H</w:t>
      </w:r>
      <w:r>
        <w:rPr>
          <w:noProof/>
        </w:rPr>
        <w:tab/>
        <w:t>Certain amounts to be paid by the Commonwealth to the Fund</w:t>
      </w:r>
      <w:r w:rsidRPr="00723C3F">
        <w:rPr>
          <w:noProof/>
        </w:rPr>
        <w:tab/>
      </w:r>
      <w:r w:rsidRPr="00723C3F">
        <w:rPr>
          <w:noProof/>
        </w:rPr>
        <w:fldChar w:fldCharType="begin"/>
      </w:r>
      <w:r w:rsidRPr="00723C3F">
        <w:rPr>
          <w:noProof/>
        </w:rPr>
        <w:instrText xml:space="preserve"> PAGEREF _Toc185577530 \h </w:instrText>
      </w:r>
      <w:r w:rsidRPr="00723C3F">
        <w:rPr>
          <w:noProof/>
        </w:rPr>
      </w:r>
      <w:r w:rsidRPr="00723C3F">
        <w:rPr>
          <w:noProof/>
        </w:rPr>
        <w:fldChar w:fldCharType="separate"/>
      </w:r>
      <w:r w:rsidR="00845A31">
        <w:rPr>
          <w:noProof/>
        </w:rPr>
        <w:t>146</w:t>
      </w:r>
      <w:r w:rsidRPr="00723C3F">
        <w:rPr>
          <w:noProof/>
        </w:rPr>
        <w:fldChar w:fldCharType="end"/>
      </w:r>
    </w:p>
    <w:p w14:paraId="738C666F" w14:textId="439DBDA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100J</w:t>
      </w:r>
      <w:r>
        <w:rPr>
          <w:noProof/>
        </w:rPr>
        <w:tab/>
        <w:t>Rights of certain relevant employees</w:t>
      </w:r>
      <w:r w:rsidRPr="00723C3F">
        <w:rPr>
          <w:noProof/>
        </w:rPr>
        <w:tab/>
      </w:r>
      <w:r w:rsidRPr="00723C3F">
        <w:rPr>
          <w:noProof/>
        </w:rPr>
        <w:fldChar w:fldCharType="begin"/>
      </w:r>
      <w:r w:rsidRPr="00723C3F">
        <w:rPr>
          <w:noProof/>
        </w:rPr>
        <w:instrText xml:space="preserve"> PAGEREF _Toc185577531 \h </w:instrText>
      </w:r>
      <w:r w:rsidRPr="00723C3F">
        <w:rPr>
          <w:noProof/>
        </w:rPr>
      </w:r>
      <w:r w:rsidRPr="00723C3F">
        <w:rPr>
          <w:noProof/>
        </w:rPr>
        <w:fldChar w:fldCharType="separate"/>
      </w:r>
      <w:r w:rsidR="00845A31">
        <w:rPr>
          <w:noProof/>
        </w:rPr>
        <w:t>147</w:t>
      </w:r>
      <w:r w:rsidRPr="00723C3F">
        <w:rPr>
          <w:noProof/>
        </w:rPr>
        <w:fldChar w:fldCharType="end"/>
      </w:r>
    </w:p>
    <w:p w14:paraId="6C42B073" w14:textId="4DD4819E"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3—The Provident Account</w:t>
      </w:r>
      <w:r w:rsidRPr="00723C3F">
        <w:rPr>
          <w:b w:val="0"/>
          <w:noProof/>
          <w:sz w:val="18"/>
        </w:rPr>
        <w:tab/>
      </w:r>
      <w:r w:rsidRPr="00723C3F">
        <w:rPr>
          <w:b w:val="0"/>
          <w:noProof/>
          <w:sz w:val="18"/>
        </w:rPr>
        <w:fldChar w:fldCharType="begin"/>
      </w:r>
      <w:r w:rsidRPr="00723C3F">
        <w:rPr>
          <w:b w:val="0"/>
          <w:noProof/>
          <w:sz w:val="18"/>
        </w:rPr>
        <w:instrText xml:space="preserve"> PAGEREF _Toc185577532 \h </w:instrText>
      </w:r>
      <w:r w:rsidRPr="00723C3F">
        <w:rPr>
          <w:b w:val="0"/>
          <w:noProof/>
          <w:sz w:val="18"/>
        </w:rPr>
      </w:r>
      <w:r w:rsidRPr="00723C3F">
        <w:rPr>
          <w:b w:val="0"/>
          <w:noProof/>
          <w:sz w:val="18"/>
        </w:rPr>
        <w:fldChar w:fldCharType="separate"/>
      </w:r>
      <w:r w:rsidR="00845A31">
        <w:rPr>
          <w:b w:val="0"/>
          <w:noProof/>
          <w:sz w:val="18"/>
        </w:rPr>
        <w:t>148</w:t>
      </w:r>
      <w:r w:rsidRPr="00723C3F">
        <w:rPr>
          <w:b w:val="0"/>
          <w:noProof/>
          <w:sz w:val="18"/>
        </w:rPr>
        <w:fldChar w:fldCharType="end"/>
      </w:r>
    </w:p>
    <w:p w14:paraId="55781CFE" w14:textId="2375331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100K</w:t>
      </w:r>
      <w:r>
        <w:rPr>
          <w:noProof/>
        </w:rPr>
        <w:tab/>
        <w:t>Definition</w:t>
      </w:r>
      <w:r w:rsidRPr="00723C3F">
        <w:rPr>
          <w:noProof/>
        </w:rPr>
        <w:tab/>
      </w:r>
      <w:r w:rsidRPr="00723C3F">
        <w:rPr>
          <w:noProof/>
        </w:rPr>
        <w:fldChar w:fldCharType="begin"/>
      </w:r>
      <w:r w:rsidRPr="00723C3F">
        <w:rPr>
          <w:noProof/>
        </w:rPr>
        <w:instrText xml:space="preserve"> PAGEREF _Toc185577533 \h </w:instrText>
      </w:r>
      <w:r w:rsidRPr="00723C3F">
        <w:rPr>
          <w:noProof/>
        </w:rPr>
      </w:r>
      <w:r w:rsidRPr="00723C3F">
        <w:rPr>
          <w:noProof/>
        </w:rPr>
        <w:fldChar w:fldCharType="separate"/>
      </w:r>
      <w:r w:rsidR="00845A31">
        <w:rPr>
          <w:noProof/>
        </w:rPr>
        <w:t>148</w:t>
      </w:r>
      <w:r w:rsidRPr="00723C3F">
        <w:rPr>
          <w:noProof/>
        </w:rPr>
        <w:fldChar w:fldCharType="end"/>
      </w:r>
    </w:p>
    <w:p w14:paraId="7BFD27CB" w14:textId="29B3BC3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100L</w:t>
      </w:r>
      <w:r>
        <w:rPr>
          <w:noProof/>
        </w:rPr>
        <w:tab/>
        <w:t>Contributions by certain relevant employees to Provident Account</w:t>
      </w:r>
      <w:r w:rsidRPr="00723C3F">
        <w:rPr>
          <w:noProof/>
        </w:rPr>
        <w:tab/>
      </w:r>
      <w:r w:rsidRPr="00723C3F">
        <w:rPr>
          <w:noProof/>
        </w:rPr>
        <w:fldChar w:fldCharType="begin"/>
      </w:r>
      <w:r w:rsidRPr="00723C3F">
        <w:rPr>
          <w:noProof/>
        </w:rPr>
        <w:instrText xml:space="preserve"> PAGEREF _Toc185577534 \h </w:instrText>
      </w:r>
      <w:r w:rsidRPr="00723C3F">
        <w:rPr>
          <w:noProof/>
        </w:rPr>
      </w:r>
      <w:r w:rsidRPr="00723C3F">
        <w:rPr>
          <w:noProof/>
        </w:rPr>
        <w:fldChar w:fldCharType="separate"/>
      </w:r>
      <w:r w:rsidR="00845A31">
        <w:rPr>
          <w:noProof/>
        </w:rPr>
        <w:t>148</w:t>
      </w:r>
      <w:r w:rsidRPr="00723C3F">
        <w:rPr>
          <w:noProof/>
        </w:rPr>
        <w:fldChar w:fldCharType="end"/>
      </w:r>
    </w:p>
    <w:p w14:paraId="39EC89B0" w14:textId="4E6B2D6A"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4—Miscellaneous</w:t>
      </w:r>
      <w:r w:rsidRPr="00723C3F">
        <w:rPr>
          <w:b w:val="0"/>
          <w:noProof/>
          <w:sz w:val="18"/>
        </w:rPr>
        <w:tab/>
      </w:r>
      <w:r w:rsidRPr="00723C3F">
        <w:rPr>
          <w:b w:val="0"/>
          <w:noProof/>
          <w:sz w:val="18"/>
        </w:rPr>
        <w:fldChar w:fldCharType="begin"/>
      </w:r>
      <w:r w:rsidRPr="00723C3F">
        <w:rPr>
          <w:b w:val="0"/>
          <w:noProof/>
          <w:sz w:val="18"/>
        </w:rPr>
        <w:instrText xml:space="preserve"> PAGEREF _Toc185577535 \h </w:instrText>
      </w:r>
      <w:r w:rsidRPr="00723C3F">
        <w:rPr>
          <w:b w:val="0"/>
          <w:noProof/>
          <w:sz w:val="18"/>
        </w:rPr>
      </w:r>
      <w:r w:rsidRPr="00723C3F">
        <w:rPr>
          <w:b w:val="0"/>
          <w:noProof/>
          <w:sz w:val="18"/>
        </w:rPr>
        <w:fldChar w:fldCharType="separate"/>
      </w:r>
      <w:r w:rsidR="00845A31">
        <w:rPr>
          <w:b w:val="0"/>
          <w:noProof/>
          <w:sz w:val="18"/>
        </w:rPr>
        <w:t>151</w:t>
      </w:r>
      <w:r w:rsidRPr="00723C3F">
        <w:rPr>
          <w:b w:val="0"/>
          <w:noProof/>
          <w:sz w:val="18"/>
        </w:rPr>
        <w:fldChar w:fldCharType="end"/>
      </w:r>
    </w:p>
    <w:p w14:paraId="426AF0FD" w14:textId="013BA1B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100M</w:t>
      </w:r>
      <w:r>
        <w:rPr>
          <w:noProof/>
        </w:rPr>
        <w:tab/>
        <w:t>Full</w:t>
      </w:r>
      <w:r>
        <w:rPr>
          <w:noProof/>
        </w:rPr>
        <w:noBreakHyphen/>
        <w:t>time employment otherwise than as contributor to superannuation scheme</w:t>
      </w:r>
      <w:r w:rsidRPr="00723C3F">
        <w:rPr>
          <w:noProof/>
        </w:rPr>
        <w:tab/>
      </w:r>
      <w:r w:rsidRPr="00723C3F">
        <w:rPr>
          <w:noProof/>
        </w:rPr>
        <w:fldChar w:fldCharType="begin"/>
      </w:r>
      <w:r w:rsidRPr="00723C3F">
        <w:rPr>
          <w:noProof/>
        </w:rPr>
        <w:instrText xml:space="preserve"> PAGEREF _Toc185577536 \h </w:instrText>
      </w:r>
      <w:r w:rsidRPr="00723C3F">
        <w:rPr>
          <w:noProof/>
        </w:rPr>
      </w:r>
      <w:r w:rsidRPr="00723C3F">
        <w:rPr>
          <w:noProof/>
        </w:rPr>
        <w:fldChar w:fldCharType="separate"/>
      </w:r>
      <w:r w:rsidR="00845A31">
        <w:rPr>
          <w:noProof/>
        </w:rPr>
        <w:t>151</w:t>
      </w:r>
      <w:r w:rsidRPr="00723C3F">
        <w:rPr>
          <w:noProof/>
        </w:rPr>
        <w:fldChar w:fldCharType="end"/>
      </w:r>
    </w:p>
    <w:p w14:paraId="1BAC01C3" w14:textId="6977777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100N</w:t>
      </w:r>
      <w:r>
        <w:rPr>
          <w:noProof/>
        </w:rPr>
        <w:tab/>
        <w:t>Prescribed employee to furnish Board with authority to obtain certain information</w:t>
      </w:r>
      <w:r w:rsidRPr="00723C3F">
        <w:rPr>
          <w:noProof/>
        </w:rPr>
        <w:tab/>
      </w:r>
      <w:r w:rsidRPr="00723C3F">
        <w:rPr>
          <w:noProof/>
        </w:rPr>
        <w:fldChar w:fldCharType="begin"/>
      </w:r>
      <w:r w:rsidRPr="00723C3F">
        <w:rPr>
          <w:noProof/>
        </w:rPr>
        <w:instrText xml:space="preserve"> PAGEREF _Toc185577537 \h </w:instrText>
      </w:r>
      <w:r w:rsidRPr="00723C3F">
        <w:rPr>
          <w:noProof/>
        </w:rPr>
      </w:r>
      <w:r w:rsidRPr="00723C3F">
        <w:rPr>
          <w:noProof/>
        </w:rPr>
        <w:fldChar w:fldCharType="separate"/>
      </w:r>
      <w:r w:rsidR="00845A31">
        <w:rPr>
          <w:noProof/>
        </w:rPr>
        <w:t>151</w:t>
      </w:r>
      <w:r w:rsidRPr="00723C3F">
        <w:rPr>
          <w:noProof/>
        </w:rPr>
        <w:fldChar w:fldCharType="end"/>
      </w:r>
    </w:p>
    <w:p w14:paraId="30CC663D" w14:textId="6203FDD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100P</w:t>
      </w:r>
      <w:r>
        <w:rPr>
          <w:noProof/>
        </w:rPr>
        <w:tab/>
        <w:t>References to Board</w:t>
      </w:r>
      <w:r w:rsidRPr="00723C3F">
        <w:rPr>
          <w:noProof/>
        </w:rPr>
        <w:tab/>
      </w:r>
      <w:r w:rsidRPr="00723C3F">
        <w:rPr>
          <w:noProof/>
        </w:rPr>
        <w:fldChar w:fldCharType="begin"/>
      </w:r>
      <w:r w:rsidRPr="00723C3F">
        <w:rPr>
          <w:noProof/>
        </w:rPr>
        <w:instrText xml:space="preserve"> PAGEREF _Toc185577538 \h </w:instrText>
      </w:r>
      <w:r w:rsidRPr="00723C3F">
        <w:rPr>
          <w:noProof/>
        </w:rPr>
      </w:r>
      <w:r w:rsidRPr="00723C3F">
        <w:rPr>
          <w:noProof/>
        </w:rPr>
        <w:fldChar w:fldCharType="separate"/>
      </w:r>
      <w:r w:rsidR="00845A31">
        <w:rPr>
          <w:noProof/>
        </w:rPr>
        <w:t>152</w:t>
      </w:r>
      <w:r w:rsidRPr="00723C3F">
        <w:rPr>
          <w:noProof/>
        </w:rPr>
        <w:fldChar w:fldCharType="end"/>
      </w:r>
    </w:p>
    <w:p w14:paraId="2C7B082E" w14:textId="2C7ADA53"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VII—Special provisions in relation to certain former State employees</w:t>
      </w:r>
      <w:r w:rsidRPr="00723C3F">
        <w:rPr>
          <w:b w:val="0"/>
          <w:noProof/>
          <w:sz w:val="18"/>
        </w:rPr>
        <w:tab/>
      </w:r>
      <w:r w:rsidRPr="00723C3F">
        <w:rPr>
          <w:b w:val="0"/>
          <w:noProof/>
          <w:sz w:val="18"/>
        </w:rPr>
        <w:fldChar w:fldCharType="begin"/>
      </w:r>
      <w:r w:rsidRPr="00723C3F">
        <w:rPr>
          <w:b w:val="0"/>
          <w:noProof/>
          <w:sz w:val="18"/>
        </w:rPr>
        <w:instrText xml:space="preserve"> PAGEREF _Toc185577539 \h </w:instrText>
      </w:r>
      <w:r w:rsidRPr="00723C3F">
        <w:rPr>
          <w:b w:val="0"/>
          <w:noProof/>
          <w:sz w:val="18"/>
        </w:rPr>
      </w:r>
      <w:r w:rsidRPr="00723C3F">
        <w:rPr>
          <w:b w:val="0"/>
          <w:noProof/>
          <w:sz w:val="18"/>
        </w:rPr>
        <w:fldChar w:fldCharType="separate"/>
      </w:r>
      <w:r w:rsidR="00845A31">
        <w:rPr>
          <w:b w:val="0"/>
          <w:noProof/>
          <w:sz w:val="18"/>
        </w:rPr>
        <w:t>153</w:t>
      </w:r>
      <w:r w:rsidRPr="00723C3F">
        <w:rPr>
          <w:b w:val="0"/>
          <w:noProof/>
          <w:sz w:val="18"/>
        </w:rPr>
        <w:fldChar w:fldCharType="end"/>
      </w:r>
    </w:p>
    <w:p w14:paraId="06F59445" w14:textId="77BF868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Definitions</w:t>
      </w:r>
      <w:r w:rsidRPr="00723C3F">
        <w:rPr>
          <w:noProof/>
        </w:rPr>
        <w:tab/>
      </w:r>
      <w:r w:rsidRPr="00723C3F">
        <w:rPr>
          <w:noProof/>
        </w:rPr>
        <w:fldChar w:fldCharType="begin"/>
      </w:r>
      <w:r w:rsidRPr="00723C3F">
        <w:rPr>
          <w:noProof/>
        </w:rPr>
        <w:instrText xml:space="preserve"> PAGEREF _Toc185577540 \h </w:instrText>
      </w:r>
      <w:r w:rsidRPr="00723C3F">
        <w:rPr>
          <w:noProof/>
        </w:rPr>
      </w:r>
      <w:r w:rsidRPr="00723C3F">
        <w:rPr>
          <w:noProof/>
        </w:rPr>
        <w:fldChar w:fldCharType="separate"/>
      </w:r>
      <w:r w:rsidR="00845A31">
        <w:rPr>
          <w:noProof/>
        </w:rPr>
        <w:t>153</w:t>
      </w:r>
      <w:r w:rsidRPr="00723C3F">
        <w:rPr>
          <w:noProof/>
        </w:rPr>
        <w:fldChar w:fldCharType="end"/>
      </w:r>
    </w:p>
    <w:p w14:paraId="1645E074" w14:textId="5B0DD37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Superannuation rights and obligations of persons formerly employed by States</w:t>
      </w:r>
      <w:r w:rsidRPr="00723C3F">
        <w:rPr>
          <w:noProof/>
        </w:rPr>
        <w:tab/>
      </w:r>
      <w:r w:rsidRPr="00723C3F">
        <w:rPr>
          <w:noProof/>
        </w:rPr>
        <w:fldChar w:fldCharType="begin"/>
      </w:r>
      <w:r w:rsidRPr="00723C3F">
        <w:rPr>
          <w:noProof/>
        </w:rPr>
        <w:instrText xml:space="preserve"> PAGEREF _Toc185577541 \h </w:instrText>
      </w:r>
      <w:r w:rsidRPr="00723C3F">
        <w:rPr>
          <w:noProof/>
        </w:rPr>
      </w:r>
      <w:r w:rsidRPr="00723C3F">
        <w:rPr>
          <w:noProof/>
        </w:rPr>
        <w:fldChar w:fldCharType="separate"/>
      </w:r>
      <w:r w:rsidR="00845A31">
        <w:rPr>
          <w:noProof/>
        </w:rPr>
        <w:t>153</w:t>
      </w:r>
      <w:r w:rsidRPr="00723C3F">
        <w:rPr>
          <w:noProof/>
        </w:rPr>
        <w:fldChar w:fldCharType="end"/>
      </w:r>
    </w:p>
    <w:p w14:paraId="11C07D43" w14:textId="41C5BDA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Payments on retrenchment, resignation, dismissal or discharge</w:t>
      </w:r>
      <w:r w:rsidRPr="00723C3F">
        <w:rPr>
          <w:noProof/>
        </w:rPr>
        <w:tab/>
      </w:r>
      <w:r w:rsidRPr="00723C3F">
        <w:rPr>
          <w:noProof/>
        </w:rPr>
        <w:fldChar w:fldCharType="begin"/>
      </w:r>
      <w:r w:rsidRPr="00723C3F">
        <w:rPr>
          <w:noProof/>
        </w:rPr>
        <w:instrText xml:space="preserve"> PAGEREF _Toc185577542 \h </w:instrText>
      </w:r>
      <w:r w:rsidRPr="00723C3F">
        <w:rPr>
          <w:noProof/>
        </w:rPr>
      </w:r>
      <w:r w:rsidRPr="00723C3F">
        <w:rPr>
          <w:noProof/>
        </w:rPr>
        <w:fldChar w:fldCharType="separate"/>
      </w:r>
      <w:r w:rsidR="00845A31">
        <w:rPr>
          <w:noProof/>
        </w:rPr>
        <w:t>154</w:t>
      </w:r>
      <w:r w:rsidRPr="00723C3F">
        <w:rPr>
          <w:noProof/>
        </w:rPr>
        <w:fldChar w:fldCharType="end"/>
      </w:r>
    </w:p>
    <w:p w14:paraId="209232E2" w14:textId="456CB8F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Certain amounts to be paid out of Consolidated Revenue Fund to Superannuation Fund</w:t>
      </w:r>
      <w:r w:rsidRPr="00723C3F">
        <w:rPr>
          <w:noProof/>
        </w:rPr>
        <w:tab/>
      </w:r>
      <w:r w:rsidRPr="00723C3F">
        <w:rPr>
          <w:noProof/>
        </w:rPr>
        <w:fldChar w:fldCharType="begin"/>
      </w:r>
      <w:r w:rsidRPr="00723C3F">
        <w:rPr>
          <w:noProof/>
        </w:rPr>
        <w:instrText xml:space="preserve"> PAGEREF _Toc185577543 \h </w:instrText>
      </w:r>
      <w:r w:rsidRPr="00723C3F">
        <w:rPr>
          <w:noProof/>
        </w:rPr>
      </w:r>
      <w:r w:rsidRPr="00723C3F">
        <w:rPr>
          <w:noProof/>
        </w:rPr>
        <w:fldChar w:fldCharType="separate"/>
      </w:r>
      <w:r w:rsidR="00845A31">
        <w:rPr>
          <w:noProof/>
        </w:rPr>
        <w:t>155</w:t>
      </w:r>
      <w:r w:rsidRPr="00723C3F">
        <w:rPr>
          <w:noProof/>
        </w:rPr>
        <w:fldChar w:fldCharType="end"/>
      </w:r>
    </w:p>
    <w:p w14:paraId="23B6BCC7" w14:textId="05A968B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Increased contributions out of Consolidated Revenue Fund</w:t>
      </w:r>
      <w:r w:rsidRPr="00723C3F">
        <w:rPr>
          <w:noProof/>
        </w:rPr>
        <w:tab/>
      </w:r>
      <w:r w:rsidRPr="00723C3F">
        <w:rPr>
          <w:noProof/>
        </w:rPr>
        <w:fldChar w:fldCharType="begin"/>
      </w:r>
      <w:r w:rsidRPr="00723C3F">
        <w:rPr>
          <w:noProof/>
        </w:rPr>
        <w:instrText xml:space="preserve"> PAGEREF _Toc185577544 \h </w:instrText>
      </w:r>
      <w:r w:rsidRPr="00723C3F">
        <w:rPr>
          <w:noProof/>
        </w:rPr>
      </w:r>
      <w:r w:rsidRPr="00723C3F">
        <w:rPr>
          <w:noProof/>
        </w:rPr>
        <w:fldChar w:fldCharType="separate"/>
      </w:r>
      <w:r w:rsidR="00845A31">
        <w:rPr>
          <w:noProof/>
        </w:rPr>
        <w:t>155</w:t>
      </w:r>
      <w:r w:rsidRPr="00723C3F">
        <w:rPr>
          <w:noProof/>
        </w:rPr>
        <w:fldChar w:fldCharType="end"/>
      </w:r>
    </w:p>
    <w:p w14:paraId="3474EC5F" w14:textId="1F08F7C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Payment into the Fund of amounts received in respect of past contributions</w:t>
      </w:r>
      <w:r w:rsidRPr="00723C3F">
        <w:rPr>
          <w:noProof/>
        </w:rPr>
        <w:tab/>
      </w:r>
      <w:r w:rsidRPr="00723C3F">
        <w:rPr>
          <w:noProof/>
        </w:rPr>
        <w:fldChar w:fldCharType="begin"/>
      </w:r>
      <w:r w:rsidRPr="00723C3F">
        <w:rPr>
          <w:noProof/>
        </w:rPr>
        <w:instrText xml:space="preserve"> PAGEREF _Toc185577545 \h </w:instrText>
      </w:r>
      <w:r w:rsidRPr="00723C3F">
        <w:rPr>
          <w:noProof/>
        </w:rPr>
      </w:r>
      <w:r w:rsidRPr="00723C3F">
        <w:rPr>
          <w:noProof/>
        </w:rPr>
        <w:fldChar w:fldCharType="separate"/>
      </w:r>
      <w:r w:rsidR="00845A31">
        <w:rPr>
          <w:noProof/>
        </w:rPr>
        <w:t>155</w:t>
      </w:r>
      <w:r w:rsidRPr="00723C3F">
        <w:rPr>
          <w:noProof/>
        </w:rPr>
        <w:fldChar w:fldCharType="end"/>
      </w:r>
    </w:p>
    <w:p w14:paraId="049CB655" w14:textId="6AB4765F"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VIIA—Special provisions in relation to certain employees who transfer from State employment</w:t>
      </w:r>
      <w:r w:rsidRPr="00723C3F">
        <w:rPr>
          <w:b w:val="0"/>
          <w:noProof/>
          <w:sz w:val="18"/>
        </w:rPr>
        <w:tab/>
      </w:r>
      <w:r w:rsidRPr="00723C3F">
        <w:rPr>
          <w:b w:val="0"/>
          <w:noProof/>
          <w:sz w:val="18"/>
        </w:rPr>
        <w:fldChar w:fldCharType="begin"/>
      </w:r>
      <w:r w:rsidRPr="00723C3F">
        <w:rPr>
          <w:b w:val="0"/>
          <w:noProof/>
          <w:sz w:val="18"/>
        </w:rPr>
        <w:instrText xml:space="preserve"> PAGEREF _Toc185577546 \h </w:instrText>
      </w:r>
      <w:r w:rsidRPr="00723C3F">
        <w:rPr>
          <w:b w:val="0"/>
          <w:noProof/>
          <w:sz w:val="18"/>
        </w:rPr>
      </w:r>
      <w:r w:rsidRPr="00723C3F">
        <w:rPr>
          <w:b w:val="0"/>
          <w:noProof/>
          <w:sz w:val="18"/>
        </w:rPr>
        <w:fldChar w:fldCharType="separate"/>
      </w:r>
      <w:r w:rsidR="00845A31">
        <w:rPr>
          <w:b w:val="0"/>
          <w:noProof/>
          <w:sz w:val="18"/>
        </w:rPr>
        <w:t>156</w:t>
      </w:r>
      <w:r w:rsidRPr="00723C3F">
        <w:rPr>
          <w:b w:val="0"/>
          <w:noProof/>
          <w:sz w:val="18"/>
        </w:rPr>
        <w:fldChar w:fldCharType="end"/>
      </w:r>
    </w:p>
    <w:p w14:paraId="0B0B88BD" w14:textId="0AAFBC92"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723C3F">
        <w:rPr>
          <w:b w:val="0"/>
          <w:noProof/>
          <w:sz w:val="18"/>
        </w:rPr>
        <w:tab/>
      </w:r>
      <w:r w:rsidRPr="00723C3F">
        <w:rPr>
          <w:b w:val="0"/>
          <w:noProof/>
          <w:sz w:val="18"/>
        </w:rPr>
        <w:fldChar w:fldCharType="begin"/>
      </w:r>
      <w:r w:rsidRPr="00723C3F">
        <w:rPr>
          <w:b w:val="0"/>
          <w:noProof/>
          <w:sz w:val="18"/>
        </w:rPr>
        <w:instrText xml:space="preserve"> PAGEREF _Toc185577547 \h </w:instrText>
      </w:r>
      <w:r w:rsidRPr="00723C3F">
        <w:rPr>
          <w:b w:val="0"/>
          <w:noProof/>
          <w:sz w:val="18"/>
        </w:rPr>
      </w:r>
      <w:r w:rsidRPr="00723C3F">
        <w:rPr>
          <w:b w:val="0"/>
          <w:noProof/>
          <w:sz w:val="18"/>
        </w:rPr>
        <w:fldChar w:fldCharType="separate"/>
      </w:r>
      <w:r w:rsidR="00845A31">
        <w:rPr>
          <w:b w:val="0"/>
          <w:noProof/>
          <w:sz w:val="18"/>
        </w:rPr>
        <w:t>156</w:t>
      </w:r>
      <w:r w:rsidRPr="00723C3F">
        <w:rPr>
          <w:b w:val="0"/>
          <w:noProof/>
          <w:sz w:val="18"/>
        </w:rPr>
        <w:fldChar w:fldCharType="end"/>
      </w:r>
    </w:p>
    <w:p w14:paraId="5489746E" w14:textId="0029A5B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107A</w:t>
      </w:r>
      <w:r>
        <w:rPr>
          <w:noProof/>
        </w:rPr>
        <w:tab/>
        <w:t>Interpretation</w:t>
      </w:r>
      <w:r w:rsidRPr="00723C3F">
        <w:rPr>
          <w:noProof/>
        </w:rPr>
        <w:tab/>
      </w:r>
      <w:r w:rsidRPr="00723C3F">
        <w:rPr>
          <w:noProof/>
        </w:rPr>
        <w:fldChar w:fldCharType="begin"/>
      </w:r>
      <w:r w:rsidRPr="00723C3F">
        <w:rPr>
          <w:noProof/>
        </w:rPr>
        <w:instrText xml:space="preserve"> PAGEREF _Toc185577548 \h </w:instrText>
      </w:r>
      <w:r w:rsidRPr="00723C3F">
        <w:rPr>
          <w:noProof/>
        </w:rPr>
      </w:r>
      <w:r w:rsidRPr="00723C3F">
        <w:rPr>
          <w:noProof/>
        </w:rPr>
        <w:fldChar w:fldCharType="separate"/>
      </w:r>
      <w:r w:rsidR="00845A31">
        <w:rPr>
          <w:noProof/>
        </w:rPr>
        <w:t>156</w:t>
      </w:r>
      <w:r w:rsidRPr="00723C3F">
        <w:rPr>
          <w:noProof/>
        </w:rPr>
        <w:fldChar w:fldCharType="end"/>
      </w:r>
    </w:p>
    <w:p w14:paraId="38447B86" w14:textId="64B1FD67"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2—The Superannuation Fund</w:t>
      </w:r>
      <w:r w:rsidRPr="00723C3F">
        <w:rPr>
          <w:b w:val="0"/>
          <w:noProof/>
          <w:sz w:val="18"/>
        </w:rPr>
        <w:tab/>
      </w:r>
      <w:r w:rsidRPr="00723C3F">
        <w:rPr>
          <w:b w:val="0"/>
          <w:noProof/>
          <w:sz w:val="18"/>
        </w:rPr>
        <w:fldChar w:fldCharType="begin"/>
      </w:r>
      <w:r w:rsidRPr="00723C3F">
        <w:rPr>
          <w:b w:val="0"/>
          <w:noProof/>
          <w:sz w:val="18"/>
        </w:rPr>
        <w:instrText xml:space="preserve"> PAGEREF _Toc185577549 \h </w:instrText>
      </w:r>
      <w:r w:rsidRPr="00723C3F">
        <w:rPr>
          <w:b w:val="0"/>
          <w:noProof/>
          <w:sz w:val="18"/>
        </w:rPr>
      </w:r>
      <w:r w:rsidRPr="00723C3F">
        <w:rPr>
          <w:b w:val="0"/>
          <w:noProof/>
          <w:sz w:val="18"/>
        </w:rPr>
        <w:fldChar w:fldCharType="separate"/>
      </w:r>
      <w:r w:rsidR="00845A31">
        <w:rPr>
          <w:b w:val="0"/>
          <w:noProof/>
          <w:sz w:val="18"/>
        </w:rPr>
        <w:t>158</w:t>
      </w:r>
      <w:r w:rsidRPr="00723C3F">
        <w:rPr>
          <w:b w:val="0"/>
          <w:noProof/>
          <w:sz w:val="18"/>
        </w:rPr>
        <w:fldChar w:fldCharType="end"/>
      </w:r>
    </w:p>
    <w:p w14:paraId="36439C2C" w14:textId="66BDE5F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107B</w:t>
      </w:r>
      <w:r>
        <w:rPr>
          <w:noProof/>
        </w:rPr>
        <w:tab/>
        <w:t>Definition</w:t>
      </w:r>
      <w:r w:rsidRPr="00723C3F">
        <w:rPr>
          <w:noProof/>
        </w:rPr>
        <w:tab/>
      </w:r>
      <w:r w:rsidRPr="00723C3F">
        <w:rPr>
          <w:noProof/>
        </w:rPr>
        <w:fldChar w:fldCharType="begin"/>
      </w:r>
      <w:r w:rsidRPr="00723C3F">
        <w:rPr>
          <w:noProof/>
        </w:rPr>
        <w:instrText xml:space="preserve"> PAGEREF _Toc185577550 \h </w:instrText>
      </w:r>
      <w:r w:rsidRPr="00723C3F">
        <w:rPr>
          <w:noProof/>
        </w:rPr>
      </w:r>
      <w:r w:rsidRPr="00723C3F">
        <w:rPr>
          <w:noProof/>
        </w:rPr>
        <w:fldChar w:fldCharType="separate"/>
      </w:r>
      <w:r w:rsidR="00845A31">
        <w:rPr>
          <w:noProof/>
        </w:rPr>
        <w:t>158</w:t>
      </w:r>
      <w:r w:rsidRPr="00723C3F">
        <w:rPr>
          <w:noProof/>
        </w:rPr>
        <w:fldChar w:fldCharType="end"/>
      </w:r>
    </w:p>
    <w:p w14:paraId="5ACB0B51" w14:textId="216A815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107C</w:t>
      </w:r>
      <w:r>
        <w:rPr>
          <w:noProof/>
        </w:rPr>
        <w:tab/>
        <w:t>Contributions for pension by State employees</w:t>
      </w:r>
      <w:r w:rsidRPr="00723C3F">
        <w:rPr>
          <w:noProof/>
        </w:rPr>
        <w:tab/>
      </w:r>
      <w:r w:rsidRPr="00723C3F">
        <w:rPr>
          <w:noProof/>
        </w:rPr>
        <w:fldChar w:fldCharType="begin"/>
      </w:r>
      <w:r w:rsidRPr="00723C3F">
        <w:rPr>
          <w:noProof/>
        </w:rPr>
        <w:instrText xml:space="preserve"> PAGEREF _Toc185577551 \h </w:instrText>
      </w:r>
      <w:r w:rsidRPr="00723C3F">
        <w:rPr>
          <w:noProof/>
        </w:rPr>
      </w:r>
      <w:r w:rsidRPr="00723C3F">
        <w:rPr>
          <w:noProof/>
        </w:rPr>
        <w:fldChar w:fldCharType="separate"/>
      </w:r>
      <w:r w:rsidR="00845A31">
        <w:rPr>
          <w:noProof/>
        </w:rPr>
        <w:t>158</w:t>
      </w:r>
      <w:r w:rsidRPr="00723C3F">
        <w:rPr>
          <w:noProof/>
        </w:rPr>
        <w:fldChar w:fldCharType="end"/>
      </w:r>
    </w:p>
    <w:p w14:paraId="3A7DF945" w14:textId="4F4E846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107D</w:t>
      </w:r>
      <w:r>
        <w:rPr>
          <w:noProof/>
        </w:rPr>
        <w:tab/>
        <w:t>Prescribed employees contributing for restricted benefits</w:t>
      </w:r>
      <w:r w:rsidRPr="00723C3F">
        <w:rPr>
          <w:noProof/>
        </w:rPr>
        <w:tab/>
      </w:r>
      <w:r w:rsidRPr="00723C3F">
        <w:rPr>
          <w:noProof/>
        </w:rPr>
        <w:fldChar w:fldCharType="begin"/>
      </w:r>
      <w:r w:rsidRPr="00723C3F">
        <w:rPr>
          <w:noProof/>
        </w:rPr>
        <w:instrText xml:space="preserve"> PAGEREF _Toc185577552 \h </w:instrText>
      </w:r>
      <w:r w:rsidRPr="00723C3F">
        <w:rPr>
          <w:noProof/>
        </w:rPr>
      </w:r>
      <w:r w:rsidRPr="00723C3F">
        <w:rPr>
          <w:noProof/>
        </w:rPr>
        <w:fldChar w:fldCharType="separate"/>
      </w:r>
      <w:r w:rsidR="00845A31">
        <w:rPr>
          <w:noProof/>
        </w:rPr>
        <w:t>161</w:t>
      </w:r>
      <w:r w:rsidRPr="00723C3F">
        <w:rPr>
          <w:noProof/>
        </w:rPr>
        <w:fldChar w:fldCharType="end"/>
      </w:r>
    </w:p>
    <w:p w14:paraId="0DD0938D" w14:textId="3C94EE8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107E</w:t>
      </w:r>
      <w:r>
        <w:rPr>
          <w:noProof/>
        </w:rPr>
        <w:tab/>
        <w:t>Prescribed amount paid to Board</w:t>
      </w:r>
      <w:r w:rsidRPr="00723C3F">
        <w:rPr>
          <w:noProof/>
        </w:rPr>
        <w:tab/>
      </w:r>
      <w:r w:rsidRPr="00723C3F">
        <w:rPr>
          <w:noProof/>
        </w:rPr>
        <w:fldChar w:fldCharType="begin"/>
      </w:r>
      <w:r w:rsidRPr="00723C3F">
        <w:rPr>
          <w:noProof/>
        </w:rPr>
        <w:instrText xml:space="preserve"> PAGEREF _Toc185577553 \h </w:instrText>
      </w:r>
      <w:r w:rsidRPr="00723C3F">
        <w:rPr>
          <w:noProof/>
        </w:rPr>
      </w:r>
      <w:r w:rsidRPr="00723C3F">
        <w:rPr>
          <w:noProof/>
        </w:rPr>
        <w:fldChar w:fldCharType="separate"/>
      </w:r>
      <w:r w:rsidR="00845A31">
        <w:rPr>
          <w:noProof/>
        </w:rPr>
        <w:t>162</w:t>
      </w:r>
      <w:r w:rsidRPr="00723C3F">
        <w:rPr>
          <w:noProof/>
        </w:rPr>
        <w:fldChar w:fldCharType="end"/>
      </w:r>
    </w:p>
    <w:p w14:paraId="15B946A4" w14:textId="70D94AE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107F</w:t>
      </w:r>
      <w:r>
        <w:rPr>
          <w:noProof/>
        </w:rPr>
        <w:tab/>
        <w:t>Refunds of contributions to prescribed employees</w:t>
      </w:r>
      <w:r w:rsidRPr="00723C3F">
        <w:rPr>
          <w:noProof/>
        </w:rPr>
        <w:tab/>
      </w:r>
      <w:r w:rsidRPr="00723C3F">
        <w:rPr>
          <w:noProof/>
        </w:rPr>
        <w:fldChar w:fldCharType="begin"/>
      </w:r>
      <w:r w:rsidRPr="00723C3F">
        <w:rPr>
          <w:noProof/>
        </w:rPr>
        <w:instrText xml:space="preserve"> PAGEREF _Toc185577554 \h </w:instrText>
      </w:r>
      <w:r w:rsidRPr="00723C3F">
        <w:rPr>
          <w:noProof/>
        </w:rPr>
      </w:r>
      <w:r w:rsidRPr="00723C3F">
        <w:rPr>
          <w:noProof/>
        </w:rPr>
        <w:fldChar w:fldCharType="separate"/>
      </w:r>
      <w:r w:rsidR="00845A31">
        <w:rPr>
          <w:noProof/>
        </w:rPr>
        <w:t>162</w:t>
      </w:r>
      <w:r w:rsidRPr="00723C3F">
        <w:rPr>
          <w:noProof/>
        </w:rPr>
        <w:fldChar w:fldCharType="end"/>
      </w:r>
    </w:p>
    <w:p w14:paraId="7FD7C0D0" w14:textId="73FF087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107G</w:t>
      </w:r>
      <w:r>
        <w:rPr>
          <w:noProof/>
        </w:rPr>
        <w:tab/>
        <w:t>Preservation of other superannuation rights</w:t>
      </w:r>
      <w:r w:rsidRPr="00723C3F">
        <w:rPr>
          <w:noProof/>
        </w:rPr>
        <w:tab/>
      </w:r>
      <w:r w:rsidRPr="00723C3F">
        <w:rPr>
          <w:noProof/>
        </w:rPr>
        <w:fldChar w:fldCharType="begin"/>
      </w:r>
      <w:r w:rsidRPr="00723C3F">
        <w:rPr>
          <w:noProof/>
        </w:rPr>
        <w:instrText xml:space="preserve"> PAGEREF _Toc185577555 \h </w:instrText>
      </w:r>
      <w:r w:rsidRPr="00723C3F">
        <w:rPr>
          <w:noProof/>
        </w:rPr>
      </w:r>
      <w:r w:rsidRPr="00723C3F">
        <w:rPr>
          <w:noProof/>
        </w:rPr>
        <w:fldChar w:fldCharType="separate"/>
      </w:r>
      <w:r w:rsidR="00845A31">
        <w:rPr>
          <w:noProof/>
        </w:rPr>
        <w:t>163</w:t>
      </w:r>
      <w:r w:rsidRPr="00723C3F">
        <w:rPr>
          <w:noProof/>
        </w:rPr>
        <w:fldChar w:fldCharType="end"/>
      </w:r>
    </w:p>
    <w:p w14:paraId="130CF775" w14:textId="599065A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107H</w:t>
      </w:r>
      <w:r>
        <w:rPr>
          <w:noProof/>
        </w:rPr>
        <w:tab/>
        <w:t>Increased contributions by the Commonwealth</w:t>
      </w:r>
      <w:r w:rsidRPr="00723C3F">
        <w:rPr>
          <w:noProof/>
        </w:rPr>
        <w:tab/>
      </w:r>
      <w:r w:rsidRPr="00723C3F">
        <w:rPr>
          <w:noProof/>
        </w:rPr>
        <w:fldChar w:fldCharType="begin"/>
      </w:r>
      <w:r w:rsidRPr="00723C3F">
        <w:rPr>
          <w:noProof/>
        </w:rPr>
        <w:instrText xml:space="preserve"> PAGEREF _Toc185577556 \h </w:instrText>
      </w:r>
      <w:r w:rsidRPr="00723C3F">
        <w:rPr>
          <w:noProof/>
        </w:rPr>
      </w:r>
      <w:r w:rsidRPr="00723C3F">
        <w:rPr>
          <w:noProof/>
        </w:rPr>
        <w:fldChar w:fldCharType="separate"/>
      </w:r>
      <w:r w:rsidR="00845A31">
        <w:rPr>
          <w:noProof/>
        </w:rPr>
        <w:t>163</w:t>
      </w:r>
      <w:r w:rsidRPr="00723C3F">
        <w:rPr>
          <w:noProof/>
        </w:rPr>
        <w:fldChar w:fldCharType="end"/>
      </w:r>
    </w:p>
    <w:p w14:paraId="737DFBC6" w14:textId="36AF6B1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107J</w:t>
      </w:r>
      <w:r>
        <w:rPr>
          <w:noProof/>
        </w:rPr>
        <w:tab/>
        <w:t>Certain amounts to be paid by the Commonwealth to the Fund</w:t>
      </w:r>
      <w:r w:rsidRPr="00723C3F">
        <w:rPr>
          <w:noProof/>
        </w:rPr>
        <w:tab/>
      </w:r>
      <w:r w:rsidRPr="00723C3F">
        <w:rPr>
          <w:noProof/>
        </w:rPr>
        <w:fldChar w:fldCharType="begin"/>
      </w:r>
      <w:r w:rsidRPr="00723C3F">
        <w:rPr>
          <w:noProof/>
        </w:rPr>
        <w:instrText xml:space="preserve"> PAGEREF _Toc185577557 \h </w:instrText>
      </w:r>
      <w:r w:rsidRPr="00723C3F">
        <w:rPr>
          <w:noProof/>
        </w:rPr>
      </w:r>
      <w:r w:rsidRPr="00723C3F">
        <w:rPr>
          <w:noProof/>
        </w:rPr>
        <w:fldChar w:fldCharType="separate"/>
      </w:r>
      <w:r w:rsidR="00845A31">
        <w:rPr>
          <w:noProof/>
        </w:rPr>
        <w:t>163</w:t>
      </w:r>
      <w:r w:rsidRPr="00723C3F">
        <w:rPr>
          <w:noProof/>
        </w:rPr>
        <w:fldChar w:fldCharType="end"/>
      </w:r>
    </w:p>
    <w:p w14:paraId="4330C494" w14:textId="18B8B9C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107K</w:t>
      </w:r>
      <w:r>
        <w:rPr>
          <w:noProof/>
        </w:rPr>
        <w:tab/>
        <w:t>Rights of certain State employees</w:t>
      </w:r>
      <w:r w:rsidRPr="00723C3F">
        <w:rPr>
          <w:noProof/>
        </w:rPr>
        <w:tab/>
      </w:r>
      <w:r w:rsidRPr="00723C3F">
        <w:rPr>
          <w:noProof/>
        </w:rPr>
        <w:fldChar w:fldCharType="begin"/>
      </w:r>
      <w:r w:rsidRPr="00723C3F">
        <w:rPr>
          <w:noProof/>
        </w:rPr>
        <w:instrText xml:space="preserve"> PAGEREF _Toc185577558 \h </w:instrText>
      </w:r>
      <w:r w:rsidRPr="00723C3F">
        <w:rPr>
          <w:noProof/>
        </w:rPr>
      </w:r>
      <w:r w:rsidRPr="00723C3F">
        <w:rPr>
          <w:noProof/>
        </w:rPr>
        <w:fldChar w:fldCharType="separate"/>
      </w:r>
      <w:r w:rsidR="00845A31">
        <w:rPr>
          <w:noProof/>
        </w:rPr>
        <w:t>164</w:t>
      </w:r>
      <w:r w:rsidRPr="00723C3F">
        <w:rPr>
          <w:noProof/>
        </w:rPr>
        <w:fldChar w:fldCharType="end"/>
      </w:r>
    </w:p>
    <w:p w14:paraId="40F2401A" w14:textId="2FF822E5"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3—The Provident Account</w:t>
      </w:r>
      <w:r w:rsidRPr="00723C3F">
        <w:rPr>
          <w:b w:val="0"/>
          <w:noProof/>
          <w:sz w:val="18"/>
        </w:rPr>
        <w:tab/>
      </w:r>
      <w:r w:rsidRPr="00723C3F">
        <w:rPr>
          <w:b w:val="0"/>
          <w:noProof/>
          <w:sz w:val="18"/>
        </w:rPr>
        <w:fldChar w:fldCharType="begin"/>
      </w:r>
      <w:r w:rsidRPr="00723C3F">
        <w:rPr>
          <w:b w:val="0"/>
          <w:noProof/>
          <w:sz w:val="18"/>
        </w:rPr>
        <w:instrText xml:space="preserve"> PAGEREF _Toc185577559 \h </w:instrText>
      </w:r>
      <w:r w:rsidRPr="00723C3F">
        <w:rPr>
          <w:b w:val="0"/>
          <w:noProof/>
          <w:sz w:val="18"/>
        </w:rPr>
      </w:r>
      <w:r w:rsidRPr="00723C3F">
        <w:rPr>
          <w:b w:val="0"/>
          <w:noProof/>
          <w:sz w:val="18"/>
        </w:rPr>
        <w:fldChar w:fldCharType="separate"/>
      </w:r>
      <w:r w:rsidR="00845A31">
        <w:rPr>
          <w:b w:val="0"/>
          <w:noProof/>
          <w:sz w:val="18"/>
        </w:rPr>
        <w:t>165</w:t>
      </w:r>
      <w:r w:rsidRPr="00723C3F">
        <w:rPr>
          <w:b w:val="0"/>
          <w:noProof/>
          <w:sz w:val="18"/>
        </w:rPr>
        <w:fldChar w:fldCharType="end"/>
      </w:r>
    </w:p>
    <w:p w14:paraId="2891F339" w14:textId="308B9A1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107L</w:t>
      </w:r>
      <w:r>
        <w:rPr>
          <w:noProof/>
        </w:rPr>
        <w:tab/>
        <w:t>Definition</w:t>
      </w:r>
      <w:r w:rsidRPr="00723C3F">
        <w:rPr>
          <w:noProof/>
        </w:rPr>
        <w:tab/>
      </w:r>
      <w:r w:rsidRPr="00723C3F">
        <w:rPr>
          <w:noProof/>
        </w:rPr>
        <w:fldChar w:fldCharType="begin"/>
      </w:r>
      <w:r w:rsidRPr="00723C3F">
        <w:rPr>
          <w:noProof/>
        </w:rPr>
        <w:instrText xml:space="preserve"> PAGEREF _Toc185577560 \h </w:instrText>
      </w:r>
      <w:r w:rsidRPr="00723C3F">
        <w:rPr>
          <w:noProof/>
        </w:rPr>
      </w:r>
      <w:r w:rsidRPr="00723C3F">
        <w:rPr>
          <w:noProof/>
        </w:rPr>
        <w:fldChar w:fldCharType="separate"/>
      </w:r>
      <w:r w:rsidR="00845A31">
        <w:rPr>
          <w:noProof/>
        </w:rPr>
        <w:t>165</w:t>
      </w:r>
      <w:r w:rsidRPr="00723C3F">
        <w:rPr>
          <w:noProof/>
        </w:rPr>
        <w:fldChar w:fldCharType="end"/>
      </w:r>
    </w:p>
    <w:p w14:paraId="022C9A04" w14:textId="0413C9D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107M</w:t>
      </w:r>
      <w:r>
        <w:rPr>
          <w:noProof/>
        </w:rPr>
        <w:tab/>
        <w:t>Provident Account contributions by State employees</w:t>
      </w:r>
      <w:r w:rsidRPr="00723C3F">
        <w:rPr>
          <w:noProof/>
        </w:rPr>
        <w:tab/>
      </w:r>
      <w:r w:rsidRPr="00723C3F">
        <w:rPr>
          <w:noProof/>
        </w:rPr>
        <w:fldChar w:fldCharType="begin"/>
      </w:r>
      <w:r w:rsidRPr="00723C3F">
        <w:rPr>
          <w:noProof/>
        </w:rPr>
        <w:instrText xml:space="preserve"> PAGEREF _Toc185577561 \h </w:instrText>
      </w:r>
      <w:r w:rsidRPr="00723C3F">
        <w:rPr>
          <w:noProof/>
        </w:rPr>
      </w:r>
      <w:r w:rsidRPr="00723C3F">
        <w:rPr>
          <w:noProof/>
        </w:rPr>
        <w:fldChar w:fldCharType="separate"/>
      </w:r>
      <w:r w:rsidR="00845A31">
        <w:rPr>
          <w:noProof/>
        </w:rPr>
        <w:t>165</w:t>
      </w:r>
      <w:r w:rsidRPr="00723C3F">
        <w:rPr>
          <w:noProof/>
        </w:rPr>
        <w:fldChar w:fldCharType="end"/>
      </w:r>
    </w:p>
    <w:p w14:paraId="041D49CC" w14:textId="4E35247F"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4—Miscellaneous</w:t>
      </w:r>
      <w:r w:rsidRPr="00723C3F">
        <w:rPr>
          <w:b w:val="0"/>
          <w:noProof/>
          <w:sz w:val="18"/>
        </w:rPr>
        <w:tab/>
      </w:r>
      <w:r w:rsidRPr="00723C3F">
        <w:rPr>
          <w:b w:val="0"/>
          <w:noProof/>
          <w:sz w:val="18"/>
        </w:rPr>
        <w:fldChar w:fldCharType="begin"/>
      </w:r>
      <w:r w:rsidRPr="00723C3F">
        <w:rPr>
          <w:b w:val="0"/>
          <w:noProof/>
          <w:sz w:val="18"/>
        </w:rPr>
        <w:instrText xml:space="preserve"> PAGEREF _Toc185577562 \h </w:instrText>
      </w:r>
      <w:r w:rsidRPr="00723C3F">
        <w:rPr>
          <w:b w:val="0"/>
          <w:noProof/>
          <w:sz w:val="18"/>
        </w:rPr>
      </w:r>
      <w:r w:rsidRPr="00723C3F">
        <w:rPr>
          <w:b w:val="0"/>
          <w:noProof/>
          <w:sz w:val="18"/>
        </w:rPr>
        <w:fldChar w:fldCharType="separate"/>
      </w:r>
      <w:r w:rsidR="00845A31">
        <w:rPr>
          <w:b w:val="0"/>
          <w:noProof/>
          <w:sz w:val="18"/>
        </w:rPr>
        <w:t>170</w:t>
      </w:r>
      <w:r w:rsidRPr="00723C3F">
        <w:rPr>
          <w:b w:val="0"/>
          <w:noProof/>
          <w:sz w:val="18"/>
        </w:rPr>
        <w:fldChar w:fldCharType="end"/>
      </w:r>
    </w:p>
    <w:p w14:paraId="72A4CF61" w14:textId="307489C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107N</w:t>
      </w:r>
      <w:r>
        <w:rPr>
          <w:noProof/>
        </w:rPr>
        <w:tab/>
        <w:t>Full</w:t>
      </w:r>
      <w:r>
        <w:rPr>
          <w:noProof/>
        </w:rPr>
        <w:noBreakHyphen/>
        <w:t>time employment otherwise than as contributor to State Fund</w:t>
      </w:r>
      <w:r w:rsidRPr="00723C3F">
        <w:rPr>
          <w:noProof/>
        </w:rPr>
        <w:tab/>
      </w:r>
      <w:r w:rsidRPr="00723C3F">
        <w:rPr>
          <w:noProof/>
        </w:rPr>
        <w:fldChar w:fldCharType="begin"/>
      </w:r>
      <w:r w:rsidRPr="00723C3F">
        <w:rPr>
          <w:noProof/>
        </w:rPr>
        <w:instrText xml:space="preserve"> PAGEREF _Toc185577563 \h </w:instrText>
      </w:r>
      <w:r w:rsidRPr="00723C3F">
        <w:rPr>
          <w:noProof/>
        </w:rPr>
      </w:r>
      <w:r w:rsidRPr="00723C3F">
        <w:rPr>
          <w:noProof/>
        </w:rPr>
        <w:fldChar w:fldCharType="separate"/>
      </w:r>
      <w:r w:rsidR="00845A31">
        <w:rPr>
          <w:noProof/>
        </w:rPr>
        <w:t>170</w:t>
      </w:r>
      <w:r w:rsidRPr="00723C3F">
        <w:rPr>
          <w:noProof/>
        </w:rPr>
        <w:fldChar w:fldCharType="end"/>
      </w:r>
    </w:p>
    <w:p w14:paraId="37B4BCE2" w14:textId="73ABB91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107P</w:t>
      </w:r>
      <w:r>
        <w:rPr>
          <w:noProof/>
        </w:rPr>
        <w:tab/>
        <w:t>References to Board</w:t>
      </w:r>
      <w:r w:rsidRPr="00723C3F">
        <w:rPr>
          <w:noProof/>
        </w:rPr>
        <w:tab/>
      </w:r>
      <w:r w:rsidRPr="00723C3F">
        <w:rPr>
          <w:noProof/>
        </w:rPr>
        <w:fldChar w:fldCharType="begin"/>
      </w:r>
      <w:r w:rsidRPr="00723C3F">
        <w:rPr>
          <w:noProof/>
        </w:rPr>
        <w:instrText xml:space="preserve"> PAGEREF _Toc185577564 \h </w:instrText>
      </w:r>
      <w:r w:rsidRPr="00723C3F">
        <w:rPr>
          <w:noProof/>
        </w:rPr>
      </w:r>
      <w:r w:rsidRPr="00723C3F">
        <w:rPr>
          <w:noProof/>
        </w:rPr>
        <w:fldChar w:fldCharType="separate"/>
      </w:r>
      <w:r w:rsidR="00845A31">
        <w:rPr>
          <w:noProof/>
        </w:rPr>
        <w:t>170</w:t>
      </w:r>
      <w:r w:rsidRPr="00723C3F">
        <w:rPr>
          <w:noProof/>
        </w:rPr>
        <w:fldChar w:fldCharType="end"/>
      </w:r>
    </w:p>
    <w:p w14:paraId="2BBEF003" w14:textId="6963D6A3"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VIII—Special provisions in relation to certain former contributors to Public Service Superannuation Funds</w:t>
      </w:r>
      <w:r w:rsidRPr="00723C3F">
        <w:rPr>
          <w:b w:val="0"/>
          <w:noProof/>
          <w:sz w:val="18"/>
        </w:rPr>
        <w:tab/>
      </w:r>
      <w:r w:rsidRPr="00723C3F">
        <w:rPr>
          <w:b w:val="0"/>
          <w:noProof/>
          <w:sz w:val="18"/>
        </w:rPr>
        <w:fldChar w:fldCharType="begin"/>
      </w:r>
      <w:r w:rsidRPr="00723C3F">
        <w:rPr>
          <w:b w:val="0"/>
          <w:noProof/>
          <w:sz w:val="18"/>
        </w:rPr>
        <w:instrText xml:space="preserve"> PAGEREF _Toc185577565 \h </w:instrText>
      </w:r>
      <w:r w:rsidRPr="00723C3F">
        <w:rPr>
          <w:b w:val="0"/>
          <w:noProof/>
          <w:sz w:val="18"/>
        </w:rPr>
      </w:r>
      <w:r w:rsidRPr="00723C3F">
        <w:rPr>
          <w:b w:val="0"/>
          <w:noProof/>
          <w:sz w:val="18"/>
        </w:rPr>
        <w:fldChar w:fldCharType="separate"/>
      </w:r>
      <w:r w:rsidR="00845A31">
        <w:rPr>
          <w:b w:val="0"/>
          <w:noProof/>
          <w:sz w:val="18"/>
        </w:rPr>
        <w:t>171</w:t>
      </w:r>
      <w:r w:rsidRPr="00723C3F">
        <w:rPr>
          <w:b w:val="0"/>
          <w:noProof/>
          <w:sz w:val="18"/>
        </w:rPr>
        <w:fldChar w:fldCharType="end"/>
      </w:r>
    </w:p>
    <w:p w14:paraId="570A689F" w14:textId="2367238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Interpretation</w:t>
      </w:r>
      <w:r w:rsidRPr="00723C3F">
        <w:rPr>
          <w:noProof/>
        </w:rPr>
        <w:tab/>
      </w:r>
      <w:r w:rsidRPr="00723C3F">
        <w:rPr>
          <w:noProof/>
        </w:rPr>
        <w:fldChar w:fldCharType="begin"/>
      </w:r>
      <w:r w:rsidRPr="00723C3F">
        <w:rPr>
          <w:noProof/>
        </w:rPr>
        <w:instrText xml:space="preserve"> PAGEREF _Toc185577566 \h </w:instrText>
      </w:r>
      <w:r w:rsidRPr="00723C3F">
        <w:rPr>
          <w:noProof/>
        </w:rPr>
      </w:r>
      <w:r w:rsidRPr="00723C3F">
        <w:rPr>
          <w:noProof/>
        </w:rPr>
        <w:fldChar w:fldCharType="separate"/>
      </w:r>
      <w:r w:rsidR="00845A31">
        <w:rPr>
          <w:noProof/>
        </w:rPr>
        <w:t>171</w:t>
      </w:r>
      <w:r w:rsidRPr="00723C3F">
        <w:rPr>
          <w:noProof/>
        </w:rPr>
        <w:fldChar w:fldCharType="end"/>
      </w:r>
    </w:p>
    <w:p w14:paraId="455C8B2E" w14:textId="463C8D1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108A</w:t>
      </w:r>
      <w:r>
        <w:rPr>
          <w:noProof/>
        </w:rPr>
        <w:tab/>
        <w:t>Application</w:t>
      </w:r>
      <w:r w:rsidRPr="00723C3F">
        <w:rPr>
          <w:noProof/>
        </w:rPr>
        <w:tab/>
      </w:r>
      <w:r w:rsidRPr="00723C3F">
        <w:rPr>
          <w:noProof/>
        </w:rPr>
        <w:fldChar w:fldCharType="begin"/>
      </w:r>
      <w:r w:rsidRPr="00723C3F">
        <w:rPr>
          <w:noProof/>
        </w:rPr>
        <w:instrText xml:space="preserve"> PAGEREF _Toc185577567 \h </w:instrText>
      </w:r>
      <w:r w:rsidRPr="00723C3F">
        <w:rPr>
          <w:noProof/>
        </w:rPr>
      </w:r>
      <w:r w:rsidRPr="00723C3F">
        <w:rPr>
          <w:noProof/>
        </w:rPr>
        <w:fldChar w:fldCharType="separate"/>
      </w:r>
      <w:r w:rsidR="00845A31">
        <w:rPr>
          <w:noProof/>
        </w:rPr>
        <w:t>171</w:t>
      </w:r>
      <w:r w:rsidRPr="00723C3F">
        <w:rPr>
          <w:noProof/>
        </w:rPr>
        <w:fldChar w:fldCharType="end"/>
      </w:r>
    </w:p>
    <w:p w14:paraId="0A544160" w14:textId="54F49B4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109</w:t>
      </w:r>
      <w:r>
        <w:rPr>
          <w:noProof/>
        </w:rPr>
        <w:tab/>
        <w:t>Former contributors to Public Service Superannuation Funds who elect to pay refunds to Board</w:t>
      </w:r>
      <w:r w:rsidRPr="00723C3F">
        <w:rPr>
          <w:noProof/>
        </w:rPr>
        <w:tab/>
      </w:r>
      <w:r w:rsidRPr="00723C3F">
        <w:rPr>
          <w:noProof/>
        </w:rPr>
        <w:fldChar w:fldCharType="begin"/>
      </w:r>
      <w:r w:rsidRPr="00723C3F">
        <w:rPr>
          <w:noProof/>
        </w:rPr>
        <w:instrText xml:space="preserve"> PAGEREF _Toc185577568 \h </w:instrText>
      </w:r>
      <w:r w:rsidRPr="00723C3F">
        <w:rPr>
          <w:noProof/>
        </w:rPr>
      </w:r>
      <w:r w:rsidRPr="00723C3F">
        <w:rPr>
          <w:noProof/>
        </w:rPr>
        <w:fldChar w:fldCharType="separate"/>
      </w:r>
      <w:r w:rsidR="00845A31">
        <w:rPr>
          <w:noProof/>
        </w:rPr>
        <w:t>171</w:t>
      </w:r>
      <w:r w:rsidRPr="00723C3F">
        <w:rPr>
          <w:noProof/>
        </w:rPr>
        <w:fldChar w:fldCharType="end"/>
      </w:r>
    </w:p>
    <w:p w14:paraId="5D5CB54C" w14:textId="4FE8BF1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Former contributors to Public Service Superannuation Funds who do not elect to pay refunds to Board</w:t>
      </w:r>
      <w:r w:rsidRPr="00723C3F">
        <w:rPr>
          <w:noProof/>
        </w:rPr>
        <w:tab/>
      </w:r>
      <w:r w:rsidRPr="00723C3F">
        <w:rPr>
          <w:noProof/>
        </w:rPr>
        <w:fldChar w:fldCharType="begin"/>
      </w:r>
      <w:r w:rsidRPr="00723C3F">
        <w:rPr>
          <w:noProof/>
        </w:rPr>
        <w:instrText xml:space="preserve"> PAGEREF _Toc185577569 \h </w:instrText>
      </w:r>
      <w:r w:rsidRPr="00723C3F">
        <w:rPr>
          <w:noProof/>
        </w:rPr>
      </w:r>
      <w:r w:rsidRPr="00723C3F">
        <w:rPr>
          <w:noProof/>
        </w:rPr>
        <w:fldChar w:fldCharType="separate"/>
      </w:r>
      <w:r w:rsidR="00845A31">
        <w:rPr>
          <w:noProof/>
        </w:rPr>
        <w:t>173</w:t>
      </w:r>
      <w:r w:rsidRPr="00723C3F">
        <w:rPr>
          <w:noProof/>
        </w:rPr>
        <w:fldChar w:fldCharType="end"/>
      </w:r>
    </w:p>
    <w:p w14:paraId="48A41201" w14:textId="042D8F5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110A</w:t>
      </w:r>
      <w:r>
        <w:rPr>
          <w:noProof/>
        </w:rPr>
        <w:tab/>
        <w:t>Determination in respect of employee who has not elected under section 24</w:t>
      </w:r>
      <w:r w:rsidRPr="00723C3F">
        <w:rPr>
          <w:noProof/>
        </w:rPr>
        <w:tab/>
      </w:r>
      <w:r w:rsidRPr="00723C3F">
        <w:rPr>
          <w:noProof/>
        </w:rPr>
        <w:fldChar w:fldCharType="begin"/>
      </w:r>
      <w:r w:rsidRPr="00723C3F">
        <w:rPr>
          <w:noProof/>
        </w:rPr>
        <w:instrText xml:space="preserve"> PAGEREF _Toc185577570 \h </w:instrText>
      </w:r>
      <w:r w:rsidRPr="00723C3F">
        <w:rPr>
          <w:noProof/>
        </w:rPr>
      </w:r>
      <w:r w:rsidRPr="00723C3F">
        <w:rPr>
          <w:noProof/>
        </w:rPr>
        <w:fldChar w:fldCharType="separate"/>
      </w:r>
      <w:r w:rsidR="00845A31">
        <w:rPr>
          <w:noProof/>
        </w:rPr>
        <w:t>174</w:t>
      </w:r>
      <w:r w:rsidRPr="00723C3F">
        <w:rPr>
          <w:noProof/>
        </w:rPr>
        <w:fldChar w:fldCharType="end"/>
      </w:r>
    </w:p>
    <w:p w14:paraId="595391B2" w14:textId="426AA56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110B</w:t>
      </w:r>
      <w:r>
        <w:rPr>
          <w:noProof/>
        </w:rPr>
        <w:tab/>
        <w:t>Board to make determinations on actuarial advice</w:t>
      </w:r>
      <w:r w:rsidRPr="00723C3F">
        <w:rPr>
          <w:noProof/>
        </w:rPr>
        <w:tab/>
      </w:r>
      <w:r w:rsidRPr="00723C3F">
        <w:rPr>
          <w:noProof/>
        </w:rPr>
        <w:fldChar w:fldCharType="begin"/>
      </w:r>
      <w:r w:rsidRPr="00723C3F">
        <w:rPr>
          <w:noProof/>
        </w:rPr>
        <w:instrText xml:space="preserve"> PAGEREF _Toc185577571 \h </w:instrText>
      </w:r>
      <w:r w:rsidRPr="00723C3F">
        <w:rPr>
          <w:noProof/>
        </w:rPr>
      </w:r>
      <w:r w:rsidRPr="00723C3F">
        <w:rPr>
          <w:noProof/>
        </w:rPr>
        <w:fldChar w:fldCharType="separate"/>
      </w:r>
      <w:r w:rsidR="00845A31">
        <w:rPr>
          <w:noProof/>
        </w:rPr>
        <w:t>174</w:t>
      </w:r>
      <w:r w:rsidRPr="00723C3F">
        <w:rPr>
          <w:noProof/>
        </w:rPr>
        <w:fldChar w:fldCharType="end"/>
      </w:r>
    </w:p>
    <w:p w14:paraId="760931A0" w14:textId="0B7BFF2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110C</w:t>
      </w:r>
      <w:r>
        <w:rPr>
          <w:noProof/>
        </w:rPr>
        <w:tab/>
        <w:t>Part VIII not to apply in certain cases</w:t>
      </w:r>
      <w:r w:rsidRPr="00723C3F">
        <w:rPr>
          <w:noProof/>
        </w:rPr>
        <w:tab/>
      </w:r>
      <w:r w:rsidRPr="00723C3F">
        <w:rPr>
          <w:noProof/>
        </w:rPr>
        <w:fldChar w:fldCharType="begin"/>
      </w:r>
      <w:r w:rsidRPr="00723C3F">
        <w:rPr>
          <w:noProof/>
        </w:rPr>
        <w:instrText xml:space="preserve"> PAGEREF _Toc185577572 \h </w:instrText>
      </w:r>
      <w:r w:rsidRPr="00723C3F">
        <w:rPr>
          <w:noProof/>
        </w:rPr>
      </w:r>
      <w:r w:rsidRPr="00723C3F">
        <w:rPr>
          <w:noProof/>
        </w:rPr>
        <w:fldChar w:fldCharType="separate"/>
      </w:r>
      <w:r w:rsidR="00845A31">
        <w:rPr>
          <w:noProof/>
        </w:rPr>
        <w:t>175</w:t>
      </w:r>
      <w:r w:rsidRPr="00723C3F">
        <w:rPr>
          <w:noProof/>
        </w:rPr>
        <w:fldChar w:fldCharType="end"/>
      </w:r>
    </w:p>
    <w:p w14:paraId="59C1D0C4" w14:textId="5A9EE8B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110D</w:t>
      </w:r>
      <w:r>
        <w:rPr>
          <w:noProof/>
        </w:rPr>
        <w:tab/>
        <w:t>Application of this Part on and after 1 July 1976</w:t>
      </w:r>
      <w:r w:rsidRPr="00723C3F">
        <w:rPr>
          <w:noProof/>
        </w:rPr>
        <w:tab/>
      </w:r>
      <w:r w:rsidRPr="00723C3F">
        <w:rPr>
          <w:noProof/>
        </w:rPr>
        <w:fldChar w:fldCharType="begin"/>
      </w:r>
      <w:r w:rsidRPr="00723C3F">
        <w:rPr>
          <w:noProof/>
        </w:rPr>
        <w:instrText xml:space="preserve"> PAGEREF _Toc185577573 \h </w:instrText>
      </w:r>
      <w:r w:rsidRPr="00723C3F">
        <w:rPr>
          <w:noProof/>
        </w:rPr>
      </w:r>
      <w:r w:rsidRPr="00723C3F">
        <w:rPr>
          <w:noProof/>
        </w:rPr>
        <w:fldChar w:fldCharType="separate"/>
      </w:r>
      <w:r w:rsidR="00845A31">
        <w:rPr>
          <w:noProof/>
        </w:rPr>
        <w:t>175</w:t>
      </w:r>
      <w:r w:rsidRPr="00723C3F">
        <w:rPr>
          <w:noProof/>
        </w:rPr>
        <w:fldChar w:fldCharType="end"/>
      </w:r>
    </w:p>
    <w:p w14:paraId="7B72E2F7" w14:textId="7D739349"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IX—Special provisions in relation to certain former contributors to the Defence Forces Retirement Benefits Fund</w:t>
      </w:r>
      <w:r w:rsidRPr="00723C3F">
        <w:rPr>
          <w:b w:val="0"/>
          <w:noProof/>
          <w:sz w:val="18"/>
        </w:rPr>
        <w:tab/>
      </w:r>
      <w:r w:rsidRPr="00723C3F">
        <w:rPr>
          <w:b w:val="0"/>
          <w:noProof/>
          <w:sz w:val="18"/>
        </w:rPr>
        <w:fldChar w:fldCharType="begin"/>
      </w:r>
      <w:r w:rsidRPr="00723C3F">
        <w:rPr>
          <w:b w:val="0"/>
          <w:noProof/>
          <w:sz w:val="18"/>
        </w:rPr>
        <w:instrText xml:space="preserve"> PAGEREF _Toc185577574 \h </w:instrText>
      </w:r>
      <w:r w:rsidRPr="00723C3F">
        <w:rPr>
          <w:b w:val="0"/>
          <w:noProof/>
          <w:sz w:val="18"/>
        </w:rPr>
      </w:r>
      <w:r w:rsidRPr="00723C3F">
        <w:rPr>
          <w:b w:val="0"/>
          <w:noProof/>
          <w:sz w:val="18"/>
        </w:rPr>
        <w:fldChar w:fldCharType="separate"/>
      </w:r>
      <w:r w:rsidR="00845A31">
        <w:rPr>
          <w:b w:val="0"/>
          <w:noProof/>
          <w:sz w:val="18"/>
        </w:rPr>
        <w:t>176</w:t>
      </w:r>
      <w:r w:rsidRPr="00723C3F">
        <w:rPr>
          <w:b w:val="0"/>
          <w:noProof/>
          <w:sz w:val="18"/>
        </w:rPr>
        <w:fldChar w:fldCharType="end"/>
      </w:r>
    </w:p>
    <w:p w14:paraId="017A0FED" w14:textId="7ED49BF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Application of Part</w:t>
      </w:r>
      <w:r w:rsidRPr="00723C3F">
        <w:rPr>
          <w:noProof/>
        </w:rPr>
        <w:tab/>
      </w:r>
      <w:r w:rsidRPr="00723C3F">
        <w:rPr>
          <w:noProof/>
        </w:rPr>
        <w:fldChar w:fldCharType="begin"/>
      </w:r>
      <w:r w:rsidRPr="00723C3F">
        <w:rPr>
          <w:noProof/>
        </w:rPr>
        <w:instrText xml:space="preserve"> PAGEREF _Toc185577575 \h </w:instrText>
      </w:r>
      <w:r w:rsidRPr="00723C3F">
        <w:rPr>
          <w:noProof/>
        </w:rPr>
      </w:r>
      <w:r w:rsidRPr="00723C3F">
        <w:rPr>
          <w:noProof/>
        </w:rPr>
        <w:fldChar w:fldCharType="separate"/>
      </w:r>
      <w:r w:rsidR="00845A31">
        <w:rPr>
          <w:noProof/>
        </w:rPr>
        <w:t>176</w:t>
      </w:r>
      <w:r w:rsidRPr="00723C3F">
        <w:rPr>
          <w:noProof/>
        </w:rPr>
        <w:fldChar w:fldCharType="end"/>
      </w:r>
    </w:p>
    <w:p w14:paraId="42C1A3AE" w14:textId="3DB6E7B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Contributions</w:t>
      </w:r>
      <w:r w:rsidRPr="00723C3F">
        <w:rPr>
          <w:noProof/>
        </w:rPr>
        <w:tab/>
      </w:r>
      <w:r w:rsidRPr="00723C3F">
        <w:rPr>
          <w:noProof/>
        </w:rPr>
        <w:fldChar w:fldCharType="begin"/>
      </w:r>
      <w:r w:rsidRPr="00723C3F">
        <w:rPr>
          <w:noProof/>
        </w:rPr>
        <w:instrText xml:space="preserve"> PAGEREF _Toc185577576 \h </w:instrText>
      </w:r>
      <w:r w:rsidRPr="00723C3F">
        <w:rPr>
          <w:noProof/>
        </w:rPr>
      </w:r>
      <w:r w:rsidRPr="00723C3F">
        <w:rPr>
          <w:noProof/>
        </w:rPr>
        <w:fldChar w:fldCharType="separate"/>
      </w:r>
      <w:r w:rsidR="00845A31">
        <w:rPr>
          <w:noProof/>
        </w:rPr>
        <w:t>177</w:t>
      </w:r>
      <w:r w:rsidRPr="00723C3F">
        <w:rPr>
          <w:noProof/>
        </w:rPr>
        <w:fldChar w:fldCharType="end"/>
      </w:r>
    </w:p>
    <w:p w14:paraId="19B126FA" w14:textId="25032A0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Additional contributions</w:t>
      </w:r>
      <w:r w:rsidRPr="00723C3F">
        <w:rPr>
          <w:noProof/>
        </w:rPr>
        <w:tab/>
      </w:r>
      <w:r w:rsidRPr="00723C3F">
        <w:rPr>
          <w:noProof/>
        </w:rPr>
        <w:fldChar w:fldCharType="begin"/>
      </w:r>
      <w:r w:rsidRPr="00723C3F">
        <w:rPr>
          <w:noProof/>
        </w:rPr>
        <w:instrText xml:space="preserve"> PAGEREF _Toc185577577 \h </w:instrText>
      </w:r>
      <w:r w:rsidRPr="00723C3F">
        <w:rPr>
          <w:noProof/>
        </w:rPr>
      </w:r>
      <w:r w:rsidRPr="00723C3F">
        <w:rPr>
          <w:noProof/>
        </w:rPr>
        <w:fldChar w:fldCharType="separate"/>
      </w:r>
      <w:r w:rsidR="00845A31">
        <w:rPr>
          <w:noProof/>
        </w:rPr>
        <w:t>178</w:t>
      </w:r>
      <w:r w:rsidRPr="00723C3F">
        <w:rPr>
          <w:noProof/>
        </w:rPr>
        <w:fldChar w:fldCharType="end"/>
      </w:r>
    </w:p>
    <w:p w14:paraId="3C30FED1" w14:textId="6230A37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Date of becoming an employee or contributor for certain purposes</w:t>
      </w:r>
      <w:r w:rsidRPr="00723C3F">
        <w:rPr>
          <w:noProof/>
        </w:rPr>
        <w:tab/>
      </w:r>
      <w:r w:rsidRPr="00723C3F">
        <w:rPr>
          <w:noProof/>
        </w:rPr>
        <w:fldChar w:fldCharType="begin"/>
      </w:r>
      <w:r w:rsidRPr="00723C3F">
        <w:rPr>
          <w:noProof/>
        </w:rPr>
        <w:instrText xml:space="preserve"> PAGEREF _Toc185577578 \h </w:instrText>
      </w:r>
      <w:r w:rsidRPr="00723C3F">
        <w:rPr>
          <w:noProof/>
        </w:rPr>
      </w:r>
      <w:r w:rsidRPr="00723C3F">
        <w:rPr>
          <w:noProof/>
        </w:rPr>
        <w:fldChar w:fldCharType="separate"/>
      </w:r>
      <w:r w:rsidR="00845A31">
        <w:rPr>
          <w:noProof/>
        </w:rPr>
        <w:t>178</w:t>
      </w:r>
      <w:r w:rsidRPr="00723C3F">
        <w:rPr>
          <w:noProof/>
        </w:rPr>
        <w:fldChar w:fldCharType="end"/>
      </w:r>
    </w:p>
    <w:p w14:paraId="3EAC6208" w14:textId="26B7ED0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Certain amounts to be paid out of Consolidated Revenue Fund to the Superannuation Fund</w:t>
      </w:r>
      <w:r w:rsidRPr="00723C3F">
        <w:rPr>
          <w:noProof/>
        </w:rPr>
        <w:tab/>
      </w:r>
      <w:r w:rsidRPr="00723C3F">
        <w:rPr>
          <w:noProof/>
        </w:rPr>
        <w:fldChar w:fldCharType="begin"/>
      </w:r>
      <w:r w:rsidRPr="00723C3F">
        <w:rPr>
          <w:noProof/>
        </w:rPr>
        <w:instrText xml:space="preserve"> PAGEREF _Toc185577579 \h </w:instrText>
      </w:r>
      <w:r w:rsidRPr="00723C3F">
        <w:rPr>
          <w:noProof/>
        </w:rPr>
      </w:r>
      <w:r w:rsidRPr="00723C3F">
        <w:rPr>
          <w:noProof/>
        </w:rPr>
        <w:fldChar w:fldCharType="separate"/>
      </w:r>
      <w:r w:rsidR="00845A31">
        <w:rPr>
          <w:noProof/>
        </w:rPr>
        <w:t>179</w:t>
      </w:r>
      <w:r w:rsidRPr="00723C3F">
        <w:rPr>
          <w:noProof/>
        </w:rPr>
        <w:fldChar w:fldCharType="end"/>
      </w:r>
    </w:p>
    <w:p w14:paraId="76399908" w14:textId="7A2B464D"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X—Special provisions in relation to certain members of the Police Force of the Australian Capital Territory</w:t>
      </w:r>
      <w:r w:rsidRPr="00723C3F">
        <w:rPr>
          <w:b w:val="0"/>
          <w:noProof/>
          <w:sz w:val="18"/>
        </w:rPr>
        <w:tab/>
      </w:r>
      <w:r w:rsidRPr="00723C3F">
        <w:rPr>
          <w:b w:val="0"/>
          <w:noProof/>
          <w:sz w:val="18"/>
        </w:rPr>
        <w:fldChar w:fldCharType="begin"/>
      </w:r>
      <w:r w:rsidRPr="00723C3F">
        <w:rPr>
          <w:b w:val="0"/>
          <w:noProof/>
          <w:sz w:val="18"/>
        </w:rPr>
        <w:instrText xml:space="preserve"> PAGEREF _Toc185577580 \h </w:instrText>
      </w:r>
      <w:r w:rsidRPr="00723C3F">
        <w:rPr>
          <w:b w:val="0"/>
          <w:noProof/>
          <w:sz w:val="18"/>
        </w:rPr>
      </w:r>
      <w:r w:rsidRPr="00723C3F">
        <w:rPr>
          <w:b w:val="0"/>
          <w:noProof/>
          <w:sz w:val="18"/>
        </w:rPr>
        <w:fldChar w:fldCharType="separate"/>
      </w:r>
      <w:r w:rsidR="00845A31">
        <w:rPr>
          <w:b w:val="0"/>
          <w:noProof/>
          <w:sz w:val="18"/>
        </w:rPr>
        <w:t>181</w:t>
      </w:r>
      <w:r w:rsidRPr="00723C3F">
        <w:rPr>
          <w:b w:val="0"/>
          <w:noProof/>
          <w:sz w:val="18"/>
        </w:rPr>
        <w:fldChar w:fldCharType="end"/>
      </w:r>
    </w:p>
    <w:p w14:paraId="1AB0B6BA" w14:textId="2CC34EE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Interpretation</w:t>
      </w:r>
      <w:r w:rsidRPr="00723C3F">
        <w:rPr>
          <w:noProof/>
        </w:rPr>
        <w:tab/>
      </w:r>
      <w:r w:rsidRPr="00723C3F">
        <w:rPr>
          <w:noProof/>
        </w:rPr>
        <w:fldChar w:fldCharType="begin"/>
      </w:r>
      <w:r w:rsidRPr="00723C3F">
        <w:rPr>
          <w:noProof/>
        </w:rPr>
        <w:instrText xml:space="preserve"> PAGEREF _Toc185577581 \h </w:instrText>
      </w:r>
      <w:r w:rsidRPr="00723C3F">
        <w:rPr>
          <w:noProof/>
        </w:rPr>
      </w:r>
      <w:r w:rsidRPr="00723C3F">
        <w:rPr>
          <w:noProof/>
        </w:rPr>
        <w:fldChar w:fldCharType="separate"/>
      </w:r>
      <w:r w:rsidR="00845A31">
        <w:rPr>
          <w:noProof/>
        </w:rPr>
        <w:t>181</w:t>
      </w:r>
      <w:r w:rsidRPr="00723C3F">
        <w:rPr>
          <w:noProof/>
        </w:rPr>
        <w:fldChar w:fldCharType="end"/>
      </w:r>
    </w:p>
    <w:p w14:paraId="085EC9ED" w14:textId="0008A98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Superannuation rights and obligations of certain members of the Australian Capital Territory Police Force</w:t>
      </w:r>
      <w:r w:rsidRPr="00723C3F">
        <w:rPr>
          <w:noProof/>
        </w:rPr>
        <w:tab/>
      </w:r>
      <w:r w:rsidRPr="00723C3F">
        <w:rPr>
          <w:noProof/>
        </w:rPr>
        <w:fldChar w:fldCharType="begin"/>
      </w:r>
      <w:r w:rsidRPr="00723C3F">
        <w:rPr>
          <w:noProof/>
        </w:rPr>
        <w:instrText xml:space="preserve"> PAGEREF _Toc185577582 \h </w:instrText>
      </w:r>
      <w:r w:rsidRPr="00723C3F">
        <w:rPr>
          <w:noProof/>
        </w:rPr>
      </w:r>
      <w:r w:rsidRPr="00723C3F">
        <w:rPr>
          <w:noProof/>
        </w:rPr>
        <w:fldChar w:fldCharType="separate"/>
      </w:r>
      <w:r w:rsidR="00845A31">
        <w:rPr>
          <w:noProof/>
        </w:rPr>
        <w:t>181</w:t>
      </w:r>
      <w:r w:rsidRPr="00723C3F">
        <w:rPr>
          <w:noProof/>
        </w:rPr>
        <w:fldChar w:fldCharType="end"/>
      </w:r>
    </w:p>
    <w:p w14:paraId="37754019" w14:textId="7407321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Retrenchment</w:t>
      </w:r>
      <w:r w:rsidRPr="00723C3F">
        <w:rPr>
          <w:noProof/>
        </w:rPr>
        <w:tab/>
      </w:r>
      <w:r w:rsidRPr="00723C3F">
        <w:rPr>
          <w:noProof/>
        </w:rPr>
        <w:fldChar w:fldCharType="begin"/>
      </w:r>
      <w:r w:rsidRPr="00723C3F">
        <w:rPr>
          <w:noProof/>
        </w:rPr>
        <w:instrText xml:space="preserve"> PAGEREF _Toc185577583 \h </w:instrText>
      </w:r>
      <w:r w:rsidRPr="00723C3F">
        <w:rPr>
          <w:noProof/>
        </w:rPr>
      </w:r>
      <w:r w:rsidRPr="00723C3F">
        <w:rPr>
          <w:noProof/>
        </w:rPr>
        <w:fldChar w:fldCharType="separate"/>
      </w:r>
      <w:r w:rsidR="00845A31">
        <w:rPr>
          <w:noProof/>
        </w:rPr>
        <w:t>182</w:t>
      </w:r>
      <w:r w:rsidRPr="00723C3F">
        <w:rPr>
          <w:noProof/>
        </w:rPr>
        <w:fldChar w:fldCharType="end"/>
      </w:r>
    </w:p>
    <w:p w14:paraId="2828BEFF" w14:textId="261FAFC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Payments to be made out of Consolidated Revenue Fund to the Superannuation Fund</w:t>
      </w:r>
      <w:r w:rsidRPr="00723C3F">
        <w:rPr>
          <w:noProof/>
        </w:rPr>
        <w:tab/>
      </w:r>
      <w:r w:rsidRPr="00723C3F">
        <w:rPr>
          <w:noProof/>
        </w:rPr>
        <w:fldChar w:fldCharType="begin"/>
      </w:r>
      <w:r w:rsidRPr="00723C3F">
        <w:rPr>
          <w:noProof/>
        </w:rPr>
        <w:instrText xml:space="preserve"> PAGEREF _Toc185577584 \h </w:instrText>
      </w:r>
      <w:r w:rsidRPr="00723C3F">
        <w:rPr>
          <w:noProof/>
        </w:rPr>
      </w:r>
      <w:r w:rsidRPr="00723C3F">
        <w:rPr>
          <w:noProof/>
        </w:rPr>
        <w:fldChar w:fldCharType="separate"/>
      </w:r>
      <w:r w:rsidR="00845A31">
        <w:rPr>
          <w:noProof/>
        </w:rPr>
        <w:t>182</w:t>
      </w:r>
      <w:r w:rsidRPr="00723C3F">
        <w:rPr>
          <w:noProof/>
        </w:rPr>
        <w:fldChar w:fldCharType="end"/>
      </w:r>
    </w:p>
    <w:p w14:paraId="3E341427" w14:textId="3C0F86BA"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XA—Preservation of rights of certain contributors and former contributors</w:t>
      </w:r>
      <w:r w:rsidRPr="00723C3F">
        <w:rPr>
          <w:b w:val="0"/>
          <w:noProof/>
          <w:sz w:val="18"/>
        </w:rPr>
        <w:tab/>
      </w:r>
      <w:r w:rsidRPr="00723C3F">
        <w:rPr>
          <w:b w:val="0"/>
          <w:noProof/>
          <w:sz w:val="18"/>
        </w:rPr>
        <w:fldChar w:fldCharType="begin"/>
      </w:r>
      <w:r w:rsidRPr="00723C3F">
        <w:rPr>
          <w:b w:val="0"/>
          <w:noProof/>
          <w:sz w:val="18"/>
        </w:rPr>
        <w:instrText xml:space="preserve"> PAGEREF _Toc185577585 \h </w:instrText>
      </w:r>
      <w:r w:rsidRPr="00723C3F">
        <w:rPr>
          <w:b w:val="0"/>
          <w:noProof/>
          <w:sz w:val="18"/>
        </w:rPr>
      </w:r>
      <w:r w:rsidRPr="00723C3F">
        <w:rPr>
          <w:b w:val="0"/>
          <w:noProof/>
          <w:sz w:val="18"/>
        </w:rPr>
        <w:fldChar w:fldCharType="separate"/>
      </w:r>
      <w:r w:rsidR="00845A31">
        <w:rPr>
          <w:b w:val="0"/>
          <w:noProof/>
          <w:sz w:val="18"/>
        </w:rPr>
        <w:t>184</w:t>
      </w:r>
      <w:r w:rsidRPr="00723C3F">
        <w:rPr>
          <w:b w:val="0"/>
          <w:noProof/>
          <w:sz w:val="18"/>
        </w:rPr>
        <w:fldChar w:fldCharType="end"/>
      </w:r>
    </w:p>
    <w:p w14:paraId="6EF5FC00" w14:textId="1C95D7A8"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723C3F">
        <w:rPr>
          <w:b w:val="0"/>
          <w:noProof/>
          <w:sz w:val="18"/>
        </w:rPr>
        <w:tab/>
      </w:r>
      <w:r w:rsidRPr="00723C3F">
        <w:rPr>
          <w:b w:val="0"/>
          <w:noProof/>
          <w:sz w:val="18"/>
        </w:rPr>
        <w:fldChar w:fldCharType="begin"/>
      </w:r>
      <w:r w:rsidRPr="00723C3F">
        <w:rPr>
          <w:b w:val="0"/>
          <w:noProof/>
          <w:sz w:val="18"/>
        </w:rPr>
        <w:instrText xml:space="preserve"> PAGEREF _Toc185577586 \h </w:instrText>
      </w:r>
      <w:r w:rsidRPr="00723C3F">
        <w:rPr>
          <w:b w:val="0"/>
          <w:noProof/>
          <w:sz w:val="18"/>
        </w:rPr>
      </w:r>
      <w:r w:rsidRPr="00723C3F">
        <w:rPr>
          <w:b w:val="0"/>
          <w:noProof/>
          <w:sz w:val="18"/>
        </w:rPr>
        <w:fldChar w:fldCharType="separate"/>
      </w:r>
      <w:r w:rsidR="00845A31">
        <w:rPr>
          <w:b w:val="0"/>
          <w:noProof/>
          <w:sz w:val="18"/>
        </w:rPr>
        <w:t>184</w:t>
      </w:r>
      <w:r w:rsidRPr="00723C3F">
        <w:rPr>
          <w:b w:val="0"/>
          <w:noProof/>
          <w:sz w:val="18"/>
        </w:rPr>
        <w:fldChar w:fldCharType="end"/>
      </w:r>
    </w:p>
    <w:p w14:paraId="6DD1720D" w14:textId="11A31A7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119A</w:t>
      </w:r>
      <w:r>
        <w:rPr>
          <w:noProof/>
        </w:rPr>
        <w:tab/>
        <w:t>Interpretation</w:t>
      </w:r>
      <w:r w:rsidRPr="00723C3F">
        <w:rPr>
          <w:noProof/>
        </w:rPr>
        <w:tab/>
      </w:r>
      <w:r w:rsidRPr="00723C3F">
        <w:rPr>
          <w:noProof/>
        </w:rPr>
        <w:fldChar w:fldCharType="begin"/>
      </w:r>
      <w:r w:rsidRPr="00723C3F">
        <w:rPr>
          <w:noProof/>
        </w:rPr>
        <w:instrText xml:space="preserve"> PAGEREF _Toc185577587 \h </w:instrText>
      </w:r>
      <w:r w:rsidRPr="00723C3F">
        <w:rPr>
          <w:noProof/>
        </w:rPr>
      </w:r>
      <w:r w:rsidRPr="00723C3F">
        <w:rPr>
          <w:noProof/>
        </w:rPr>
        <w:fldChar w:fldCharType="separate"/>
      </w:r>
      <w:r w:rsidR="00845A31">
        <w:rPr>
          <w:noProof/>
        </w:rPr>
        <w:t>184</w:t>
      </w:r>
      <w:r w:rsidRPr="00723C3F">
        <w:rPr>
          <w:noProof/>
        </w:rPr>
        <w:fldChar w:fldCharType="end"/>
      </w:r>
    </w:p>
    <w:p w14:paraId="171145DA" w14:textId="3C93275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119B</w:t>
      </w:r>
      <w:r>
        <w:rPr>
          <w:noProof/>
        </w:rPr>
        <w:tab/>
        <w:t>Determinations by the Board</w:t>
      </w:r>
      <w:r w:rsidRPr="00723C3F">
        <w:rPr>
          <w:noProof/>
        </w:rPr>
        <w:tab/>
      </w:r>
      <w:r w:rsidRPr="00723C3F">
        <w:rPr>
          <w:noProof/>
        </w:rPr>
        <w:fldChar w:fldCharType="begin"/>
      </w:r>
      <w:r w:rsidRPr="00723C3F">
        <w:rPr>
          <w:noProof/>
        </w:rPr>
        <w:instrText xml:space="preserve"> PAGEREF _Toc185577588 \h </w:instrText>
      </w:r>
      <w:r w:rsidRPr="00723C3F">
        <w:rPr>
          <w:noProof/>
        </w:rPr>
      </w:r>
      <w:r w:rsidRPr="00723C3F">
        <w:rPr>
          <w:noProof/>
        </w:rPr>
        <w:fldChar w:fldCharType="separate"/>
      </w:r>
      <w:r w:rsidR="00845A31">
        <w:rPr>
          <w:noProof/>
        </w:rPr>
        <w:t>185</w:t>
      </w:r>
      <w:r w:rsidRPr="00723C3F">
        <w:rPr>
          <w:noProof/>
        </w:rPr>
        <w:fldChar w:fldCharType="end"/>
      </w:r>
    </w:p>
    <w:p w14:paraId="0CB169AE" w14:textId="435F2454"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2—Employees who have preserved rights from previous employment</w:t>
      </w:r>
      <w:r w:rsidRPr="00723C3F">
        <w:rPr>
          <w:b w:val="0"/>
          <w:noProof/>
          <w:sz w:val="18"/>
        </w:rPr>
        <w:tab/>
      </w:r>
      <w:r w:rsidRPr="00723C3F">
        <w:rPr>
          <w:b w:val="0"/>
          <w:noProof/>
          <w:sz w:val="18"/>
        </w:rPr>
        <w:fldChar w:fldCharType="begin"/>
      </w:r>
      <w:r w:rsidRPr="00723C3F">
        <w:rPr>
          <w:b w:val="0"/>
          <w:noProof/>
          <w:sz w:val="18"/>
        </w:rPr>
        <w:instrText xml:space="preserve"> PAGEREF _Toc185577589 \h </w:instrText>
      </w:r>
      <w:r w:rsidRPr="00723C3F">
        <w:rPr>
          <w:b w:val="0"/>
          <w:noProof/>
          <w:sz w:val="18"/>
        </w:rPr>
      </w:r>
      <w:r w:rsidRPr="00723C3F">
        <w:rPr>
          <w:b w:val="0"/>
          <w:noProof/>
          <w:sz w:val="18"/>
        </w:rPr>
        <w:fldChar w:fldCharType="separate"/>
      </w:r>
      <w:r w:rsidR="00845A31">
        <w:rPr>
          <w:b w:val="0"/>
          <w:noProof/>
          <w:sz w:val="18"/>
        </w:rPr>
        <w:t>186</w:t>
      </w:r>
      <w:r w:rsidRPr="00723C3F">
        <w:rPr>
          <w:b w:val="0"/>
          <w:noProof/>
          <w:sz w:val="18"/>
        </w:rPr>
        <w:fldChar w:fldCharType="end"/>
      </w:r>
    </w:p>
    <w:p w14:paraId="0D2FF581" w14:textId="37A73B1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119C</w:t>
      </w:r>
      <w:r>
        <w:rPr>
          <w:noProof/>
        </w:rPr>
        <w:tab/>
        <w:t>Application of Division to former contributors to Provident Account</w:t>
      </w:r>
      <w:r w:rsidRPr="00723C3F">
        <w:rPr>
          <w:noProof/>
        </w:rPr>
        <w:tab/>
      </w:r>
      <w:r w:rsidRPr="00723C3F">
        <w:rPr>
          <w:noProof/>
        </w:rPr>
        <w:fldChar w:fldCharType="begin"/>
      </w:r>
      <w:r w:rsidRPr="00723C3F">
        <w:rPr>
          <w:noProof/>
        </w:rPr>
        <w:instrText xml:space="preserve"> PAGEREF _Toc185577590 \h </w:instrText>
      </w:r>
      <w:r w:rsidRPr="00723C3F">
        <w:rPr>
          <w:noProof/>
        </w:rPr>
      </w:r>
      <w:r w:rsidRPr="00723C3F">
        <w:rPr>
          <w:noProof/>
        </w:rPr>
        <w:fldChar w:fldCharType="separate"/>
      </w:r>
      <w:r w:rsidR="00845A31">
        <w:rPr>
          <w:noProof/>
        </w:rPr>
        <w:t>186</w:t>
      </w:r>
      <w:r w:rsidRPr="00723C3F">
        <w:rPr>
          <w:noProof/>
        </w:rPr>
        <w:fldChar w:fldCharType="end"/>
      </w:r>
    </w:p>
    <w:p w14:paraId="03EA1FAC" w14:textId="10486C9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119D</w:t>
      </w:r>
      <w:r>
        <w:rPr>
          <w:noProof/>
        </w:rPr>
        <w:tab/>
        <w:t>Transfer value payable in respect of previous employment</w:t>
      </w:r>
      <w:r w:rsidRPr="00723C3F">
        <w:rPr>
          <w:noProof/>
        </w:rPr>
        <w:tab/>
      </w:r>
      <w:r w:rsidRPr="00723C3F">
        <w:rPr>
          <w:noProof/>
        </w:rPr>
        <w:fldChar w:fldCharType="begin"/>
      </w:r>
      <w:r w:rsidRPr="00723C3F">
        <w:rPr>
          <w:noProof/>
        </w:rPr>
        <w:instrText xml:space="preserve"> PAGEREF _Toc185577591 \h </w:instrText>
      </w:r>
      <w:r w:rsidRPr="00723C3F">
        <w:rPr>
          <w:noProof/>
        </w:rPr>
      </w:r>
      <w:r w:rsidRPr="00723C3F">
        <w:rPr>
          <w:noProof/>
        </w:rPr>
        <w:fldChar w:fldCharType="separate"/>
      </w:r>
      <w:r w:rsidR="00845A31">
        <w:rPr>
          <w:noProof/>
        </w:rPr>
        <w:t>186</w:t>
      </w:r>
      <w:r w:rsidRPr="00723C3F">
        <w:rPr>
          <w:noProof/>
        </w:rPr>
        <w:fldChar w:fldCharType="end"/>
      </w:r>
    </w:p>
    <w:p w14:paraId="47CDB9BD" w14:textId="0817348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119E</w:t>
      </w:r>
      <w:r>
        <w:rPr>
          <w:noProof/>
        </w:rPr>
        <w:tab/>
        <w:t>Pension payable in respect of previous employment</w:t>
      </w:r>
      <w:r w:rsidRPr="00723C3F">
        <w:rPr>
          <w:noProof/>
        </w:rPr>
        <w:tab/>
      </w:r>
      <w:r w:rsidRPr="00723C3F">
        <w:rPr>
          <w:noProof/>
        </w:rPr>
        <w:fldChar w:fldCharType="begin"/>
      </w:r>
      <w:r w:rsidRPr="00723C3F">
        <w:rPr>
          <w:noProof/>
        </w:rPr>
        <w:instrText xml:space="preserve"> PAGEREF _Toc185577592 \h </w:instrText>
      </w:r>
      <w:r w:rsidRPr="00723C3F">
        <w:rPr>
          <w:noProof/>
        </w:rPr>
      </w:r>
      <w:r w:rsidRPr="00723C3F">
        <w:rPr>
          <w:noProof/>
        </w:rPr>
        <w:fldChar w:fldCharType="separate"/>
      </w:r>
      <w:r w:rsidR="00845A31">
        <w:rPr>
          <w:noProof/>
        </w:rPr>
        <w:t>188</w:t>
      </w:r>
      <w:r w:rsidRPr="00723C3F">
        <w:rPr>
          <w:noProof/>
        </w:rPr>
        <w:fldChar w:fldCharType="end"/>
      </w:r>
    </w:p>
    <w:p w14:paraId="3A5B609A" w14:textId="33B632C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119F</w:t>
      </w:r>
      <w:r>
        <w:rPr>
          <w:noProof/>
        </w:rPr>
        <w:tab/>
        <w:t>Deferred benefits applicable in respect of previous employment</w:t>
      </w:r>
      <w:r w:rsidRPr="00723C3F">
        <w:rPr>
          <w:noProof/>
        </w:rPr>
        <w:tab/>
      </w:r>
      <w:r w:rsidRPr="00723C3F">
        <w:rPr>
          <w:noProof/>
        </w:rPr>
        <w:fldChar w:fldCharType="begin"/>
      </w:r>
      <w:r w:rsidRPr="00723C3F">
        <w:rPr>
          <w:noProof/>
        </w:rPr>
        <w:instrText xml:space="preserve"> PAGEREF _Toc185577593 \h </w:instrText>
      </w:r>
      <w:r w:rsidRPr="00723C3F">
        <w:rPr>
          <w:noProof/>
        </w:rPr>
      </w:r>
      <w:r w:rsidRPr="00723C3F">
        <w:rPr>
          <w:noProof/>
        </w:rPr>
        <w:fldChar w:fldCharType="separate"/>
      </w:r>
      <w:r w:rsidR="00845A31">
        <w:rPr>
          <w:noProof/>
        </w:rPr>
        <w:t>189</w:t>
      </w:r>
      <w:r w:rsidRPr="00723C3F">
        <w:rPr>
          <w:noProof/>
        </w:rPr>
        <w:fldChar w:fldCharType="end"/>
      </w:r>
    </w:p>
    <w:p w14:paraId="5E95BEB9" w14:textId="4CB5515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119G</w:t>
      </w:r>
      <w:r>
        <w:rPr>
          <w:noProof/>
        </w:rPr>
        <w:tab/>
        <w:t>Declaration by employee who has previously been in employment</w:t>
      </w:r>
      <w:r w:rsidRPr="00723C3F">
        <w:rPr>
          <w:noProof/>
        </w:rPr>
        <w:tab/>
      </w:r>
      <w:r w:rsidRPr="00723C3F">
        <w:rPr>
          <w:noProof/>
        </w:rPr>
        <w:fldChar w:fldCharType="begin"/>
      </w:r>
      <w:r w:rsidRPr="00723C3F">
        <w:rPr>
          <w:noProof/>
        </w:rPr>
        <w:instrText xml:space="preserve"> PAGEREF _Toc185577594 \h </w:instrText>
      </w:r>
      <w:r w:rsidRPr="00723C3F">
        <w:rPr>
          <w:noProof/>
        </w:rPr>
      </w:r>
      <w:r w:rsidRPr="00723C3F">
        <w:rPr>
          <w:noProof/>
        </w:rPr>
        <w:fldChar w:fldCharType="separate"/>
      </w:r>
      <w:r w:rsidR="00845A31">
        <w:rPr>
          <w:noProof/>
        </w:rPr>
        <w:t>189</w:t>
      </w:r>
      <w:r w:rsidRPr="00723C3F">
        <w:rPr>
          <w:noProof/>
        </w:rPr>
        <w:fldChar w:fldCharType="end"/>
      </w:r>
    </w:p>
    <w:p w14:paraId="31C2A3B0" w14:textId="553DCA9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119H</w:t>
      </w:r>
      <w:r>
        <w:rPr>
          <w:noProof/>
        </w:rPr>
        <w:tab/>
        <w:t>Contributors with superannuation rights from previous employment</w:t>
      </w:r>
      <w:r w:rsidRPr="00723C3F">
        <w:rPr>
          <w:noProof/>
        </w:rPr>
        <w:tab/>
      </w:r>
      <w:r w:rsidRPr="00723C3F">
        <w:rPr>
          <w:noProof/>
        </w:rPr>
        <w:fldChar w:fldCharType="begin"/>
      </w:r>
      <w:r w:rsidRPr="00723C3F">
        <w:rPr>
          <w:noProof/>
        </w:rPr>
        <w:instrText xml:space="preserve"> PAGEREF _Toc185577595 \h </w:instrText>
      </w:r>
      <w:r w:rsidRPr="00723C3F">
        <w:rPr>
          <w:noProof/>
        </w:rPr>
      </w:r>
      <w:r w:rsidRPr="00723C3F">
        <w:rPr>
          <w:noProof/>
        </w:rPr>
        <w:fldChar w:fldCharType="separate"/>
      </w:r>
      <w:r w:rsidR="00845A31">
        <w:rPr>
          <w:noProof/>
        </w:rPr>
        <w:t>191</w:t>
      </w:r>
      <w:r w:rsidRPr="00723C3F">
        <w:rPr>
          <w:noProof/>
        </w:rPr>
        <w:fldChar w:fldCharType="end"/>
      </w:r>
    </w:p>
    <w:p w14:paraId="130E60AC" w14:textId="087FA39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119J</w:t>
      </w:r>
      <w:r>
        <w:rPr>
          <w:noProof/>
        </w:rPr>
        <w:tab/>
        <w:t>Rights of contributors who elect to pay transfer value to Board</w:t>
      </w:r>
      <w:r w:rsidRPr="00723C3F">
        <w:rPr>
          <w:noProof/>
        </w:rPr>
        <w:tab/>
      </w:r>
      <w:r w:rsidRPr="00723C3F">
        <w:rPr>
          <w:noProof/>
        </w:rPr>
        <w:fldChar w:fldCharType="begin"/>
      </w:r>
      <w:r w:rsidRPr="00723C3F">
        <w:rPr>
          <w:noProof/>
        </w:rPr>
        <w:instrText xml:space="preserve"> PAGEREF _Toc185577596 \h </w:instrText>
      </w:r>
      <w:r w:rsidRPr="00723C3F">
        <w:rPr>
          <w:noProof/>
        </w:rPr>
      </w:r>
      <w:r w:rsidRPr="00723C3F">
        <w:rPr>
          <w:noProof/>
        </w:rPr>
        <w:fldChar w:fldCharType="separate"/>
      </w:r>
      <w:r w:rsidR="00845A31">
        <w:rPr>
          <w:noProof/>
        </w:rPr>
        <w:t>193</w:t>
      </w:r>
      <w:r w:rsidRPr="00723C3F">
        <w:rPr>
          <w:noProof/>
        </w:rPr>
        <w:fldChar w:fldCharType="end"/>
      </w:r>
    </w:p>
    <w:p w14:paraId="299F4FC6" w14:textId="2EC60E5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119K</w:t>
      </w:r>
      <w:r>
        <w:rPr>
          <w:noProof/>
        </w:rPr>
        <w:tab/>
        <w:t>Rights of contributors in other cases</w:t>
      </w:r>
      <w:r w:rsidRPr="00723C3F">
        <w:rPr>
          <w:noProof/>
        </w:rPr>
        <w:tab/>
      </w:r>
      <w:r w:rsidRPr="00723C3F">
        <w:rPr>
          <w:noProof/>
        </w:rPr>
        <w:fldChar w:fldCharType="begin"/>
      </w:r>
      <w:r w:rsidRPr="00723C3F">
        <w:rPr>
          <w:noProof/>
        </w:rPr>
        <w:instrText xml:space="preserve"> PAGEREF _Toc185577597 \h </w:instrText>
      </w:r>
      <w:r w:rsidRPr="00723C3F">
        <w:rPr>
          <w:noProof/>
        </w:rPr>
      </w:r>
      <w:r w:rsidRPr="00723C3F">
        <w:rPr>
          <w:noProof/>
        </w:rPr>
        <w:fldChar w:fldCharType="separate"/>
      </w:r>
      <w:r w:rsidR="00845A31">
        <w:rPr>
          <w:noProof/>
        </w:rPr>
        <w:t>199</w:t>
      </w:r>
      <w:r w:rsidRPr="00723C3F">
        <w:rPr>
          <w:noProof/>
        </w:rPr>
        <w:fldChar w:fldCharType="end"/>
      </w:r>
    </w:p>
    <w:p w14:paraId="5FC415A0" w14:textId="4BB0524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119L</w:t>
      </w:r>
      <w:r>
        <w:rPr>
          <w:noProof/>
        </w:rPr>
        <w:tab/>
        <w:t>Matters to be taken into account by actuary in furnishing advice to Board</w:t>
      </w:r>
      <w:r w:rsidRPr="00723C3F">
        <w:rPr>
          <w:noProof/>
        </w:rPr>
        <w:tab/>
      </w:r>
      <w:r w:rsidRPr="00723C3F">
        <w:rPr>
          <w:noProof/>
        </w:rPr>
        <w:fldChar w:fldCharType="begin"/>
      </w:r>
      <w:r w:rsidRPr="00723C3F">
        <w:rPr>
          <w:noProof/>
        </w:rPr>
        <w:instrText xml:space="preserve"> PAGEREF _Toc185577598 \h </w:instrText>
      </w:r>
      <w:r w:rsidRPr="00723C3F">
        <w:rPr>
          <w:noProof/>
        </w:rPr>
      </w:r>
      <w:r w:rsidRPr="00723C3F">
        <w:rPr>
          <w:noProof/>
        </w:rPr>
        <w:fldChar w:fldCharType="separate"/>
      </w:r>
      <w:r w:rsidR="00845A31">
        <w:rPr>
          <w:noProof/>
        </w:rPr>
        <w:t>201</w:t>
      </w:r>
      <w:r w:rsidRPr="00723C3F">
        <w:rPr>
          <w:noProof/>
        </w:rPr>
        <w:fldChar w:fldCharType="end"/>
      </w:r>
    </w:p>
    <w:p w14:paraId="007E8BE5" w14:textId="5FD00FE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119M</w:t>
      </w:r>
      <w:r>
        <w:rPr>
          <w:noProof/>
        </w:rPr>
        <w:tab/>
        <w:t>Exemption of certain employees from medical examination</w:t>
      </w:r>
      <w:r w:rsidRPr="00723C3F">
        <w:rPr>
          <w:noProof/>
        </w:rPr>
        <w:tab/>
      </w:r>
      <w:r w:rsidRPr="00723C3F">
        <w:rPr>
          <w:noProof/>
        </w:rPr>
        <w:fldChar w:fldCharType="begin"/>
      </w:r>
      <w:r w:rsidRPr="00723C3F">
        <w:rPr>
          <w:noProof/>
        </w:rPr>
        <w:instrText xml:space="preserve"> PAGEREF _Toc185577599 \h </w:instrText>
      </w:r>
      <w:r w:rsidRPr="00723C3F">
        <w:rPr>
          <w:noProof/>
        </w:rPr>
      </w:r>
      <w:r w:rsidRPr="00723C3F">
        <w:rPr>
          <w:noProof/>
        </w:rPr>
        <w:fldChar w:fldCharType="separate"/>
      </w:r>
      <w:r w:rsidR="00845A31">
        <w:rPr>
          <w:noProof/>
        </w:rPr>
        <w:t>203</w:t>
      </w:r>
      <w:r w:rsidRPr="00723C3F">
        <w:rPr>
          <w:noProof/>
        </w:rPr>
        <w:fldChar w:fldCharType="end"/>
      </w:r>
    </w:p>
    <w:p w14:paraId="11C991D5" w14:textId="6E2D0EF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119MA</w:t>
      </w:r>
      <w:r>
        <w:rPr>
          <w:noProof/>
        </w:rPr>
        <w:tab/>
        <w:t>Application of Division on and after 1 July 1976</w:t>
      </w:r>
      <w:r w:rsidRPr="00723C3F">
        <w:rPr>
          <w:noProof/>
        </w:rPr>
        <w:tab/>
      </w:r>
      <w:r w:rsidRPr="00723C3F">
        <w:rPr>
          <w:noProof/>
        </w:rPr>
        <w:fldChar w:fldCharType="begin"/>
      </w:r>
      <w:r w:rsidRPr="00723C3F">
        <w:rPr>
          <w:noProof/>
        </w:rPr>
        <w:instrText xml:space="preserve"> PAGEREF _Toc185577600 \h </w:instrText>
      </w:r>
      <w:r w:rsidRPr="00723C3F">
        <w:rPr>
          <w:noProof/>
        </w:rPr>
      </w:r>
      <w:r w:rsidRPr="00723C3F">
        <w:rPr>
          <w:noProof/>
        </w:rPr>
        <w:fldChar w:fldCharType="separate"/>
      </w:r>
      <w:r w:rsidR="00845A31">
        <w:rPr>
          <w:noProof/>
        </w:rPr>
        <w:t>205</w:t>
      </w:r>
      <w:r w:rsidRPr="00723C3F">
        <w:rPr>
          <w:noProof/>
        </w:rPr>
        <w:fldChar w:fldCharType="end"/>
      </w:r>
    </w:p>
    <w:p w14:paraId="7CEC5059" w14:textId="1DC34BC0"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3—Preservation of rights of persons ceasing to be contributors</w:t>
      </w:r>
      <w:r w:rsidRPr="00723C3F">
        <w:rPr>
          <w:b w:val="0"/>
          <w:noProof/>
          <w:sz w:val="18"/>
        </w:rPr>
        <w:tab/>
      </w:r>
      <w:r w:rsidRPr="00723C3F">
        <w:rPr>
          <w:b w:val="0"/>
          <w:noProof/>
          <w:sz w:val="18"/>
        </w:rPr>
        <w:fldChar w:fldCharType="begin"/>
      </w:r>
      <w:r w:rsidRPr="00723C3F">
        <w:rPr>
          <w:b w:val="0"/>
          <w:noProof/>
          <w:sz w:val="18"/>
        </w:rPr>
        <w:instrText xml:space="preserve"> PAGEREF _Toc185577601 \h </w:instrText>
      </w:r>
      <w:r w:rsidRPr="00723C3F">
        <w:rPr>
          <w:b w:val="0"/>
          <w:noProof/>
          <w:sz w:val="18"/>
        </w:rPr>
      </w:r>
      <w:r w:rsidRPr="00723C3F">
        <w:rPr>
          <w:b w:val="0"/>
          <w:noProof/>
          <w:sz w:val="18"/>
        </w:rPr>
        <w:fldChar w:fldCharType="separate"/>
      </w:r>
      <w:r w:rsidR="00845A31">
        <w:rPr>
          <w:b w:val="0"/>
          <w:noProof/>
          <w:sz w:val="18"/>
        </w:rPr>
        <w:t>206</w:t>
      </w:r>
      <w:r w:rsidRPr="00723C3F">
        <w:rPr>
          <w:b w:val="0"/>
          <w:noProof/>
          <w:sz w:val="18"/>
        </w:rPr>
        <w:fldChar w:fldCharType="end"/>
      </w:r>
    </w:p>
    <w:p w14:paraId="10D365FA" w14:textId="2266FF8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119N</w:t>
      </w:r>
      <w:r>
        <w:rPr>
          <w:noProof/>
        </w:rPr>
        <w:tab/>
        <w:t>Interpretation</w:t>
      </w:r>
      <w:r w:rsidRPr="00723C3F">
        <w:rPr>
          <w:noProof/>
        </w:rPr>
        <w:tab/>
      </w:r>
      <w:r w:rsidRPr="00723C3F">
        <w:rPr>
          <w:noProof/>
        </w:rPr>
        <w:fldChar w:fldCharType="begin"/>
      </w:r>
      <w:r w:rsidRPr="00723C3F">
        <w:rPr>
          <w:noProof/>
        </w:rPr>
        <w:instrText xml:space="preserve"> PAGEREF _Toc185577602 \h </w:instrText>
      </w:r>
      <w:r w:rsidRPr="00723C3F">
        <w:rPr>
          <w:noProof/>
        </w:rPr>
      </w:r>
      <w:r w:rsidRPr="00723C3F">
        <w:rPr>
          <w:noProof/>
        </w:rPr>
        <w:fldChar w:fldCharType="separate"/>
      </w:r>
      <w:r w:rsidR="00845A31">
        <w:rPr>
          <w:noProof/>
        </w:rPr>
        <w:t>206</w:t>
      </w:r>
      <w:r w:rsidRPr="00723C3F">
        <w:rPr>
          <w:noProof/>
        </w:rPr>
        <w:fldChar w:fldCharType="end"/>
      </w:r>
    </w:p>
    <w:p w14:paraId="18FBD874" w14:textId="2D158D3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119P</w:t>
      </w:r>
      <w:r>
        <w:rPr>
          <w:noProof/>
        </w:rPr>
        <w:tab/>
        <w:t>Eligible employment</w:t>
      </w:r>
      <w:r w:rsidRPr="00723C3F">
        <w:rPr>
          <w:noProof/>
        </w:rPr>
        <w:tab/>
      </w:r>
      <w:r w:rsidRPr="00723C3F">
        <w:rPr>
          <w:noProof/>
        </w:rPr>
        <w:fldChar w:fldCharType="begin"/>
      </w:r>
      <w:r w:rsidRPr="00723C3F">
        <w:rPr>
          <w:noProof/>
        </w:rPr>
        <w:instrText xml:space="preserve"> PAGEREF _Toc185577603 \h </w:instrText>
      </w:r>
      <w:r w:rsidRPr="00723C3F">
        <w:rPr>
          <w:noProof/>
        </w:rPr>
      </w:r>
      <w:r w:rsidRPr="00723C3F">
        <w:rPr>
          <w:noProof/>
        </w:rPr>
        <w:fldChar w:fldCharType="separate"/>
      </w:r>
      <w:r w:rsidR="00845A31">
        <w:rPr>
          <w:noProof/>
        </w:rPr>
        <w:t>207</w:t>
      </w:r>
      <w:r w:rsidRPr="00723C3F">
        <w:rPr>
          <w:noProof/>
        </w:rPr>
        <w:fldChar w:fldCharType="end"/>
      </w:r>
    </w:p>
    <w:p w14:paraId="10AB8933" w14:textId="2C6E6F2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119Q</w:t>
      </w:r>
      <w:r>
        <w:rPr>
          <w:noProof/>
        </w:rPr>
        <w:tab/>
        <w:t>Public employment</w:t>
      </w:r>
      <w:r w:rsidRPr="00723C3F">
        <w:rPr>
          <w:noProof/>
        </w:rPr>
        <w:tab/>
      </w:r>
      <w:r w:rsidRPr="00723C3F">
        <w:rPr>
          <w:noProof/>
        </w:rPr>
        <w:fldChar w:fldCharType="begin"/>
      </w:r>
      <w:r w:rsidRPr="00723C3F">
        <w:rPr>
          <w:noProof/>
        </w:rPr>
        <w:instrText xml:space="preserve"> PAGEREF _Toc185577604 \h </w:instrText>
      </w:r>
      <w:r w:rsidRPr="00723C3F">
        <w:rPr>
          <w:noProof/>
        </w:rPr>
      </w:r>
      <w:r w:rsidRPr="00723C3F">
        <w:rPr>
          <w:noProof/>
        </w:rPr>
        <w:fldChar w:fldCharType="separate"/>
      </w:r>
      <w:r w:rsidR="00845A31">
        <w:rPr>
          <w:noProof/>
        </w:rPr>
        <w:t>211</w:t>
      </w:r>
      <w:r w:rsidRPr="00723C3F">
        <w:rPr>
          <w:noProof/>
        </w:rPr>
        <w:fldChar w:fldCharType="end"/>
      </w:r>
    </w:p>
    <w:p w14:paraId="1FBB1FB4" w14:textId="0096320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119R</w:t>
      </w:r>
      <w:r>
        <w:rPr>
          <w:noProof/>
        </w:rPr>
        <w:tab/>
        <w:t>Eligible superannuation schemes</w:t>
      </w:r>
      <w:r w:rsidRPr="00723C3F">
        <w:rPr>
          <w:noProof/>
        </w:rPr>
        <w:tab/>
      </w:r>
      <w:r w:rsidRPr="00723C3F">
        <w:rPr>
          <w:noProof/>
        </w:rPr>
        <w:fldChar w:fldCharType="begin"/>
      </w:r>
      <w:r w:rsidRPr="00723C3F">
        <w:rPr>
          <w:noProof/>
        </w:rPr>
        <w:instrText xml:space="preserve"> PAGEREF _Toc185577605 \h </w:instrText>
      </w:r>
      <w:r w:rsidRPr="00723C3F">
        <w:rPr>
          <w:noProof/>
        </w:rPr>
      </w:r>
      <w:r w:rsidRPr="00723C3F">
        <w:rPr>
          <w:noProof/>
        </w:rPr>
        <w:fldChar w:fldCharType="separate"/>
      </w:r>
      <w:r w:rsidR="00845A31">
        <w:rPr>
          <w:noProof/>
        </w:rPr>
        <w:t>213</w:t>
      </w:r>
      <w:r w:rsidRPr="00723C3F">
        <w:rPr>
          <w:noProof/>
        </w:rPr>
        <w:fldChar w:fldCharType="end"/>
      </w:r>
    </w:p>
    <w:p w14:paraId="68BBFC61" w14:textId="0ADD2B6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119S</w:t>
      </w:r>
      <w:r>
        <w:rPr>
          <w:noProof/>
        </w:rPr>
        <w:tab/>
        <w:t>Transfer value</w:t>
      </w:r>
      <w:r w:rsidRPr="00723C3F">
        <w:rPr>
          <w:noProof/>
        </w:rPr>
        <w:tab/>
      </w:r>
      <w:r w:rsidRPr="00723C3F">
        <w:rPr>
          <w:noProof/>
        </w:rPr>
        <w:fldChar w:fldCharType="begin"/>
      </w:r>
      <w:r w:rsidRPr="00723C3F">
        <w:rPr>
          <w:noProof/>
        </w:rPr>
        <w:instrText xml:space="preserve"> PAGEREF _Toc185577606 \h </w:instrText>
      </w:r>
      <w:r w:rsidRPr="00723C3F">
        <w:rPr>
          <w:noProof/>
        </w:rPr>
      </w:r>
      <w:r w:rsidRPr="00723C3F">
        <w:rPr>
          <w:noProof/>
        </w:rPr>
        <w:fldChar w:fldCharType="separate"/>
      </w:r>
      <w:r w:rsidR="00845A31">
        <w:rPr>
          <w:noProof/>
        </w:rPr>
        <w:t>213</w:t>
      </w:r>
      <w:r w:rsidRPr="00723C3F">
        <w:rPr>
          <w:noProof/>
        </w:rPr>
        <w:fldChar w:fldCharType="end"/>
      </w:r>
    </w:p>
    <w:p w14:paraId="0ECDF3BA" w14:textId="13965D2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119T</w:t>
      </w:r>
      <w:r>
        <w:rPr>
          <w:noProof/>
        </w:rPr>
        <w:tab/>
        <w:t>Deferred benefits</w:t>
      </w:r>
      <w:r w:rsidRPr="00723C3F">
        <w:rPr>
          <w:noProof/>
        </w:rPr>
        <w:tab/>
      </w:r>
      <w:r w:rsidRPr="00723C3F">
        <w:rPr>
          <w:noProof/>
        </w:rPr>
        <w:fldChar w:fldCharType="begin"/>
      </w:r>
      <w:r w:rsidRPr="00723C3F">
        <w:rPr>
          <w:noProof/>
        </w:rPr>
        <w:instrText xml:space="preserve"> PAGEREF _Toc185577607 \h </w:instrText>
      </w:r>
      <w:r w:rsidRPr="00723C3F">
        <w:rPr>
          <w:noProof/>
        </w:rPr>
      </w:r>
      <w:r w:rsidRPr="00723C3F">
        <w:rPr>
          <w:noProof/>
        </w:rPr>
        <w:fldChar w:fldCharType="separate"/>
      </w:r>
      <w:r w:rsidR="00845A31">
        <w:rPr>
          <w:noProof/>
        </w:rPr>
        <w:t>218</w:t>
      </w:r>
      <w:r w:rsidRPr="00723C3F">
        <w:rPr>
          <w:noProof/>
        </w:rPr>
        <w:fldChar w:fldCharType="end"/>
      </w:r>
    </w:p>
    <w:p w14:paraId="0E0BDBEC" w14:textId="704BCB0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119U</w:t>
      </w:r>
      <w:r>
        <w:rPr>
          <w:noProof/>
        </w:rPr>
        <w:tab/>
        <w:t>Election that Division apply</w:t>
      </w:r>
      <w:r w:rsidRPr="00723C3F">
        <w:rPr>
          <w:noProof/>
        </w:rPr>
        <w:tab/>
      </w:r>
      <w:r w:rsidRPr="00723C3F">
        <w:rPr>
          <w:noProof/>
        </w:rPr>
        <w:fldChar w:fldCharType="begin"/>
      </w:r>
      <w:r w:rsidRPr="00723C3F">
        <w:rPr>
          <w:noProof/>
        </w:rPr>
        <w:instrText xml:space="preserve"> PAGEREF _Toc185577608 \h </w:instrText>
      </w:r>
      <w:r w:rsidRPr="00723C3F">
        <w:rPr>
          <w:noProof/>
        </w:rPr>
      </w:r>
      <w:r w:rsidRPr="00723C3F">
        <w:rPr>
          <w:noProof/>
        </w:rPr>
        <w:fldChar w:fldCharType="separate"/>
      </w:r>
      <w:r w:rsidR="00845A31">
        <w:rPr>
          <w:noProof/>
        </w:rPr>
        <w:t>222</w:t>
      </w:r>
      <w:r w:rsidRPr="00723C3F">
        <w:rPr>
          <w:noProof/>
        </w:rPr>
        <w:fldChar w:fldCharType="end"/>
      </w:r>
    </w:p>
    <w:p w14:paraId="7800ACCC" w14:textId="310D4B9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119V</w:t>
      </w:r>
      <w:r>
        <w:rPr>
          <w:noProof/>
        </w:rPr>
        <w:tab/>
        <w:t>Circumstances in which transfer value payable</w:t>
      </w:r>
      <w:r w:rsidRPr="00723C3F">
        <w:rPr>
          <w:noProof/>
        </w:rPr>
        <w:tab/>
      </w:r>
      <w:r w:rsidRPr="00723C3F">
        <w:rPr>
          <w:noProof/>
        </w:rPr>
        <w:fldChar w:fldCharType="begin"/>
      </w:r>
      <w:r w:rsidRPr="00723C3F">
        <w:rPr>
          <w:noProof/>
        </w:rPr>
        <w:instrText xml:space="preserve"> PAGEREF _Toc185577609 \h </w:instrText>
      </w:r>
      <w:r w:rsidRPr="00723C3F">
        <w:rPr>
          <w:noProof/>
        </w:rPr>
      </w:r>
      <w:r w:rsidRPr="00723C3F">
        <w:rPr>
          <w:noProof/>
        </w:rPr>
        <w:fldChar w:fldCharType="separate"/>
      </w:r>
      <w:r w:rsidR="00845A31">
        <w:rPr>
          <w:noProof/>
        </w:rPr>
        <w:t>224</w:t>
      </w:r>
      <w:r w:rsidRPr="00723C3F">
        <w:rPr>
          <w:noProof/>
        </w:rPr>
        <w:fldChar w:fldCharType="end"/>
      </w:r>
    </w:p>
    <w:p w14:paraId="4CF1F390" w14:textId="2B9B8AB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119W</w:t>
      </w:r>
      <w:r>
        <w:rPr>
          <w:noProof/>
        </w:rPr>
        <w:tab/>
        <w:t>Circumstances in which person entitled to deferred benefits</w:t>
      </w:r>
      <w:r w:rsidRPr="00723C3F">
        <w:rPr>
          <w:noProof/>
        </w:rPr>
        <w:tab/>
      </w:r>
      <w:r w:rsidRPr="00723C3F">
        <w:rPr>
          <w:noProof/>
        </w:rPr>
        <w:fldChar w:fldCharType="begin"/>
      </w:r>
      <w:r w:rsidRPr="00723C3F">
        <w:rPr>
          <w:noProof/>
        </w:rPr>
        <w:instrText xml:space="preserve"> PAGEREF _Toc185577610 \h </w:instrText>
      </w:r>
      <w:r w:rsidRPr="00723C3F">
        <w:rPr>
          <w:noProof/>
        </w:rPr>
      </w:r>
      <w:r w:rsidRPr="00723C3F">
        <w:rPr>
          <w:noProof/>
        </w:rPr>
        <w:fldChar w:fldCharType="separate"/>
      </w:r>
      <w:r w:rsidR="00845A31">
        <w:rPr>
          <w:noProof/>
        </w:rPr>
        <w:t>224</w:t>
      </w:r>
      <w:r w:rsidRPr="00723C3F">
        <w:rPr>
          <w:noProof/>
        </w:rPr>
        <w:fldChar w:fldCharType="end"/>
      </w:r>
    </w:p>
    <w:p w14:paraId="7919B30D" w14:textId="510D280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119WA</w:t>
      </w:r>
      <w:r>
        <w:rPr>
          <w:noProof/>
        </w:rPr>
        <w:tab/>
        <w:t>Medical examination etc. of persons to whom deferred benefits by way of pension are payable under section 119W</w:t>
      </w:r>
      <w:r w:rsidRPr="00723C3F">
        <w:rPr>
          <w:noProof/>
        </w:rPr>
        <w:tab/>
      </w:r>
      <w:r w:rsidRPr="00723C3F">
        <w:rPr>
          <w:noProof/>
        </w:rPr>
        <w:fldChar w:fldCharType="begin"/>
      </w:r>
      <w:r w:rsidRPr="00723C3F">
        <w:rPr>
          <w:noProof/>
        </w:rPr>
        <w:instrText xml:space="preserve"> PAGEREF _Toc185577611 \h </w:instrText>
      </w:r>
      <w:r w:rsidRPr="00723C3F">
        <w:rPr>
          <w:noProof/>
        </w:rPr>
      </w:r>
      <w:r w:rsidRPr="00723C3F">
        <w:rPr>
          <w:noProof/>
        </w:rPr>
        <w:fldChar w:fldCharType="separate"/>
      </w:r>
      <w:r w:rsidR="00845A31">
        <w:rPr>
          <w:noProof/>
        </w:rPr>
        <w:t>228</w:t>
      </w:r>
      <w:r w:rsidRPr="00723C3F">
        <w:rPr>
          <w:noProof/>
        </w:rPr>
        <w:fldChar w:fldCharType="end"/>
      </w:r>
    </w:p>
    <w:p w14:paraId="69F6EE75" w14:textId="4B046D7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119WB</w:t>
      </w:r>
      <w:r>
        <w:rPr>
          <w:noProof/>
        </w:rPr>
        <w:tab/>
        <w:t>Cancellation of pension where pension suspended for 12 months etc.</w:t>
      </w:r>
      <w:r w:rsidRPr="00723C3F">
        <w:rPr>
          <w:noProof/>
        </w:rPr>
        <w:tab/>
      </w:r>
      <w:r w:rsidRPr="00723C3F">
        <w:rPr>
          <w:noProof/>
        </w:rPr>
        <w:fldChar w:fldCharType="begin"/>
      </w:r>
      <w:r w:rsidRPr="00723C3F">
        <w:rPr>
          <w:noProof/>
        </w:rPr>
        <w:instrText xml:space="preserve"> PAGEREF _Toc185577612 \h </w:instrText>
      </w:r>
      <w:r w:rsidRPr="00723C3F">
        <w:rPr>
          <w:noProof/>
        </w:rPr>
      </w:r>
      <w:r w:rsidRPr="00723C3F">
        <w:rPr>
          <w:noProof/>
        </w:rPr>
        <w:fldChar w:fldCharType="separate"/>
      </w:r>
      <w:r w:rsidR="00845A31">
        <w:rPr>
          <w:noProof/>
        </w:rPr>
        <w:t>232</w:t>
      </w:r>
      <w:r w:rsidRPr="00723C3F">
        <w:rPr>
          <w:noProof/>
        </w:rPr>
        <w:fldChar w:fldCharType="end"/>
      </w:r>
    </w:p>
    <w:p w14:paraId="4126FEB5" w14:textId="569081F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119WC</w:t>
      </w:r>
      <w:r>
        <w:rPr>
          <w:noProof/>
        </w:rPr>
        <w:tab/>
        <w:t>Election for transfer value by persons in relation to whom deferred benefits are applicable</w:t>
      </w:r>
      <w:r w:rsidRPr="00723C3F">
        <w:rPr>
          <w:noProof/>
        </w:rPr>
        <w:tab/>
      </w:r>
      <w:r w:rsidRPr="00723C3F">
        <w:rPr>
          <w:noProof/>
        </w:rPr>
        <w:fldChar w:fldCharType="begin"/>
      </w:r>
      <w:r w:rsidRPr="00723C3F">
        <w:rPr>
          <w:noProof/>
        </w:rPr>
        <w:instrText xml:space="preserve"> PAGEREF _Toc185577613 \h </w:instrText>
      </w:r>
      <w:r w:rsidRPr="00723C3F">
        <w:rPr>
          <w:noProof/>
        </w:rPr>
      </w:r>
      <w:r w:rsidRPr="00723C3F">
        <w:rPr>
          <w:noProof/>
        </w:rPr>
        <w:fldChar w:fldCharType="separate"/>
      </w:r>
      <w:r w:rsidR="00845A31">
        <w:rPr>
          <w:noProof/>
        </w:rPr>
        <w:t>233</w:t>
      </w:r>
      <w:r w:rsidRPr="00723C3F">
        <w:rPr>
          <w:noProof/>
        </w:rPr>
        <w:fldChar w:fldCharType="end"/>
      </w:r>
    </w:p>
    <w:p w14:paraId="1006376E" w14:textId="31D84C8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119X</w:t>
      </w:r>
      <w:r>
        <w:rPr>
          <w:noProof/>
        </w:rPr>
        <w:tab/>
        <w:t>Person who is entitled to rights under this Division not entitled to rights under other provisions of this Act</w:t>
      </w:r>
      <w:r w:rsidRPr="00723C3F">
        <w:rPr>
          <w:noProof/>
        </w:rPr>
        <w:tab/>
      </w:r>
      <w:r w:rsidRPr="00723C3F">
        <w:rPr>
          <w:noProof/>
        </w:rPr>
        <w:fldChar w:fldCharType="begin"/>
      </w:r>
      <w:r w:rsidRPr="00723C3F">
        <w:rPr>
          <w:noProof/>
        </w:rPr>
        <w:instrText xml:space="preserve"> PAGEREF _Toc185577614 \h </w:instrText>
      </w:r>
      <w:r w:rsidRPr="00723C3F">
        <w:rPr>
          <w:noProof/>
        </w:rPr>
      </w:r>
      <w:r w:rsidRPr="00723C3F">
        <w:rPr>
          <w:noProof/>
        </w:rPr>
        <w:fldChar w:fldCharType="separate"/>
      </w:r>
      <w:r w:rsidR="00845A31">
        <w:rPr>
          <w:noProof/>
        </w:rPr>
        <w:t>234</w:t>
      </w:r>
      <w:r w:rsidRPr="00723C3F">
        <w:rPr>
          <w:noProof/>
        </w:rPr>
        <w:fldChar w:fldCharType="end"/>
      </w:r>
    </w:p>
    <w:p w14:paraId="598929FC" w14:textId="7257DE4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119Y</w:t>
      </w:r>
      <w:r>
        <w:rPr>
          <w:noProof/>
        </w:rPr>
        <w:tab/>
        <w:t>Certain former contributors not entitled to benefits under this Division</w:t>
      </w:r>
      <w:r w:rsidRPr="00723C3F">
        <w:rPr>
          <w:noProof/>
        </w:rPr>
        <w:tab/>
      </w:r>
      <w:r w:rsidRPr="00723C3F">
        <w:rPr>
          <w:noProof/>
        </w:rPr>
        <w:fldChar w:fldCharType="begin"/>
      </w:r>
      <w:r w:rsidRPr="00723C3F">
        <w:rPr>
          <w:noProof/>
        </w:rPr>
        <w:instrText xml:space="preserve"> PAGEREF _Toc185577615 \h </w:instrText>
      </w:r>
      <w:r w:rsidRPr="00723C3F">
        <w:rPr>
          <w:noProof/>
        </w:rPr>
      </w:r>
      <w:r w:rsidRPr="00723C3F">
        <w:rPr>
          <w:noProof/>
        </w:rPr>
        <w:fldChar w:fldCharType="separate"/>
      </w:r>
      <w:r w:rsidR="00845A31">
        <w:rPr>
          <w:noProof/>
        </w:rPr>
        <w:t>234</w:t>
      </w:r>
      <w:r w:rsidRPr="00723C3F">
        <w:rPr>
          <w:noProof/>
        </w:rPr>
        <w:fldChar w:fldCharType="end"/>
      </w:r>
    </w:p>
    <w:p w14:paraId="7E1C9D22" w14:textId="66B7CB7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119Z</w:t>
      </w:r>
      <w:r>
        <w:rPr>
          <w:noProof/>
        </w:rPr>
        <w:tab/>
        <w:t>Contributor who resigned to contest an election</w:t>
      </w:r>
      <w:r w:rsidRPr="00723C3F">
        <w:rPr>
          <w:noProof/>
        </w:rPr>
        <w:tab/>
      </w:r>
      <w:r w:rsidRPr="00723C3F">
        <w:rPr>
          <w:noProof/>
        </w:rPr>
        <w:fldChar w:fldCharType="begin"/>
      </w:r>
      <w:r w:rsidRPr="00723C3F">
        <w:rPr>
          <w:noProof/>
        </w:rPr>
        <w:instrText xml:space="preserve"> PAGEREF _Toc185577616 \h </w:instrText>
      </w:r>
      <w:r w:rsidRPr="00723C3F">
        <w:rPr>
          <w:noProof/>
        </w:rPr>
      </w:r>
      <w:r w:rsidRPr="00723C3F">
        <w:rPr>
          <w:noProof/>
        </w:rPr>
        <w:fldChar w:fldCharType="separate"/>
      </w:r>
      <w:r w:rsidR="00845A31">
        <w:rPr>
          <w:noProof/>
        </w:rPr>
        <w:t>236</w:t>
      </w:r>
      <w:r w:rsidRPr="00723C3F">
        <w:rPr>
          <w:noProof/>
        </w:rPr>
        <w:fldChar w:fldCharType="end"/>
      </w:r>
    </w:p>
    <w:p w14:paraId="2AC51378" w14:textId="498E5D1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119ZA</w:t>
      </w:r>
      <w:r>
        <w:rPr>
          <w:noProof/>
        </w:rPr>
        <w:tab/>
        <w:t>Invalid pensioner restored to health</w:t>
      </w:r>
      <w:r w:rsidRPr="00723C3F">
        <w:rPr>
          <w:noProof/>
        </w:rPr>
        <w:tab/>
      </w:r>
      <w:r w:rsidRPr="00723C3F">
        <w:rPr>
          <w:noProof/>
        </w:rPr>
        <w:fldChar w:fldCharType="begin"/>
      </w:r>
      <w:r w:rsidRPr="00723C3F">
        <w:rPr>
          <w:noProof/>
        </w:rPr>
        <w:instrText xml:space="preserve"> PAGEREF _Toc185577617 \h </w:instrText>
      </w:r>
      <w:r w:rsidRPr="00723C3F">
        <w:rPr>
          <w:noProof/>
        </w:rPr>
      </w:r>
      <w:r w:rsidRPr="00723C3F">
        <w:rPr>
          <w:noProof/>
        </w:rPr>
        <w:fldChar w:fldCharType="separate"/>
      </w:r>
      <w:r w:rsidR="00845A31">
        <w:rPr>
          <w:noProof/>
        </w:rPr>
        <w:t>236</w:t>
      </w:r>
      <w:r w:rsidRPr="00723C3F">
        <w:rPr>
          <w:noProof/>
        </w:rPr>
        <w:fldChar w:fldCharType="end"/>
      </w:r>
    </w:p>
    <w:p w14:paraId="6588AEA5" w14:textId="7FFE791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119ZB</w:t>
      </w:r>
      <w:r>
        <w:rPr>
          <w:noProof/>
        </w:rPr>
        <w:tab/>
        <w:t>Person entitled to deferred benefits becoming a contributor</w:t>
      </w:r>
      <w:r w:rsidRPr="00723C3F">
        <w:rPr>
          <w:noProof/>
        </w:rPr>
        <w:tab/>
      </w:r>
      <w:r w:rsidRPr="00723C3F">
        <w:rPr>
          <w:noProof/>
        </w:rPr>
        <w:fldChar w:fldCharType="begin"/>
      </w:r>
      <w:r w:rsidRPr="00723C3F">
        <w:rPr>
          <w:noProof/>
        </w:rPr>
        <w:instrText xml:space="preserve"> PAGEREF _Toc185577618 \h </w:instrText>
      </w:r>
      <w:r w:rsidRPr="00723C3F">
        <w:rPr>
          <w:noProof/>
        </w:rPr>
      </w:r>
      <w:r w:rsidRPr="00723C3F">
        <w:rPr>
          <w:noProof/>
        </w:rPr>
        <w:fldChar w:fldCharType="separate"/>
      </w:r>
      <w:r w:rsidR="00845A31">
        <w:rPr>
          <w:noProof/>
        </w:rPr>
        <w:t>237</w:t>
      </w:r>
      <w:r w:rsidRPr="00723C3F">
        <w:rPr>
          <w:noProof/>
        </w:rPr>
        <w:fldChar w:fldCharType="end"/>
      </w:r>
    </w:p>
    <w:p w14:paraId="47A0D7CB" w14:textId="2EF1D4F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119ZBA</w:t>
      </w:r>
      <w:r>
        <w:rPr>
          <w:noProof/>
        </w:rPr>
        <w:tab/>
        <w:t>Application of Division on and after 1 July 1976</w:t>
      </w:r>
      <w:r w:rsidRPr="00723C3F">
        <w:rPr>
          <w:noProof/>
        </w:rPr>
        <w:tab/>
      </w:r>
      <w:r w:rsidRPr="00723C3F">
        <w:rPr>
          <w:noProof/>
        </w:rPr>
        <w:fldChar w:fldCharType="begin"/>
      </w:r>
      <w:r w:rsidRPr="00723C3F">
        <w:rPr>
          <w:noProof/>
        </w:rPr>
        <w:instrText xml:space="preserve"> PAGEREF _Toc185577619 \h </w:instrText>
      </w:r>
      <w:r w:rsidRPr="00723C3F">
        <w:rPr>
          <w:noProof/>
        </w:rPr>
      </w:r>
      <w:r w:rsidRPr="00723C3F">
        <w:rPr>
          <w:noProof/>
        </w:rPr>
        <w:fldChar w:fldCharType="separate"/>
      </w:r>
      <w:r w:rsidR="00845A31">
        <w:rPr>
          <w:noProof/>
        </w:rPr>
        <w:t>237</w:t>
      </w:r>
      <w:r w:rsidRPr="00723C3F">
        <w:rPr>
          <w:noProof/>
        </w:rPr>
        <w:fldChar w:fldCharType="end"/>
      </w:r>
    </w:p>
    <w:p w14:paraId="00835726" w14:textId="114443BC"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4—Miscellaneous</w:t>
      </w:r>
      <w:r w:rsidRPr="00723C3F">
        <w:rPr>
          <w:b w:val="0"/>
          <w:noProof/>
          <w:sz w:val="18"/>
        </w:rPr>
        <w:tab/>
      </w:r>
      <w:r w:rsidRPr="00723C3F">
        <w:rPr>
          <w:b w:val="0"/>
          <w:noProof/>
          <w:sz w:val="18"/>
        </w:rPr>
        <w:fldChar w:fldCharType="begin"/>
      </w:r>
      <w:r w:rsidRPr="00723C3F">
        <w:rPr>
          <w:b w:val="0"/>
          <w:noProof/>
          <w:sz w:val="18"/>
        </w:rPr>
        <w:instrText xml:space="preserve"> PAGEREF _Toc185577620 \h </w:instrText>
      </w:r>
      <w:r w:rsidRPr="00723C3F">
        <w:rPr>
          <w:b w:val="0"/>
          <w:noProof/>
          <w:sz w:val="18"/>
        </w:rPr>
      </w:r>
      <w:r w:rsidRPr="00723C3F">
        <w:rPr>
          <w:b w:val="0"/>
          <w:noProof/>
          <w:sz w:val="18"/>
        </w:rPr>
        <w:fldChar w:fldCharType="separate"/>
      </w:r>
      <w:r w:rsidR="00845A31">
        <w:rPr>
          <w:b w:val="0"/>
          <w:noProof/>
          <w:sz w:val="18"/>
        </w:rPr>
        <w:t>238</w:t>
      </w:r>
      <w:r w:rsidRPr="00723C3F">
        <w:rPr>
          <w:b w:val="0"/>
          <w:noProof/>
          <w:sz w:val="18"/>
        </w:rPr>
        <w:fldChar w:fldCharType="end"/>
      </w:r>
    </w:p>
    <w:p w14:paraId="49B2FC75" w14:textId="7C88EBF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119ZC</w:t>
      </w:r>
      <w:r>
        <w:rPr>
          <w:noProof/>
        </w:rPr>
        <w:tab/>
        <w:t>Special provisions affecting former contributors under certain superannuation schemes</w:t>
      </w:r>
      <w:r w:rsidRPr="00723C3F">
        <w:rPr>
          <w:noProof/>
        </w:rPr>
        <w:tab/>
      </w:r>
      <w:r w:rsidRPr="00723C3F">
        <w:rPr>
          <w:noProof/>
        </w:rPr>
        <w:fldChar w:fldCharType="begin"/>
      </w:r>
      <w:r w:rsidRPr="00723C3F">
        <w:rPr>
          <w:noProof/>
        </w:rPr>
        <w:instrText xml:space="preserve"> PAGEREF _Toc185577621 \h </w:instrText>
      </w:r>
      <w:r w:rsidRPr="00723C3F">
        <w:rPr>
          <w:noProof/>
        </w:rPr>
      </w:r>
      <w:r w:rsidRPr="00723C3F">
        <w:rPr>
          <w:noProof/>
        </w:rPr>
        <w:fldChar w:fldCharType="separate"/>
      </w:r>
      <w:r w:rsidR="00845A31">
        <w:rPr>
          <w:noProof/>
        </w:rPr>
        <w:t>238</w:t>
      </w:r>
      <w:r w:rsidRPr="00723C3F">
        <w:rPr>
          <w:noProof/>
        </w:rPr>
        <w:fldChar w:fldCharType="end"/>
      </w:r>
    </w:p>
    <w:p w14:paraId="728C026C" w14:textId="03BFFD1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119ZD</w:t>
      </w:r>
      <w:r>
        <w:rPr>
          <w:noProof/>
        </w:rPr>
        <w:tab/>
        <w:t>Special provisions in relation to persons to whom section 7 applies</w:t>
      </w:r>
      <w:r w:rsidRPr="00723C3F">
        <w:rPr>
          <w:noProof/>
        </w:rPr>
        <w:tab/>
      </w:r>
      <w:r w:rsidRPr="00723C3F">
        <w:rPr>
          <w:noProof/>
        </w:rPr>
        <w:fldChar w:fldCharType="begin"/>
      </w:r>
      <w:r w:rsidRPr="00723C3F">
        <w:rPr>
          <w:noProof/>
        </w:rPr>
        <w:instrText xml:space="preserve"> PAGEREF _Toc185577622 \h </w:instrText>
      </w:r>
      <w:r w:rsidRPr="00723C3F">
        <w:rPr>
          <w:noProof/>
        </w:rPr>
      </w:r>
      <w:r w:rsidRPr="00723C3F">
        <w:rPr>
          <w:noProof/>
        </w:rPr>
        <w:fldChar w:fldCharType="separate"/>
      </w:r>
      <w:r w:rsidR="00845A31">
        <w:rPr>
          <w:noProof/>
        </w:rPr>
        <w:t>245</w:t>
      </w:r>
      <w:r w:rsidRPr="00723C3F">
        <w:rPr>
          <w:noProof/>
        </w:rPr>
        <w:fldChar w:fldCharType="end"/>
      </w:r>
    </w:p>
    <w:p w14:paraId="0045E073" w14:textId="3F44185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119ZE</w:t>
      </w:r>
      <w:r>
        <w:rPr>
          <w:noProof/>
        </w:rPr>
        <w:tab/>
        <w:t>Payments out of Consolidated Revenue Fund</w:t>
      </w:r>
      <w:r w:rsidRPr="00723C3F">
        <w:rPr>
          <w:noProof/>
        </w:rPr>
        <w:tab/>
      </w:r>
      <w:r w:rsidRPr="00723C3F">
        <w:rPr>
          <w:noProof/>
        </w:rPr>
        <w:fldChar w:fldCharType="begin"/>
      </w:r>
      <w:r w:rsidRPr="00723C3F">
        <w:rPr>
          <w:noProof/>
        </w:rPr>
        <w:instrText xml:space="preserve"> PAGEREF _Toc185577623 \h </w:instrText>
      </w:r>
      <w:r w:rsidRPr="00723C3F">
        <w:rPr>
          <w:noProof/>
        </w:rPr>
      </w:r>
      <w:r w:rsidRPr="00723C3F">
        <w:rPr>
          <w:noProof/>
        </w:rPr>
        <w:fldChar w:fldCharType="separate"/>
      </w:r>
      <w:r w:rsidR="00845A31">
        <w:rPr>
          <w:noProof/>
        </w:rPr>
        <w:t>246</w:t>
      </w:r>
      <w:r w:rsidRPr="00723C3F">
        <w:rPr>
          <w:noProof/>
        </w:rPr>
        <w:fldChar w:fldCharType="end"/>
      </w:r>
    </w:p>
    <w:p w14:paraId="13C04EF5" w14:textId="7DBD7ED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119ZEA</w:t>
      </w:r>
      <w:r>
        <w:rPr>
          <w:noProof/>
        </w:rPr>
        <w:tab/>
        <w:t>Application of Part on and after 1 July 1976</w:t>
      </w:r>
      <w:r w:rsidRPr="00723C3F">
        <w:rPr>
          <w:noProof/>
        </w:rPr>
        <w:tab/>
      </w:r>
      <w:r w:rsidRPr="00723C3F">
        <w:rPr>
          <w:noProof/>
        </w:rPr>
        <w:fldChar w:fldCharType="begin"/>
      </w:r>
      <w:r w:rsidRPr="00723C3F">
        <w:rPr>
          <w:noProof/>
        </w:rPr>
        <w:instrText xml:space="preserve"> PAGEREF _Toc185577624 \h </w:instrText>
      </w:r>
      <w:r w:rsidRPr="00723C3F">
        <w:rPr>
          <w:noProof/>
        </w:rPr>
      </w:r>
      <w:r w:rsidRPr="00723C3F">
        <w:rPr>
          <w:noProof/>
        </w:rPr>
        <w:fldChar w:fldCharType="separate"/>
      </w:r>
      <w:r w:rsidR="00845A31">
        <w:rPr>
          <w:noProof/>
        </w:rPr>
        <w:t>247</w:t>
      </w:r>
      <w:r w:rsidRPr="00723C3F">
        <w:rPr>
          <w:noProof/>
        </w:rPr>
        <w:fldChar w:fldCharType="end"/>
      </w:r>
    </w:p>
    <w:p w14:paraId="53A1C2CE" w14:textId="71B2C8BA"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XI—Pension increases on and after 1 January 2002</w:t>
      </w:r>
      <w:r w:rsidRPr="00723C3F">
        <w:rPr>
          <w:b w:val="0"/>
          <w:noProof/>
          <w:sz w:val="18"/>
        </w:rPr>
        <w:tab/>
      </w:r>
      <w:r w:rsidRPr="00723C3F">
        <w:rPr>
          <w:b w:val="0"/>
          <w:noProof/>
          <w:sz w:val="18"/>
        </w:rPr>
        <w:fldChar w:fldCharType="begin"/>
      </w:r>
      <w:r w:rsidRPr="00723C3F">
        <w:rPr>
          <w:b w:val="0"/>
          <w:noProof/>
          <w:sz w:val="18"/>
        </w:rPr>
        <w:instrText xml:space="preserve"> PAGEREF _Toc185577625 \h </w:instrText>
      </w:r>
      <w:r w:rsidRPr="00723C3F">
        <w:rPr>
          <w:b w:val="0"/>
          <w:noProof/>
          <w:sz w:val="18"/>
        </w:rPr>
      </w:r>
      <w:r w:rsidRPr="00723C3F">
        <w:rPr>
          <w:b w:val="0"/>
          <w:noProof/>
          <w:sz w:val="18"/>
        </w:rPr>
        <w:fldChar w:fldCharType="separate"/>
      </w:r>
      <w:r w:rsidR="00845A31">
        <w:rPr>
          <w:b w:val="0"/>
          <w:noProof/>
          <w:sz w:val="18"/>
        </w:rPr>
        <w:t>249</w:t>
      </w:r>
      <w:r w:rsidRPr="00723C3F">
        <w:rPr>
          <w:b w:val="0"/>
          <w:noProof/>
          <w:sz w:val="18"/>
        </w:rPr>
        <w:fldChar w:fldCharType="end"/>
      </w:r>
    </w:p>
    <w:p w14:paraId="7FBB2AB6" w14:textId="0560E5E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Interpretation</w:t>
      </w:r>
      <w:r w:rsidRPr="00723C3F">
        <w:rPr>
          <w:noProof/>
        </w:rPr>
        <w:tab/>
      </w:r>
      <w:r w:rsidRPr="00723C3F">
        <w:rPr>
          <w:noProof/>
        </w:rPr>
        <w:fldChar w:fldCharType="begin"/>
      </w:r>
      <w:r w:rsidRPr="00723C3F">
        <w:rPr>
          <w:noProof/>
        </w:rPr>
        <w:instrText xml:space="preserve"> PAGEREF _Toc185577626 \h </w:instrText>
      </w:r>
      <w:r w:rsidRPr="00723C3F">
        <w:rPr>
          <w:noProof/>
        </w:rPr>
      </w:r>
      <w:r w:rsidRPr="00723C3F">
        <w:rPr>
          <w:noProof/>
        </w:rPr>
        <w:fldChar w:fldCharType="separate"/>
      </w:r>
      <w:r w:rsidR="00845A31">
        <w:rPr>
          <w:noProof/>
        </w:rPr>
        <w:t>249</w:t>
      </w:r>
      <w:r w:rsidRPr="00723C3F">
        <w:rPr>
          <w:noProof/>
        </w:rPr>
        <w:fldChar w:fldCharType="end"/>
      </w:r>
    </w:p>
    <w:p w14:paraId="4A627E47" w14:textId="0BB1069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Increases in pensions</w:t>
      </w:r>
      <w:r w:rsidRPr="00723C3F">
        <w:rPr>
          <w:noProof/>
        </w:rPr>
        <w:tab/>
      </w:r>
      <w:r w:rsidRPr="00723C3F">
        <w:rPr>
          <w:noProof/>
        </w:rPr>
        <w:fldChar w:fldCharType="begin"/>
      </w:r>
      <w:r w:rsidRPr="00723C3F">
        <w:rPr>
          <w:noProof/>
        </w:rPr>
        <w:instrText xml:space="preserve"> PAGEREF _Toc185577627 \h </w:instrText>
      </w:r>
      <w:r w:rsidRPr="00723C3F">
        <w:rPr>
          <w:noProof/>
        </w:rPr>
      </w:r>
      <w:r w:rsidRPr="00723C3F">
        <w:rPr>
          <w:noProof/>
        </w:rPr>
        <w:fldChar w:fldCharType="separate"/>
      </w:r>
      <w:r w:rsidR="00845A31">
        <w:rPr>
          <w:noProof/>
        </w:rPr>
        <w:t>250</w:t>
      </w:r>
      <w:r w:rsidRPr="00723C3F">
        <w:rPr>
          <w:noProof/>
        </w:rPr>
        <w:fldChar w:fldCharType="end"/>
      </w:r>
    </w:p>
    <w:p w14:paraId="3F9354DE" w14:textId="1DC79C4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Adjustment of increase in case of persons who become entitled to pension after previous increase</w:t>
      </w:r>
      <w:r w:rsidRPr="00723C3F">
        <w:rPr>
          <w:noProof/>
        </w:rPr>
        <w:tab/>
      </w:r>
      <w:r w:rsidRPr="00723C3F">
        <w:rPr>
          <w:noProof/>
        </w:rPr>
        <w:fldChar w:fldCharType="begin"/>
      </w:r>
      <w:r w:rsidRPr="00723C3F">
        <w:rPr>
          <w:noProof/>
        </w:rPr>
        <w:instrText xml:space="preserve"> PAGEREF _Toc185577628 \h </w:instrText>
      </w:r>
      <w:r w:rsidRPr="00723C3F">
        <w:rPr>
          <w:noProof/>
        </w:rPr>
      </w:r>
      <w:r w:rsidRPr="00723C3F">
        <w:rPr>
          <w:noProof/>
        </w:rPr>
        <w:fldChar w:fldCharType="separate"/>
      </w:r>
      <w:r w:rsidR="00845A31">
        <w:rPr>
          <w:noProof/>
        </w:rPr>
        <w:t>251</w:t>
      </w:r>
      <w:r w:rsidRPr="00723C3F">
        <w:rPr>
          <w:noProof/>
        </w:rPr>
        <w:fldChar w:fldCharType="end"/>
      </w:r>
    </w:p>
    <w:p w14:paraId="122B91C8" w14:textId="23D07D5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Modification of sections 46, 47 and 48</w:t>
      </w:r>
      <w:r w:rsidRPr="00723C3F">
        <w:rPr>
          <w:noProof/>
        </w:rPr>
        <w:tab/>
      </w:r>
      <w:r w:rsidRPr="00723C3F">
        <w:rPr>
          <w:noProof/>
        </w:rPr>
        <w:fldChar w:fldCharType="begin"/>
      </w:r>
      <w:r w:rsidRPr="00723C3F">
        <w:rPr>
          <w:noProof/>
        </w:rPr>
        <w:instrText xml:space="preserve"> PAGEREF _Toc185577629 \h </w:instrText>
      </w:r>
      <w:r w:rsidRPr="00723C3F">
        <w:rPr>
          <w:noProof/>
        </w:rPr>
      </w:r>
      <w:r w:rsidRPr="00723C3F">
        <w:rPr>
          <w:noProof/>
        </w:rPr>
        <w:fldChar w:fldCharType="separate"/>
      </w:r>
      <w:r w:rsidR="00845A31">
        <w:rPr>
          <w:noProof/>
        </w:rPr>
        <w:t>253</w:t>
      </w:r>
      <w:r w:rsidRPr="00723C3F">
        <w:rPr>
          <w:noProof/>
        </w:rPr>
        <w:fldChar w:fldCharType="end"/>
      </w:r>
    </w:p>
    <w:p w14:paraId="2C8463EC" w14:textId="2103291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Death or invalidity retirement before attaining age 21</w:t>
      </w:r>
      <w:r w:rsidRPr="00723C3F">
        <w:rPr>
          <w:noProof/>
        </w:rPr>
        <w:tab/>
      </w:r>
      <w:r w:rsidRPr="00723C3F">
        <w:rPr>
          <w:noProof/>
        </w:rPr>
        <w:fldChar w:fldCharType="begin"/>
      </w:r>
      <w:r w:rsidRPr="00723C3F">
        <w:rPr>
          <w:noProof/>
        </w:rPr>
        <w:instrText xml:space="preserve"> PAGEREF _Toc185577630 \h </w:instrText>
      </w:r>
      <w:r w:rsidRPr="00723C3F">
        <w:rPr>
          <w:noProof/>
        </w:rPr>
      </w:r>
      <w:r w:rsidRPr="00723C3F">
        <w:rPr>
          <w:noProof/>
        </w:rPr>
        <w:fldChar w:fldCharType="separate"/>
      </w:r>
      <w:r w:rsidR="00845A31">
        <w:rPr>
          <w:noProof/>
        </w:rPr>
        <w:t>253</w:t>
      </w:r>
      <w:r w:rsidRPr="00723C3F">
        <w:rPr>
          <w:noProof/>
        </w:rPr>
        <w:fldChar w:fldCharType="end"/>
      </w:r>
    </w:p>
    <w:p w14:paraId="6DFA2C66" w14:textId="1D50D6F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Date of effect of increases</w:t>
      </w:r>
      <w:r w:rsidRPr="00723C3F">
        <w:rPr>
          <w:noProof/>
        </w:rPr>
        <w:tab/>
      </w:r>
      <w:r w:rsidRPr="00723C3F">
        <w:rPr>
          <w:noProof/>
        </w:rPr>
        <w:fldChar w:fldCharType="begin"/>
      </w:r>
      <w:r w:rsidRPr="00723C3F">
        <w:rPr>
          <w:noProof/>
        </w:rPr>
        <w:instrText xml:space="preserve"> PAGEREF _Toc185577631 \h </w:instrText>
      </w:r>
      <w:r w:rsidRPr="00723C3F">
        <w:rPr>
          <w:noProof/>
        </w:rPr>
      </w:r>
      <w:r w:rsidRPr="00723C3F">
        <w:rPr>
          <w:noProof/>
        </w:rPr>
        <w:fldChar w:fldCharType="separate"/>
      </w:r>
      <w:r w:rsidR="00845A31">
        <w:rPr>
          <w:noProof/>
        </w:rPr>
        <w:t>254</w:t>
      </w:r>
      <w:r w:rsidRPr="00723C3F">
        <w:rPr>
          <w:noProof/>
        </w:rPr>
        <w:fldChar w:fldCharType="end"/>
      </w:r>
    </w:p>
    <w:p w14:paraId="318632D3" w14:textId="2CC9596E"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XIA—Review of decisions by CSC</w:t>
      </w:r>
      <w:r w:rsidRPr="00723C3F">
        <w:rPr>
          <w:b w:val="0"/>
          <w:noProof/>
          <w:sz w:val="18"/>
        </w:rPr>
        <w:tab/>
      </w:r>
      <w:r w:rsidRPr="00723C3F">
        <w:rPr>
          <w:b w:val="0"/>
          <w:noProof/>
          <w:sz w:val="18"/>
        </w:rPr>
        <w:fldChar w:fldCharType="begin"/>
      </w:r>
      <w:r w:rsidRPr="00723C3F">
        <w:rPr>
          <w:b w:val="0"/>
          <w:noProof/>
          <w:sz w:val="18"/>
        </w:rPr>
        <w:instrText xml:space="preserve"> PAGEREF _Toc185577632 \h </w:instrText>
      </w:r>
      <w:r w:rsidRPr="00723C3F">
        <w:rPr>
          <w:b w:val="0"/>
          <w:noProof/>
          <w:sz w:val="18"/>
        </w:rPr>
      </w:r>
      <w:r w:rsidRPr="00723C3F">
        <w:rPr>
          <w:b w:val="0"/>
          <w:noProof/>
          <w:sz w:val="18"/>
        </w:rPr>
        <w:fldChar w:fldCharType="separate"/>
      </w:r>
      <w:r w:rsidR="00845A31">
        <w:rPr>
          <w:b w:val="0"/>
          <w:noProof/>
          <w:sz w:val="18"/>
        </w:rPr>
        <w:t>255</w:t>
      </w:r>
      <w:r w:rsidRPr="00723C3F">
        <w:rPr>
          <w:b w:val="0"/>
          <w:noProof/>
          <w:sz w:val="18"/>
        </w:rPr>
        <w:fldChar w:fldCharType="end"/>
      </w:r>
    </w:p>
    <w:p w14:paraId="0458A68B" w14:textId="0274C33E"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1—Review of decisions by CSC</w:t>
      </w:r>
      <w:r w:rsidRPr="00723C3F">
        <w:rPr>
          <w:b w:val="0"/>
          <w:noProof/>
          <w:sz w:val="18"/>
        </w:rPr>
        <w:tab/>
      </w:r>
      <w:r w:rsidRPr="00723C3F">
        <w:rPr>
          <w:b w:val="0"/>
          <w:noProof/>
          <w:sz w:val="18"/>
        </w:rPr>
        <w:fldChar w:fldCharType="begin"/>
      </w:r>
      <w:r w:rsidRPr="00723C3F">
        <w:rPr>
          <w:b w:val="0"/>
          <w:noProof/>
          <w:sz w:val="18"/>
        </w:rPr>
        <w:instrText xml:space="preserve"> PAGEREF _Toc185577633 \h </w:instrText>
      </w:r>
      <w:r w:rsidRPr="00723C3F">
        <w:rPr>
          <w:b w:val="0"/>
          <w:noProof/>
          <w:sz w:val="18"/>
        </w:rPr>
      </w:r>
      <w:r w:rsidRPr="00723C3F">
        <w:rPr>
          <w:b w:val="0"/>
          <w:noProof/>
          <w:sz w:val="18"/>
        </w:rPr>
        <w:fldChar w:fldCharType="separate"/>
      </w:r>
      <w:r w:rsidR="00845A31">
        <w:rPr>
          <w:b w:val="0"/>
          <w:noProof/>
          <w:sz w:val="18"/>
        </w:rPr>
        <w:t>255</w:t>
      </w:r>
      <w:r w:rsidRPr="00723C3F">
        <w:rPr>
          <w:b w:val="0"/>
          <w:noProof/>
          <w:sz w:val="18"/>
        </w:rPr>
        <w:fldChar w:fldCharType="end"/>
      </w:r>
    </w:p>
    <w:p w14:paraId="57F9C676" w14:textId="52F2433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Review of decisions by CSC</w:t>
      </w:r>
      <w:r w:rsidRPr="00723C3F">
        <w:rPr>
          <w:noProof/>
        </w:rPr>
        <w:tab/>
      </w:r>
      <w:r w:rsidRPr="00723C3F">
        <w:rPr>
          <w:noProof/>
        </w:rPr>
        <w:fldChar w:fldCharType="begin"/>
      </w:r>
      <w:r w:rsidRPr="00723C3F">
        <w:rPr>
          <w:noProof/>
        </w:rPr>
        <w:instrText xml:space="preserve"> PAGEREF _Toc185577634 \h </w:instrText>
      </w:r>
      <w:r w:rsidRPr="00723C3F">
        <w:rPr>
          <w:noProof/>
        </w:rPr>
      </w:r>
      <w:r w:rsidRPr="00723C3F">
        <w:rPr>
          <w:noProof/>
        </w:rPr>
        <w:fldChar w:fldCharType="separate"/>
      </w:r>
      <w:r w:rsidR="00845A31">
        <w:rPr>
          <w:noProof/>
        </w:rPr>
        <w:t>255</w:t>
      </w:r>
      <w:r w:rsidRPr="00723C3F">
        <w:rPr>
          <w:noProof/>
        </w:rPr>
        <w:fldChar w:fldCharType="end"/>
      </w:r>
    </w:p>
    <w:p w14:paraId="243F7DE7" w14:textId="1F1DC2F2"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2—Reconsideration Advisory Committees</w:t>
      </w:r>
      <w:r w:rsidRPr="00723C3F">
        <w:rPr>
          <w:b w:val="0"/>
          <w:noProof/>
          <w:sz w:val="18"/>
        </w:rPr>
        <w:tab/>
      </w:r>
      <w:r w:rsidRPr="00723C3F">
        <w:rPr>
          <w:b w:val="0"/>
          <w:noProof/>
          <w:sz w:val="18"/>
        </w:rPr>
        <w:fldChar w:fldCharType="begin"/>
      </w:r>
      <w:r w:rsidRPr="00723C3F">
        <w:rPr>
          <w:b w:val="0"/>
          <w:noProof/>
          <w:sz w:val="18"/>
        </w:rPr>
        <w:instrText xml:space="preserve"> PAGEREF _Toc185577635 \h </w:instrText>
      </w:r>
      <w:r w:rsidRPr="00723C3F">
        <w:rPr>
          <w:b w:val="0"/>
          <w:noProof/>
          <w:sz w:val="18"/>
        </w:rPr>
      </w:r>
      <w:r w:rsidRPr="00723C3F">
        <w:rPr>
          <w:b w:val="0"/>
          <w:noProof/>
          <w:sz w:val="18"/>
        </w:rPr>
        <w:fldChar w:fldCharType="separate"/>
      </w:r>
      <w:r w:rsidR="00845A31">
        <w:rPr>
          <w:b w:val="0"/>
          <w:noProof/>
          <w:sz w:val="18"/>
        </w:rPr>
        <w:t>256</w:t>
      </w:r>
      <w:r w:rsidRPr="00723C3F">
        <w:rPr>
          <w:b w:val="0"/>
          <w:noProof/>
          <w:sz w:val="18"/>
        </w:rPr>
        <w:fldChar w:fldCharType="end"/>
      </w:r>
    </w:p>
    <w:p w14:paraId="32CDC303" w14:textId="6779E03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Establishment of Committee</w:t>
      </w:r>
      <w:r w:rsidRPr="00723C3F">
        <w:rPr>
          <w:noProof/>
        </w:rPr>
        <w:tab/>
      </w:r>
      <w:r w:rsidRPr="00723C3F">
        <w:rPr>
          <w:noProof/>
        </w:rPr>
        <w:fldChar w:fldCharType="begin"/>
      </w:r>
      <w:r w:rsidRPr="00723C3F">
        <w:rPr>
          <w:noProof/>
        </w:rPr>
        <w:instrText xml:space="preserve"> PAGEREF _Toc185577636 \h </w:instrText>
      </w:r>
      <w:r w:rsidRPr="00723C3F">
        <w:rPr>
          <w:noProof/>
        </w:rPr>
      </w:r>
      <w:r w:rsidRPr="00723C3F">
        <w:rPr>
          <w:noProof/>
        </w:rPr>
        <w:fldChar w:fldCharType="separate"/>
      </w:r>
      <w:r w:rsidR="00845A31">
        <w:rPr>
          <w:noProof/>
        </w:rPr>
        <w:t>256</w:t>
      </w:r>
      <w:r w:rsidRPr="00723C3F">
        <w:rPr>
          <w:noProof/>
        </w:rPr>
        <w:fldChar w:fldCharType="end"/>
      </w:r>
    </w:p>
    <w:p w14:paraId="1ABF177E" w14:textId="01E26C8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Members of Committee</w:t>
      </w:r>
      <w:r w:rsidRPr="00723C3F">
        <w:rPr>
          <w:noProof/>
        </w:rPr>
        <w:tab/>
      </w:r>
      <w:r w:rsidRPr="00723C3F">
        <w:rPr>
          <w:noProof/>
        </w:rPr>
        <w:fldChar w:fldCharType="begin"/>
      </w:r>
      <w:r w:rsidRPr="00723C3F">
        <w:rPr>
          <w:noProof/>
        </w:rPr>
        <w:instrText xml:space="preserve"> PAGEREF _Toc185577637 \h </w:instrText>
      </w:r>
      <w:r w:rsidRPr="00723C3F">
        <w:rPr>
          <w:noProof/>
        </w:rPr>
      </w:r>
      <w:r w:rsidRPr="00723C3F">
        <w:rPr>
          <w:noProof/>
        </w:rPr>
        <w:fldChar w:fldCharType="separate"/>
      </w:r>
      <w:r w:rsidR="00845A31">
        <w:rPr>
          <w:noProof/>
        </w:rPr>
        <w:t>256</w:t>
      </w:r>
      <w:r w:rsidRPr="00723C3F">
        <w:rPr>
          <w:noProof/>
        </w:rPr>
        <w:fldChar w:fldCharType="end"/>
      </w:r>
    </w:p>
    <w:p w14:paraId="2FF5089A" w14:textId="158E783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130</w:t>
      </w:r>
      <w:r>
        <w:rPr>
          <w:noProof/>
        </w:rPr>
        <w:tab/>
        <w:t>Functions of Committee</w:t>
      </w:r>
      <w:r w:rsidRPr="00723C3F">
        <w:rPr>
          <w:noProof/>
        </w:rPr>
        <w:tab/>
      </w:r>
      <w:r w:rsidRPr="00723C3F">
        <w:rPr>
          <w:noProof/>
        </w:rPr>
        <w:fldChar w:fldCharType="begin"/>
      </w:r>
      <w:r w:rsidRPr="00723C3F">
        <w:rPr>
          <w:noProof/>
        </w:rPr>
        <w:instrText xml:space="preserve"> PAGEREF _Toc185577638 \h </w:instrText>
      </w:r>
      <w:r w:rsidRPr="00723C3F">
        <w:rPr>
          <w:noProof/>
        </w:rPr>
      </w:r>
      <w:r w:rsidRPr="00723C3F">
        <w:rPr>
          <w:noProof/>
        </w:rPr>
        <w:fldChar w:fldCharType="separate"/>
      </w:r>
      <w:r w:rsidR="00845A31">
        <w:rPr>
          <w:noProof/>
        </w:rPr>
        <w:t>256</w:t>
      </w:r>
      <w:r w:rsidRPr="00723C3F">
        <w:rPr>
          <w:noProof/>
        </w:rPr>
        <w:fldChar w:fldCharType="end"/>
      </w:r>
    </w:p>
    <w:p w14:paraId="6657CEE4" w14:textId="3BD2A1F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Proceedings of Committee</w:t>
      </w:r>
      <w:r w:rsidRPr="00723C3F">
        <w:rPr>
          <w:noProof/>
        </w:rPr>
        <w:tab/>
      </w:r>
      <w:r w:rsidRPr="00723C3F">
        <w:rPr>
          <w:noProof/>
        </w:rPr>
        <w:fldChar w:fldCharType="begin"/>
      </w:r>
      <w:r w:rsidRPr="00723C3F">
        <w:rPr>
          <w:noProof/>
        </w:rPr>
        <w:instrText xml:space="preserve"> PAGEREF _Toc185577639 \h </w:instrText>
      </w:r>
      <w:r w:rsidRPr="00723C3F">
        <w:rPr>
          <w:noProof/>
        </w:rPr>
      </w:r>
      <w:r w:rsidRPr="00723C3F">
        <w:rPr>
          <w:noProof/>
        </w:rPr>
        <w:fldChar w:fldCharType="separate"/>
      </w:r>
      <w:r w:rsidR="00845A31">
        <w:rPr>
          <w:noProof/>
        </w:rPr>
        <w:t>256</w:t>
      </w:r>
      <w:r w:rsidRPr="00723C3F">
        <w:rPr>
          <w:noProof/>
        </w:rPr>
        <w:fldChar w:fldCharType="end"/>
      </w:r>
    </w:p>
    <w:p w14:paraId="51A8DD97" w14:textId="1DCF972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Indemnification of members of a Committee</w:t>
      </w:r>
      <w:r w:rsidRPr="00723C3F">
        <w:rPr>
          <w:noProof/>
        </w:rPr>
        <w:tab/>
      </w:r>
      <w:r w:rsidRPr="00723C3F">
        <w:rPr>
          <w:noProof/>
        </w:rPr>
        <w:fldChar w:fldCharType="begin"/>
      </w:r>
      <w:r w:rsidRPr="00723C3F">
        <w:rPr>
          <w:noProof/>
        </w:rPr>
        <w:instrText xml:space="preserve"> PAGEREF _Toc185577640 \h </w:instrText>
      </w:r>
      <w:r w:rsidRPr="00723C3F">
        <w:rPr>
          <w:noProof/>
        </w:rPr>
      </w:r>
      <w:r w:rsidRPr="00723C3F">
        <w:rPr>
          <w:noProof/>
        </w:rPr>
        <w:fldChar w:fldCharType="separate"/>
      </w:r>
      <w:r w:rsidR="00845A31">
        <w:rPr>
          <w:noProof/>
        </w:rPr>
        <w:t>257</w:t>
      </w:r>
      <w:r w:rsidRPr="00723C3F">
        <w:rPr>
          <w:noProof/>
        </w:rPr>
        <w:fldChar w:fldCharType="end"/>
      </w:r>
    </w:p>
    <w:p w14:paraId="5649BEC0" w14:textId="1AAE1FC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Remuneration and allowances</w:t>
      </w:r>
      <w:r w:rsidRPr="00723C3F">
        <w:rPr>
          <w:noProof/>
        </w:rPr>
        <w:tab/>
      </w:r>
      <w:r w:rsidRPr="00723C3F">
        <w:rPr>
          <w:noProof/>
        </w:rPr>
        <w:fldChar w:fldCharType="begin"/>
      </w:r>
      <w:r w:rsidRPr="00723C3F">
        <w:rPr>
          <w:noProof/>
        </w:rPr>
        <w:instrText xml:space="preserve"> PAGEREF _Toc185577641 \h </w:instrText>
      </w:r>
      <w:r w:rsidRPr="00723C3F">
        <w:rPr>
          <w:noProof/>
        </w:rPr>
      </w:r>
      <w:r w:rsidRPr="00723C3F">
        <w:rPr>
          <w:noProof/>
        </w:rPr>
        <w:fldChar w:fldCharType="separate"/>
      </w:r>
      <w:r w:rsidR="00845A31">
        <w:rPr>
          <w:noProof/>
        </w:rPr>
        <w:t>257</w:t>
      </w:r>
      <w:r w:rsidRPr="00723C3F">
        <w:rPr>
          <w:noProof/>
        </w:rPr>
        <w:fldChar w:fldCharType="end"/>
      </w:r>
    </w:p>
    <w:p w14:paraId="66279DDF" w14:textId="4FCA6C9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133A</w:t>
      </w:r>
      <w:r>
        <w:rPr>
          <w:noProof/>
        </w:rPr>
        <w:tab/>
        <w:t>Recommendations by Committee to CSC</w:t>
      </w:r>
      <w:r w:rsidRPr="00723C3F">
        <w:rPr>
          <w:noProof/>
        </w:rPr>
        <w:tab/>
      </w:r>
      <w:r w:rsidRPr="00723C3F">
        <w:rPr>
          <w:noProof/>
        </w:rPr>
        <w:fldChar w:fldCharType="begin"/>
      </w:r>
      <w:r w:rsidRPr="00723C3F">
        <w:rPr>
          <w:noProof/>
        </w:rPr>
        <w:instrText xml:space="preserve"> PAGEREF _Toc185577642 \h </w:instrText>
      </w:r>
      <w:r w:rsidRPr="00723C3F">
        <w:rPr>
          <w:noProof/>
        </w:rPr>
      </w:r>
      <w:r w:rsidRPr="00723C3F">
        <w:rPr>
          <w:noProof/>
        </w:rPr>
        <w:fldChar w:fldCharType="separate"/>
      </w:r>
      <w:r w:rsidR="00845A31">
        <w:rPr>
          <w:noProof/>
        </w:rPr>
        <w:t>257</w:t>
      </w:r>
      <w:r w:rsidRPr="00723C3F">
        <w:rPr>
          <w:noProof/>
        </w:rPr>
        <w:fldChar w:fldCharType="end"/>
      </w:r>
    </w:p>
    <w:p w14:paraId="18E050DA" w14:textId="45F11701"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Division 3—Review of decisions by the Administrative Review Tribunal</w:t>
      </w:r>
      <w:r w:rsidRPr="00723C3F">
        <w:rPr>
          <w:b w:val="0"/>
          <w:noProof/>
          <w:sz w:val="18"/>
        </w:rPr>
        <w:tab/>
      </w:r>
      <w:r w:rsidRPr="00723C3F">
        <w:rPr>
          <w:b w:val="0"/>
          <w:noProof/>
          <w:sz w:val="18"/>
        </w:rPr>
        <w:fldChar w:fldCharType="begin"/>
      </w:r>
      <w:r w:rsidRPr="00723C3F">
        <w:rPr>
          <w:b w:val="0"/>
          <w:noProof/>
          <w:sz w:val="18"/>
        </w:rPr>
        <w:instrText xml:space="preserve"> PAGEREF _Toc185577643 \h </w:instrText>
      </w:r>
      <w:r w:rsidRPr="00723C3F">
        <w:rPr>
          <w:b w:val="0"/>
          <w:noProof/>
          <w:sz w:val="18"/>
        </w:rPr>
      </w:r>
      <w:r w:rsidRPr="00723C3F">
        <w:rPr>
          <w:b w:val="0"/>
          <w:noProof/>
          <w:sz w:val="18"/>
        </w:rPr>
        <w:fldChar w:fldCharType="separate"/>
      </w:r>
      <w:r w:rsidR="00845A31">
        <w:rPr>
          <w:b w:val="0"/>
          <w:noProof/>
          <w:sz w:val="18"/>
        </w:rPr>
        <w:t>259</w:t>
      </w:r>
      <w:r w:rsidRPr="00723C3F">
        <w:rPr>
          <w:b w:val="0"/>
          <w:noProof/>
          <w:sz w:val="18"/>
        </w:rPr>
        <w:fldChar w:fldCharType="end"/>
      </w:r>
    </w:p>
    <w:p w14:paraId="708A70B1" w14:textId="6B508B6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133B</w:t>
      </w:r>
      <w:r>
        <w:rPr>
          <w:noProof/>
        </w:rPr>
        <w:tab/>
        <w:t>Review by the Administrative Review Tribunal</w:t>
      </w:r>
      <w:r w:rsidRPr="00723C3F">
        <w:rPr>
          <w:noProof/>
        </w:rPr>
        <w:tab/>
      </w:r>
      <w:r w:rsidRPr="00723C3F">
        <w:rPr>
          <w:noProof/>
        </w:rPr>
        <w:fldChar w:fldCharType="begin"/>
      </w:r>
      <w:r w:rsidRPr="00723C3F">
        <w:rPr>
          <w:noProof/>
        </w:rPr>
        <w:instrText xml:space="preserve"> PAGEREF _Toc185577644 \h </w:instrText>
      </w:r>
      <w:r w:rsidRPr="00723C3F">
        <w:rPr>
          <w:noProof/>
        </w:rPr>
      </w:r>
      <w:r w:rsidRPr="00723C3F">
        <w:rPr>
          <w:noProof/>
        </w:rPr>
        <w:fldChar w:fldCharType="separate"/>
      </w:r>
      <w:r w:rsidR="00845A31">
        <w:rPr>
          <w:noProof/>
        </w:rPr>
        <w:t>259</w:t>
      </w:r>
      <w:r w:rsidRPr="00723C3F">
        <w:rPr>
          <w:noProof/>
        </w:rPr>
        <w:fldChar w:fldCharType="end"/>
      </w:r>
    </w:p>
    <w:p w14:paraId="0A122AAB" w14:textId="6F3291CF" w:rsidR="00723C3F" w:rsidRDefault="00723C3F">
      <w:pPr>
        <w:pStyle w:val="TOC2"/>
        <w:rPr>
          <w:rFonts w:asciiTheme="minorHAnsi" w:eastAsiaTheme="minorEastAsia" w:hAnsiTheme="minorHAnsi" w:cstheme="minorBidi"/>
          <w:b w:val="0"/>
          <w:noProof/>
          <w:kern w:val="2"/>
          <w:szCs w:val="24"/>
          <w14:ligatures w14:val="standardContextual"/>
        </w:rPr>
      </w:pPr>
      <w:r>
        <w:rPr>
          <w:noProof/>
        </w:rPr>
        <w:t>Part XII—Miscellaneous</w:t>
      </w:r>
      <w:r w:rsidRPr="00723C3F">
        <w:rPr>
          <w:b w:val="0"/>
          <w:noProof/>
          <w:sz w:val="18"/>
        </w:rPr>
        <w:tab/>
      </w:r>
      <w:r w:rsidRPr="00723C3F">
        <w:rPr>
          <w:b w:val="0"/>
          <w:noProof/>
          <w:sz w:val="18"/>
        </w:rPr>
        <w:fldChar w:fldCharType="begin"/>
      </w:r>
      <w:r w:rsidRPr="00723C3F">
        <w:rPr>
          <w:b w:val="0"/>
          <w:noProof/>
          <w:sz w:val="18"/>
        </w:rPr>
        <w:instrText xml:space="preserve"> PAGEREF _Toc185577645 \h </w:instrText>
      </w:r>
      <w:r w:rsidRPr="00723C3F">
        <w:rPr>
          <w:b w:val="0"/>
          <w:noProof/>
          <w:sz w:val="18"/>
        </w:rPr>
      </w:r>
      <w:r w:rsidRPr="00723C3F">
        <w:rPr>
          <w:b w:val="0"/>
          <w:noProof/>
          <w:sz w:val="18"/>
        </w:rPr>
        <w:fldChar w:fldCharType="separate"/>
      </w:r>
      <w:r w:rsidR="00845A31">
        <w:rPr>
          <w:b w:val="0"/>
          <w:noProof/>
          <w:sz w:val="18"/>
        </w:rPr>
        <w:t>260</w:t>
      </w:r>
      <w:r w:rsidRPr="00723C3F">
        <w:rPr>
          <w:b w:val="0"/>
          <w:noProof/>
          <w:sz w:val="18"/>
        </w:rPr>
        <w:fldChar w:fldCharType="end"/>
      </w:r>
    </w:p>
    <w:p w14:paraId="75FB990A" w14:textId="5220B33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133C</w:t>
      </w:r>
      <w:r>
        <w:rPr>
          <w:noProof/>
        </w:rPr>
        <w:tab/>
        <w:t>CSC to keep records with respect to benefits paid</w:t>
      </w:r>
      <w:r w:rsidRPr="00723C3F">
        <w:rPr>
          <w:noProof/>
        </w:rPr>
        <w:tab/>
      </w:r>
      <w:r w:rsidRPr="00723C3F">
        <w:rPr>
          <w:noProof/>
        </w:rPr>
        <w:fldChar w:fldCharType="begin"/>
      </w:r>
      <w:r w:rsidRPr="00723C3F">
        <w:rPr>
          <w:noProof/>
        </w:rPr>
        <w:instrText xml:space="preserve"> PAGEREF _Toc185577646 \h </w:instrText>
      </w:r>
      <w:r w:rsidRPr="00723C3F">
        <w:rPr>
          <w:noProof/>
        </w:rPr>
      </w:r>
      <w:r w:rsidRPr="00723C3F">
        <w:rPr>
          <w:noProof/>
        </w:rPr>
        <w:fldChar w:fldCharType="separate"/>
      </w:r>
      <w:r w:rsidR="00845A31">
        <w:rPr>
          <w:noProof/>
        </w:rPr>
        <w:t>260</w:t>
      </w:r>
      <w:r w:rsidRPr="00723C3F">
        <w:rPr>
          <w:noProof/>
        </w:rPr>
        <w:fldChar w:fldCharType="end"/>
      </w:r>
    </w:p>
    <w:p w14:paraId="502B1A4E" w14:textId="2C364BB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Benefits to be paid out of Consolidated Revenue</w:t>
      </w:r>
      <w:r w:rsidRPr="00723C3F">
        <w:rPr>
          <w:noProof/>
        </w:rPr>
        <w:tab/>
      </w:r>
      <w:r w:rsidRPr="00723C3F">
        <w:rPr>
          <w:noProof/>
        </w:rPr>
        <w:fldChar w:fldCharType="begin"/>
      </w:r>
      <w:r w:rsidRPr="00723C3F">
        <w:rPr>
          <w:noProof/>
        </w:rPr>
        <w:instrText xml:space="preserve"> PAGEREF _Toc185577647 \h </w:instrText>
      </w:r>
      <w:r w:rsidRPr="00723C3F">
        <w:rPr>
          <w:noProof/>
        </w:rPr>
      </w:r>
      <w:r w:rsidRPr="00723C3F">
        <w:rPr>
          <w:noProof/>
        </w:rPr>
        <w:fldChar w:fldCharType="separate"/>
      </w:r>
      <w:r w:rsidR="00845A31">
        <w:rPr>
          <w:noProof/>
        </w:rPr>
        <w:t>260</w:t>
      </w:r>
      <w:r w:rsidRPr="00723C3F">
        <w:rPr>
          <w:noProof/>
        </w:rPr>
        <w:fldChar w:fldCharType="end"/>
      </w:r>
    </w:p>
    <w:p w14:paraId="209CFDFA" w14:textId="5B1AAB7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Acceptance of election outside prescribed period</w:t>
      </w:r>
      <w:r w:rsidRPr="00723C3F">
        <w:rPr>
          <w:noProof/>
        </w:rPr>
        <w:tab/>
      </w:r>
      <w:r w:rsidRPr="00723C3F">
        <w:rPr>
          <w:noProof/>
        </w:rPr>
        <w:fldChar w:fldCharType="begin"/>
      </w:r>
      <w:r w:rsidRPr="00723C3F">
        <w:rPr>
          <w:noProof/>
        </w:rPr>
        <w:instrText xml:space="preserve"> PAGEREF _Toc185577648 \h </w:instrText>
      </w:r>
      <w:r w:rsidRPr="00723C3F">
        <w:rPr>
          <w:noProof/>
        </w:rPr>
      </w:r>
      <w:r w:rsidRPr="00723C3F">
        <w:rPr>
          <w:noProof/>
        </w:rPr>
        <w:fldChar w:fldCharType="separate"/>
      </w:r>
      <w:r w:rsidR="00845A31">
        <w:rPr>
          <w:noProof/>
        </w:rPr>
        <w:t>260</w:t>
      </w:r>
      <w:r w:rsidRPr="00723C3F">
        <w:rPr>
          <w:noProof/>
        </w:rPr>
        <w:fldChar w:fldCharType="end"/>
      </w:r>
    </w:p>
    <w:p w14:paraId="41C818EA" w14:textId="2DFCA63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Election after retirement of employee</w:t>
      </w:r>
      <w:r w:rsidRPr="00723C3F">
        <w:rPr>
          <w:noProof/>
        </w:rPr>
        <w:tab/>
      </w:r>
      <w:r w:rsidRPr="00723C3F">
        <w:rPr>
          <w:noProof/>
        </w:rPr>
        <w:fldChar w:fldCharType="begin"/>
      </w:r>
      <w:r w:rsidRPr="00723C3F">
        <w:rPr>
          <w:noProof/>
        </w:rPr>
        <w:instrText xml:space="preserve"> PAGEREF _Toc185577649 \h </w:instrText>
      </w:r>
      <w:r w:rsidRPr="00723C3F">
        <w:rPr>
          <w:noProof/>
        </w:rPr>
      </w:r>
      <w:r w:rsidRPr="00723C3F">
        <w:rPr>
          <w:noProof/>
        </w:rPr>
        <w:fldChar w:fldCharType="separate"/>
      </w:r>
      <w:r w:rsidR="00845A31">
        <w:rPr>
          <w:noProof/>
        </w:rPr>
        <w:t>261</w:t>
      </w:r>
      <w:r w:rsidRPr="00723C3F">
        <w:rPr>
          <w:noProof/>
        </w:rPr>
        <w:fldChar w:fldCharType="end"/>
      </w:r>
    </w:p>
    <w:p w14:paraId="3470B295" w14:textId="032E051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136A</w:t>
      </w:r>
      <w:r>
        <w:rPr>
          <w:noProof/>
        </w:rPr>
        <w:tab/>
        <w:t>Death may be presumed in certain cases</w:t>
      </w:r>
      <w:r w:rsidRPr="00723C3F">
        <w:rPr>
          <w:noProof/>
        </w:rPr>
        <w:tab/>
      </w:r>
      <w:r w:rsidRPr="00723C3F">
        <w:rPr>
          <w:noProof/>
        </w:rPr>
        <w:fldChar w:fldCharType="begin"/>
      </w:r>
      <w:r w:rsidRPr="00723C3F">
        <w:rPr>
          <w:noProof/>
        </w:rPr>
        <w:instrText xml:space="preserve"> PAGEREF _Toc185577650 \h </w:instrText>
      </w:r>
      <w:r w:rsidRPr="00723C3F">
        <w:rPr>
          <w:noProof/>
        </w:rPr>
      </w:r>
      <w:r w:rsidRPr="00723C3F">
        <w:rPr>
          <w:noProof/>
        </w:rPr>
        <w:fldChar w:fldCharType="separate"/>
      </w:r>
      <w:r w:rsidR="00845A31">
        <w:rPr>
          <w:noProof/>
        </w:rPr>
        <w:t>261</w:t>
      </w:r>
      <w:r w:rsidRPr="00723C3F">
        <w:rPr>
          <w:noProof/>
        </w:rPr>
        <w:fldChar w:fldCharType="end"/>
      </w:r>
    </w:p>
    <w:p w14:paraId="627FD558" w14:textId="01F7B02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Provisions in respect of a fraction of a unit</w:t>
      </w:r>
      <w:r w:rsidRPr="00723C3F">
        <w:rPr>
          <w:noProof/>
        </w:rPr>
        <w:tab/>
      </w:r>
      <w:r w:rsidRPr="00723C3F">
        <w:rPr>
          <w:noProof/>
        </w:rPr>
        <w:fldChar w:fldCharType="begin"/>
      </w:r>
      <w:r w:rsidRPr="00723C3F">
        <w:rPr>
          <w:noProof/>
        </w:rPr>
        <w:instrText xml:space="preserve"> PAGEREF _Toc185577651 \h </w:instrText>
      </w:r>
      <w:r w:rsidRPr="00723C3F">
        <w:rPr>
          <w:noProof/>
        </w:rPr>
      </w:r>
      <w:r w:rsidRPr="00723C3F">
        <w:rPr>
          <w:noProof/>
        </w:rPr>
        <w:fldChar w:fldCharType="separate"/>
      </w:r>
      <w:r w:rsidR="00845A31">
        <w:rPr>
          <w:noProof/>
        </w:rPr>
        <w:t>262</w:t>
      </w:r>
      <w:r w:rsidRPr="00723C3F">
        <w:rPr>
          <w:noProof/>
        </w:rPr>
        <w:fldChar w:fldCharType="end"/>
      </w:r>
    </w:p>
    <w:p w14:paraId="5D287B4A" w14:textId="6B7CC8A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Contributions payable from next pay</w:t>
      </w:r>
      <w:r>
        <w:rPr>
          <w:noProof/>
        </w:rPr>
        <w:noBreakHyphen/>
        <w:t>day</w:t>
      </w:r>
      <w:r w:rsidRPr="00723C3F">
        <w:rPr>
          <w:noProof/>
        </w:rPr>
        <w:tab/>
      </w:r>
      <w:r w:rsidRPr="00723C3F">
        <w:rPr>
          <w:noProof/>
        </w:rPr>
        <w:fldChar w:fldCharType="begin"/>
      </w:r>
      <w:r w:rsidRPr="00723C3F">
        <w:rPr>
          <w:noProof/>
        </w:rPr>
        <w:instrText xml:space="preserve"> PAGEREF _Toc185577652 \h </w:instrText>
      </w:r>
      <w:r w:rsidRPr="00723C3F">
        <w:rPr>
          <w:noProof/>
        </w:rPr>
      </w:r>
      <w:r w:rsidRPr="00723C3F">
        <w:rPr>
          <w:noProof/>
        </w:rPr>
        <w:fldChar w:fldCharType="separate"/>
      </w:r>
      <w:r w:rsidR="00845A31">
        <w:rPr>
          <w:noProof/>
        </w:rPr>
        <w:t>262</w:t>
      </w:r>
      <w:r w:rsidRPr="00723C3F">
        <w:rPr>
          <w:noProof/>
        </w:rPr>
        <w:fldChar w:fldCharType="end"/>
      </w:r>
    </w:p>
    <w:p w14:paraId="750EBC6B" w14:textId="408A926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Refund of contributions</w:t>
      </w:r>
      <w:r w:rsidRPr="00723C3F">
        <w:rPr>
          <w:noProof/>
        </w:rPr>
        <w:tab/>
      </w:r>
      <w:r w:rsidRPr="00723C3F">
        <w:rPr>
          <w:noProof/>
        </w:rPr>
        <w:fldChar w:fldCharType="begin"/>
      </w:r>
      <w:r w:rsidRPr="00723C3F">
        <w:rPr>
          <w:noProof/>
        </w:rPr>
        <w:instrText xml:space="preserve"> PAGEREF _Toc185577653 \h </w:instrText>
      </w:r>
      <w:r w:rsidRPr="00723C3F">
        <w:rPr>
          <w:noProof/>
        </w:rPr>
      </w:r>
      <w:r w:rsidRPr="00723C3F">
        <w:rPr>
          <w:noProof/>
        </w:rPr>
        <w:fldChar w:fldCharType="separate"/>
      </w:r>
      <w:r w:rsidR="00845A31">
        <w:rPr>
          <w:noProof/>
        </w:rPr>
        <w:t>262</w:t>
      </w:r>
      <w:r w:rsidRPr="00723C3F">
        <w:rPr>
          <w:noProof/>
        </w:rPr>
        <w:fldChar w:fldCharType="end"/>
      </w:r>
    </w:p>
    <w:p w14:paraId="515F3C59" w14:textId="6DBB84E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Question as to invalidity etc. determined by Board on Medical Officer’s report</w:t>
      </w:r>
      <w:r w:rsidRPr="00723C3F">
        <w:rPr>
          <w:noProof/>
        </w:rPr>
        <w:tab/>
      </w:r>
      <w:r w:rsidRPr="00723C3F">
        <w:rPr>
          <w:noProof/>
        </w:rPr>
        <w:fldChar w:fldCharType="begin"/>
      </w:r>
      <w:r w:rsidRPr="00723C3F">
        <w:rPr>
          <w:noProof/>
        </w:rPr>
        <w:instrText xml:space="preserve"> PAGEREF _Toc185577654 \h </w:instrText>
      </w:r>
      <w:r w:rsidRPr="00723C3F">
        <w:rPr>
          <w:noProof/>
        </w:rPr>
      </w:r>
      <w:r w:rsidRPr="00723C3F">
        <w:rPr>
          <w:noProof/>
        </w:rPr>
        <w:fldChar w:fldCharType="separate"/>
      </w:r>
      <w:r w:rsidR="00845A31">
        <w:rPr>
          <w:noProof/>
        </w:rPr>
        <w:t>262</w:t>
      </w:r>
      <w:r w:rsidRPr="00723C3F">
        <w:rPr>
          <w:noProof/>
        </w:rPr>
        <w:fldChar w:fldCharType="end"/>
      </w:r>
    </w:p>
    <w:p w14:paraId="4D9AF653" w14:textId="0F1934E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142</w:t>
      </w:r>
      <w:r>
        <w:rPr>
          <w:noProof/>
        </w:rPr>
        <w:tab/>
        <w:t>Returns</w:t>
      </w:r>
      <w:r w:rsidRPr="00723C3F">
        <w:rPr>
          <w:noProof/>
        </w:rPr>
        <w:tab/>
      </w:r>
      <w:r w:rsidRPr="00723C3F">
        <w:rPr>
          <w:noProof/>
        </w:rPr>
        <w:fldChar w:fldCharType="begin"/>
      </w:r>
      <w:r w:rsidRPr="00723C3F">
        <w:rPr>
          <w:noProof/>
        </w:rPr>
        <w:instrText xml:space="preserve"> PAGEREF _Toc185577655 \h </w:instrText>
      </w:r>
      <w:r w:rsidRPr="00723C3F">
        <w:rPr>
          <w:noProof/>
        </w:rPr>
      </w:r>
      <w:r w:rsidRPr="00723C3F">
        <w:rPr>
          <w:noProof/>
        </w:rPr>
        <w:fldChar w:fldCharType="separate"/>
      </w:r>
      <w:r w:rsidR="00845A31">
        <w:rPr>
          <w:noProof/>
        </w:rPr>
        <w:t>263</w:t>
      </w:r>
      <w:r w:rsidRPr="00723C3F">
        <w:rPr>
          <w:noProof/>
        </w:rPr>
        <w:fldChar w:fldCharType="end"/>
      </w:r>
    </w:p>
    <w:p w14:paraId="4CE8BFBE" w14:textId="43CDD1DF"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143</w:t>
      </w:r>
      <w:r>
        <w:rPr>
          <w:noProof/>
        </w:rPr>
        <w:tab/>
        <w:t>Assignment of pensions</w:t>
      </w:r>
      <w:r w:rsidRPr="00723C3F">
        <w:rPr>
          <w:noProof/>
        </w:rPr>
        <w:tab/>
      </w:r>
      <w:r w:rsidRPr="00723C3F">
        <w:rPr>
          <w:noProof/>
        </w:rPr>
        <w:fldChar w:fldCharType="begin"/>
      </w:r>
      <w:r w:rsidRPr="00723C3F">
        <w:rPr>
          <w:noProof/>
        </w:rPr>
        <w:instrText xml:space="preserve"> PAGEREF _Toc185577656 \h </w:instrText>
      </w:r>
      <w:r w:rsidRPr="00723C3F">
        <w:rPr>
          <w:noProof/>
        </w:rPr>
      </w:r>
      <w:r w:rsidRPr="00723C3F">
        <w:rPr>
          <w:noProof/>
        </w:rPr>
        <w:fldChar w:fldCharType="separate"/>
      </w:r>
      <w:r w:rsidR="00845A31">
        <w:rPr>
          <w:noProof/>
        </w:rPr>
        <w:t>263</w:t>
      </w:r>
      <w:r w:rsidRPr="00723C3F">
        <w:rPr>
          <w:noProof/>
        </w:rPr>
        <w:fldChar w:fldCharType="end"/>
      </w:r>
    </w:p>
    <w:p w14:paraId="1810C3F4" w14:textId="787BA40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143A</w:t>
      </w:r>
      <w:r>
        <w:rPr>
          <w:noProof/>
        </w:rPr>
        <w:tab/>
        <w:t>Attachment of pensions</w:t>
      </w:r>
      <w:r w:rsidRPr="00723C3F">
        <w:rPr>
          <w:noProof/>
        </w:rPr>
        <w:tab/>
      </w:r>
      <w:r w:rsidRPr="00723C3F">
        <w:rPr>
          <w:noProof/>
        </w:rPr>
        <w:fldChar w:fldCharType="begin"/>
      </w:r>
      <w:r w:rsidRPr="00723C3F">
        <w:rPr>
          <w:noProof/>
        </w:rPr>
        <w:instrText xml:space="preserve"> PAGEREF _Toc185577657 \h </w:instrText>
      </w:r>
      <w:r w:rsidRPr="00723C3F">
        <w:rPr>
          <w:noProof/>
        </w:rPr>
      </w:r>
      <w:r w:rsidRPr="00723C3F">
        <w:rPr>
          <w:noProof/>
        </w:rPr>
        <w:fldChar w:fldCharType="separate"/>
      </w:r>
      <w:r w:rsidR="00845A31">
        <w:rPr>
          <w:noProof/>
        </w:rPr>
        <w:t>263</w:t>
      </w:r>
      <w:r w:rsidRPr="00723C3F">
        <w:rPr>
          <w:noProof/>
        </w:rPr>
        <w:fldChar w:fldCharType="end"/>
      </w:r>
    </w:p>
    <w:p w14:paraId="563A18A5" w14:textId="5A159E2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144</w:t>
      </w:r>
      <w:r>
        <w:rPr>
          <w:noProof/>
        </w:rPr>
        <w:tab/>
        <w:t>Employees paid in sterling</w:t>
      </w:r>
      <w:r w:rsidRPr="00723C3F">
        <w:rPr>
          <w:noProof/>
        </w:rPr>
        <w:tab/>
      </w:r>
      <w:r w:rsidRPr="00723C3F">
        <w:rPr>
          <w:noProof/>
        </w:rPr>
        <w:fldChar w:fldCharType="begin"/>
      </w:r>
      <w:r w:rsidRPr="00723C3F">
        <w:rPr>
          <w:noProof/>
        </w:rPr>
        <w:instrText xml:space="preserve"> PAGEREF _Toc185577658 \h </w:instrText>
      </w:r>
      <w:r w:rsidRPr="00723C3F">
        <w:rPr>
          <w:noProof/>
        </w:rPr>
      </w:r>
      <w:r w:rsidRPr="00723C3F">
        <w:rPr>
          <w:noProof/>
        </w:rPr>
        <w:fldChar w:fldCharType="separate"/>
      </w:r>
      <w:r w:rsidR="00845A31">
        <w:rPr>
          <w:noProof/>
        </w:rPr>
        <w:t>265</w:t>
      </w:r>
      <w:r w:rsidRPr="00723C3F">
        <w:rPr>
          <w:noProof/>
        </w:rPr>
        <w:fldChar w:fldCharType="end"/>
      </w:r>
    </w:p>
    <w:p w14:paraId="0DD043D7" w14:textId="2C5DCA6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145</w:t>
      </w:r>
      <w:r>
        <w:rPr>
          <w:noProof/>
        </w:rPr>
        <w:tab/>
        <w:t>Payments to the Commonwealth by approved authorities</w:t>
      </w:r>
      <w:r w:rsidRPr="00723C3F">
        <w:rPr>
          <w:noProof/>
        </w:rPr>
        <w:tab/>
      </w:r>
      <w:r w:rsidRPr="00723C3F">
        <w:rPr>
          <w:noProof/>
        </w:rPr>
        <w:fldChar w:fldCharType="begin"/>
      </w:r>
      <w:r w:rsidRPr="00723C3F">
        <w:rPr>
          <w:noProof/>
        </w:rPr>
        <w:instrText xml:space="preserve"> PAGEREF _Toc185577659 \h </w:instrText>
      </w:r>
      <w:r w:rsidRPr="00723C3F">
        <w:rPr>
          <w:noProof/>
        </w:rPr>
      </w:r>
      <w:r w:rsidRPr="00723C3F">
        <w:rPr>
          <w:noProof/>
        </w:rPr>
        <w:fldChar w:fldCharType="separate"/>
      </w:r>
      <w:r w:rsidR="00845A31">
        <w:rPr>
          <w:noProof/>
        </w:rPr>
        <w:t>266</w:t>
      </w:r>
      <w:r w:rsidRPr="00723C3F">
        <w:rPr>
          <w:noProof/>
        </w:rPr>
        <w:fldChar w:fldCharType="end"/>
      </w:r>
    </w:p>
    <w:p w14:paraId="09C7570A" w14:textId="67C69E9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146</w:t>
      </w:r>
      <w:r>
        <w:rPr>
          <w:noProof/>
        </w:rPr>
        <w:tab/>
        <w:t>Cost of medical examinations</w:t>
      </w:r>
      <w:r w:rsidRPr="00723C3F">
        <w:rPr>
          <w:noProof/>
        </w:rPr>
        <w:tab/>
      </w:r>
      <w:r w:rsidRPr="00723C3F">
        <w:rPr>
          <w:noProof/>
        </w:rPr>
        <w:fldChar w:fldCharType="begin"/>
      </w:r>
      <w:r w:rsidRPr="00723C3F">
        <w:rPr>
          <w:noProof/>
        </w:rPr>
        <w:instrText xml:space="preserve"> PAGEREF _Toc185577660 \h </w:instrText>
      </w:r>
      <w:r w:rsidRPr="00723C3F">
        <w:rPr>
          <w:noProof/>
        </w:rPr>
      </w:r>
      <w:r w:rsidRPr="00723C3F">
        <w:rPr>
          <w:noProof/>
        </w:rPr>
        <w:fldChar w:fldCharType="separate"/>
      </w:r>
      <w:r w:rsidR="00845A31">
        <w:rPr>
          <w:noProof/>
        </w:rPr>
        <w:t>267</w:t>
      </w:r>
      <w:r w:rsidRPr="00723C3F">
        <w:rPr>
          <w:noProof/>
        </w:rPr>
        <w:fldChar w:fldCharType="end"/>
      </w:r>
    </w:p>
    <w:p w14:paraId="3F62DC7F" w14:textId="180F8DD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147</w:t>
      </w:r>
      <w:r>
        <w:rPr>
          <w:noProof/>
        </w:rPr>
        <w:tab/>
        <w:t>Retirement or death as result of war service</w:t>
      </w:r>
      <w:r w:rsidRPr="00723C3F">
        <w:rPr>
          <w:noProof/>
        </w:rPr>
        <w:tab/>
      </w:r>
      <w:r w:rsidRPr="00723C3F">
        <w:rPr>
          <w:noProof/>
        </w:rPr>
        <w:fldChar w:fldCharType="begin"/>
      </w:r>
      <w:r w:rsidRPr="00723C3F">
        <w:rPr>
          <w:noProof/>
        </w:rPr>
        <w:instrText xml:space="preserve"> PAGEREF _Toc185577661 \h </w:instrText>
      </w:r>
      <w:r w:rsidRPr="00723C3F">
        <w:rPr>
          <w:noProof/>
        </w:rPr>
      </w:r>
      <w:r w:rsidRPr="00723C3F">
        <w:rPr>
          <w:noProof/>
        </w:rPr>
        <w:fldChar w:fldCharType="separate"/>
      </w:r>
      <w:r w:rsidR="00845A31">
        <w:rPr>
          <w:noProof/>
        </w:rPr>
        <w:t>268</w:t>
      </w:r>
      <w:r w:rsidRPr="00723C3F">
        <w:rPr>
          <w:noProof/>
        </w:rPr>
        <w:fldChar w:fldCharType="end"/>
      </w:r>
    </w:p>
    <w:p w14:paraId="4EB1C103" w14:textId="2554ECB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148</w:t>
      </w:r>
      <w:r>
        <w:rPr>
          <w:noProof/>
        </w:rPr>
        <w:tab/>
        <w:t>Power to recover</w:t>
      </w:r>
      <w:r w:rsidRPr="00723C3F">
        <w:rPr>
          <w:noProof/>
        </w:rPr>
        <w:tab/>
      </w:r>
      <w:r w:rsidRPr="00723C3F">
        <w:rPr>
          <w:noProof/>
        </w:rPr>
        <w:fldChar w:fldCharType="begin"/>
      </w:r>
      <w:r w:rsidRPr="00723C3F">
        <w:rPr>
          <w:noProof/>
        </w:rPr>
        <w:instrText xml:space="preserve"> PAGEREF _Toc185577662 \h </w:instrText>
      </w:r>
      <w:r w:rsidRPr="00723C3F">
        <w:rPr>
          <w:noProof/>
        </w:rPr>
      </w:r>
      <w:r w:rsidRPr="00723C3F">
        <w:rPr>
          <w:noProof/>
        </w:rPr>
        <w:fldChar w:fldCharType="separate"/>
      </w:r>
      <w:r w:rsidR="00845A31">
        <w:rPr>
          <w:noProof/>
        </w:rPr>
        <w:t>268</w:t>
      </w:r>
      <w:r w:rsidRPr="00723C3F">
        <w:rPr>
          <w:noProof/>
        </w:rPr>
        <w:fldChar w:fldCharType="end"/>
      </w:r>
    </w:p>
    <w:p w14:paraId="144677DE" w14:textId="21235FC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149</w:t>
      </w:r>
      <w:r>
        <w:rPr>
          <w:noProof/>
        </w:rPr>
        <w:tab/>
        <w:t>Delegation by Minister</w:t>
      </w:r>
      <w:r w:rsidRPr="00723C3F">
        <w:rPr>
          <w:noProof/>
        </w:rPr>
        <w:tab/>
      </w:r>
      <w:r w:rsidRPr="00723C3F">
        <w:rPr>
          <w:noProof/>
        </w:rPr>
        <w:fldChar w:fldCharType="begin"/>
      </w:r>
      <w:r w:rsidRPr="00723C3F">
        <w:rPr>
          <w:noProof/>
        </w:rPr>
        <w:instrText xml:space="preserve"> PAGEREF _Toc185577663 \h </w:instrText>
      </w:r>
      <w:r w:rsidRPr="00723C3F">
        <w:rPr>
          <w:noProof/>
        </w:rPr>
      </w:r>
      <w:r w:rsidRPr="00723C3F">
        <w:rPr>
          <w:noProof/>
        </w:rPr>
        <w:fldChar w:fldCharType="separate"/>
      </w:r>
      <w:r w:rsidR="00845A31">
        <w:rPr>
          <w:noProof/>
        </w:rPr>
        <w:t>268</w:t>
      </w:r>
      <w:r w:rsidRPr="00723C3F">
        <w:rPr>
          <w:noProof/>
        </w:rPr>
        <w:fldChar w:fldCharType="end"/>
      </w:r>
    </w:p>
    <w:p w14:paraId="6E714913" w14:textId="70C9FA8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149A</w:t>
      </w:r>
      <w:r>
        <w:rPr>
          <w:noProof/>
        </w:rPr>
        <w:tab/>
        <w:t>Delegation by Public Service Board</w:t>
      </w:r>
      <w:r w:rsidRPr="00723C3F">
        <w:rPr>
          <w:noProof/>
        </w:rPr>
        <w:tab/>
      </w:r>
      <w:r w:rsidRPr="00723C3F">
        <w:rPr>
          <w:noProof/>
        </w:rPr>
        <w:fldChar w:fldCharType="begin"/>
      </w:r>
      <w:r w:rsidRPr="00723C3F">
        <w:rPr>
          <w:noProof/>
        </w:rPr>
        <w:instrText xml:space="preserve"> PAGEREF _Toc185577664 \h </w:instrText>
      </w:r>
      <w:r w:rsidRPr="00723C3F">
        <w:rPr>
          <w:noProof/>
        </w:rPr>
      </w:r>
      <w:r w:rsidRPr="00723C3F">
        <w:rPr>
          <w:noProof/>
        </w:rPr>
        <w:fldChar w:fldCharType="separate"/>
      </w:r>
      <w:r w:rsidR="00845A31">
        <w:rPr>
          <w:noProof/>
        </w:rPr>
        <w:t>269</w:t>
      </w:r>
      <w:r w:rsidRPr="00723C3F">
        <w:rPr>
          <w:noProof/>
        </w:rPr>
        <w:fldChar w:fldCharType="end"/>
      </w:r>
    </w:p>
    <w:p w14:paraId="0B0D5E68" w14:textId="25B3733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149AA</w:t>
      </w:r>
      <w:r>
        <w:rPr>
          <w:noProof/>
        </w:rPr>
        <w:tab/>
        <w:t>Minister may request the supply of information</w:t>
      </w:r>
      <w:r w:rsidRPr="00723C3F">
        <w:rPr>
          <w:noProof/>
        </w:rPr>
        <w:tab/>
      </w:r>
      <w:r w:rsidRPr="00723C3F">
        <w:rPr>
          <w:noProof/>
        </w:rPr>
        <w:fldChar w:fldCharType="begin"/>
      </w:r>
      <w:r w:rsidRPr="00723C3F">
        <w:rPr>
          <w:noProof/>
        </w:rPr>
        <w:instrText xml:space="preserve"> PAGEREF _Toc185577665 \h </w:instrText>
      </w:r>
      <w:r w:rsidRPr="00723C3F">
        <w:rPr>
          <w:noProof/>
        </w:rPr>
      </w:r>
      <w:r w:rsidRPr="00723C3F">
        <w:rPr>
          <w:noProof/>
        </w:rPr>
        <w:fldChar w:fldCharType="separate"/>
      </w:r>
      <w:r w:rsidR="00845A31">
        <w:rPr>
          <w:noProof/>
        </w:rPr>
        <w:t>269</w:t>
      </w:r>
      <w:r w:rsidRPr="00723C3F">
        <w:rPr>
          <w:noProof/>
        </w:rPr>
        <w:fldChar w:fldCharType="end"/>
      </w:r>
    </w:p>
    <w:p w14:paraId="1AEB830A" w14:textId="5B7DC1D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149AB</w:t>
      </w:r>
      <w:r>
        <w:rPr>
          <w:noProof/>
        </w:rPr>
        <w:tab/>
        <w:t>Making false statements to CSC</w:t>
      </w:r>
      <w:r w:rsidRPr="00723C3F">
        <w:rPr>
          <w:noProof/>
        </w:rPr>
        <w:tab/>
      </w:r>
      <w:r w:rsidRPr="00723C3F">
        <w:rPr>
          <w:noProof/>
        </w:rPr>
        <w:fldChar w:fldCharType="begin"/>
      </w:r>
      <w:r w:rsidRPr="00723C3F">
        <w:rPr>
          <w:noProof/>
        </w:rPr>
        <w:instrText xml:space="preserve"> PAGEREF _Toc185577666 \h </w:instrText>
      </w:r>
      <w:r w:rsidRPr="00723C3F">
        <w:rPr>
          <w:noProof/>
        </w:rPr>
      </w:r>
      <w:r w:rsidRPr="00723C3F">
        <w:rPr>
          <w:noProof/>
        </w:rPr>
        <w:fldChar w:fldCharType="separate"/>
      </w:r>
      <w:r w:rsidR="00845A31">
        <w:rPr>
          <w:noProof/>
        </w:rPr>
        <w:t>269</w:t>
      </w:r>
      <w:r w:rsidRPr="00723C3F">
        <w:rPr>
          <w:noProof/>
        </w:rPr>
        <w:fldChar w:fldCharType="end"/>
      </w:r>
    </w:p>
    <w:p w14:paraId="580EE681" w14:textId="3510960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149B</w:t>
      </w:r>
      <w:r>
        <w:rPr>
          <w:noProof/>
        </w:rPr>
        <w:tab/>
        <w:t>References to Board to include Commissioner</w:t>
      </w:r>
      <w:r w:rsidRPr="00723C3F">
        <w:rPr>
          <w:noProof/>
        </w:rPr>
        <w:tab/>
      </w:r>
      <w:r w:rsidRPr="00723C3F">
        <w:rPr>
          <w:noProof/>
        </w:rPr>
        <w:fldChar w:fldCharType="begin"/>
      </w:r>
      <w:r w:rsidRPr="00723C3F">
        <w:rPr>
          <w:noProof/>
        </w:rPr>
        <w:instrText xml:space="preserve"> PAGEREF _Toc185577667 \h </w:instrText>
      </w:r>
      <w:r w:rsidRPr="00723C3F">
        <w:rPr>
          <w:noProof/>
        </w:rPr>
      </w:r>
      <w:r w:rsidRPr="00723C3F">
        <w:rPr>
          <w:noProof/>
        </w:rPr>
        <w:fldChar w:fldCharType="separate"/>
      </w:r>
      <w:r w:rsidR="00845A31">
        <w:rPr>
          <w:noProof/>
        </w:rPr>
        <w:t>270</w:t>
      </w:r>
      <w:r w:rsidRPr="00723C3F">
        <w:rPr>
          <w:noProof/>
        </w:rPr>
        <w:fldChar w:fldCharType="end"/>
      </w:r>
    </w:p>
    <w:p w14:paraId="4EADD4D4" w14:textId="55A7C2E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150</w:t>
      </w:r>
      <w:r>
        <w:rPr>
          <w:noProof/>
        </w:rPr>
        <w:tab/>
        <w:t>Regulations</w:t>
      </w:r>
      <w:r w:rsidRPr="00723C3F">
        <w:rPr>
          <w:noProof/>
        </w:rPr>
        <w:tab/>
      </w:r>
      <w:r w:rsidRPr="00723C3F">
        <w:rPr>
          <w:noProof/>
        </w:rPr>
        <w:fldChar w:fldCharType="begin"/>
      </w:r>
      <w:r w:rsidRPr="00723C3F">
        <w:rPr>
          <w:noProof/>
        </w:rPr>
        <w:instrText xml:space="preserve"> PAGEREF _Toc185577668 \h </w:instrText>
      </w:r>
      <w:r w:rsidRPr="00723C3F">
        <w:rPr>
          <w:noProof/>
        </w:rPr>
      </w:r>
      <w:r w:rsidRPr="00723C3F">
        <w:rPr>
          <w:noProof/>
        </w:rPr>
        <w:fldChar w:fldCharType="separate"/>
      </w:r>
      <w:r w:rsidR="00845A31">
        <w:rPr>
          <w:noProof/>
        </w:rPr>
        <w:t>270</w:t>
      </w:r>
      <w:r w:rsidRPr="00723C3F">
        <w:rPr>
          <w:noProof/>
        </w:rPr>
        <w:fldChar w:fldCharType="end"/>
      </w:r>
    </w:p>
    <w:p w14:paraId="7DCAAD6B" w14:textId="50EEFED5" w:rsidR="00723C3F" w:rsidRDefault="00723C3F">
      <w:pPr>
        <w:pStyle w:val="TOC2"/>
        <w:rPr>
          <w:rFonts w:asciiTheme="minorHAnsi" w:eastAsiaTheme="minorEastAsia" w:hAnsiTheme="minorHAnsi" w:cstheme="minorBidi"/>
          <w:b w:val="0"/>
          <w:noProof/>
          <w:kern w:val="2"/>
          <w:szCs w:val="24"/>
          <w14:ligatures w14:val="standardContextual"/>
        </w:rPr>
      </w:pPr>
      <w:r>
        <w:rPr>
          <w:noProof/>
        </w:rPr>
        <w:t>Third Schedule—Rates of contribution</w:t>
      </w:r>
      <w:r w:rsidRPr="00723C3F">
        <w:rPr>
          <w:b w:val="0"/>
          <w:noProof/>
          <w:sz w:val="18"/>
        </w:rPr>
        <w:tab/>
      </w:r>
      <w:r w:rsidRPr="00723C3F">
        <w:rPr>
          <w:b w:val="0"/>
          <w:noProof/>
          <w:sz w:val="18"/>
        </w:rPr>
        <w:fldChar w:fldCharType="begin"/>
      </w:r>
      <w:r w:rsidRPr="00723C3F">
        <w:rPr>
          <w:b w:val="0"/>
          <w:noProof/>
          <w:sz w:val="18"/>
        </w:rPr>
        <w:instrText xml:space="preserve"> PAGEREF _Toc185577669 \h </w:instrText>
      </w:r>
      <w:r w:rsidRPr="00723C3F">
        <w:rPr>
          <w:b w:val="0"/>
          <w:noProof/>
          <w:sz w:val="18"/>
        </w:rPr>
      </w:r>
      <w:r w:rsidRPr="00723C3F">
        <w:rPr>
          <w:b w:val="0"/>
          <w:noProof/>
          <w:sz w:val="18"/>
        </w:rPr>
        <w:fldChar w:fldCharType="separate"/>
      </w:r>
      <w:r w:rsidR="00845A31">
        <w:rPr>
          <w:b w:val="0"/>
          <w:noProof/>
          <w:sz w:val="18"/>
        </w:rPr>
        <w:t>272</w:t>
      </w:r>
      <w:r w:rsidRPr="00723C3F">
        <w:rPr>
          <w:b w:val="0"/>
          <w:noProof/>
          <w:sz w:val="18"/>
        </w:rPr>
        <w:fldChar w:fldCharType="end"/>
      </w:r>
    </w:p>
    <w:p w14:paraId="636BCAFE" w14:textId="203AC41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w:t>
      </w:r>
      <w:r w:rsidRPr="00723C3F">
        <w:rPr>
          <w:noProof/>
        </w:rPr>
        <w:tab/>
      </w:r>
      <w:r w:rsidR="00BA23A6">
        <w:rPr>
          <w:noProof/>
        </w:rPr>
        <w:tab/>
      </w:r>
      <w:r w:rsidRPr="00723C3F">
        <w:rPr>
          <w:noProof/>
        </w:rPr>
        <w:fldChar w:fldCharType="begin"/>
      </w:r>
      <w:r w:rsidRPr="00723C3F">
        <w:rPr>
          <w:noProof/>
        </w:rPr>
        <w:instrText xml:space="preserve"> PAGEREF _Toc185577670 \h </w:instrText>
      </w:r>
      <w:r w:rsidRPr="00723C3F">
        <w:rPr>
          <w:noProof/>
        </w:rPr>
      </w:r>
      <w:r w:rsidRPr="00723C3F">
        <w:rPr>
          <w:noProof/>
        </w:rPr>
        <w:fldChar w:fldCharType="separate"/>
      </w:r>
      <w:r w:rsidR="00845A31">
        <w:rPr>
          <w:noProof/>
        </w:rPr>
        <w:t>272</w:t>
      </w:r>
      <w:r w:rsidRPr="00723C3F">
        <w:rPr>
          <w:noProof/>
        </w:rPr>
        <w:fldChar w:fldCharType="end"/>
      </w:r>
    </w:p>
    <w:p w14:paraId="39576C7B" w14:textId="30A81E21"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II</w:t>
      </w:r>
      <w:r w:rsidRPr="00723C3F">
        <w:rPr>
          <w:noProof/>
        </w:rPr>
        <w:tab/>
      </w:r>
      <w:r w:rsidR="00BA23A6">
        <w:rPr>
          <w:noProof/>
        </w:rPr>
        <w:tab/>
      </w:r>
      <w:r w:rsidRPr="00723C3F">
        <w:rPr>
          <w:noProof/>
        </w:rPr>
        <w:fldChar w:fldCharType="begin"/>
      </w:r>
      <w:r w:rsidRPr="00723C3F">
        <w:rPr>
          <w:noProof/>
        </w:rPr>
        <w:instrText xml:space="preserve"> PAGEREF _Toc185577671 \h </w:instrText>
      </w:r>
      <w:r w:rsidRPr="00723C3F">
        <w:rPr>
          <w:noProof/>
        </w:rPr>
      </w:r>
      <w:r w:rsidRPr="00723C3F">
        <w:rPr>
          <w:noProof/>
        </w:rPr>
        <w:fldChar w:fldCharType="separate"/>
      </w:r>
      <w:r w:rsidR="00845A31">
        <w:rPr>
          <w:noProof/>
        </w:rPr>
        <w:t>274</w:t>
      </w:r>
      <w:r w:rsidRPr="00723C3F">
        <w:rPr>
          <w:noProof/>
        </w:rPr>
        <w:fldChar w:fldCharType="end"/>
      </w:r>
    </w:p>
    <w:p w14:paraId="69E98E56" w14:textId="460B04C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III</w:t>
      </w:r>
      <w:r w:rsidRPr="00723C3F">
        <w:rPr>
          <w:noProof/>
        </w:rPr>
        <w:tab/>
      </w:r>
      <w:r w:rsidR="00BA23A6">
        <w:rPr>
          <w:noProof/>
        </w:rPr>
        <w:tab/>
      </w:r>
      <w:r w:rsidRPr="00723C3F">
        <w:rPr>
          <w:noProof/>
        </w:rPr>
        <w:fldChar w:fldCharType="begin"/>
      </w:r>
      <w:r w:rsidRPr="00723C3F">
        <w:rPr>
          <w:noProof/>
        </w:rPr>
        <w:instrText xml:space="preserve"> PAGEREF _Toc185577672 \h </w:instrText>
      </w:r>
      <w:r w:rsidRPr="00723C3F">
        <w:rPr>
          <w:noProof/>
        </w:rPr>
      </w:r>
      <w:r w:rsidRPr="00723C3F">
        <w:rPr>
          <w:noProof/>
        </w:rPr>
        <w:fldChar w:fldCharType="separate"/>
      </w:r>
      <w:r w:rsidR="00845A31">
        <w:rPr>
          <w:noProof/>
        </w:rPr>
        <w:t>276</w:t>
      </w:r>
      <w:r w:rsidRPr="00723C3F">
        <w:rPr>
          <w:noProof/>
        </w:rPr>
        <w:fldChar w:fldCharType="end"/>
      </w:r>
    </w:p>
    <w:p w14:paraId="40066969" w14:textId="058220D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IV</w:t>
      </w:r>
      <w:r w:rsidRPr="00723C3F">
        <w:rPr>
          <w:noProof/>
        </w:rPr>
        <w:tab/>
      </w:r>
      <w:r w:rsidR="00BA23A6">
        <w:rPr>
          <w:noProof/>
        </w:rPr>
        <w:tab/>
      </w:r>
      <w:r w:rsidRPr="00723C3F">
        <w:rPr>
          <w:noProof/>
        </w:rPr>
        <w:fldChar w:fldCharType="begin"/>
      </w:r>
      <w:r w:rsidRPr="00723C3F">
        <w:rPr>
          <w:noProof/>
        </w:rPr>
        <w:instrText xml:space="preserve"> PAGEREF _Toc185577673 \h </w:instrText>
      </w:r>
      <w:r w:rsidRPr="00723C3F">
        <w:rPr>
          <w:noProof/>
        </w:rPr>
      </w:r>
      <w:r w:rsidRPr="00723C3F">
        <w:rPr>
          <w:noProof/>
        </w:rPr>
        <w:fldChar w:fldCharType="separate"/>
      </w:r>
      <w:r w:rsidR="00845A31">
        <w:rPr>
          <w:noProof/>
        </w:rPr>
        <w:t>278</w:t>
      </w:r>
      <w:r w:rsidRPr="00723C3F">
        <w:rPr>
          <w:noProof/>
        </w:rPr>
        <w:fldChar w:fldCharType="end"/>
      </w:r>
    </w:p>
    <w:p w14:paraId="5106B7C3" w14:textId="65255E3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V</w:t>
      </w:r>
      <w:r w:rsidRPr="00723C3F">
        <w:rPr>
          <w:noProof/>
        </w:rPr>
        <w:tab/>
      </w:r>
      <w:r w:rsidR="00BA23A6">
        <w:rPr>
          <w:noProof/>
        </w:rPr>
        <w:tab/>
      </w:r>
      <w:r w:rsidRPr="00723C3F">
        <w:rPr>
          <w:noProof/>
        </w:rPr>
        <w:fldChar w:fldCharType="begin"/>
      </w:r>
      <w:r w:rsidRPr="00723C3F">
        <w:rPr>
          <w:noProof/>
        </w:rPr>
        <w:instrText xml:space="preserve"> PAGEREF _Toc185577674 \h </w:instrText>
      </w:r>
      <w:r w:rsidRPr="00723C3F">
        <w:rPr>
          <w:noProof/>
        </w:rPr>
      </w:r>
      <w:r w:rsidRPr="00723C3F">
        <w:rPr>
          <w:noProof/>
        </w:rPr>
        <w:fldChar w:fldCharType="separate"/>
      </w:r>
      <w:r w:rsidR="00845A31">
        <w:rPr>
          <w:noProof/>
        </w:rPr>
        <w:t>280</w:t>
      </w:r>
      <w:r w:rsidRPr="00723C3F">
        <w:rPr>
          <w:noProof/>
        </w:rPr>
        <w:fldChar w:fldCharType="end"/>
      </w:r>
    </w:p>
    <w:p w14:paraId="09C48CC9" w14:textId="3FB0033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VI</w:t>
      </w:r>
      <w:r w:rsidRPr="00723C3F">
        <w:rPr>
          <w:noProof/>
        </w:rPr>
        <w:tab/>
      </w:r>
      <w:r w:rsidR="00BA23A6">
        <w:rPr>
          <w:noProof/>
        </w:rPr>
        <w:tab/>
      </w:r>
      <w:r w:rsidRPr="00723C3F">
        <w:rPr>
          <w:noProof/>
        </w:rPr>
        <w:fldChar w:fldCharType="begin"/>
      </w:r>
      <w:r w:rsidRPr="00723C3F">
        <w:rPr>
          <w:noProof/>
        </w:rPr>
        <w:instrText xml:space="preserve"> PAGEREF _Toc185577675 \h </w:instrText>
      </w:r>
      <w:r w:rsidRPr="00723C3F">
        <w:rPr>
          <w:noProof/>
        </w:rPr>
      </w:r>
      <w:r w:rsidRPr="00723C3F">
        <w:rPr>
          <w:noProof/>
        </w:rPr>
        <w:fldChar w:fldCharType="separate"/>
      </w:r>
      <w:r w:rsidR="00845A31">
        <w:rPr>
          <w:noProof/>
        </w:rPr>
        <w:t>283</w:t>
      </w:r>
      <w:r w:rsidRPr="00723C3F">
        <w:rPr>
          <w:noProof/>
        </w:rPr>
        <w:fldChar w:fldCharType="end"/>
      </w:r>
    </w:p>
    <w:p w14:paraId="54599F6F" w14:textId="502B2FE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VII</w:t>
      </w:r>
      <w:r w:rsidRPr="00723C3F">
        <w:rPr>
          <w:noProof/>
        </w:rPr>
        <w:tab/>
      </w:r>
      <w:r w:rsidR="00BA23A6">
        <w:rPr>
          <w:noProof/>
        </w:rPr>
        <w:tab/>
      </w:r>
      <w:r w:rsidRPr="00723C3F">
        <w:rPr>
          <w:noProof/>
        </w:rPr>
        <w:fldChar w:fldCharType="begin"/>
      </w:r>
      <w:r w:rsidRPr="00723C3F">
        <w:rPr>
          <w:noProof/>
        </w:rPr>
        <w:instrText xml:space="preserve"> PAGEREF _Toc185577676 \h </w:instrText>
      </w:r>
      <w:r w:rsidRPr="00723C3F">
        <w:rPr>
          <w:noProof/>
        </w:rPr>
      </w:r>
      <w:r w:rsidRPr="00723C3F">
        <w:rPr>
          <w:noProof/>
        </w:rPr>
        <w:fldChar w:fldCharType="separate"/>
      </w:r>
      <w:r w:rsidR="00845A31">
        <w:rPr>
          <w:noProof/>
        </w:rPr>
        <w:t>286</w:t>
      </w:r>
      <w:r w:rsidRPr="00723C3F">
        <w:rPr>
          <w:noProof/>
        </w:rPr>
        <w:fldChar w:fldCharType="end"/>
      </w:r>
    </w:p>
    <w:p w14:paraId="0D4649CE" w14:textId="5C45379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VIII</w:t>
      </w:r>
      <w:r w:rsidRPr="00723C3F">
        <w:rPr>
          <w:noProof/>
        </w:rPr>
        <w:tab/>
      </w:r>
      <w:r w:rsidR="00BA23A6">
        <w:rPr>
          <w:noProof/>
        </w:rPr>
        <w:tab/>
      </w:r>
      <w:r w:rsidRPr="00723C3F">
        <w:rPr>
          <w:noProof/>
        </w:rPr>
        <w:fldChar w:fldCharType="begin"/>
      </w:r>
      <w:r w:rsidRPr="00723C3F">
        <w:rPr>
          <w:noProof/>
        </w:rPr>
        <w:instrText xml:space="preserve"> PAGEREF _Toc185577677 \h </w:instrText>
      </w:r>
      <w:r w:rsidRPr="00723C3F">
        <w:rPr>
          <w:noProof/>
        </w:rPr>
      </w:r>
      <w:r w:rsidRPr="00723C3F">
        <w:rPr>
          <w:noProof/>
        </w:rPr>
        <w:fldChar w:fldCharType="separate"/>
      </w:r>
      <w:r w:rsidR="00845A31">
        <w:rPr>
          <w:noProof/>
        </w:rPr>
        <w:t>289</w:t>
      </w:r>
      <w:r w:rsidRPr="00723C3F">
        <w:rPr>
          <w:noProof/>
        </w:rPr>
        <w:fldChar w:fldCharType="end"/>
      </w:r>
    </w:p>
    <w:p w14:paraId="5C8A2D90" w14:textId="46BCAB3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IX</w:t>
      </w:r>
      <w:r w:rsidRPr="00723C3F">
        <w:rPr>
          <w:noProof/>
        </w:rPr>
        <w:tab/>
      </w:r>
      <w:r w:rsidR="00BA23A6">
        <w:rPr>
          <w:noProof/>
        </w:rPr>
        <w:tab/>
      </w:r>
      <w:r w:rsidRPr="00723C3F">
        <w:rPr>
          <w:noProof/>
        </w:rPr>
        <w:fldChar w:fldCharType="begin"/>
      </w:r>
      <w:r w:rsidRPr="00723C3F">
        <w:rPr>
          <w:noProof/>
        </w:rPr>
        <w:instrText xml:space="preserve"> PAGEREF _Toc185577678 \h </w:instrText>
      </w:r>
      <w:r w:rsidRPr="00723C3F">
        <w:rPr>
          <w:noProof/>
        </w:rPr>
      </w:r>
      <w:r w:rsidRPr="00723C3F">
        <w:rPr>
          <w:noProof/>
        </w:rPr>
        <w:fldChar w:fldCharType="separate"/>
      </w:r>
      <w:r w:rsidR="00845A31">
        <w:rPr>
          <w:noProof/>
        </w:rPr>
        <w:t>292</w:t>
      </w:r>
      <w:r w:rsidRPr="00723C3F">
        <w:rPr>
          <w:noProof/>
        </w:rPr>
        <w:fldChar w:fldCharType="end"/>
      </w:r>
    </w:p>
    <w:p w14:paraId="3C02E353" w14:textId="5D754EF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w:t>
      </w:r>
      <w:r w:rsidRPr="00723C3F">
        <w:rPr>
          <w:noProof/>
        </w:rPr>
        <w:tab/>
      </w:r>
      <w:r w:rsidR="00BA23A6">
        <w:rPr>
          <w:noProof/>
        </w:rPr>
        <w:tab/>
      </w:r>
      <w:r w:rsidRPr="00723C3F">
        <w:rPr>
          <w:noProof/>
        </w:rPr>
        <w:fldChar w:fldCharType="begin"/>
      </w:r>
      <w:r w:rsidRPr="00723C3F">
        <w:rPr>
          <w:noProof/>
        </w:rPr>
        <w:instrText xml:space="preserve"> PAGEREF _Toc185577679 \h </w:instrText>
      </w:r>
      <w:r w:rsidRPr="00723C3F">
        <w:rPr>
          <w:noProof/>
        </w:rPr>
      </w:r>
      <w:r w:rsidRPr="00723C3F">
        <w:rPr>
          <w:noProof/>
        </w:rPr>
        <w:fldChar w:fldCharType="separate"/>
      </w:r>
      <w:r w:rsidR="00845A31">
        <w:rPr>
          <w:noProof/>
        </w:rPr>
        <w:t>295</w:t>
      </w:r>
      <w:r w:rsidRPr="00723C3F">
        <w:rPr>
          <w:noProof/>
        </w:rPr>
        <w:fldChar w:fldCharType="end"/>
      </w:r>
    </w:p>
    <w:p w14:paraId="55D7C436" w14:textId="1797AAD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XI</w:t>
      </w:r>
      <w:r w:rsidRPr="00723C3F">
        <w:rPr>
          <w:noProof/>
        </w:rPr>
        <w:tab/>
      </w:r>
      <w:r w:rsidR="00BA23A6">
        <w:rPr>
          <w:noProof/>
        </w:rPr>
        <w:tab/>
      </w:r>
      <w:r w:rsidRPr="00723C3F">
        <w:rPr>
          <w:noProof/>
        </w:rPr>
        <w:fldChar w:fldCharType="begin"/>
      </w:r>
      <w:r w:rsidRPr="00723C3F">
        <w:rPr>
          <w:noProof/>
        </w:rPr>
        <w:instrText xml:space="preserve"> PAGEREF _Toc185577680 \h </w:instrText>
      </w:r>
      <w:r w:rsidRPr="00723C3F">
        <w:rPr>
          <w:noProof/>
        </w:rPr>
      </w:r>
      <w:r w:rsidRPr="00723C3F">
        <w:rPr>
          <w:noProof/>
        </w:rPr>
        <w:fldChar w:fldCharType="separate"/>
      </w:r>
      <w:r w:rsidR="00845A31">
        <w:rPr>
          <w:noProof/>
        </w:rPr>
        <w:t>297</w:t>
      </w:r>
      <w:r w:rsidRPr="00723C3F">
        <w:rPr>
          <w:noProof/>
        </w:rPr>
        <w:fldChar w:fldCharType="end"/>
      </w:r>
    </w:p>
    <w:p w14:paraId="518F3C62" w14:textId="6594692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XII</w:t>
      </w:r>
      <w:r w:rsidRPr="00723C3F">
        <w:rPr>
          <w:noProof/>
        </w:rPr>
        <w:tab/>
      </w:r>
      <w:r w:rsidR="00BA23A6">
        <w:rPr>
          <w:noProof/>
        </w:rPr>
        <w:tab/>
      </w:r>
      <w:r w:rsidRPr="00723C3F">
        <w:rPr>
          <w:noProof/>
        </w:rPr>
        <w:fldChar w:fldCharType="begin"/>
      </w:r>
      <w:r w:rsidRPr="00723C3F">
        <w:rPr>
          <w:noProof/>
        </w:rPr>
        <w:instrText xml:space="preserve"> PAGEREF _Toc185577681 \h </w:instrText>
      </w:r>
      <w:r w:rsidRPr="00723C3F">
        <w:rPr>
          <w:noProof/>
        </w:rPr>
      </w:r>
      <w:r w:rsidRPr="00723C3F">
        <w:rPr>
          <w:noProof/>
        </w:rPr>
        <w:fldChar w:fldCharType="separate"/>
      </w:r>
      <w:r w:rsidR="00845A31">
        <w:rPr>
          <w:noProof/>
        </w:rPr>
        <w:t>299</w:t>
      </w:r>
      <w:r w:rsidRPr="00723C3F">
        <w:rPr>
          <w:noProof/>
        </w:rPr>
        <w:fldChar w:fldCharType="end"/>
      </w:r>
    </w:p>
    <w:p w14:paraId="7F0C6399" w14:textId="4DF9581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XIII</w:t>
      </w:r>
      <w:r w:rsidRPr="00723C3F">
        <w:rPr>
          <w:noProof/>
        </w:rPr>
        <w:tab/>
      </w:r>
      <w:r w:rsidR="00BA23A6">
        <w:rPr>
          <w:noProof/>
        </w:rPr>
        <w:tab/>
      </w:r>
      <w:r w:rsidRPr="00723C3F">
        <w:rPr>
          <w:noProof/>
        </w:rPr>
        <w:fldChar w:fldCharType="begin"/>
      </w:r>
      <w:r w:rsidRPr="00723C3F">
        <w:rPr>
          <w:noProof/>
        </w:rPr>
        <w:instrText xml:space="preserve"> PAGEREF _Toc185577682 \h </w:instrText>
      </w:r>
      <w:r w:rsidRPr="00723C3F">
        <w:rPr>
          <w:noProof/>
        </w:rPr>
      </w:r>
      <w:r w:rsidRPr="00723C3F">
        <w:rPr>
          <w:noProof/>
        </w:rPr>
        <w:fldChar w:fldCharType="separate"/>
      </w:r>
      <w:r w:rsidR="00845A31">
        <w:rPr>
          <w:noProof/>
        </w:rPr>
        <w:t>301</w:t>
      </w:r>
      <w:r w:rsidRPr="00723C3F">
        <w:rPr>
          <w:noProof/>
        </w:rPr>
        <w:fldChar w:fldCharType="end"/>
      </w:r>
    </w:p>
    <w:p w14:paraId="1955E948" w14:textId="5D57817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XIV</w:t>
      </w:r>
      <w:r w:rsidRPr="00723C3F">
        <w:rPr>
          <w:noProof/>
        </w:rPr>
        <w:tab/>
      </w:r>
      <w:r w:rsidR="00BA23A6">
        <w:rPr>
          <w:noProof/>
        </w:rPr>
        <w:tab/>
      </w:r>
      <w:r w:rsidRPr="00723C3F">
        <w:rPr>
          <w:noProof/>
        </w:rPr>
        <w:fldChar w:fldCharType="begin"/>
      </w:r>
      <w:r w:rsidRPr="00723C3F">
        <w:rPr>
          <w:noProof/>
        </w:rPr>
        <w:instrText xml:space="preserve"> PAGEREF _Toc185577683 \h </w:instrText>
      </w:r>
      <w:r w:rsidRPr="00723C3F">
        <w:rPr>
          <w:noProof/>
        </w:rPr>
      </w:r>
      <w:r w:rsidRPr="00723C3F">
        <w:rPr>
          <w:noProof/>
        </w:rPr>
        <w:fldChar w:fldCharType="separate"/>
      </w:r>
      <w:r w:rsidR="00845A31">
        <w:rPr>
          <w:noProof/>
        </w:rPr>
        <w:t>304</w:t>
      </w:r>
      <w:r w:rsidRPr="00723C3F">
        <w:rPr>
          <w:noProof/>
        </w:rPr>
        <w:fldChar w:fldCharType="end"/>
      </w:r>
    </w:p>
    <w:p w14:paraId="0FE33D03" w14:textId="35B62CB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XV</w:t>
      </w:r>
      <w:r w:rsidRPr="00723C3F">
        <w:rPr>
          <w:noProof/>
        </w:rPr>
        <w:tab/>
      </w:r>
      <w:r w:rsidR="00BA23A6">
        <w:rPr>
          <w:noProof/>
        </w:rPr>
        <w:tab/>
      </w:r>
      <w:r w:rsidRPr="00723C3F">
        <w:rPr>
          <w:noProof/>
        </w:rPr>
        <w:fldChar w:fldCharType="begin"/>
      </w:r>
      <w:r w:rsidRPr="00723C3F">
        <w:rPr>
          <w:noProof/>
        </w:rPr>
        <w:instrText xml:space="preserve"> PAGEREF _Toc185577684 \h </w:instrText>
      </w:r>
      <w:r w:rsidRPr="00723C3F">
        <w:rPr>
          <w:noProof/>
        </w:rPr>
      </w:r>
      <w:r w:rsidRPr="00723C3F">
        <w:rPr>
          <w:noProof/>
        </w:rPr>
        <w:fldChar w:fldCharType="separate"/>
      </w:r>
      <w:r w:rsidR="00845A31">
        <w:rPr>
          <w:noProof/>
        </w:rPr>
        <w:t>307</w:t>
      </w:r>
      <w:r w:rsidRPr="00723C3F">
        <w:rPr>
          <w:noProof/>
        </w:rPr>
        <w:fldChar w:fldCharType="end"/>
      </w:r>
    </w:p>
    <w:p w14:paraId="1BA84501" w14:textId="657CECD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XVI</w:t>
      </w:r>
      <w:r w:rsidRPr="00723C3F">
        <w:rPr>
          <w:noProof/>
        </w:rPr>
        <w:tab/>
      </w:r>
      <w:r w:rsidR="00BA23A6">
        <w:rPr>
          <w:noProof/>
        </w:rPr>
        <w:tab/>
      </w:r>
      <w:r w:rsidRPr="00723C3F">
        <w:rPr>
          <w:noProof/>
        </w:rPr>
        <w:fldChar w:fldCharType="begin"/>
      </w:r>
      <w:r w:rsidRPr="00723C3F">
        <w:rPr>
          <w:noProof/>
        </w:rPr>
        <w:instrText xml:space="preserve"> PAGEREF _Toc185577685 \h </w:instrText>
      </w:r>
      <w:r w:rsidRPr="00723C3F">
        <w:rPr>
          <w:noProof/>
        </w:rPr>
      </w:r>
      <w:r w:rsidRPr="00723C3F">
        <w:rPr>
          <w:noProof/>
        </w:rPr>
        <w:fldChar w:fldCharType="separate"/>
      </w:r>
      <w:r w:rsidR="00845A31">
        <w:rPr>
          <w:noProof/>
        </w:rPr>
        <w:t>309</w:t>
      </w:r>
      <w:r w:rsidRPr="00723C3F">
        <w:rPr>
          <w:noProof/>
        </w:rPr>
        <w:fldChar w:fldCharType="end"/>
      </w:r>
    </w:p>
    <w:p w14:paraId="216BF196" w14:textId="3F74E51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XVII</w:t>
      </w:r>
      <w:r w:rsidRPr="00723C3F">
        <w:rPr>
          <w:noProof/>
        </w:rPr>
        <w:tab/>
      </w:r>
      <w:r w:rsidR="00BA23A6">
        <w:rPr>
          <w:noProof/>
        </w:rPr>
        <w:tab/>
      </w:r>
      <w:r w:rsidRPr="00723C3F">
        <w:rPr>
          <w:noProof/>
        </w:rPr>
        <w:fldChar w:fldCharType="begin"/>
      </w:r>
      <w:r w:rsidRPr="00723C3F">
        <w:rPr>
          <w:noProof/>
        </w:rPr>
        <w:instrText xml:space="preserve"> PAGEREF _Toc185577686 \h </w:instrText>
      </w:r>
      <w:r w:rsidRPr="00723C3F">
        <w:rPr>
          <w:noProof/>
        </w:rPr>
      </w:r>
      <w:r w:rsidRPr="00723C3F">
        <w:rPr>
          <w:noProof/>
        </w:rPr>
        <w:fldChar w:fldCharType="separate"/>
      </w:r>
      <w:r w:rsidR="00845A31">
        <w:rPr>
          <w:noProof/>
        </w:rPr>
        <w:t>311</w:t>
      </w:r>
      <w:r w:rsidRPr="00723C3F">
        <w:rPr>
          <w:noProof/>
        </w:rPr>
        <w:fldChar w:fldCharType="end"/>
      </w:r>
    </w:p>
    <w:p w14:paraId="451FC023" w14:textId="4779819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XVIII</w:t>
      </w:r>
      <w:r w:rsidRPr="00723C3F">
        <w:rPr>
          <w:noProof/>
        </w:rPr>
        <w:tab/>
      </w:r>
      <w:r w:rsidR="00BA23A6">
        <w:rPr>
          <w:noProof/>
        </w:rPr>
        <w:tab/>
      </w:r>
      <w:r w:rsidRPr="00723C3F">
        <w:rPr>
          <w:noProof/>
        </w:rPr>
        <w:fldChar w:fldCharType="begin"/>
      </w:r>
      <w:r w:rsidRPr="00723C3F">
        <w:rPr>
          <w:noProof/>
        </w:rPr>
        <w:instrText xml:space="preserve"> PAGEREF _Toc185577687 \h </w:instrText>
      </w:r>
      <w:r w:rsidRPr="00723C3F">
        <w:rPr>
          <w:noProof/>
        </w:rPr>
      </w:r>
      <w:r w:rsidRPr="00723C3F">
        <w:rPr>
          <w:noProof/>
        </w:rPr>
        <w:fldChar w:fldCharType="separate"/>
      </w:r>
      <w:r w:rsidR="00845A31">
        <w:rPr>
          <w:noProof/>
        </w:rPr>
        <w:t>313</w:t>
      </w:r>
      <w:r w:rsidRPr="00723C3F">
        <w:rPr>
          <w:noProof/>
        </w:rPr>
        <w:fldChar w:fldCharType="end"/>
      </w:r>
    </w:p>
    <w:p w14:paraId="6E1AE4D7" w14:textId="64C8FBF8" w:rsidR="00723C3F" w:rsidRDefault="00723C3F">
      <w:pPr>
        <w:pStyle w:val="TOC2"/>
        <w:rPr>
          <w:rFonts w:asciiTheme="minorHAnsi" w:eastAsiaTheme="minorEastAsia" w:hAnsiTheme="minorHAnsi" w:cstheme="minorBidi"/>
          <w:b w:val="0"/>
          <w:noProof/>
          <w:kern w:val="2"/>
          <w:szCs w:val="24"/>
          <w14:ligatures w14:val="standardContextual"/>
        </w:rPr>
      </w:pPr>
      <w:r>
        <w:rPr>
          <w:noProof/>
        </w:rPr>
        <w:t>Fourth Schedule</w:t>
      </w:r>
      <w:r w:rsidRPr="00723C3F">
        <w:rPr>
          <w:b w:val="0"/>
          <w:noProof/>
          <w:sz w:val="18"/>
        </w:rPr>
        <w:tab/>
      </w:r>
      <w:r w:rsidRPr="00723C3F">
        <w:rPr>
          <w:b w:val="0"/>
          <w:noProof/>
          <w:sz w:val="18"/>
        </w:rPr>
        <w:fldChar w:fldCharType="begin"/>
      </w:r>
      <w:r w:rsidRPr="00723C3F">
        <w:rPr>
          <w:b w:val="0"/>
          <w:noProof/>
          <w:sz w:val="18"/>
        </w:rPr>
        <w:instrText xml:space="preserve"> PAGEREF _Toc185577688 \h </w:instrText>
      </w:r>
      <w:r w:rsidRPr="00723C3F">
        <w:rPr>
          <w:b w:val="0"/>
          <w:noProof/>
          <w:sz w:val="18"/>
        </w:rPr>
      </w:r>
      <w:r w:rsidRPr="00723C3F">
        <w:rPr>
          <w:b w:val="0"/>
          <w:noProof/>
          <w:sz w:val="18"/>
        </w:rPr>
        <w:fldChar w:fldCharType="separate"/>
      </w:r>
      <w:r w:rsidR="00845A31">
        <w:rPr>
          <w:b w:val="0"/>
          <w:noProof/>
          <w:sz w:val="18"/>
        </w:rPr>
        <w:t>315</w:t>
      </w:r>
      <w:r w:rsidRPr="00723C3F">
        <w:rPr>
          <w:b w:val="0"/>
          <w:noProof/>
          <w:sz w:val="18"/>
        </w:rPr>
        <w:fldChar w:fldCharType="end"/>
      </w:r>
    </w:p>
    <w:p w14:paraId="18C9FC0D" w14:textId="32037FD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w:t>
      </w:r>
      <w:r w:rsidRPr="00723C3F">
        <w:rPr>
          <w:noProof/>
        </w:rPr>
        <w:tab/>
      </w:r>
      <w:r w:rsidR="00BA23A6">
        <w:rPr>
          <w:noProof/>
        </w:rPr>
        <w:tab/>
      </w:r>
      <w:r w:rsidRPr="00723C3F">
        <w:rPr>
          <w:noProof/>
        </w:rPr>
        <w:fldChar w:fldCharType="begin"/>
      </w:r>
      <w:r w:rsidRPr="00723C3F">
        <w:rPr>
          <w:noProof/>
        </w:rPr>
        <w:instrText xml:space="preserve"> PAGEREF _Toc185577689 \h </w:instrText>
      </w:r>
      <w:r w:rsidRPr="00723C3F">
        <w:rPr>
          <w:noProof/>
        </w:rPr>
      </w:r>
      <w:r w:rsidRPr="00723C3F">
        <w:rPr>
          <w:noProof/>
        </w:rPr>
        <w:fldChar w:fldCharType="separate"/>
      </w:r>
      <w:r w:rsidR="00845A31">
        <w:rPr>
          <w:noProof/>
        </w:rPr>
        <w:t>315</w:t>
      </w:r>
      <w:r w:rsidRPr="00723C3F">
        <w:rPr>
          <w:noProof/>
        </w:rPr>
        <w:fldChar w:fldCharType="end"/>
      </w:r>
    </w:p>
    <w:p w14:paraId="17D74096" w14:textId="2B7FA624"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II</w:t>
      </w:r>
      <w:r w:rsidRPr="00723C3F">
        <w:rPr>
          <w:noProof/>
        </w:rPr>
        <w:tab/>
      </w:r>
      <w:r w:rsidR="00BA23A6">
        <w:rPr>
          <w:noProof/>
        </w:rPr>
        <w:tab/>
      </w:r>
      <w:r w:rsidRPr="00723C3F">
        <w:rPr>
          <w:noProof/>
        </w:rPr>
        <w:fldChar w:fldCharType="begin"/>
      </w:r>
      <w:r w:rsidRPr="00723C3F">
        <w:rPr>
          <w:noProof/>
        </w:rPr>
        <w:instrText xml:space="preserve"> PAGEREF _Toc185577690 \h </w:instrText>
      </w:r>
      <w:r w:rsidRPr="00723C3F">
        <w:rPr>
          <w:noProof/>
        </w:rPr>
      </w:r>
      <w:r w:rsidRPr="00723C3F">
        <w:rPr>
          <w:noProof/>
        </w:rPr>
        <w:fldChar w:fldCharType="separate"/>
      </w:r>
      <w:r w:rsidR="00845A31">
        <w:rPr>
          <w:noProof/>
        </w:rPr>
        <w:t>318</w:t>
      </w:r>
      <w:r w:rsidRPr="00723C3F">
        <w:rPr>
          <w:noProof/>
        </w:rPr>
        <w:fldChar w:fldCharType="end"/>
      </w:r>
    </w:p>
    <w:p w14:paraId="37D5875F" w14:textId="62B53D19" w:rsidR="00723C3F" w:rsidRDefault="00723C3F">
      <w:pPr>
        <w:pStyle w:val="TOC2"/>
        <w:rPr>
          <w:rFonts w:asciiTheme="minorHAnsi" w:eastAsiaTheme="minorEastAsia" w:hAnsiTheme="minorHAnsi" w:cstheme="minorBidi"/>
          <w:b w:val="0"/>
          <w:noProof/>
          <w:kern w:val="2"/>
          <w:szCs w:val="24"/>
          <w14:ligatures w14:val="standardContextual"/>
        </w:rPr>
      </w:pPr>
      <w:r>
        <w:rPr>
          <w:noProof/>
        </w:rPr>
        <w:t>Fifth Schedule</w:t>
      </w:r>
      <w:r w:rsidRPr="00723C3F">
        <w:rPr>
          <w:b w:val="0"/>
          <w:noProof/>
          <w:sz w:val="18"/>
        </w:rPr>
        <w:tab/>
      </w:r>
      <w:r w:rsidRPr="00723C3F">
        <w:rPr>
          <w:b w:val="0"/>
          <w:noProof/>
          <w:sz w:val="18"/>
        </w:rPr>
        <w:fldChar w:fldCharType="begin"/>
      </w:r>
      <w:r w:rsidRPr="00723C3F">
        <w:rPr>
          <w:b w:val="0"/>
          <w:noProof/>
          <w:sz w:val="18"/>
        </w:rPr>
        <w:instrText xml:space="preserve"> PAGEREF _Toc185577691 \h </w:instrText>
      </w:r>
      <w:r w:rsidRPr="00723C3F">
        <w:rPr>
          <w:b w:val="0"/>
          <w:noProof/>
          <w:sz w:val="18"/>
        </w:rPr>
      </w:r>
      <w:r w:rsidRPr="00723C3F">
        <w:rPr>
          <w:b w:val="0"/>
          <w:noProof/>
          <w:sz w:val="18"/>
        </w:rPr>
        <w:fldChar w:fldCharType="separate"/>
      </w:r>
      <w:r w:rsidR="00845A31">
        <w:rPr>
          <w:b w:val="0"/>
          <w:noProof/>
          <w:sz w:val="18"/>
        </w:rPr>
        <w:t>321</w:t>
      </w:r>
      <w:r w:rsidRPr="00723C3F">
        <w:rPr>
          <w:b w:val="0"/>
          <w:noProof/>
          <w:sz w:val="18"/>
        </w:rPr>
        <w:fldChar w:fldCharType="end"/>
      </w:r>
    </w:p>
    <w:p w14:paraId="15B708ED" w14:textId="37EF4E7A" w:rsidR="00723C3F" w:rsidRDefault="00723C3F">
      <w:pPr>
        <w:pStyle w:val="TOC2"/>
        <w:rPr>
          <w:rFonts w:asciiTheme="minorHAnsi" w:eastAsiaTheme="minorEastAsia" w:hAnsiTheme="minorHAnsi" w:cstheme="minorBidi"/>
          <w:b w:val="0"/>
          <w:noProof/>
          <w:kern w:val="2"/>
          <w:szCs w:val="24"/>
          <w14:ligatures w14:val="standardContextual"/>
        </w:rPr>
      </w:pPr>
      <w:r>
        <w:rPr>
          <w:noProof/>
        </w:rPr>
        <w:t>Sixth Schedule—Reduction in rates of contribution</w:t>
      </w:r>
      <w:r w:rsidRPr="00723C3F">
        <w:rPr>
          <w:b w:val="0"/>
          <w:noProof/>
          <w:sz w:val="18"/>
        </w:rPr>
        <w:tab/>
      </w:r>
      <w:r w:rsidRPr="00723C3F">
        <w:rPr>
          <w:b w:val="0"/>
          <w:noProof/>
          <w:sz w:val="18"/>
        </w:rPr>
        <w:fldChar w:fldCharType="begin"/>
      </w:r>
      <w:r w:rsidRPr="00723C3F">
        <w:rPr>
          <w:b w:val="0"/>
          <w:noProof/>
          <w:sz w:val="18"/>
        </w:rPr>
        <w:instrText xml:space="preserve"> PAGEREF _Toc185577692 \h </w:instrText>
      </w:r>
      <w:r w:rsidRPr="00723C3F">
        <w:rPr>
          <w:b w:val="0"/>
          <w:noProof/>
          <w:sz w:val="18"/>
        </w:rPr>
      </w:r>
      <w:r w:rsidRPr="00723C3F">
        <w:rPr>
          <w:b w:val="0"/>
          <w:noProof/>
          <w:sz w:val="18"/>
        </w:rPr>
        <w:fldChar w:fldCharType="separate"/>
      </w:r>
      <w:r w:rsidR="00845A31">
        <w:rPr>
          <w:b w:val="0"/>
          <w:noProof/>
          <w:sz w:val="18"/>
        </w:rPr>
        <w:t>324</w:t>
      </w:r>
      <w:r w:rsidRPr="00723C3F">
        <w:rPr>
          <w:b w:val="0"/>
          <w:noProof/>
          <w:sz w:val="18"/>
        </w:rPr>
        <w:fldChar w:fldCharType="end"/>
      </w:r>
    </w:p>
    <w:p w14:paraId="29DE3587" w14:textId="5C3961F7"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w:t>
      </w:r>
      <w:r w:rsidRPr="00723C3F">
        <w:rPr>
          <w:noProof/>
        </w:rPr>
        <w:tab/>
      </w:r>
      <w:r w:rsidR="00BA23A6">
        <w:rPr>
          <w:noProof/>
        </w:rPr>
        <w:tab/>
      </w:r>
      <w:r w:rsidRPr="00723C3F">
        <w:rPr>
          <w:noProof/>
        </w:rPr>
        <w:fldChar w:fldCharType="begin"/>
      </w:r>
      <w:r w:rsidRPr="00723C3F">
        <w:rPr>
          <w:noProof/>
        </w:rPr>
        <w:instrText xml:space="preserve"> PAGEREF _Toc185577693 \h </w:instrText>
      </w:r>
      <w:r w:rsidRPr="00723C3F">
        <w:rPr>
          <w:noProof/>
        </w:rPr>
      </w:r>
      <w:r w:rsidRPr="00723C3F">
        <w:rPr>
          <w:noProof/>
        </w:rPr>
        <w:fldChar w:fldCharType="separate"/>
      </w:r>
      <w:r w:rsidR="00845A31">
        <w:rPr>
          <w:noProof/>
        </w:rPr>
        <w:t>324</w:t>
      </w:r>
      <w:r w:rsidRPr="00723C3F">
        <w:rPr>
          <w:noProof/>
        </w:rPr>
        <w:fldChar w:fldCharType="end"/>
      </w:r>
    </w:p>
    <w:p w14:paraId="4CB8562E" w14:textId="084D9DF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II</w:t>
      </w:r>
      <w:r w:rsidRPr="00723C3F">
        <w:rPr>
          <w:noProof/>
        </w:rPr>
        <w:tab/>
      </w:r>
      <w:r w:rsidR="00BA23A6">
        <w:rPr>
          <w:noProof/>
        </w:rPr>
        <w:tab/>
      </w:r>
      <w:r w:rsidRPr="00723C3F">
        <w:rPr>
          <w:noProof/>
        </w:rPr>
        <w:fldChar w:fldCharType="begin"/>
      </w:r>
      <w:r w:rsidRPr="00723C3F">
        <w:rPr>
          <w:noProof/>
        </w:rPr>
        <w:instrText xml:space="preserve"> PAGEREF _Toc185577694 \h </w:instrText>
      </w:r>
      <w:r w:rsidRPr="00723C3F">
        <w:rPr>
          <w:noProof/>
        </w:rPr>
      </w:r>
      <w:r w:rsidRPr="00723C3F">
        <w:rPr>
          <w:noProof/>
        </w:rPr>
        <w:fldChar w:fldCharType="separate"/>
      </w:r>
      <w:r w:rsidR="00845A31">
        <w:rPr>
          <w:noProof/>
        </w:rPr>
        <w:t>328</w:t>
      </w:r>
      <w:r w:rsidRPr="00723C3F">
        <w:rPr>
          <w:noProof/>
        </w:rPr>
        <w:fldChar w:fldCharType="end"/>
      </w:r>
    </w:p>
    <w:p w14:paraId="56CF1041" w14:textId="76F61AFE"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III</w:t>
      </w:r>
      <w:r w:rsidRPr="00723C3F">
        <w:rPr>
          <w:noProof/>
        </w:rPr>
        <w:tab/>
      </w:r>
      <w:r w:rsidR="00BA23A6">
        <w:rPr>
          <w:noProof/>
        </w:rPr>
        <w:tab/>
      </w:r>
      <w:r w:rsidRPr="00723C3F">
        <w:rPr>
          <w:noProof/>
        </w:rPr>
        <w:fldChar w:fldCharType="begin"/>
      </w:r>
      <w:r w:rsidRPr="00723C3F">
        <w:rPr>
          <w:noProof/>
        </w:rPr>
        <w:instrText xml:space="preserve"> PAGEREF _Toc185577695 \h </w:instrText>
      </w:r>
      <w:r w:rsidRPr="00723C3F">
        <w:rPr>
          <w:noProof/>
        </w:rPr>
      </w:r>
      <w:r w:rsidRPr="00723C3F">
        <w:rPr>
          <w:noProof/>
        </w:rPr>
        <w:fldChar w:fldCharType="separate"/>
      </w:r>
      <w:r w:rsidR="00845A31">
        <w:rPr>
          <w:noProof/>
        </w:rPr>
        <w:t>331</w:t>
      </w:r>
      <w:r w:rsidRPr="00723C3F">
        <w:rPr>
          <w:noProof/>
        </w:rPr>
        <w:fldChar w:fldCharType="end"/>
      </w:r>
    </w:p>
    <w:p w14:paraId="60AF7CE1" w14:textId="0EA95D6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IV</w:t>
      </w:r>
      <w:r w:rsidRPr="00723C3F">
        <w:rPr>
          <w:noProof/>
        </w:rPr>
        <w:tab/>
      </w:r>
      <w:r w:rsidR="00BA23A6">
        <w:rPr>
          <w:noProof/>
        </w:rPr>
        <w:tab/>
      </w:r>
      <w:r w:rsidRPr="00723C3F">
        <w:rPr>
          <w:noProof/>
        </w:rPr>
        <w:fldChar w:fldCharType="begin"/>
      </w:r>
      <w:r w:rsidRPr="00723C3F">
        <w:rPr>
          <w:noProof/>
        </w:rPr>
        <w:instrText xml:space="preserve"> PAGEREF _Toc185577696 \h </w:instrText>
      </w:r>
      <w:r w:rsidRPr="00723C3F">
        <w:rPr>
          <w:noProof/>
        </w:rPr>
      </w:r>
      <w:r w:rsidRPr="00723C3F">
        <w:rPr>
          <w:noProof/>
        </w:rPr>
        <w:fldChar w:fldCharType="separate"/>
      </w:r>
      <w:r w:rsidR="00845A31">
        <w:rPr>
          <w:noProof/>
        </w:rPr>
        <w:t>334</w:t>
      </w:r>
      <w:r w:rsidRPr="00723C3F">
        <w:rPr>
          <w:noProof/>
        </w:rPr>
        <w:fldChar w:fldCharType="end"/>
      </w:r>
    </w:p>
    <w:p w14:paraId="4756B9D3" w14:textId="73CAF346"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V</w:t>
      </w:r>
      <w:r w:rsidRPr="00723C3F">
        <w:rPr>
          <w:noProof/>
        </w:rPr>
        <w:tab/>
      </w:r>
      <w:r w:rsidR="00BA23A6">
        <w:rPr>
          <w:noProof/>
        </w:rPr>
        <w:tab/>
      </w:r>
      <w:r w:rsidRPr="00723C3F">
        <w:rPr>
          <w:noProof/>
        </w:rPr>
        <w:fldChar w:fldCharType="begin"/>
      </w:r>
      <w:r w:rsidRPr="00723C3F">
        <w:rPr>
          <w:noProof/>
        </w:rPr>
        <w:instrText xml:space="preserve"> PAGEREF _Toc185577697 \h </w:instrText>
      </w:r>
      <w:r w:rsidRPr="00723C3F">
        <w:rPr>
          <w:noProof/>
        </w:rPr>
      </w:r>
      <w:r w:rsidRPr="00723C3F">
        <w:rPr>
          <w:noProof/>
        </w:rPr>
        <w:fldChar w:fldCharType="separate"/>
      </w:r>
      <w:r w:rsidR="00845A31">
        <w:rPr>
          <w:noProof/>
        </w:rPr>
        <w:t>337</w:t>
      </w:r>
      <w:r w:rsidRPr="00723C3F">
        <w:rPr>
          <w:noProof/>
        </w:rPr>
        <w:fldChar w:fldCharType="end"/>
      </w:r>
    </w:p>
    <w:p w14:paraId="6523B7AE" w14:textId="77AE5E0D"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VI</w:t>
      </w:r>
      <w:r w:rsidRPr="00723C3F">
        <w:rPr>
          <w:noProof/>
        </w:rPr>
        <w:tab/>
      </w:r>
      <w:r w:rsidR="00BA23A6">
        <w:rPr>
          <w:noProof/>
        </w:rPr>
        <w:tab/>
      </w:r>
      <w:r w:rsidRPr="00723C3F">
        <w:rPr>
          <w:noProof/>
        </w:rPr>
        <w:fldChar w:fldCharType="begin"/>
      </w:r>
      <w:r w:rsidRPr="00723C3F">
        <w:rPr>
          <w:noProof/>
        </w:rPr>
        <w:instrText xml:space="preserve"> PAGEREF _Toc185577698 \h </w:instrText>
      </w:r>
      <w:r w:rsidRPr="00723C3F">
        <w:rPr>
          <w:noProof/>
        </w:rPr>
      </w:r>
      <w:r w:rsidRPr="00723C3F">
        <w:rPr>
          <w:noProof/>
        </w:rPr>
        <w:fldChar w:fldCharType="separate"/>
      </w:r>
      <w:r w:rsidR="00845A31">
        <w:rPr>
          <w:noProof/>
        </w:rPr>
        <w:t>340</w:t>
      </w:r>
      <w:r w:rsidRPr="00723C3F">
        <w:rPr>
          <w:noProof/>
        </w:rPr>
        <w:fldChar w:fldCharType="end"/>
      </w:r>
    </w:p>
    <w:p w14:paraId="264A7ADC" w14:textId="7D98A540"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VII</w:t>
      </w:r>
      <w:r w:rsidRPr="00723C3F">
        <w:rPr>
          <w:noProof/>
        </w:rPr>
        <w:tab/>
      </w:r>
      <w:r w:rsidR="00BA23A6">
        <w:rPr>
          <w:noProof/>
        </w:rPr>
        <w:tab/>
      </w:r>
      <w:r w:rsidRPr="00723C3F">
        <w:rPr>
          <w:noProof/>
        </w:rPr>
        <w:fldChar w:fldCharType="begin"/>
      </w:r>
      <w:r w:rsidRPr="00723C3F">
        <w:rPr>
          <w:noProof/>
        </w:rPr>
        <w:instrText xml:space="preserve"> PAGEREF _Toc185577699 \h </w:instrText>
      </w:r>
      <w:r w:rsidRPr="00723C3F">
        <w:rPr>
          <w:noProof/>
        </w:rPr>
      </w:r>
      <w:r w:rsidRPr="00723C3F">
        <w:rPr>
          <w:noProof/>
        </w:rPr>
        <w:fldChar w:fldCharType="separate"/>
      </w:r>
      <w:r w:rsidR="00845A31">
        <w:rPr>
          <w:noProof/>
        </w:rPr>
        <w:t>343</w:t>
      </w:r>
      <w:r w:rsidRPr="00723C3F">
        <w:rPr>
          <w:noProof/>
        </w:rPr>
        <w:fldChar w:fldCharType="end"/>
      </w:r>
    </w:p>
    <w:p w14:paraId="12580BF0" w14:textId="374D918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VIII</w:t>
      </w:r>
      <w:r w:rsidRPr="00723C3F">
        <w:rPr>
          <w:noProof/>
        </w:rPr>
        <w:tab/>
      </w:r>
      <w:r w:rsidR="00BA23A6">
        <w:rPr>
          <w:noProof/>
        </w:rPr>
        <w:tab/>
      </w:r>
      <w:r w:rsidRPr="00723C3F">
        <w:rPr>
          <w:noProof/>
        </w:rPr>
        <w:fldChar w:fldCharType="begin"/>
      </w:r>
      <w:r w:rsidRPr="00723C3F">
        <w:rPr>
          <w:noProof/>
        </w:rPr>
        <w:instrText xml:space="preserve"> PAGEREF _Toc185577700 \h </w:instrText>
      </w:r>
      <w:r w:rsidRPr="00723C3F">
        <w:rPr>
          <w:noProof/>
        </w:rPr>
      </w:r>
      <w:r w:rsidRPr="00723C3F">
        <w:rPr>
          <w:noProof/>
        </w:rPr>
        <w:fldChar w:fldCharType="separate"/>
      </w:r>
      <w:r w:rsidR="00845A31">
        <w:rPr>
          <w:noProof/>
        </w:rPr>
        <w:t>349</w:t>
      </w:r>
      <w:r w:rsidRPr="00723C3F">
        <w:rPr>
          <w:noProof/>
        </w:rPr>
        <w:fldChar w:fldCharType="end"/>
      </w:r>
    </w:p>
    <w:p w14:paraId="56CEAAA3" w14:textId="52ADFFF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IX</w:t>
      </w:r>
      <w:r w:rsidRPr="00723C3F">
        <w:rPr>
          <w:noProof/>
        </w:rPr>
        <w:tab/>
      </w:r>
      <w:r w:rsidR="00BA23A6">
        <w:rPr>
          <w:noProof/>
        </w:rPr>
        <w:tab/>
      </w:r>
      <w:r w:rsidRPr="00723C3F">
        <w:rPr>
          <w:noProof/>
        </w:rPr>
        <w:fldChar w:fldCharType="begin"/>
      </w:r>
      <w:r w:rsidRPr="00723C3F">
        <w:rPr>
          <w:noProof/>
        </w:rPr>
        <w:instrText xml:space="preserve"> PAGEREF _Toc185577701 \h </w:instrText>
      </w:r>
      <w:r w:rsidRPr="00723C3F">
        <w:rPr>
          <w:noProof/>
        </w:rPr>
      </w:r>
      <w:r w:rsidRPr="00723C3F">
        <w:rPr>
          <w:noProof/>
        </w:rPr>
        <w:fldChar w:fldCharType="separate"/>
      </w:r>
      <w:r w:rsidR="00845A31">
        <w:rPr>
          <w:noProof/>
        </w:rPr>
        <w:t>355</w:t>
      </w:r>
      <w:r w:rsidRPr="00723C3F">
        <w:rPr>
          <w:noProof/>
        </w:rPr>
        <w:fldChar w:fldCharType="end"/>
      </w:r>
    </w:p>
    <w:p w14:paraId="51750EBF" w14:textId="16E5384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w:t>
      </w:r>
      <w:r w:rsidRPr="00723C3F">
        <w:rPr>
          <w:noProof/>
        </w:rPr>
        <w:tab/>
      </w:r>
      <w:r w:rsidR="00BA23A6">
        <w:rPr>
          <w:noProof/>
        </w:rPr>
        <w:tab/>
      </w:r>
      <w:r w:rsidRPr="00723C3F">
        <w:rPr>
          <w:noProof/>
        </w:rPr>
        <w:fldChar w:fldCharType="begin"/>
      </w:r>
      <w:r w:rsidRPr="00723C3F">
        <w:rPr>
          <w:noProof/>
        </w:rPr>
        <w:instrText xml:space="preserve"> PAGEREF _Toc185577702 \h </w:instrText>
      </w:r>
      <w:r w:rsidRPr="00723C3F">
        <w:rPr>
          <w:noProof/>
        </w:rPr>
      </w:r>
      <w:r w:rsidRPr="00723C3F">
        <w:rPr>
          <w:noProof/>
        </w:rPr>
        <w:fldChar w:fldCharType="separate"/>
      </w:r>
      <w:r w:rsidR="00845A31">
        <w:rPr>
          <w:noProof/>
        </w:rPr>
        <w:t>359</w:t>
      </w:r>
      <w:r w:rsidRPr="00723C3F">
        <w:rPr>
          <w:noProof/>
        </w:rPr>
        <w:fldChar w:fldCharType="end"/>
      </w:r>
    </w:p>
    <w:p w14:paraId="12C3A5EF" w14:textId="6EBCD4CB"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XI</w:t>
      </w:r>
      <w:r w:rsidRPr="00723C3F">
        <w:rPr>
          <w:noProof/>
        </w:rPr>
        <w:tab/>
      </w:r>
      <w:r w:rsidR="00BA23A6">
        <w:rPr>
          <w:noProof/>
        </w:rPr>
        <w:tab/>
      </w:r>
      <w:r w:rsidRPr="00723C3F">
        <w:rPr>
          <w:noProof/>
        </w:rPr>
        <w:fldChar w:fldCharType="begin"/>
      </w:r>
      <w:r w:rsidRPr="00723C3F">
        <w:rPr>
          <w:noProof/>
        </w:rPr>
        <w:instrText xml:space="preserve"> PAGEREF _Toc185577703 \h </w:instrText>
      </w:r>
      <w:r w:rsidRPr="00723C3F">
        <w:rPr>
          <w:noProof/>
        </w:rPr>
      </w:r>
      <w:r w:rsidRPr="00723C3F">
        <w:rPr>
          <w:noProof/>
        </w:rPr>
        <w:fldChar w:fldCharType="separate"/>
      </w:r>
      <w:r w:rsidR="00845A31">
        <w:rPr>
          <w:noProof/>
        </w:rPr>
        <w:t>364</w:t>
      </w:r>
      <w:r w:rsidRPr="00723C3F">
        <w:rPr>
          <w:noProof/>
        </w:rPr>
        <w:fldChar w:fldCharType="end"/>
      </w:r>
    </w:p>
    <w:p w14:paraId="76C16E8E" w14:textId="6FA8B12A"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XII</w:t>
      </w:r>
      <w:r w:rsidRPr="00723C3F">
        <w:rPr>
          <w:noProof/>
        </w:rPr>
        <w:tab/>
      </w:r>
      <w:r w:rsidR="00BA23A6">
        <w:rPr>
          <w:noProof/>
        </w:rPr>
        <w:tab/>
      </w:r>
      <w:r w:rsidRPr="00723C3F">
        <w:rPr>
          <w:noProof/>
        </w:rPr>
        <w:fldChar w:fldCharType="begin"/>
      </w:r>
      <w:r w:rsidRPr="00723C3F">
        <w:rPr>
          <w:noProof/>
        </w:rPr>
        <w:instrText xml:space="preserve"> PAGEREF _Toc185577704 \h </w:instrText>
      </w:r>
      <w:r w:rsidRPr="00723C3F">
        <w:rPr>
          <w:noProof/>
        </w:rPr>
      </w:r>
      <w:r w:rsidRPr="00723C3F">
        <w:rPr>
          <w:noProof/>
        </w:rPr>
        <w:fldChar w:fldCharType="separate"/>
      </w:r>
      <w:r w:rsidR="00845A31">
        <w:rPr>
          <w:noProof/>
        </w:rPr>
        <w:t>369</w:t>
      </w:r>
      <w:r w:rsidRPr="00723C3F">
        <w:rPr>
          <w:noProof/>
        </w:rPr>
        <w:fldChar w:fldCharType="end"/>
      </w:r>
    </w:p>
    <w:p w14:paraId="75BB2848" w14:textId="10ADF7D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XIII</w:t>
      </w:r>
      <w:r w:rsidRPr="00723C3F">
        <w:rPr>
          <w:noProof/>
        </w:rPr>
        <w:tab/>
      </w:r>
      <w:r w:rsidR="00BA23A6">
        <w:rPr>
          <w:noProof/>
        </w:rPr>
        <w:tab/>
      </w:r>
      <w:r w:rsidRPr="00723C3F">
        <w:rPr>
          <w:noProof/>
        </w:rPr>
        <w:fldChar w:fldCharType="begin"/>
      </w:r>
      <w:r w:rsidRPr="00723C3F">
        <w:rPr>
          <w:noProof/>
        </w:rPr>
        <w:instrText xml:space="preserve"> PAGEREF _Toc185577705 \h </w:instrText>
      </w:r>
      <w:r w:rsidRPr="00723C3F">
        <w:rPr>
          <w:noProof/>
        </w:rPr>
      </w:r>
      <w:r w:rsidRPr="00723C3F">
        <w:rPr>
          <w:noProof/>
        </w:rPr>
        <w:fldChar w:fldCharType="separate"/>
      </w:r>
      <w:r w:rsidR="00845A31">
        <w:rPr>
          <w:noProof/>
        </w:rPr>
        <w:t>372</w:t>
      </w:r>
      <w:r w:rsidRPr="00723C3F">
        <w:rPr>
          <w:noProof/>
        </w:rPr>
        <w:fldChar w:fldCharType="end"/>
      </w:r>
    </w:p>
    <w:p w14:paraId="2805452C" w14:textId="1468B8D3"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XIV</w:t>
      </w:r>
      <w:r w:rsidRPr="00723C3F">
        <w:rPr>
          <w:noProof/>
        </w:rPr>
        <w:tab/>
      </w:r>
      <w:r w:rsidR="00BA23A6">
        <w:rPr>
          <w:noProof/>
        </w:rPr>
        <w:tab/>
      </w:r>
      <w:r w:rsidRPr="00723C3F">
        <w:rPr>
          <w:noProof/>
        </w:rPr>
        <w:fldChar w:fldCharType="begin"/>
      </w:r>
      <w:r w:rsidRPr="00723C3F">
        <w:rPr>
          <w:noProof/>
        </w:rPr>
        <w:instrText xml:space="preserve"> PAGEREF _Toc185577706 \h </w:instrText>
      </w:r>
      <w:r w:rsidRPr="00723C3F">
        <w:rPr>
          <w:noProof/>
        </w:rPr>
      </w:r>
      <w:r w:rsidRPr="00723C3F">
        <w:rPr>
          <w:noProof/>
        </w:rPr>
        <w:fldChar w:fldCharType="separate"/>
      </w:r>
      <w:r w:rsidR="00845A31">
        <w:rPr>
          <w:noProof/>
        </w:rPr>
        <w:t>375</w:t>
      </w:r>
      <w:r w:rsidRPr="00723C3F">
        <w:rPr>
          <w:noProof/>
        </w:rPr>
        <w:fldChar w:fldCharType="end"/>
      </w:r>
    </w:p>
    <w:p w14:paraId="6D3B7BED" w14:textId="2B205468"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XV</w:t>
      </w:r>
      <w:r w:rsidRPr="00723C3F">
        <w:rPr>
          <w:noProof/>
        </w:rPr>
        <w:tab/>
      </w:r>
      <w:r w:rsidR="00BA23A6">
        <w:rPr>
          <w:noProof/>
        </w:rPr>
        <w:tab/>
      </w:r>
      <w:r w:rsidRPr="00723C3F">
        <w:rPr>
          <w:noProof/>
        </w:rPr>
        <w:fldChar w:fldCharType="begin"/>
      </w:r>
      <w:r w:rsidRPr="00723C3F">
        <w:rPr>
          <w:noProof/>
        </w:rPr>
        <w:instrText xml:space="preserve"> PAGEREF _Toc185577707 \h </w:instrText>
      </w:r>
      <w:r w:rsidRPr="00723C3F">
        <w:rPr>
          <w:noProof/>
        </w:rPr>
      </w:r>
      <w:r w:rsidRPr="00723C3F">
        <w:rPr>
          <w:noProof/>
        </w:rPr>
        <w:fldChar w:fldCharType="separate"/>
      </w:r>
      <w:r w:rsidR="00845A31">
        <w:rPr>
          <w:noProof/>
        </w:rPr>
        <w:t>377</w:t>
      </w:r>
      <w:r w:rsidRPr="00723C3F">
        <w:rPr>
          <w:noProof/>
        </w:rPr>
        <w:fldChar w:fldCharType="end"/>
      </w:r>
    </w:p>
    <w:p w14:paraId="1E0E3639" w14:textId="0EF21F22"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XVI</w:t>
      </w:r>
      <w:r w:rsidRPr="00723C3F">
        <w:rPr>
          <w:noProof/>
        </w:rPr>
        <w:tab/>
      </w:r>
      <w:r w:rsidR="00BA23A6">
        <w:rPr>
          <w:noProof/>
        </w:rPr>
        <w:tab/>
      </w:r>
      <w:r w:rsidRPr="00723C3F">
        <w:rPr>
          <w:noProof/>
        </w:rPr>
        <w:fldChar w:fldCharType="begin"/>
      </w:r>
      <w:r w:rsidRPr="00723C3F">
        <w:rPr>
          <w:noProof/>
        </w:rPr>
        <w:instrText xml:space="preserve"> PAGEREF _Toc185577708 \h </w:instrText>
      </w:r>
      <w:r w:rsidRPr="00723C3F">
        <w:rPr>
          <w:noProof/>
        </w:rPr>
      </w:r>
      <w:r w:rsidRPr="00723C3F">
        <w:rPr>
          <w:noProof/>
        </w:rPr>
        <w:fldChar w:fldCharType="separate"/>
      </w:r>
      <w:r w:rsidR="00845A31">
        <w:rPr>
          <w:noProof/>
        </w:rPr>
        <w:t>379</w:t>
      </w:r>
      <w:r w:rsidRPr="00723C3F">
        <w:rPr>
          <w:noProof/>
        </w:rPr>
        <w:fldChar w:fldCharType="end"/>
      </w:r>
    </w:p>
    <w:p w14:paraId="2242FDC1" w14:textId="33526639"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XVII</w:t>
      </w:r>
      <w:r w:rsidRPr="00723C3F">
        <w:rPr>
          <w:noProof/>
        </w:rPr>
        <w:tab/>
      </w:r>
      <w:r w:rsidR="00BA23A6">
        <w:rPr>
          <w:noProof/>
        </w:rPr>
        <w:tab/>
      </w:r>
      <w:r w:rsidRPr="00723C3F">
        <w:rPr>
          <w:noProof/>
        </w:rPr>
        <w:fldChar w:fldCharType="begin"/>
      </w:r>
      <w:r w:rsidRPr="00723C3F">
        <w:rPr>
          <w:noProof/>
        </w:rPr>
        <w:instrText xml:space="preserve"> PAGEREF _Toc185577709 \h </w:instrText>
      </w:r>
      <w:r w:rsidRPr="00723C3F">
        <w:rPr>
          <w:noProof/>
        </w:rPr>
      </w:r>
      <w:r w:rsidRPr="00723C3F">
        <w:rPr>
          <w:noProof/>
        </w:rPr>
        <w:fldChar w:fldCharType="separate"/>
      </w:r>
      <w:r w:rsidR="00845A31">
        <w:rPr>
          <w:noProof/>
        </w:rPr>
        <w:t>381</w:t>
      </w:r>
      <w:r w:rsidRPr="00723C3F">
        <w:rPr>
          <w:noProof/>
        </w:rPr>
        <w:fldChar w:fldCharType="end"/>
      </w:r>
    </w:p>
    <w:p w14:paraId="7F0D8ECE" w14:textId="578BCFE1" w:rsidR="00723C3F" w:rsidRDefault="00723C3F">
      <w:pPr>
        <w:pStyle w:val="TOC2"/>
        <w:rPr>
          <w:rFonts w:asciiTheme="minorHAnsi" w:eastAsiaTheme="minorEastAsia" w:hAnsiTheme="minorHAnsi" w:cstheme="minorBidi"/>
          <w:b w:val="0"/>
          <w:noProof/>
          <w:kern w:val="2"/>
          <w:szCs w:val="24"/>
          <w14:ligatures w14:val="standardContextual"/>
        </w:rPr>
      </w:pPr>
      <w:r>
        <w:rPr>
          <w:noProof/>
        </w:rPr>
        <w:t>Seventh Schedule—Factors applicable under section 44</w:t>
      </w:r>
      <w:r w:rsidRPr="00723C3F">
        <w:rPr>
          <w:b w:val="0"/>
          <w:noProof/>
          <w:sz w:val="18"/>
        </w:rPr>
        <w:tab/>
      </w:r>
      <w:r w:rsidRPr="00723C3F">
        <w:rPr>
          <w:b w:val="0"/>
          <w:noProof/>
          <w:sz w:val="18"/>
        </w:rPr>
        <w:fldChar w:fldCharType="begin"/>
      </w:r>
      <w:r w:rsidRPr="00723C3F">
        <w:rPr>
          <w:b w:val="0"/>
          <w:noProof/>
          <w:sz w:val="18"/>
        </w:rPr>
        <w:instrText xml:space="preserve"> PAGEREF _Toc185577710 \h </w:instrText>
      </w:r>
      <w:r w:rsidRPr="00723C3F">
        <w:rPr>
          <w:b w:val="0"/>
          <w:noProof/>
          <w:sz w:val="18"/>
        </w:rPr>
      </w:r>
      <w:r w:rsidRPr="00723C3F">
        <w:rPr>
          <w:b w:val="0"/>
          <w:noProof/>
          <w:sz w:val="18"/>
        </w:rPr>
        <w:fldChar w:fldCharType="separate"/>
      </w:r>
      <w:r w:rsidR="00845A31">
        <w:rPr>
          <w:b w:val="0"/>
          <w:noProof/>
          <w:sz w:val="18"/>
        </w:rPr>
        <w:t>384</w:t>
      </w:r>
      <w:r w:rsidRPr="00723C3F">
        <w:rPr>
          <w:b w:val="0"/>
          <w:noProof/>
          <w:sz w:val="18"/>
        </w:rPr>
        <w:fldChar w:fldCharType="end"/>
      </w:r>
    </w:p>
    <w:p w14:paraId="462C6FCB" w14:textId="4A713055"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w:t>
      </w:r>
      <w:r w:rsidRPr="00723C3F">
        <w:rPr>
          <w:noProof/>
        </w:rPr>
        <w:tab/>
      </w:r>
      <w:r w:rsidR="00BA23A6">
        <w:rPr>
          <w:noProof/>
        </w:rPr>
        <w:tab/>
      </w:r>
      <w:r w:rsidRPr="00723C3F">
        <w:rPr>
          <w:noProof/>
        </w:rPr>
        <w:fldChar w:fldCharType="begin"/>
      </w:r>
      <w:r w:rsidRPr="00723C3F">
        <w:rPr>
          <w:noProof/>
        </w:rPr>
        <w:instrText xml:space="preserve"> PAGEREF _Toc185577711 \h </w:instrText>
      </w:r>
      <w:r w:rsidRPr="00723C3F">
        <w:rPr>
          <w:noProof/>
        </w:rPr>
      </w:r>
      <w:r w:rsidRPr="00723C3F">
        <w:rPr>
          <w:noProof/>
        </w:rPr>
        <w:fldChar w:fldCharType="separate"/>
      </w:r>
      <w:r w:rsidR="00845A31">
        <w:rPr>
          <w:noProof/>
        </w:rPr>
        <w:t>384</w:t>
      </w:r>
      <w:r w:rsidRPr="00723C3F">
        <w:rPr>
          <w:noProof/>
        </w:rPr>
        <w:fldChar w:fldCharType="end"/>
      </w:r>
    </w:p>
    <w:p w14:paraId="31C99B6F" w14:textId="1562375C" w:rsidR="00723C3F" w:rsidRDefault="00723C3F">
      <w:pPr>
        <w:pStyle w:val="TOC5"/>
        <w:rPr>
          <w:rFonts w:asciiTheme="minorHAnsi" w:eastAsiaTheme="minorEastAsia" w:hAnsiTheme="minorHAnsi" w:cstheme="minorBidi"/>
          <w:noProof/>
          <w:kern w:val="2"/>
          <w:sz w:val="24"/>
          <w:szCs w:val="24"/>
          <w14:ligatures w14:val="standardContextual"/>
        </w:rPr>
      </w:pPr>
      <w:r>
        <w:rPr>
          <w:noProof/>
        </w:rPr>
        <w:t>Table II</w:t>
      </w:r>
      <w:r w:rsidRPr="00723C3F">
        <w:rPr>
          <w:noProof/>
        </w:rPr>
        <w:tab/>
      </w:r>
      <w:r w:rsidR="00BA23A6">
        <w:rPr>
          <w:noProof/>
        </w:rPr>
        <w:tab/>
      </w:r>
      <w:r w:rsidRPr="00723C3F">
        <w:rPr>
          <w:noProof/>
        </w:rPr>
        <w:fldChar w:fldCharType="begin"/>
      </w:r>
      <w:r w:rsidRPr="00723C3F">
        <w:rPr>
          <w:noProof/>
        </w:rPr>
        <w:instrText xml:space="preserve"> PAGEREF _Toc185577712 \h </w:instrText>
      </w:r>
      <w:r w:rsidRPr="00723C3F">
        <w:rPr>
          <w:noProof/>
        </w:rPr>
      </w:r>
      <w:r w:rsidRPr="00723C3F">
        <w:rPr>
          <w:noProof/>
        </w:rPr>
        <w:fldChar w:fldCharType="separate"/>
      </w:r>
      <w:r w:rsidR="00845A31">
        <w:rPr>
          <w:noProof/>
        </w:rPr>
        <w:t>385</w:t>
      </w:r>
      <w:r w:rsidRPr="00723C3F">
        <w:rPr>
          <w:noProof/>
        </w:rPr>
        <w:fldChar w:fldCharType="end"/>
      </w:r>
    </w:p>
    <w:p w14:paraId="1E5CBF41" w14:textId="3A66E7C7" w:rsidR="00723C3F" w:rsidRDefault="00723C3F" w:rsidP="00723C3F">
      <w:pPr>
        <w:pStyle w:val="TOC2"/>
        <w:rPr>
          <w:rFonts w:asciiTheme="minorHAnsi" w:eastAsiaTheme="minorEastAsia" w:hAnsiTheme="minorHAnsi" w:cstheme="minorBidi"/>
          <w:b w:val="0"/>
          <w:noProof/>
          <w:kern w:val="2"/>
          <w:szCs w:val="24"/>
          <w14:ligatures w14:val="standardContextual"/>
        </w:rPr>
      </w:pPr>
      <w:r>
        <w:rPr>
          <w:noProof/>
        </w:rPr>
        <w:t>Endnotes</w:t>
      </w:r>
      <w:r w:rsidRPr="00723C3F">
        <w:rPr>
          <w:b w:val="0"/>
          <w:noProof/>
          <w:sz w:val="18"/>
        </w:rPr>
        <w:tab/>
      </w:r>
      <w:r w:rsidRPr="00723C3F">
        <w:rPr>
          <w:b w:val="0"/>
          <w:noProof/>
          <w:sz w:val="18"/>
        </w:rPr>
        <w:fldChar w:fldCharType="begin"/>
      </w:r>
      <w:r w:rsidRPr="00723C3F">
        <w:rPr>
          <w:b w:val="0"/>
          <w:noProof/>
          <w:sz w:val="18"/>
        </w:rPr>
        <w:instrText xml:space="preserve"> PAGEREF _Toc185577713 \h </w:instrText>
      </w:r>
      <w:r w:rsidRPr="00723C3F">
        <w:rPr>
          <w:b w:val="0"/>
          <w:noProof/>
          <w:sz w:val="18"/>
        </w:rPr>
      </w:r>
      <w:r w:rsidRPr="00723C3F">
        <w:rPr>
          <w:b w:val="0"/>
          <w:noProof/>
          <w:sz w:val="18"/>
        </w:rPr>
        <w:fldChar w:fldCharType="separate"/>
      </w:r>
      <w:r w:rsidR="00845A31">
        <w:rPr>
          <w:b w:val="0"/>
          <w:noProof/>
          <w:sz w:val="18"/>
        </w:rPr>
        <w:t>386</w:t>
      </w:r>
      <w:r w:rsidRPr="00723C3F">
        <w:rPr>
          <w:b w:val="0"/>
          <w:noProof/>
          <w:sz w:val="18"/>
        </w:rPr>
        <w:fldChar w:fldCharType="end"/>
      </w:r>
    </w:p>
    <w:p w14:paraId="6721D07E" w14:textId="77C1EF70"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723C3F">
        <w:rPr>
          <w:b w:val="0"/>
          <w:noProof/>
          <w:sz w:val="18"/>
        </w:rPr>
        <w:tab/>
      </w:r>
      <w:r w:rsidRPr="00723C3F">
        <w:rPr>
          <w:b w:val="0"/>
          <w:noProof/>
          <w:sz w:val="18"/>
        </w:rPr>
        <w:fldChar w:fldCharType="begin"/>
      </w:r>
      <w:r w:rsidRPr="00723C3F">
        <w:rPr>
          <w:b w:val="0"/>
          <w:noProof/>
          <w:sz w:val="18"/>
        </w:rPr>
        <w:instrText xml:space="preserve"> PAGEREF _Toc185577714 \h </w:instrText>
      </w:r>
      <w:r w:rsidRPr="00723C3F">
        <w:rPr>
          <w:b w:val="0"/>
          <w:noProof/>
          <w:sz w:val="18"/>
        </w:rPr>
      </w:r>
      <w:r w:rsidRPr="00723C3F">
        <w:rPr>
          <w:b w:val="0"/>
          <w:noProof/>
          <w:sz w:val="18"/>
        </w:rPr>
        <w:fldChar w:fldCharType="separate"/>
      </w:r>
      <w:r w:rsidR="00845A31">
        <w:rPr>
          <w:b w:val="0"/>
          <w:noProof/>
          <w:sz w:val="18"/>
        </w:rPr>
        <w:t>386</w:t>
      </w:r>
      <w:r w:rsidRPr="00723C3F">
        <w:rPr>
          <w:b w:val="0"/>
          <w:noProof/>
          <w:sz w:val="18"/>
        </w:rPr>
        <w:fldChar w:fldCharType="end"/>
      </w:r>
    </w:p>
    <w:p w14:paraId="17484E3D" w14:textId="67AFFCD4"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723C3F">
        <w:rPr>
          <w:b w:val="0"/>
          <w:noProof/>
          <w:sz w:val="18"/>
        </w:rPr>
        <w:tab/>
      </w:r>
      <w:r w:rsidRPr="00723C3F">
        <w:rPr>
          <w:b w:val="0"/>
          <w:noProof/>
          <w:sz w:val="18"/>
        </w:rPr>
        <w:fldChar w:fldCharType="begin"/>
      </w:r>
      <w:r w:rsidRPr="00723C3F">
        <w:rPr>
          <w:b w:val="0"/>
          <w:noProof/>
          <w:sz w:val="18"/>
        </w:rPr>
        <w:instrText xml:space="preserve"> PAGEREF _Toc185577715 \h </w:instrText>
      </w:r>
      <w:r w:rsidRPr="00723C3F">
        <w:rPr>
          <w:b w:val="0"/>
          <w:noProof/>
          <w:sz w:val="18"/>
        </w:rPr>
      </w:r>
      <w:r w:rsidRPr="00723C3F">
        <w:rPr>
          <w:b w:val="0"/>
          <w:noProof/>
          <w:sz w:val="18"/>
        </w:rPr>
        <w:fldChar w:fldCharType="separate"/>
      </w:r>
      <w:r w:rsidR="00845A31">
        <w:rPr>
          <w:b w:val="0"/>
          <w:noProof/>
          <w:sz w:val="18"/>
        </w:rPr>
        <w:t>388</w:t>
      </w:r>
      <w:r w:rsidRPr="00723C3F">
        <w:rPr>
          <w:b w:val="0"/>
          <w:noProof/>
          <w:sz w:val="18"/>
        </w:rPr>
        <w:fldChar w:fldCharType="end"/>
      </w:r>
    </w:p>
    <w:p w14:paraId="4BEE332E" w14:textId="795F880E"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723C3F">
        <w:rPr>
          <w:b w:val="0"/>
          <w:noProof/>
          <w:sz w:val="18"/>
        </w:rPr>
        <w:tab/>
      </w:r>
      <w:r w:rsidRPr="00723C3F">
        <w:rPr>
          <w:b w:val="0"/>
          <w:noProof/>
          <w:sz w:val="18"/>
        </w:rPr>
        <w:fldChar w:fldCharType="begin"/>
      </w:r>
      <w:r w:rsidRPr="00723C3F">
        <w:rPr>
          <w:b w:val="0"/>
          <w:noProof/>
          <w:sz w:val="18"/>
        </w:rPr>
        <w:instrText xml:space="preserve"> PAGEREF _Toc185577716 \h </w:instrText>
      </w:r>
      <w:r w:rsidRPr="00723C3F">
        <w:rPr>
          <w:b w:val="0"/>
          <w:noProof/>
          <w:sz w:val="18"/>
        </w:rPr>
      </w:r>
      <w:r w:rsidRPr="00723C3F">
        <w:rPr>
          <w:b w:val="0"/>
          <w:noProof/>
          <w:sz w:val="18"/>
        </w:rPr>
        <w:fldChar w:fldCharType="separate"/>
      </w:r>
      <w:r w:rsidR="00845A31">
        <w:rPr>
          <w:b w:val="0"/>
          <w:noProof/>
          <w:sz w:val="18"/>
        </w:rPr>
        <w:t>389</w:t>
      </w:r>
      <w:r w:rsidRPr="00723C3F">
        <w:rPr>
          <w:b w:val="0"/>
          <w:noProof/>
          <w:sz w:val="18"/>
        </w:rPr>
        <w:fldChar w:fldCharType="end"/>
      </w:r>
    </w:p>
    <w:p w14:paraId="0C2E4E52" w14:textId="79B959EF"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723C3F">
        <w:rPr>
          <w:b w:val="0"/>
          <w:noProof/>
          <w:sz w:val="18"/>
        </w:rPr>
        <w:tab/>
      </w:r>
      <w:r w:rsidRPr="00723C3F">
        <w:rPr>
          <w:b w:val="0"/>
          <w:noProof/>
          <w:sz w:val="18"/>
        </w:rPr>
        <w:fldChar w:fldCharType="begin"/>
      </w:r>
      <w:r w:rsidRPr="00723C3F">
        <w:rPr>
          <w:b w:val="0"/>
          <w:noProof/>
          <w:sz w:val="18"/>
        </w:rPr>
        <w:instrText xml:space="preserve"> PAGEREF _Toc185577717 \h </w:instrText>
      </w:r>
      <w:r w:rsidRPr="00723C3F">
        <w:rPr>
          <w:b w:val="0"/>
          <w:noProof/>
          <w:sz w:val="18"/>
        </w:rPr>
      </w:r>
      <w:r w:rsidRPr="00723C3F">
        <w:rPr>
          <w:b w:val="0"/>
          <w:noProof/>
          <w:sz w:val="18"/>
        </w:rPr>
        <w:fldChar w:fldCharType="separate"/>
      </w:r>
      <w:r w:rsidR="00845A31">
        <w:rPr>
          <w:b w:val="0"/>
          <w:noProof/>
          <w:sz w:val="18"/>
        </w:rPr>
        <w:t>400</w:t>
      </w:r>
      <w:r w:rsidRPr="00723C3F">
        <w:rPr>
          <w:b w:val="0"/>
          <w:noProof/>
          <w:sz w:val="18"/>
        </w:rPr>
        <w:fldChar w:fldCharType="end"/>
      </w:r>
    </w:p>
    <w:p w14:paraId="677F54C3" w14:textId="089BE86F" w:rsidR="00723C3F" w:rsidRDefault="00723C3F">
      <w:pPr>
        <w:pStyle w:val="TOC3"/>
        <w:rPr>
          <w:rFonts w:asciiTheme="minorHAnsi" w:eastAsiaTheme="minorEastAsia" w:hAnsiTheme="minorHAnsi" w:cstheme="minorBidi"/>
          <w:b w:val="0"/>
          <w:noProof/>
          <w:kern w:val="2"/>
          <w:sz w:val="24"/>
          <w:szCs w:val="24"/>
          <w14:ligatures w14:val="standardContextual"/>
        </w:rPr>
      </w:pPr>
      <w:r>
        <w:rPr>
          <w:noProof/>
        </w:rPr>
        <w:t>Endnote 5—Miscellaneous</w:t>
      </w:r>
      <w:r w:rsidRPr="00723C3F">
        <w:rPr>
          <w:b w:val="0"/>
          <w:noProof/>
          <w:sz w:val="18"/>
        </w:rPr>
        <w:tab/>
      </w:r>
      <w:r w:rsidRPr="00723C3F">
        <w:rPr>
          <w:b w:val="0"/>
          <w:noProof/>
          <w:sz w:val="18"/>
        </w:rPr>
        <w:fldChar w:fldCharType="begin"/>
      </w:r>
      <w:r w:rsidRPr="00723C3F">
        <w:rPr>
          <w:b w:val="0"/>
          <w:noProof/>
          <w:sz w:val="18"/>
        </w:rPr>
        <w:instrText xml:space="preserve"> PAGEREF _Toc185577718 \h </w:instrText>
      </w:r>
      <w:r w:rsidRPr="00723C3F">
        <w:rPr>
          <w:b w:val="0"/>
          <w:noProof/>
          <w:sz w:val="18"/>
        </w:rPr>
      </w:r>
      <w:r w:rsidRPr="00723C3F">
        <w:rPr>
          <w:b w:val="0"/>
          <w:noProof/>
          <w:sz w:val="18"/>
        </w:rPr>
        <w:fldChar w:fldCharType="separate"/>
      </w:r>
      <w:r w:rsidR="00845A31">
        <w:rPr>
          <w:b w:val="0"/>
          <w:noProof/>
          <w:sz w:val="18"/>
        </w:rPr>
        <w:t>423</w:t>
      </w:r>
      <w:r w:rsidRPr="00723C3F">
        <w:rPr>
          <w:b w:val="0"/>
          <w:noProof/>
          <w:sz w:val="18"/>
        </w:rPr>
        <w:fldChar w:fldCharType="end"/>
      </w:r>
    </w:p>
    <w:p w14:paraId="4C7689E0" w14:textId="1AE3A6CB" w:rsidR="000E0CCB" w:rsidRPr="005071A1" w:rsidRDefault="00597006" w:rsidP="000E0CCB">
      <w:pPr>
        <w:sectPr w:rsidR="000E0CCB" w:rsidRPr="005071A1" w:rsidSect="0020596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071A1">
        <w:fldChar w:fldCharType="end"/>
      </w:r>
    </w:p>
    <w:p w14:paraId="7A94365B" w14:textId="77777777" w:rsidR="00B33542" w:rsidRPr="005071A1" w:rsidRDefault="00B33542" w:rsidP="000E0CCB">
      <w:pPr>
        <w:pStyle w:val="LongT"/>
      </w:pPr>
      <w:r w:rsidRPr="005071A1">
        <w:lastRenderedPageBreak/>
        <w:t>An Act to provide Superannuation Benefits for Persons employed by the Commonwealth and by certain Commonwealth Authorities and to make provision for the families of those persons</w:t>
      </w:r>
    </w:p>
    <w:p w14:paraId="22F6350D" w14:textId="77777777" w:rsidR="00B33542" w:rsidRPr="005071A1" w:rsidRDefault="00B33542" w:rsidP="00B33542">
      <w:pPr>
        <w:pStyle w:val="ActHead2"/>
      </w:pPr>
      <w:bookmarkStart w:id="0" w:name="_Toc185577382"/>
      <w:r w:rsidRPr="004510F0">
        <w:rPr>
          <w:rStyle w:val="CharPartNo"/>
        </w:rPr>
        <w:t>Part I</w:t>
      </w:r>
      <w:r w:rsidRPr="005071A1">
        <w:t>—</w:t>
      </w:r>
      <w:r w:rsidRPr="004510F0">
        <w:rPr>
          <w:rStyle w:val="CharPartText"/>
        </w:rPr>
        <w:t>Preliminary</w:t>
      </w:r>
      <w:bookmarkEnd w:id="0"/>
    </w:p>
    <w:p w14:paraId="5A5DEE17" w14:textId="77777777" w:rsidR="00B33542" w:rsidRPr="005071A1" w:rsidRDefault="009B7AF5" w:rsidP="00B33542">
      <w:pPr>
        <w:pStyle w:val="Header"/>
      </w:pPr>
      <w:r w:rsidRPr="004510F0">
        <w:rPr>
          <w:rStyle w:val="CharDivNo"/>
        </w:rPr>
        <w:t xml:space="preserve"> </w:t>
      </w:r>
      <w:r w:rsidRPr="004510F0">
        <w:rPr>
          <w:rStyle w:val="CharDivText"/>
        </w:rPr>
        <w:t xml:space="preserve"> </w:t>
      </w:r>
    </w:p>
    <w:p w14:paraId="6083D54D" w14:textId="77777777" w:rsidR="00B33542" w:rsidRPr="005071A1" w:rsidRDefault="00B33542" w:rsidP="00B33542">
      <w:pPr>
        <w:pStyle w:val="ActHead5"/>
      </w:pPr>
      <w:bookmarkStart w:id="1" w:name="_Toc185577383"/>
      <w:r w:rsidRPr="004510F0">
        <w:rPr>
          <w:rStyle w:val="CharSectno"/>
        </w:rPr>
        <w:t>1</w:t>
      </w:r>
      <w:r w:rsidRPr="005071A1">
        <w:t xml:space="preserve">  Short title</w:t>
      </w:r>
      <w:bookmarkEnd w:id="1"/>
    </w:p>
    <w:p w14:paraId="3C9AC8DC" w14:textId="77777777" w:rsidR="00B33542" w:rsidRPr="005071A1" w:rsidRDefault="00B33542" w:rsidP="00B33542">
      <w:pPr>
        <w:pStyle w:val="subsection"/>
      </w:pPr>
      <w:r w:rsidRPr="005071A1">
        <w:tab/>
      </w:r>
      <w:r w:rsidRPr="005071A1">
        <w:tab/>
        <w:t xml:space="preserve">This Act may be cited as the </w:t>
      </w:r>
      <w:r w:rsidRPr="005071A1">
        <w:rPr>
          <w:i/>
        </w:rPr>
        <w:t>Superannuation Act 1922</w:t>
      </w:r>
      <w:r w:rsidRPr="005071A1">
        <w:t>.</w:t>
      </w:r>
    </w:p>
    <w:p w14:paraId="19186A41" w14:textId="77777777" w:rsidR="00B33542" w:rsidRPr="005071A1" w:rsidRDefault="00B33542" w:rsidP="00B33542">
      <w:pPr>
        <w:pStyle w:val="ActHead5"/>
      </w:pPr>
      <w:bookmarkStart w:id="2" w:name="_Toc185577384"/>
      <w:r w:rsidRPr="004510F0">
        <w:rPr>
          <w:rStyle w:val="CharSectno"/>
        </w:rPr>
        <w:t>2</w:t>
      </w:r>
      <w:r w:rsidRPr="005071A1">
        <w:t xml:space="preserve">  Commencement</w:t>
      </w:r>
      <w:bookmarkEnd w:id="2"/>
    </w:p>
    <w:p w14:paraId="58B0FA48" w14:textId="77777777" w:rsidR="00B33542" w:rsidRPr="005071A1" w:rsidRDefault="00B33542" w:rsidP="00B33542">
      <w:pPr>
        <w:pStyle w:val="subsection"/>
      </w:pPr>
      <w:r w:rsidRPr="005071A1">
        <w:tab/>
        <w:t>(1)</w:t>
      </w:r>
      <w:r w:rsidRPr="005071A1">
        <w:tab/>
        <w:t>This Act shall, except where otherwise provided, commence on a date to be fixed by proclamation.</w:t>
      </w:r>
    </w:p>
    <w:p w14:paraId="187E7E9D" w14:textId="77777777" w:rsidR="00B33542" w:rsidRPr="005071A1" w:rsidRDefault="00B33542" w:rsidP="00B33542">
      <w:pPr>
        <w:pStyle w:val="subsection"/>
      </w:pPr>
      <w:r w:rsidRPr="005071A1">
        <w:tab/>
        <w:t>(2)</w:t>
      </w:r>
      <w:r w:rsidRPr="005071A1">
        <w:tab/>
        <w:t xml:space="preserve">The date so fixed is, in this Act, referred to as </w:t>
      </w:r>
      <w:r w:rsidRPr="005071A1">
        <w:rPr>
          <w:b/>
          <w:i/>
        </w:rPr>
        <w:t>the commencement of this Act</w:t>
      </w:r>
      <w:r w:rsidRPr="005071A1">
        <w:t>.</w:t>
      </w:r>
    </w:p>
    <w:p w14:paraId="47CC1A70" w14:textId="77777777" w:rsidR="001E12F9" w:rsidRPr="005071A1" w:rsidRDefault="001E12F9" w:rsidP="001E12F9">
      <w:pPr>
        <w:pStyle w:val="ActHead5"/>
      </w:pPr>
      <w:bookmarkStart w:id="3" w:name="_Toc185577385"/>
      <w:r w:rsidRPr="004510F0">
        <w:rPr>
          <w:rStyle w:val="CharSectno"/>
        </w:rPr>
        <w:t>3</w:t>
      </w:r>
      <w:r w:rsidRPr="005071A1">
        <w:t xml:space="preserve">  Operation of this Act on or after 1</w:t>
      </w:r>
      <w:r w:rsidR="008B2950" w:rsidRPr="005071A1">
        <w:t> </w:t>
      </w:r>
      <w:r w:rsidRPr="005071A1">
        <w:t>July 2011</w:t>
      </w:r>
      <w:bookmarkEnd w:id="3"/>
    </w:p>
    <w:p w14:paraId="7C1F0683" w14:textId="77777777" w:rsidR="001E12F9" w:rsidRPr="005071A1" w:rsidRDefault="001E12F9" w:rsidP="001E12F9">
      <w:pPr>
        <w:pStyle w:val="subsection"/>
      </w:pPr>
      <w:r w:rsidRPr="005071A1">
        <w:tab/>
      </w:r>
      <w:r w:rsidRPr="005071A1">
        <w:tab/>
        <w:t>For the purposes of applying this Act on or after 1</w:t>
      </w:r>
      <w:r w:rsidR="008B2950" w:rsidRPr="005071A1">
        <w:t> </w:t>
      </w:r>
      <w:r w:rsidRPr="005071A1">
        <w:t>July 2011, any reference to the Board, the Commissioner or the Commissioner for Superannuation is, unless the context otherwise requires, taken to be a reference to CSC.</w:t>
      </w:r>
    </w:p>
    <w:p w14:paraId="4D49C8E6" w14:textId="77777777" w:rsidR="00B33542" w:rsidRPr="005071A1" w:rsidRDefault="00B33542" w:rsidP="00B33542">
      <w:pPr>
        <w:pStyle w:val="ActHead5"/>
      </w:pPr>
      <w:bookmarkStart w:id="4" w:name="_Toc185577386"/>
      <w:r w:rsidRPr="004510F0">
        <w:rPr>
          <w:rStyle w:val="CharSectno"/>
        </w:rPr>
        <w:t>4</w:t>
      </w:r>
      <w:r w:rsidRPr="005071A1">
        <w:t xml:space="preserve">  Interpretation</w:t>
      </w:r>
      <w:bookmarkEnd w:id="4"/>
    </w:p>
    <w:p w14:paraId="22ACFC65" w14:textId="77777777" w:rsidR="00B33542" w:rsidRPr="005071A1" w:rsidRDefault="00B33542" w:rsidP="00B33542">
      <w:pPr>
        <w:pStyle w:val="subsection"/>
      </w:pPr>
      <w:r w:rsidRPr="005071A1">
        <w:tab/>
        <w:t>(1)</w:t>
      </w:r>
      <w:r w:rsidRPr="005071A1">
        <w:tab/>
        <w:t>In this Act, unless the contrary intention appears:</w:t>
      </w:r>
    </w:p>
    <w:p w14:paraId="615B6430" w14:textId="77777777" w:rsidR="00B33542" w:rsidRPr="005071A1" w:rsidRDefault="00B33542" w:rsidP="00B33542">
      <w:pPr>
        <w:pStyle w:val="Definition"/>
      </w:pPr>
      <w:r w:rsidRPr="005071A1">
        <w:rPr>
          <w:b/>
          <w:i/>
        </w:rPr>
        <w:lastRenderedPageBreak/>
        <w:t>Actuary</w:t>
      </w:r>
      <w:r w:rsidRPr="005071A1">
        <w:t xml:space="preserve"> means a Fellow or Associate of the </w:t>
      </w:r>
      <w:smartTag w:uri="urn:schemas-microsoft-com:office:smarttags" w:element="place">
        <w:smartTag w:uri="urn:schemas-microsoft-com:office:smarttags" w:element="PlaceType">
          <w:r w:rsidRPr="005071A1">
            <w:t>Institute</w:t>
          </w:r>
        </w:smartTag>
        <w:r w:rsidRPr="005071A1">
          <w:t xml:space="preserve"> of </w:t>
        </w:r>
        <w:smartTag w:uri="urn:schemas-microsoft-com:office:smarttags" w:element="PlaceName">
          <w:r w:rsidRPr="005071A1">
            <w:t>Actuaries</w:t>
          </w:r>
        </w:smartTag>
      </w:smartTag>
      <w:r w:rsidRPr="005071A1">
        <w:t xml:space="preserve"> (</w:t>
      </w:r>
      <w:smartTag w:uri="urn:schemas-microsoft-com:office:smarttags" w:element="place">
        <w:smartTag w:uri="urn:schemas-microsoft-com:office:smarttags" w:element="City">
          <w:r w:rsidRPr="005071A1">
            <w:t>London</w:t>
          </w:r>
        </w:smartTag>
      </w:smartTag>
      <w:r w:rsidRPr="005071A1">
        <w:t>), or a Fellow or Associate of the Faculty of Actuaries (Edinburgh), or any other person of whose actuarial knowledge and experience the Governor</w:t>
      </w:r>
      <w:r w:rsidR="004510F0">
        <w:noBreakHyphen/>
      </w:r>
      <w:r w:rsidRPr="005071A1">
        <w:t>General approves.</w:t>
      </w:r>
    </w:p>
    <w:p w14:paraId="0A1F79CE" w14:textId="77777777" w:rsidR="00B33542" w:rsidRPr="005071A1" w:rsidRDefault="00B33542" w:rsidP="00B33542">
      <w:pPr>
        <w:pStyle w:val="Definition"/>
      </w:pPr>
      <w:r w:rsidRPr="005071A1">
        <w:rPr>
          <w:b/>
          <w:i/>
        </w:rPr>
        <w:t>Approved authority</w:t>
      </w:r>
      <w:r w:rsidRPr="005071A1">
        <w:t xml:space="preserve"> means the Australian Broadcasting Commission, the Capital Territory Health Commission, the Australian National University, Aboriginal Hostels Limited and the </w:t>
      </w:r>
      <w:smartTag w:uri="urn:schemas-microsoft-com:office:smarttags" w:element="place">
        <w:smartTag w:uri="urn:schemas-microsoft-com:office:smarttags" w:element="PlaceName">
          <w:r w:rsidRPr="005071A1">
            <w:t>Darwin</w:t>
          </w:r>
        </w:smartTag>
        <w:r w:rsidRPr="005071A1">
          <w:t xml:space="preserve"> </w:t>
        </w:r>
        <w:smartTag w:uri="urn:schemas-microsoft-com:office:smarttags" w:element="PlaceType">
          <w:r w:rsidRPr="005071A1">
            <w:t>Community College</w:t>
          </w:r>
        </w:smartTag>
      </w:smartTag>
      <w:r w:rsidRPr="005071A1">
        <w:t xml:space="preserve"> and includes such other Commonwealth authorities as are specified by the regulations to be approved authorities for the purposes of this Act.</w:t>
      </w:r>
    </w:p>
    <w:p w14:paraId="74908AAE" w14:textId="77777777" w:rsidR="00B33542" w:rsidRPr="005071A1" w:rsidRDefault="00B33542" w:rsidP="00B33542">
      <w:pPr>
        <w:pStyle w:val="Definition"/>
      </w:pPr>
      <w:r w:rsidRPr="005071A1">
        <w:rPr>
          <w:b/>
          <w:i/>
        </w:rPr>
        <w:t>Children</w:t>
      </w:r>
      <w:r w:rsidRPr="005071A1">
        <w:t xml:space="preserve"> includes children adopted by a contributor or by a contributor to the Provident Account and dependent on him at the time of his death.</w:t>
      </w:r>
    </w:p>
    <w:p w14:paraId="682533EA" w14:textId="77777777" w:rsidR="001E12F9" w:rsidRPr="005071A1" w:rsidRDefault="001E12F9" w:rsidP="001E12F9">
      <w:pPr>
        <w:pStyle w:val="Definition"/>
      </w:pPr>
      <w:r w:rsidRPr="005071A1">
        <w:rPr>
          <w:b/>
          <w:i/>
        </w:rPr>
        <w:t>Commissioner</w:t>
      </w:r>
      <w:r w:rsidRPr="005071A1">
        <w:t xml:space="preserve"> has the same meaning as in the </w:t>
      </w:r>
      <w:r w:rsidRPr="005071A1">
        <w:rPr>
          <w:i/>
        </w:rPr>
        <w:t>Superannuation Act 1976</w:t>
      </w:r>
      <w:r w:rsidRPr="005071A1">
        <w:t>.</w:t>
      </w:r>
    </w:p>
    <w:p w14:paraId="764577D7" w14:textId="77777777" w:rsidR="001E12F9" w:rsidRPr="005071A1" w:rsidRDefault="001E12F9" w:rsidP="001E12F9">
      <w:pPr>
        <w:pStyle w:val="Definition"/>
      </w:pPr>
      <w:r w:rsidRPr="005071A1">
        <w:rPr>
          <w:b/>
          <w:i/>
        </w:rPr>
        <w:t>Commissioner for Superannuation</w:t>
      </w:r>
      <w:r w:rsidRPr="005071A1">
        <w:t xml:space="preserve"> has the same meaning as Commissioner.</w:t>
      </w:r>
    </w:p>
    <w:p w14:paraId="62135928" w14:textId="77777777" w:rsidR="00B33542" w:rsidRPr="005071A1" w:rsidRDefault="00B33542" w:rsidP="00B33542">
      <w:pPr>
        <w:pStyle w:val="Definition"/>
      </w:pPr>
      <w:r w:rsidRPr="005071A1">
        <w:rPr>
          <w:b/>
          <w:i/>
        </w:rPr>
        <w:t>Contributor</w:t>
      </w:r>
      <w:r w:rsidRPr="005071A1">
        <w:t xml:space="preserve"> means an employee who is or has been contributing under this Act to the Fund.</w:t>
      </w:r>
    </w:p>
    <w:p w14:paraId="1B503CA9" w14:textId="77777777" w:rsidR="001E12F9" w:rsidRPr="005071A1" w:rsidRDefault="001E12F9" w:rsidP="001E12F9">
      <w:pPr>
        <w:pStyle w:val="Definition"/>
      </w:pPr>
      <w:r w:rsidRPr="005071A1">
        <w:rPr>
          <w:b/>
          <w:i/>
        </w:rPr>
        <w:t>CSC</w:t>
      </w:r>
      <w:r w:rsidRPr="005071A1">
        <w:t xml:space="preserve"> (short for Commonwealth Superannuation Corporation) has the same meaning as in the </w:t>
      </w:r>
      <w:r w:rsidRPr="005071A1">
        <w:rPr>
          <w:i/>
        </w:rPr>
        <w:t>Governance of Australian Government Superannuation Schemes Act 2011</w:t>
      </w:r>
      <w:r w:rsidRPr="005071A1">
        <w:t>.</w:t>
      </w:r>
    </w:p>
    <w:p w14:paraId="7033CCCC" w14:textId="77777777" w:rsidR="001E12F9" w:rsidRPr="005071A1" w:rsidRDefault="001E12F9" w:rsidP="001E12F9">
      <w:pPr>
        <w:pStyle w:val="Definition"/>
      </w:pPr>
      <w:r w:rsidRPr="005071A1">
        <w:rPr>
          <w:b/>
          <w:i/>
        </w:rPr>
        <w:t>decision</w:t>
      </w:r>
      <w:r w:rsidRPr="005071A1">
        <w:t xml:space="preserve"> has the same meaning as in the</w:t>
      </w:r>
      <w:r w:rsidRPr="005071A1">
        <w:rPr>
          <w:i/>
        </w:rPr>
        <w:t xml:space="preserve"> </w:t>
      </w:r>
      <w:r w:rsidR="00373AAE" w:rsidRPr="005071A1">
        <w:rPr>
          <w:i/>
        </w:rPr>
        <w:t>Administrative Review Tribunal Act 2024</w:t>
      </w:r>
      <w:r w:rsidRPr="005071A1">
        <w:t>.</w:t>
      </w:r>
    </w:p>
    <w:p w14:paraId="0E44B12A" w14:textId="77777777" w:rsidR="001E12F9" w:rsidRPr="005071A1" w:rsidRDefault="001E12F9" w:rsidP="001E12F9">
      <w:pPr>
        <w:pStyle w:val="Definition"/>
      </w:pPr>
      <w:r w:rsidRPr="005071A1">
        <w:rPr>
          <w:b/>
          <w:i/>
        </w:rPr>
        <w:t>decision of CSC</w:t>
      </w:r>
      <w:r w:rsidRPr="005071A1">
        <w:t xml:space="preserve"> means a decision of CSC, or a delegate of CSC, under this Act or the regulations.</w:t>
      </w:r>
    </w:p>
    <w:p w14:paraId="7C4D3FE4" w14:textId="77777777" w:rsidR="00B33542" w:rsidRPr="005071A1" w:rsidRDefault="00B33542" w:rsidP="00B33542">
      <w:pPr>
        <w:pStyle w:val="Definition"/>
      </w:pPr>
      <w:r w:rsidRPr="005071A1">
        <w:rPr>
          <w:b/>
          <w:i/>
        </w:rPr>
        <w:t>Department</w:t>
      </w:r>
      <w:r w:rsidRPr="005071A1">
        <w:t xml:space="preserve"> means any Department under the administration of a Minister of State for the Commonwealth.</w:t>
      </w:r>
    </w:p>
    <w:p w14:paraId="3A991167" w14:textId="77777777" w:rsidR="00B33542" w:rsidRPr="005071A1" w:rsidRDefault="00B33542" w:rsidP="00B33542">
      <w:pPr>
        <w:pStyle w:val="Definition"/>
      </w:pPr>
      <w:r w:rsidRPr="005071A1">
        <w:rPr>
          <w:b/>
          <w:i/>
        </w:rPr>
        <w:lastRenderedPageBreak/>
        <w:t>eligible child</w:t>
      </w:r>
      <w:r w:rsidRPr="005071A1">
        <w:t xml:space="preserve"> means:</w:t>
      </w:r>
    </w:p>
    <w:p w14:paraId="1D3D74C3" w14:textId="77777777" w:rsidR="00B33542" w:rsidRPr="005071A1" w:rsidRDefault="00B33542" w:rsidP="00B33542">
      <w:pPr>
        <w:pStyle w:val="paragraph"/>
      </w:pPr>
      <w:r w:rsidRPr="005071A1">
        <w:tab/>
        <w:t>(a)</w:t>
      </w:r>
      <w:r w:rsidRPr="005071A1">
        <w:tab/>
        <w:t>in relation to a deceased contributor or deceased pensioner, a child of the contributor or pensioner who is:</w:t>
      </w:r>
    </w:p>
    <w:p w14:paraId="59B5163C" w14:textId="77777777" w:rsidR="00550693" w:rsidRPr="005071A1" w:rsidRDefault="00550693" w:rsidP="00550693">
      <w:pPr>
        <w:pStyle w:val="paragraphsub"/>
      </w:pPr>
      <w:r w:rsidRPr="005071A1">
        <w:tab/>
        <w:t>(i)</w:t>
      </w:r>
      <w:r w:rsidRPr="005071A1">
        <w:tab/>
        <w:t>under the age of 18 years; or</w:t>
      </w:r>
    </w:p>
    <w:p w14:paraId="1322DAE2" w14:textId="77777777" w:rsidR="00B33542" w:rsidRPr="005071A1" w:rsidRDefault="00B33542" w:rsidP="00B33542">
      <w:pPr>
        <w:pStyle w:val="paragraphsub"/>
      </w:pPr>
      <w:r w:rsidRPr="005071A1">
        <w:tab/>
        <w:t>(ii)</w:t>
      </w:r>
      <w:r w:rsidRPr="005071A1">
        <w:tab/>
        <w:t>a child:</w:t>
      </w:r>
    </w:p>
    <w:p w14:paraId="3B33D6D6" w14:textId="77777777" w:rsidR="00550693" w:rsidRPr="005071A1" w:rsidRDefault="00550693" w:rsidP="00550693">
      <w:pPr>
        <w:pStyle w:val="paragraphsub-sub"/>
      </w:pPr>
      <w:r w:rsidRPr="005071A1">
        <w:tab/>
        <w:t>(A)</w:t>
      </w:r>
      <w:r w:rsidRPr="005071A1">
        <w:tab/>
        <w:t>who has reached the age of 18 years but is under the age of 21 years; and</w:t>
      </w:r>
    </w:p>
    <w:p w14:paraId="4EC59533" w14:textId="77777777" w:rsidR="00B33542" w:rsidRPr="005071A1" w:rsidRDefault="00B33542" w:rsidP="00B33542">
      <w:pPr>
        <w:pStyle w:val="paragraphsub-sub"/>
      </w:pPr>
      <w:r w:rsidRPr="005071A1">
        <w:tab/>
        <w:t>(B)</w:t>
      </w:r>
      <w:r w:rsidRPr="005071A1">
        <w:tab/>
        <w:t>who is receiving full</w:t>
      </w:r>
      <w:r w:rsidR="004510F0">
        <w:noBreakHyphen/>
      </w:r>
      <w:r w:rsidRPr="005071A1">
        <w:t>time education at a school, college or university; or</w:t>
      </w:r>
    </w:p>
    <w:p w14:paraId="0CF9ADFB" w14:textId="77777777" w:rsidR="00B33542" w:rsidRPr="005071A1" w:rsidRDefault="00B33542" w:rsidP="006B7F7B">
      <w:pPr>
        <w:pStyle w:val="paragraphsub"/>
        <w:keepNext/>
      </w:pPr>
      <w:r w:rsidRPr="005071A1">
        <w:tab/>
        <w:t>(iii)</w:t>
      </w:r>
      <w:r w:rsidRPr="005071A1">
        <w:tab/>
        <w:t>a child:</w:t>
      </w:r>
    </w:p>
    <w:p w14:paraId="6194319A" w14:textId="77777777" w:rsidR="00550693" w:rsidRPr="005071A1" w:rsidRDefault="00550693" w:rsidP="00550693">
      <w:pPr>
        <w:pStyle w:val="paragraphsub-sub"/>
      </w:pPr>
      <w:r w:rsidRPr="005071A1">
        <w:tab/>
        <w:t>(A)</w:t>
      </w:r>
      <w:r w:rsidRPr="005071A1">
        <w:tab/>
        <w:t>who has reached the age of 21 years but is under the age of 25 years; and</w:t>
      </w:r>
    </w:p>
    <w:p w14:paraId="0D3FBC5C" w14:textId="77777777" w:rsidR="00B33542" w:rsidRPr="005071A1" w:rsidRDefault="00B33542" w:rsidP="00B33542">
      <w:pPr>
        <w:pStyle w:val="paragraphsub-sub"/>
      </w:pPr>
      <w:r w:rsidRPr="005071A1">
        <w:tab/>
        <w:t>(B)</w:t>
      </w:r>
      <w:r w:rsidRPr="005071A1">
        <w:tab/>
        <w:t>who is receiving full</w:t>
      </w:r>
      <w:r w:rsidR="004510F0">
        <w:noBreakHyphen/>
      </w:r>
      <w:r w:rsidRPr="005071A1">
        <w:t>time education at a school, college or university</w:t>
      </w:r>
      <w:r w:rsidR="00550693" w:rsidRPr="005071A1">
        <w:t>; and</w:t>
      </w:r>
    </w:p>
    <w:p w14:paraId="6129DFF9" w14:textId="77777777" w:rsidR="00B33542" w:rsidRPr="005071A1" w:rsidRDefault="00B33542" w:rsidP="00B33542">
      <w:pPr>
        <w:pStyle w:val="paragraphsub-sub"/>
      </w:pPr>
      <w:r w:rsidRPr="005071A1">
        <w:tab/>
        <w:t>(C)</w:t>
      </w:r>
      <w:r w:rsidRPr="005071A1">
        <w:tab/>
        <w:t>where the child was born before the death of the contributor or pensioner—who was living with, or, in the opinion of the Commissioner, was wholly or substantially dependent upon, the contributor or pensioner immediately before that death; and</w:t>
      </w:r>
    </w:p>
    <w:p w14:paraId="1E824966" w14:textId="77777777" w:rsidR="00B33542" w:rsidRPr="005071A1" w:rsidRDefault="00B33542" w:rsidP="00B33542">
      <w:pPr>
        <w:pStyle w:val="paragraphsub-sub"/>
      </w:pPr>
      <w:r w:rsidRPr="005071A1">
        <w:tab/>
        <w:t>(D)</w:t>
      </w:r>
      <w:r w:rsidRPr="005071A1">
        <w:tab/>
        <w:t>where the child was born after the death of the contributor or pensioner—who, in the opinion of the Commissioner, would have been living with, or wholly or substantially dependent upon the contributor or pensioner immediately before that death if the child had been born before that death; and</w:t>
      </w:r>
    </w:p>
    <w:p w14:paraId="07467DCA" w14:textId="77777777" w:rsidR="00B33542" w:rsidRPr="005071A1" w:rsidRDefault="00B33542" w:rsidP="00B33542">
      <w:pPr>
        <w:pStyle w:val="paragraph"/>
      </w:pPr>
      <w:r w:rsidRPr="005071A1">
        <w:tab/>
        <w:t>(b)</w:t>
      </w:r>
      <w:r w:rsidRPr="005071A1">
        <w:tab/>
        <w:t>in relation to a person, being the widow, widower, wife or husband of a deceased contributor or a deceased pensioner, a child of the person who is:</w:t>
      </w:r>
    </w:p>
    <w:p w14:paraId="3654568C" w14:textId="77777777" w:rsidR="00B33542" w:rsidRPr="005071A1" w:rsidRDefault="00B33542" w:rsidP="00B33542">
      <w:pPr>
        <w:pStyle w:val="paragraphsub"/>
      </w:pPr>
      <w:r w:rsidRPr="005071A1">
        <w:tab/>
        <w:t>(i)</w:t>
      </w:r>
      <w:r w:rsidRPr="005071A1">
        <w:tab/>
        <w:t xml:space="preserve">a child of the kind referred to in </w:t>
      </w:r>
      <w:r w:rsidR="008B2950" w:rsidRPr="005071A1">
        <w:t>subparagraph (</w:t>
      </w:r>
      <w:r w:rsidRPr="005071A1">
        <w:t>a)(i);</w:t>
      </w:r>
    </w:p>
    <w:p w14:paraId="5C88FA1F" w14:textId="77777777" w:rsidR="00B33542" w:rsidRPr="005071A1" w:rsidRDefault="00B33542" w:rsidP="00B33542">
      <w:pPr>
        <w:pStyle w:val="paragraphsub"/>
      </w:pPr>
      <w:r w:rsidRPr="005071A1">
        <w:lastRenderedPageBreak/>
        <w:tab/>
        <w:t>(ii)</w:t>
      </w:r>
      <w:r w:rsidRPr="005071A1">
        <w:tab/>
        <w:t xml:space="preserve">a child of the kind referred to in </w:t>
      </w:r>
      <w:r w:rsidR="008B2950" w:rsidRPr="005071A1">
        <w:t>subparagraph (</w:t>
      </w:r>
      <w:r w:rsidRPr="005071A1">
        <w:t>a)(ii); or</w:t>
      </w:r>
    </w:p>
    <w:p w14:paraId="0DF0591F" w14:textId="77777777" w:rsidR="00B33542" w:rsidRPr="005071A1" w:rsidRDefault="00B33542" w:rsidP="00B33542">
      <w:pPr>
        <w:pStyle w:val="paragraphsub"/>
      </w:pPr>
      <w:r w:rsidRPr="005071A1">
        <w:tab/>
        <w:t>(iii)</w:t>
      </w:r>
      <w:r w:rsidRPr="005071A1">
        <w:tab/>
        <w:t>a child:</w:t>
      </w:r>
    </w:p>
    <w:p w14:paraId="5897B647" w14:textId="77777777" w:rsidR="00B33542" w:rsidRPr="005071A1" w:rsidRDefault="00B33542" w:rsidP="00B33542">
      <w:pPr>
        <w:pStyle w:val="paragraphsub-sub"/>
      </w:pPr>
      <w:r w:rsidRPr="005071A1">
        <w:tab/>
        <w:t>(A)</w:t>
      </w:r>
      <w:r w:rsidRPr="005071A1">
        <w:tab/>
        <w:t xml:space="preserve">of the kind referred to in </w:t>
      </w:r>
      <w:r w:rsidR="008B2950" w:rsidRPr="005071A1">
        <w:t>sub</w:t>
      </w:r>
      <w:r w:rsidR="004510F0">
        <w:noBreakHyphen/>
      </w:r>
      <w:r w:rsidR="008B2950" w:rsidRPr="005071A1">
        <w:t>subparagraphs (</w:t>
      </w:r>
      <w:r w:rsidRPr="005071A1">
        <w:t>a)(iii)(A) and (B); and</w:t>
      </w:r>
    </w:p>
    <w:p w14:paraId="4F38AE97" w14:textId="77777777" w:rsidR="00B33542" w:rsidRPr="005071A1" w:rsidRDefault="00B33542" w:rsidP="00B33542">
      <w:pPr>
        <w:pStyle w:val="paragraphsub-sub"/>
      </w:pPr>
      <w:r w:rsidRPr="005071A1">
        <w:tab/>
        <w:t>(B)</w:t>
      </w:r>
      <w:r w:rsidRPr="005071A1">
        <w:tab/>
        <w:t>who was born before the death of the contributor or pensioner and, in the opinion of the Commissioner, was wholly or substantially dependent upon the contributor or pensioner immediately before that death;</w:t>
      </w:r>
    </w:p>
    <w:p w14:paraId="4C8EA6CE" w14:textId="77777777" w:rsidR="00B33542" w:rsidRPr="005071A1" w:rsidRDefault="00B33542" w:rsidP="00B33542">
      <w:pPr>
        <w:pStyle w:val="Definition"/>
      </w:pPr>
      <w:r w:rsidRPr="005071A1">
        <w:rPr>
          <w:b/>
          <w:i/>
        </w:rPr>
        <w:t>Employee</w:t>
      </w:r>
      <w:r w:rsidRPr="005071A1">
        <w:t xml:space="preserve"> means a person employed in a permanent capacity by the Commonwealth, who is by the terms of his employment required to give his whole time to the duties of his employment, and includes a person employed under section</w:t>
      </w:r>
      <w:r w:rsidR="008B2950" w:rsidRPr="005071A1">
        <w:t> </w:t>
      </w:r>
      <w:r w:rsidRPr="005071A1">
        <w:t xml:space="preserve">81D or 81P of the </w:t>
      </w:r>
      <w:r w:rsidRPr="005071A1">
        <w:rPr>
          <w:i/>
        </w:rPr>
        <w:t>Commonwealth Public Service Act 1922</w:t>
      </w:r>
      <w:r w:rsidR="004510F0">
        <w:rPr>
          <w:i/>
        </w:rPr>
        <w:noBreakHyphen/>
      </w:r>
      <w:r w:rsidRPr="005071A1">
        <w:rPr>
          <w:i/>
        </w:rPr>
        <w:t xml:space="preserve">1947 </w:t>
      </w:r>
      <w:r w:rsidRPr="005071A1">
        <w:t xml:space="preserve">who, immediately prior to his becoming so employed, was a contributor to a State Fund as defined by </w:t>
      </w:r>
      <w:r w:rsidR="004510F0">
        <w:t>section 1</w:t>
      </w:r>
      <w:r w:rsidRPr="005071A1">
        <w:t xml:space="preserve">01 of this Act, but does not include a person who is a Judge as defined by </w:t>
      </w:r>
      <w:r w:rsidR="008B2950" w:rsidRPr="005071A1">
        <w:t>subsection (</w:t>
      </w:r>
      <w:r w:rsidRPr="005071A1">
        <w:t>1) of section</w:t>
      </w:r>
      <w:r w:rsidR="008B2950" w:rsidRPr="005071A1">
        <w:t> </w:t>
      </w:r>
      <w:r w:rsidRPr="005071A1">
        <w:t xml:space="preserve">4 of the </w:t>
      </w:r>
      <w:r w:rsidRPr="005071A1">
        <w:rPr>
          <w:i/>
        </w:rPr>
        <w:t>Judges’ Pensions Act 1968</w:t>
      </w:r>
      <w:r w:rsidRPr="005071A1">
        <w:t>.</w:t>
      </w:r>
    </w:p>
    <w:p w14:paraId="17A1FF69" w14:textId="77777777" w:rsidR="00B33542" w:rsidRPr="005071A1" w:rsidRDefault="00B33542" w:rsidP="00B33542">
      <w:pPr>
        <w:pStyle w:val="Definition"/>
      </w:pPr>
      <w:r w:rsidRPr="005071A1">
        <w:rPr>
          <w:b/>
          <w:i/>
        </w:rPr>
        <w:t>pension</w:t>
      </w:r>
      <w:r w:rsidRPr="005071A1">
        <w:t xml:space="preserve"> includes associate pension under section</w:t>
      </w:r>
      <w:r w:rsidR="008B2950" w:rsidRPr="005071A1">
        <w:t> </w:t>
      </w:r>
      <w:r w:rsidRPr="005071A1">
        <w:t>93DB.</w:t>
      </w:r>
    </w:p>
    <w:p w14:paraId="3CD01911" w14:textId="77777777" w:rsidR="001E12F9" w:rsidRPr="005071A1" w:rsidRDefault="001E12F9" w:rsidP="001E12F9">
      <w:pPr>
        <w:pStyle w:val="Definition"/>
      </w:pPr>
      <w:r w:rsidRPr="005071A1">
        <w:rPr>
          <w:b/>
          <w:i/>
        </w:rPr>
        <w:t>Reconsideration Advisory Committee</w:t>
      </w:r>
      <w:r w:rsidRPr="005071A1">
        <w:t xml:space="preserve"> means a Committee established under </w:t>
      </w:r>
      <w:r w:rsidR="004510F0">
        <w:t>section 1</w:t>
      </w:r>
      <w:r w:rsidRPr="005071A1">
        <w:t>28.</w:t>
      </w:r>
    </w:p>
    <w:p w14:paraId="165E6450" w14:textId="77777777" w:rsidR="00B33542" w:rsidRPr="005071A1" w:rsidRDefault="00B33542" w:rsidP="00B33542">
      <w:pPr>
        <w:pStyle w:val="Definition"/>
      </w:pPr>
      <w:r w:rsidRPr="005071A1">
        <w:rPr>
          <w:b/>
          <w:i/>
        </w:rPr>
        <w:t>Salary</w:t>
      </w:r>
      <w:r w:rsidRPr="005071A1">
        <w:t xml:space="preserve"> means salary or wages, and includes the value of allowances such as allowances for rent, house allowed rent free, light, fuel, rations, and fees allowed regularly as emoluments of office, but does not include bonuses, overtime payments, or allowances for forage, equipment, climatic disadvantages, cost of living or travelling expenses.</w:t>
      </w:r>
    </w:p>
    <w:p w14:paraId="3E3B2150" w14:textId="77777777" w:rsidR="00B33542" w:rsidRPr="005071A1" w:rsidRDefault="00B33542" w:rsidP="00B33542">
      <w:pPr>
        <w:pStyle w:val="Definition"/>
      </w:pPr>
      <w:r w:rsidRPr="005071A1">
        <w:rPr>
          <w:b/>
          <w:i/>
        </w:rPr>
        <w:t>Service</w:t>
      </w:r>
      <w:r w:rsidRPr="005071A1">
        <w:t xml:space="preserve"> means service under, or employment by, the Commonwealth or an approved authority and, in relation to any qualifying period of employment, includes:</w:t>
      </w:r>
    </w:p>
    <w:p w14:paraId="7D79C224" w14:textId="77777777" w:rsidR="00B33542" w:rsidRPr="005071A1" w:rsidRDefault="00B33542" w:rsidP="00B33542">
      <w:pPr>
        <w:pStyle w:val="paragraph"/>
      </w:pPr>
      <w:r w:rsidRPr="005071A1">
        <w:lastRenderedPageBreak/>
        <w:tab/>
        <w:t>(a)</w:t>
      </w:r>
      <w:r w:rsidRPr="005071A1">
        <w:tab/>
        <w:t>continuous service as a member of the Permanent Navy, the Regular Army or the Permanent Air Force; and</w:t>
      </w:r>
    </w:p>
    <w:p w14:paraId="4319D53D" w14:textId="77777777" w:rsidR="00B33542" w:rsidRPr="005071A1" w:rsidRDefault="00B33542" w:rsidP="00B33542">
      <w:pPr>
        <w:pStyle w:val="paragraph"/>
      </w:pPr>
      <w:r w:rsidRPr="005071A1">
        <w:tab/>
        <w:t>(b)</w:t>
      </w:r>
      <w:r w:rsidRPr="005071A1">
        <w:tab/>
        <w:t>where an employee is transferred from the service of a State or Territory to the service of the Commonwealth, such permanent service of the employee under the State or Territory as is continuous with his service under the Commonwealth.</w:t>
      </w:r>
    </w:p>
    <w:p w14:paraId="5116703B" w14:textId="77777777" w:rsidR="00B33542" w:rsidRPr="005071A1" w:rsidRDefault="00B33542" w:rsidP="00B33542">
      <w:pPr>
        <w:pStyle w:val="Definition"/>
      </w:pPr>
      <w:r w:rsidRPr="005071A1">
        <w:rPr>
          <w:b/>
          <w:i/>
        </w:rPr>
        <w:t>The Board</w:t>
      </w:r>
      <w:r w:rsidRPr="005071A1">
        <w:t xml:space="preserve"> means the Superannuation Board constituted by this Act.</w:t>
      </w:r>
    </w:p>
    <w:p w14:paraId="64DC76ED" w14:textId="77777777" w:rsidR="00B33542" w:rsidRPr="005071A1" w:rsidRDefault="00B33542" w:rsidP="00B33542">
      <w:pPr>
        <w:pStyle w:val="Definition"/>
      </w:pPr>
      <w:r w:rsidRPr="005071A1">
        <w:rPr>
          <w:b/>
          <w:i/>
        </w:rPr>
        <w:t>The Defence Forces Retirement Benefits Fund</w:t>
      </w:r>
      <w:r w:rsidRPr="005071A1">
        <w:t xml:space="preserve"> means the Defence Forces Retirement Benefits Fund established under the </w:t>
      </w:r>
      <w:r w:rsidRPr="005071A1">
        <w:rPr>
          <w:i/>
        </w:rPr>
        <w:t>Defence Forces Retirement Benefits Act 1948</w:t>
      </w:r>
      <w:r w:rsidR="004510F0">
        <w:rPr>
          <w:i/>
        </w:rPr>
        <w:noBreakHyphen/>
      </w:r>
      <w:r w:rsidRPr="005071A1">
        <w:rPr>
          <w:i/>
        </w:rPr>
        <w:t>1968</w:t>
      </w:r>
      <w:r w:rsidRPr="005071A1">
        <w:t>.</w:t>
      </w:r>
    </w:p>
    <w:p w14:paraId="78CB46B9" w14:textId="77777777" w:rsidR="00B33542" w:rsidRPr="005071A1" w:rsidRDefault="00B33542" w:rsidP="00B33542">
      <w:pPr>
        <w:pStyle w:val="Definition"/>
      </w:pPr>
      <w:r w:rsidRPr="005071A1">
        <w:rPr>
          <w:b/>
          <w:i/>
        </w:rPr>
        <w:t>The Fund</w:t>
      </w:r>
      <w:r w:rsidRPr="005071A1">
        <w:t xml:space="preserve"> means the Superannuation Fund established under this Act.</w:t>
      </w:r>
    </w:p>
    <w:p w14:paraId="2965253D" w14:textId="77777777" w:rsidR="00B33542" w:rsidRPr="005071A1" w:rsidRDefault="00B33542" w:rsidP="00B33542">
      <w:pPr>
        <w:pStyle w:val="Definition"/>
      </w:pPr>
      <w:r w:rsidRPr="005071A1">
        <w:rPr>
          <w:b/>
          <w:i/>
        </w:rPr>
        <w:t>The maximum age for retirement</w:t>
      </w:r>
      <w:r w:rsidRPr="005071A1">
        <w:t xml:space="preserve"> means the age of sixty</w:t>
      </w:r>
      <w:r w:rsidR="004510F0">
        <w:noBreakHyphen/>
      </w:r>
      <w:r w:rsidRPr="005071A1">
        <w:t>five years, or, in the case of a contributor the age for whose retirement is fixed by law at an earlier age than sixty</w:t>
      </w:r>
      <w:r w:rsidR="004510F0">
        <w:noBreakHyphen/>
      </w:r>
      <w:r w:rsidRPr="005071A1">
        <w:t>five years, the age so fixed.</w:t>
      </w:r>
    </w:p>
    <w:p w14:paraId="28525CB8" w14:textId="77777777" w:rsidR="00B33542" w:rsidRPr="005071A1" w:rsidRDefault="00B33542" w:rsidP="00B33542">
      <w:pPr>
        <w:pStyle w:val="Definition"/>
      </w:pPr>
      <w:r w:rsidRPr="005071A1">
        <w:rPr>
          <w:b/>
          <w:i/>
        </w:rPr>
        <w:t>The new Superannuation Fund</w:t>
      </w:r>
      <w:r w:rsidRPr="005071A1">
        <w:t xml:space="preserve"> means the Superannuation Fund established by the </w:t>
      </w:r>
      <w:r w:rsidRPr="005071A1">
        <w:rPr>
          <w:i/>
        </w:rPr>
        <w:t>Superannuation Act 1976</w:t>
      </w:r>
      <w:r w:rsidRPr="005071A1">
        <w:t>.</w:t>
      </w:r>
    </w:p>
    <w:p w14:paraId="7ABBC439" w14:textId="77777777" w:rsidR="00B33542" w:rsidRPr="005071A1" w:rsidRDefault="00B33542" w:rsidP="00B33542">
      <w:pPr>
        <w:pStyle w:val="Definition"/>
      </w:pPr>
      <w:r w:rsidRPr="005071A1">
        <w:rPr>
          <w:b/>
          <w:i/>
        </w:rPr>
        <w:t>The Provident Account</w:t>
      </w:r>
      <w:r w:rsidRPr="005071A1">
        <w:t xml:space="preserve"> means the Provident Account established under Part V.</w:t>
      </w:r>
    </w:p>
    <w:p w14:paraId="1063C68E" w14:textId="77777777" w:rsidR="00B33542" w:rsidRPr="005071A1" w:rsidRDefault="00B33542" w:rsidP="00B33542">
      <w:pPr>
        <w:pStyle w:val="Definition"/>
      </w:pPr>
      <w:r w:rsidRPr="005071A1">
        <w:rPr>
          <w:b/>
          <w:i/>
        </w:rPr>
        <w:t>The Public Service Arbitrator</w:t>
      </w:r>
      <w:r w:rsidRPr="005071A1">
        <w:t xml:space="preserve"> means the Public Service Arbitrator holding office under the </w:t>
      </w:r>
      <w:r w:rsidRPr="005071A1">
        <w:rPr>
          <w:i/>
        </w:rPr>
        <w:t>Public Service Arbitration Act 1920</w:t>
      </w:r>
      <w:r w:rsidR="004510F0">
        <w:rPr>
          <w:i/>
        </w:rPr>
        <w:noBreakHyphen/>
      </w:r>
      <w:r w:rsidRPr="005071A1">
        <w:rPr>
          <w:i/>
        </w:rPr>
        <w:t xml:space="preserve">1969 </w:t>
      </w:r>
      <w:r w:rsidRPr="005071A1">
        <w:t>and includes a Deputy Public Service Arbitrator holding office under that Act.</w:t>
      </w:r>
    </w:p>
    <w:p w14:paraId="5EC4F533" w14:textId="77777777" w:rsidR="00B33542" w:rsidRPr="005071A1" w:rsidRDefault="00B33542" w:rsidP="00B33542">
      <w:pPr>
        <w:pStyle w:val="Definition"/>
      </w:pPr>
      <w:r w:rsidRPr="005071A1">
        <w:rPr>
          <w:b/>
          <w:i/>
        </w:rPr>
        <w:lastRenderedPageBreak/>
        <w:t>The Public Service Board</w:t>
      </w:r>
      <w:r w:rsidRPr="005071A1">
        <w:t xml:space="preserve"> means the Public Service Board constituted under the </w:t>
      </w:r>
      <w:r w:rsidRPr="005071A1">
        <w:rPr>
          <w:i/>
        </w:rPr>
        <w:t>Public Service Act 1922</w:t>
      </w:r>
      <w:r w:rsidR="004510F0">
        <w:rPr>
          <w:i/>
        </w:rPr>
        <w:noBreakHyphen/>
      </w:r>
      <w:r w:rsidRPr="005071A1">
        <w:rPr>
          <w:i/>
        </w:rPr>
        <w:t>1950</w:t>
      </w:r>
      <w:r w:rsidRPr="005071A1">
        <w:t>.</w:t>
      </w:r>
    </w:p>
    <w:p w14:paraId="44FF8789" w14:textId="77777777" w:rsidR="00B33542" w:rsidRPr="005071A1" w:rsidRDefault="00B33542" w:rsidP="00B33542">
      <w:pPr>
        <w:pStyle w:val="Definition"/>
      </w:pPr>
      <w:r w:rsidRPr="005071A1">
        <w:rPr>
          <w:b/>
          <w:i/>
        </w:rPr>
        <w:t>The Superannuation Fund Investment Trust</w:t>
      </w:r>
      <w:r w:rsidRPr="005071A1">
        <w:t xml:space="preserve"> means the Superannuation Fund Investment Trust established by the </w:t>
      </w:r>
      <w:r w:rsidRPr="005071A1">
        <w:rPr>
          <w:i/>
        </w:rPr>
        <w:t>Superannuation Act 1976</w:t>
      </w:r>
      <w:r w:rsidRPr="005071A1">
        <w:t>.</w:t>
      </w:r>
    </w:p>
    <w:p w14:paraId="19FF5CBA" w14:textId="77777777" w:rsidR="00B33542" w:rsidRPr="005071A1" w:rsidRDefault="00B33542" w:rsidP="00B33542">
      <w:pPr>
        <w:pStyle w:val="subsection"/>
      </w:pPr>
      <w:r w:rsidRPr="005071A1">
        <w:tab/>
        <w:t>(1B)</w:t>
      </w:r>
      <w:r w:rsidRPr="005071A1">
        <w:tab/>
        <w:t>A person, other than a person who has been retired on the ground of invalidity or of physical or mental incapacity to perform his duties, who is or becomes employed by the Commonwealth shall not be taken, for the purposes of this Act, to be employed otherwise than in a permanent capacity by reason only that his appointment was or is on probation and has not been confirmed.</w:t>
      </w:r>
    </w:p>
    <w:p w14:paraId="749509C2" w14:textId="77777777" w:rsidR="00B33542" w:rsidRPr="005071A1" w:rsidRDefault="00B33542" w:rsidP="00B33542">
      <w:pPr>
        <w:pStyle w:val="subsection"/>
      </w:pPr>
      <w:r w:rsidRPr="005071A1">
        <w:tab/>
        <w:t>(2)</w:t>
      </w:r>
      <w:r w:rsidRPr="005071A1">
        <w:tab/>
        <w:t>References in this Act to the retirement of an employee upon his attaining the age of sixty</w:t>
      </w:r>
      <w:r w:rsidR="004510F0">
        <w:noBreakHyphen/>
      </w:r>
      <w:r w:rsidRPr="005071A1">
        <w:t>five years shall include the case of an employee whose retirement takes place on the day before he attains the age of sixty</w:t>
      </w:r>
      <w:r w:rsidR="004510F0">
        <w:noBreakHyphen/>
      </w:r>
      <w:r w:rsidRPr="005071A1">
        <w:t>five years.</w:t>
      </w:r>
    </w:p>
    <w:p w14:paraId="14A44E8A" w14:textId="77777777" w:rsidR="00B33542" w:rsidRPr="005071A1" w:rsidRDefault="00B33542" w:rsidP="00B33542">
      <w:pPr>
        <w:pStyle w:val="subsection"/>
      </w:pPr>
      <w:r w:rsidRPr="005071A1">
        <w:tab/>
        <w:t>(2A)</w:t>
      </w:r>
      <w:r w:rsidRPr="005071A1">
        <w:tab/>
        <w:t>A reference in this Act to the pension, or to the number of units of pension, for which a contributor is contributing or for which he is a contributor shall be read as including a reference to any units of pension or fractions of a unit of pension for which he has completed payment of contributions and, unless the contrary intention appears, shall, subject to section</w:t>
      </w:r>
      <w:r w:rsidR="008B2950" w:rsidRPr="005071A1">
        <w:t> </w:t>
      </w:r>
      <w:r w:rsidRPr="005071A1">
        <w:t xml:space="preserve">73 of the </w:t>
      </w:r>
      <w:r w:rsidRPr="005071A1">
        <w:rPr>
          <w:i/>
        </w:rPr>
        <w:t>Superannuation Act 1959</w:t>
      </w:r>
      <w:r w:rsidRPr="005071A1">
        <w:t xml:space="preserve"> and section</w:t>
      </w:r>
      <w:r w:rsidR="008B2950" w:rsidRPr="005071A1">
        <w:t> </w:t>
      </w:r>
      <w:r w:rsidRPr="005071A1">
        <w:t xml:space="preserve">33 of the </w:t>
      </w:r>
      <w:r w:rsidRPr="005071A1">
        <w:rPr>
          <w:i/>
        </w:rPr>
        <w:t>Superannuation Act 1963</w:t>
      </w:r>
      <w:r w:rsidRPr="005071A1">
        <w:t>, also be read as including a reference to any units of pension in respect of which the whole or a part of his contributions has been deferred by virtue of either of those sections.</w:t>
      </w:r>
    </w:p>
    <w:p w14:paraId="7E65CFBB" w14:textId="77777777" w:rsidR="00B33542" w:rsidRPr="005071A1" w:rsidRDefault="00B33542" w:rsidP="00B33542">
      <w:pPr>
        <w:pStyle w:val="subsection"/>
      </w:pPr>
      <w:r w:rsidRPr="005071A1">
        <w:tab/>
        <w:t>(2B)</w:t>
      </w:r>
      <w:r w:rsidRPr="005071A1">
        <w:tab/>
        <w:t xml:space="preserve">Subject to this Act, where, in pursuance of this Act, an employee becomes liable, or elects, to contribute for or in respect of a unit of pension or an additional unit of pension, or a fraction of a unit of pension or of an additional unit of pension, he shall be deemed to be a contributor for or in respect of that unit or additional unit, or that fraction of a unit or of an additional unit, as from the date </w:t>
      </w:r>
      <w:r w:rsidRPr="005071A1">
        <w:lastRenderedPageBreak/>
        <w:t>when he becomes liable to contribute, or elects to contribute, as the case may be.</w:t>
      </w:r>
    </w:p>
    <w:p w14:paraId="22DF43B4" w14:textId="77777777" w:rsidR="00B33542" w:rsidRPr="005071A1" w:rsidRDefault="00B33542" w:rsidP="00B33542">
      <w:pPr>
        <w:pStyle w:val="subsection"/>
      </w:pPr>
      <w:r w:rsidRPr="005071A1">
        <w:tab/>
        <w:t>(3)</w:t>
      </w:r>
      <w:r w:rsidRPr="005071A1">
        <w:tab/>
        <w:t>Where an employee has been or is appointed, whether before or after the commencement of this Act, for a term of years to a statutory office under the Commonwealth, he shall, for the purposes of this Act, be deemed to continue to be an employee so long as he continues to be employed by the Commonwealth in that office (whether during or after the expiration of the term for which he was appointed) or in any other statutory office under the Commonwealth to which he may be appointed for a term of years.</w:t>
      </w:r>
    </w:p>
    <w:p w14:paraId="6A351326" w14:textId="77777777" w:rsidR="00B33542" w:rsidRPr="005071A1" w:rsidRDefault="00B33542" w:rsidP="00B33542">
      <w:pPr>
        <w:pStyle w:val="subsection"/>
      </w:pPr>
      <w:r w:rsidRPr="005071A1">
        <w:tab/>
        <w:t>(3A)</w:t>
      </w:r>
      <w:r w:rsidRPr="005071A1">
        <w:tab/>
        <w:t xml:space="preserve">A reference in </w:t>
      </w:r>
      <w:r w:rsidR="008B2950" w:rsidRPr="005071A1">
        <w:t>subsection (</w:t>
      </w:r>
      <w:r w:rsidRPr="005071A1">
        <w:t>3) to a statutory office does not include a reference to a statutory office the holder of which is not required by the terms of his appointment to give the whole of his time to the duties of his office.</w:t>
      </w:r>
    </w:p>
    <w:p w14:paraId="112C92F1" w14:textId="77777777" w:rsidR="00B33542" w:rsidRPr="005071A1" w:rsidRDefault="00B33542" w:rsidP="00B33542">
      <w:pPr>
        <w:pStyle w:val="subsection"/>
      </w:pPr>
      <w:r w:rsidRPr="005071A1">
        <w:tab/>
        <w:t>(4)</w:t>
      </w:r>
      <w:r w:rsidRPr="005071A1">
        <w:tab/>
        <w:t>Where a person is the holder for a term of years of a statutory office under the Commonwealth (whether his appointment was made before or is made after the commencement of this subsection) and, by the terms of his appointment, that person is required to give the whole of his time to the duties of his office, the Minister may direct that that person be deemed to be an employee within the meaning of this section, and that person shall be deemed to be such an employee as from the date of the direction or from such earlier date (not being a date earlier than the date of appointment to the statutory office) as the Board determines.</w:t>
      </w:r>
    </w:p>
    <w:p w14:paraId="760DDDDF" w14:textId="77777777" w:rsidR="00B33542" w:rsidRPr="005071A1" w:rsidRDefault="00B33542" w:rsidP="00B33542">
      <w:pPr>
        <w:pStyle w:val="subsection"/>
      </w:pPr>
      <w:r w:rsidRPr="005071A1">
        <w:tab/>
        <w:t>(5)</w:t>
      </w:r>
      <w:r w:rsidRPr="005071A1">
        <w:tab/>
        <w:t>Where:</w:t>
      </w:r>
    </w:p>
    <w:p w14:paraId="0D05A84E" w14:textId="77777777" w:rsidR="00B33542" w:rsidRPr="005071A1" w:rsidRDefault="00B33542" w:rsidP="00B33542">
      <w:pPr>
        <w:pStyle w:val="paragraph"/>
      </w:pPr>
      <w:r w:rsidRPr="005071A1">
        <w:tab/>
        <w:t>(a)</w:t>
      </w:r>
      <w:r w:rsidRPr="005071A1">
        <w:tab/>
        <w:t>a person employed by the Commonwealth otherwise than in a permanent capacity is by the terms of his employment required to give the whole of his time to the duties of his employment;</w:t>
      </w:r>
    </w:p>
    <w:p w14:paraId="2D166837" w14:textId="77777777" w:rsidR="00B33542" w:rsidRPr="005071A1" w:rsidRDefault="00B33542" w:rsidP="00B33542">
      <w:pPr>
        <w:pStyle w:val="paragraph"/>
      </w:pPr>
      <w:r w:rsidRPr="005071A1">
        <w:lastRenderedPageBreak/>
        <w:tab/>
        <w:t>(b)</w:t>
      </w:r>
      <w:r w:rsidRPr="005071A1">
        <w:tab/>
        <w:t>that person has been so employed for a continuous period of not less than three years; and</w:t>
      </w:r>
    </w:p>
    <w:p w14:paraId="4FA8E271" w14:textId="77777777" w:rsidR="00B33542" w:rsidRPr="005071A1" w:rsidRDefault="00B33542" w:rsidP="00B33542">
      <w:pPr>
        <w:pStyle w:val="paragraph"/>
        <w:keepNext/>
      </w:pPr>
      <w:r w:rsidRPr="005071A1">
        <w:tab/>
        <w:t>(c)</w:t>
      </w:r>
      <w:r w:rsidRPr="005071A1">
        <w:tab/>
        <w:t>the Public Service Board, or, on appeal from the Public Service Board, the Minister, certifies that that person’s employment is likely to be continued for a period of at least seven years;</w:t>
      </w:r>
    </w:p>
    <w:p w14:paraId="1D03E870" w14:textId="77777777" w:rsidR="00B33542" w:rsidRPr="005071A1" w:rsidRDefault="00B33542" w:rsidP="00B33542">
      <w:pPr>
        <w:pStyle w:val="subsection2"/>
      </w:pPr>
      <w:r w:rsidRPr="005071A1">
        <w:t>the Minister may direct that that person be deemed to be an employee within the meaning of this section, and that person shall be deemed to be such an employee as from the date of the direction.</w:t>
      </w:r>
    </w:p>
    <w:p w14:paraId="39F8CCEE" w14:textId="77777777" w:rsidR="00B33542" w:rsidRPr="005071A1" w:rsidRDefault="00B33542" w:rsidP="00B33542">
      <w:pPr>
        <w:pStyle w:val="subsection"/>
        <w:keepNext/>
      </w:pPr>
      <w:r w:rsidRPr="005071A1">
        <w:tab/>
        <w:t>(5A)</w:t>
      </w:r>
      <w:r w:rsidRPr="005071A1">
        <w:tab/>
        <w:t>Where:</w:t>
      </w:r>
    </w:p>
    <w:p w14:paraId="18DAA1CD" w14:textId="77777777" w:rsidR="00B33542" w:rsidRPr="005071A1" w:rsidRDefault="00B33542" w:rsidP="00B33542">
      <w:pPr>
        <w:pStyle w:val="paragraph"/>
      </w:pPr>
      <w:r w:rsidRPr="005071A1">
        <w:tab/>
        <w:t>(a)</w:t>
      </w:r>
      <w:r w:rsidRPr="005071A1">
        <w:tab/>
        <w:t xml:space="preserve">a person employed by the Commonwealth under the </w:t>
      </w:r>
      <w:r w:rsidRPr="005071A1">
        <w:rPr>
          <w:i/>
        </w:rPr>
        <w:t>Australian Security Intelligence Organization Act 1956</w:t>
      </w:r>
      <w:r w:rsidRPr="005071A1">
        <w:t xml:space="preserve"> otherwise than in a permanent capacity is by the terms of his employment required to give the whole of his time to the duties of his employment;</w:t>
      </w:r>
    </w:p>
    <w:p w14:paraId="167DF910" w14:textId="77777777" w:rsidR="00B33542" w:rsidRPr="005071A1" w:rsidRDefault="00B33542" w:rsidP="00B33542">
      <w:pPr>
        <w:pStyle w:val="paragraph"/>
      </w:pPr>
      <w:r w:rsidRPr="005071A1">
        <w:tab/>
        <w:t>(b)</w:t>
      </w:r>
      <w:r w:rsidRPr="005071A1">
        <w:tab/>
        <w:t>that person has been so employed for a continuous period of not less than three years; and</w:t>
      </w:r>
    </w:p>
    <w:p w14:paraId="79C88824" w14:textId="77777777" w:rsidR="00B33542" w:rsidRPr="005071A1" w:rsidRDefault="00B33542" w:rsidP="00B33542">
      <w:pPr>
        <w:pStyle w:val="paragraph"/>
        <w:keepNext/>
      </w:pPr>
      <w:r w:rsidRPr="005071A1">
        <w:tab/>
        <w:t>(c)</w:t>
      </w:r>
      <w:r w:rsidRPr="005071A1">
        <w:tab/>
        <w:t>the Director</w:t>
      </w:r>
      <w:r w:rsidR="004510F0">
        <w:noBreakHyphen/>
      </w:r>
      <w:r w:rsidRPr="005071A1">
        <w:t>General of Security certifies that that person’s employment is likely to be continued for a period of at least seven years;</w:t>
      </w:r>
    </w:p>
    <w:p w14:paraId="1D1BC929" w14:textId="77777777" w:rsidR="00B33542" w:rsidRPr="005071A1" w:rsidRDefault="00B33542" w:rsidP="00B33542">
      <w:pPr>
        <w:pStyle w:val="subsection2"/>
      </w:pPr>
      <w:r w:rsidRPr="005071A1">
        <w:t>the Director</w:t>
      </w:r>
      <w:r w:rsidR="004510F0">
        <w:noBreakHyphen/>
      </w:r>
      <w:r w:rsidRPr="005071A1">
        <w:t>General of Security may direct that that person be deemed to be an employee within the meaning of this section, and that person shall be deemed to be such an employee as from the date of the direction.</w:t>
      </w:r>
    </w:p>
    <w:p w14:paraId="4E00FBF1" w14:textId="77777777" w:rsidR="00B33542" w:rsidRPr="005071A1" w:rsidRDefault="00B33542" w:rsidP="00B33542">
      <w:pPr>
        <w:pStyle w:val="subsection"/>
      </w:pPr>
      <w:r w:rsidRPr="005071A1">
        <w:tab/>
        <w:t>(5B)</w:t>
      </w:r>
      <w:r w:rsidRPr="005071A1">
        <w:tab/>
        <w:t>Where:</w:t>
      </w:r>
    </w:p>
    <w:p w14:paraId="16CE226C" w14:textId="77777777" w:rsidR="00B33542" w:rsidRPr="005071A1" w:rsidRDefault="00B33542" w:rsidP="00B33542">
      <w:pPr>
        <w:pStyle w:val="paragraph"/>
      </w:pPr>
      <w:r w:rsidRPr="005071A1">
        <w:tab/>
        <w:t>(a)</w:t>
      </w:r>
      <w:r w:rsidRPr="005071A1">
        <w:tab/>
        <w:t xml:space="preserve">a person referred to in </w:t>
      </w:r>
      <w:r w:rsidR="008B2950" w:rsidRPr="005071A1">
        <w:t>paragraph (</w:t>
      </w:r>
      <w:r w:rsidRPr="005071A1">
        <w:t xml:space="preserve">a) of </w:t>
      </w:r>
      <w:r w:rsidR="008B2950" w:rsidRPr="005071A1">
        <w:t>subsection (</w:t>
      </w:r>
      <w:r w:rsidRPr="005071A1">
        <w:t xml:space="preserve">5) or </w:t>
      </w:r>
      <w:r w:rsidR="008B2950" w:rsidRPr="005071A1">
        <w:t>paragraph (</w:t>
      </w:r>
      <w:r w:rsidRPr="005071A1">
        <w:t xml:space="preserve">a) of </w:t>
      </w:r>
      <w:r w:rsidR="008B2950" w:rsidRPr="005071A1">
        <w:t>subsection (</w:t>
      </w:r>
      <w:r w:rsidRPr="005071A1">
        <w:t xml:space="preserve">5A) was, during any period prior to the commencement of his employment by the Commonwealth, employed in employment within or outside </w:t>
      </w:r>
      <w:smartTag w:uri="urn:schemas-microsoft-com:office:smarttags" w:element="place">
        <w:smartTag w:uri="urn:schemas-microsoft-com:office:smarttags" w:element="country-region">
          <w:r w:rsidRPr="005071A1">
            <w:t>Australia</w:t>
          </w:r>
        </w:smartTag>
      </w:smartTag>
      <w:r w:rsidRPr="005071A1">
        <w:t xml:space="preserve"> upon the termination of which:</w:t>
      </w:r>
    </w:p>
    <w:p w14:paraId="7D0B42DA" w14:textId="77777777" w:rsidR="00B33542" w:rsidRPr="005071A1" w:rsidRDefault="00B33542" w:rsidP="00B33542">
      <w:pPr>
        <w:pStyle w:val="paragraphsub"/>
      </w:pPr>
      <w:r w:rsidRPr="005071A1">
        <w:lastRenderedPageBreak/>
        <w:tab/>
        <w:t>(i)</w:t>
      </w:r>
      <w:r w:rsidRPr="005071A1">
        <w:tab/>
        <w:t>a transfer value within the meaning of Division</w:t>
      </w:r>
      <w:r w:rsidR="008B2950" w:rsidRPr="005071A1">
        <w:t> </w:t>
      </w:r>
      <w:r w:rsidRPr="005071A1">
        <w:t>2 of Part XA became payable to or in respect of him after the commencement of this subsection under a superannuation scheme applicable in relation to that employment;</w:t>
      </w:r>
    </w:p>
    <w:p w14:paraId="3410992F" w14:textId="77777777" w:rsidR="00B33542" w:rsidRPr="005071A1" w:rsidRDefault="00B33542" w:rsidP="00B33542">
      <w:pPr>
        <w:pStyle w:val="paragraphsub"/>
      </w:pPr>
      <w:r w:rsidRPr="005071A1">
        <w:tab/>
        <w:t>(ii)</w:t>
      </w:r>
      <w:r w:rsidRPr="005071A1">
        <w:tab/>
        <w:t>a prescribed pension within the meaning of that Division became payable to him under such a scheme; or</w:t>
      </w:r>
    </w:p>
    <w:p w14:paraId="7BD180CE" w14:textId="77777777" w:rsidR="00B33542" w:rsidRPr="005071A1" w:rsidRDefault="00B33542" w:rsidP="00B33542">
      <w:pPr>
        <w:pStyle w:val="paragraphsub"/>
        <w:keepNext/>
      </w:pPr>
      <w:r w:rsidRPr="005071A1">
        <w:tab/>
        <w:t>(iii)</w:t>
      </w:r>
      <w:r w:rsidRPr="005071A1">
        <w:tab/>
        <w:t>any deferred benefits within the meaning of that Division became applicable in respect of him after the commencement of this subsection under such a scheme;</w:t>
      </w:r>
    </w:p>
    <w:p w14:paraId="2F474BC8" w14:textId="77777777" w:rsidR="00B33542" w:rsidRPr="005071A1" w:rsidRDefault="00B33542" w:rsidP="00B33542">
      <w:pPr>
        <w:pStyle w:val="paragraph"/>
      </w:pPr>
      <w:r w:rsidRPr="005071A1">
        <w:tab/>
      </w:r>
      <w:r w:rsidRPr="005071A1">
        <w:tab/>
        <w:t>and was, during that period, a member of that superannuation scheme; and</w:t>
      </w:r>
    </w:p>
    <w:p w14:paraId="5D3315B1" w14:textId="77777777" w:rsidR="00B33542" w:rsidRPr="005071A1" w:rsidRDefault="00B33542" w:rsidP="00B33542">
      <w:pPr>
        <w:pStyle w:val="paragraph"/>
        <w:keepNext/>
      </w:pPr>
      <w:r w:rsidRPr="005071A1">
        <w:tab/>
        <w:t>(b)</w:t>
      </w:r>
      <w:r w:rsidRPr="005071A1">
        <w:tab/>
        <w:t xml:space="preserve">if the prior employment was employment in relation to which </w:t>
      </w:r>
      <w:r w:rsidR="008B2950" w:rsidRPr="005071A1">
        <w:t>subparagraph (</w:t>
      </w:r>
      <w:r w:rsidRPr="005071A1">
        <w:t xml:space="preserve">i) of </w:t>
      </w:r>
      <w:r w:rsidR="008B2950" w:rsidRPr="005071A1">
        <w:t>paragraph (</w:t>
      </w:r>
      <w:r w:rsidRPr="005071A1">
        <w:t xml:space="preserve">a) applies—an amount equal to the amount of the transfer value referred to in that subparagraph has been paid to the Board in accordance with </w:t>
      </w:r>
      <w:r w:rsidR="008B2950" w:rsidRPr="005071A1">
        <w:t>subsection (</w:t>
      </w:r>
      <w:r w:rsidRPr="005071A1">
        <w:t xml:space="preserve">1) of </w:t>
      </w:r>
      <w:r w:rsidR="004510F0">
        <w:t>section 1</w:t>
      </w:r>
      <w:r w:rsidRPr="005071A1">
        <w:t>19J;</w:t>
      </w:r>
    </w:p>
    <w:p w14:paraId="0BD3FF92" w14:textId="77777777" w:rsidR="00B33542" w:rsidRPr="005071A1" w:rsidRDefault="00B33542" w:rsidP="00B33542">
      <w:pPr>
        <w:pStyle w:val="subsection2"/>
      </w:pPr>
      <w:r w:rsidRPr="005071A1">
        <w:t xml:space="preserve">then </w:t>
      </w:r>
      <w:r w:rsidR="008B2950" w:rsidRPr="005071A1">
        <w:t>subsection (</w:t>
      </w:r>
      <w:r w:rsidRPr="005071A1">
        <w:t xml:space="preserve">5) or </w:t>
      </w:r>
      <w:r w:rsidR="008B2950" w:rsidRPr="005071A1">
        <w:t>subsection (</w:t>
      </w:r>
      <w:r w:rsidRPr="005071A1">
        <w:t xml:space="preserve">5A), as the case may be, has effect in relation to the person subject to the modifications referred to in </w:t>
      </w:r>
      <w:r w:rsidR="008B2950" w:rsidRPr="005071A1">
        <w:t>subsection (</w:t>
      </w:r>
      <w:r w:rsidRPr="005071A1">
        <w:t>5C) of this section.</w:t>
      </w:r>
    </w:p>
    <w:p w14:paraId="5F003677" w14:textId="77777777" w:rsidR="00B33542" w:rsidRPr="005071A1" w:rsidRDefault="00B33542" w:rsidP="00B33542">
      <w:pPr>
        <w:pStyle w:val="subsection"/>
        <w:keepNext/>
      </w:pPr>
      <w:r w:rsidRPr="005071A1">
        <w:tab/>
        <w:t>(5C)</w:t>
      </w:r>
      <w:r w:rsidRPr="005071A1">
        <w:tab/>
        <w:t xml:space="preserve">The modifications referred to in </w:t>
      </w:r>
      <w:r w:rsidR="008B2950" w:rsidRPr="005071A1">
        <w:t>subsection (</w:t>
      </w:r>
      <w:r w:rsidRPr="005071A1">
        <w:t>5B) are as follows:</w:t>
      </w:r>
    </w:p>
    <w:p w14:paraId="26365670" w14:textId="77777777" w:rsidR="00B33542" w:rsidRPr="005071A1" w:rsidRDefault="00B33542" w:rsidP="00B33542">
      <w:pPr>
        <w:pStyle w:val="paragraph"/>
      </w:pPr>
      <w:r w:rsidRPr="005071A1">
        <w:tab/>
        <w:t>(a)</w:t>
      </w:r>
      <w:r w:rsidRPr="005071A1">
        <w:tab/>
        <w:t xml:space="preserve">any period of the prior employment shall be deemed, for the purposes of </w:t>
      </w:r>
      <w:r w:rsidR="008B2950" w:rsidRPr="005071A1">
        <w:t>paragraph (</w:t>
      </w:r>
      <w:r w:rsidRPr="005071A1">
        <w:t xml:space="preserve">b) of </w:t>
      </w:r>
      <w:r w:rsidR="008B2950" w:rsidRPr="005071A1">
        <w:t>subsection (</w:t>
      </w:r>
      <w:r w:rsidRPr="005071A1">
        <w:t xml:space="preserve">5) or </w:t>
      </w:r>
      <w:r w:rsidR="008B2950" w:rsidRPr="005071A1">
        <w:t>paragraph (</w:t>
      </w:r>
      <w:r w:rsidRPr="005071A1">
        <w:t xml:space="preserve">b) of </w:t>
      </w:r>
      <w:r w:rsidR="008B2950" w:rsidRPr="005071A1">
        <w:t>subsection (</w:t>
      </w:r>
      <w:r w:rsidRPr="005071A1">
        <w:t xml:space="preserve">5A), as the case may be, to have been a period of employment of the same nature as the employment of the person referred to in </w:t>
      </w:r>
      <w:r w:rsidR="008B2950" w:rsidRPr="005071A1">
        <w:t>paragraph (</w:t>
      </w:r>
      <w:r w:rsidRPr="005071A1">
        <w:t>a) of that subsection and to have been continuous with that employment;</w:t>
      </w:r>
    </w:p>
    <w:p w14:paraId="0D9ECD0C" w14:textId="77777777" w:rsidR="00B33542" w:rsidRPr="005071A1" w:rsidRDefault="00B33542" w:rsidP="00B33542">
      <w:pPr>
        <w:pStyle w:val="paragraph"/>
      </w:pPr>
      <w:r w:rsidRPr="005071A1">
        <w:tab/>
        <w:t>(b)</w:t>
      </w:r>
      <w:r w:rsidRPr="005071A1">
        <w:tab/>
        <w:t xml:space="preserve">if the total of the periods of the prior employment is more than three years but less than ten years—the reference in </w:t>
      </w:r>
      <w:r w:rsidR="008B2950" w:rsidRPr="005071A1">
        <w:t>paragraph (</w:t>
      </w:r>
      <w:r w:rsidRPr="005071A1">
        <w:t xml:space="preserve">c) of </w:t>
      </w:r>
      <w:r w:rsidR="008B2950" w:rsidRPr="005071A1">
        <w:t>subsection (</w:t>
      </w:r>
      <w:r w:rsidRPr="005071A1">
        <w:t xml:space="preserve">5) or </w:t>
      </w:r>
      <w:r w:rsidR="008B2950" w:rsidRPr="005071A1">
        <w:t>subsection (</w:t>
      </w:r>
      <w:r w:rsidRPr="005071A1">
        <w:t xml:space="preserve">5A), as the </w:t>
      </w:r>
      <w:r w:rsidRPr="005071A1">
        <w:lastRenderedPageBreak/>
        <w:t>case may be, to seven years shall be read as a reference to the difference between ten years and the total of the periods of the prior employment; and</w:t>
      </w:r>
    </w:p>
    <w:p w14:paraId="202D0E58" w14:textId="77777777" w:rsidR="00B33542" w:rsidRPr="005071A1" w:rsidRDefault="00B33542" w:rsidP="00B33542">
      <w:pPr>
        <w:pStyle w:val="paragraph"/>
      </w:pPr>
      <w:r w:rsidRPr="005071A1">
        <w:tab/>
        <w:t>(c)</w:t>
      </w:r>
      <w:r w:rsidRPr="005071A1">
        <w:tab/>
        <w:t>if the total of the periods of the prior employment is not less than ten years—</w:t>
      </w:r>
      <w:r w:rsidR="008B2950" w:rsidRPr="005071A1">
        <w:t>subsection (</w:t>
      </w:r>
      <w:r w:rsidRPr="005071A1">
        <w:t xml:space="preserve">5) or </w:t>
      </w:r>
      <w:r w:rsidR="008B2950" w:rsidRPr="005071A1">
        <w:t>subsection (</w:t>
      </w:r>
      <w:r w:rsidRPr="005071A1">
        <w:t xml:space="preserve">5A), as the case may be, has effect as if </w:t>
      </w:r>
      <w:r w:rsidR="008B2950" w:rsidRPr="005071A1">
        <w:t>paragraph (</w:t>
      </w:r>
      <w:r w:rsidRPr="005071A1">
        <w:t>c) of that subsection were omitted.</w:t>
      </w:r>
    </w:p>
    <w:p w14:paraId="7B8BF64B" w14:textId="77777777" w:rsidR="00B33542" w:rsidRPr="005071A1" w:rsidRDefault="00B33542" w:rsidP="00B33542">
      <w:pPr>
        <w:pStyle w:val="subsection"/>
      </w:pPr>
      <w:r w:rsidRPr="005071A1">
        <w:tab/>
        <w:t>(6)</w:t>
      </w:r>
      <w:r w:rsidRPr="005071A1">
        <w:tab/>
        <w:t xml:space="preserve">Subject to </w:t>
      </w:r>
      <w:r w:rsidR="008B2950" w:rsidRPr="005071A1">
        <w:t>subsection (</w:t>
      </w:r>
      <w:r w:rsidRPr="005071A1">
        <w:t>7), where a person employed by an approved authority is required by the terms of his employment to give the whole of his time to the duties of his office and:</w:t>
      </w:r>
    </w:p>
    <w:p w14:paraId="4374A185" w14:textId="77777777" w:rsidR="00B33542" w:rsidRPr="005071A1" w:rsidRDefault="00B33542" w:rsidP="00B33542">
      <w:pPr>
        <w:pStyle w:val="paragraph"/>
      </w:pPr>
      <w:r w:rsidRPr="005071A1">
        <w:tab/>
        <w:t>(a)</w:t>
      </w:r>
      <w:r w:rsidRPr="005071A1">
        <w:tab/>
        <w:t>the approved authority certifies that the person’s employment is likely to be continued for a period of at least seven years;</w:t>
      </w:r>
    </w:p>
    <w:p w14:paraId="6C6531F9" w14:textId="77777777" w:rsidR="00B33542" w:rsidRPr="005071A1" w:rsidRDefault="00B33542" w:rsidP="00B33542">
      <w:pPr>
        <w:pStyle w:val="paragraph"/>
      </w:pPr>
      <w:r w:rsidRPr="005071A1">
        <w:tab/>
        <w:t>(b)</w:t>
      </w:r>
      <w:r w:rsidRPr="005071A1">
        <w:tab/>
        <w:t xml:space="preserve">the person was, immediately prior to the commencement of his employment by the approved authority, a contributor to a Public Service Superannuation Fund as defined by </w:t>
      </w:r>
      <w:r w:rsidR="004510F0">
        <w:t>section 1</w:t>
      </w:r>
      <w:r w:rsidRPr="005071A1">
        <w:t>08; or</w:t>
      </w:r>
    </w:p>
    <w:p w14:paraId="013B0251" w14:textId="77777777" w:rsidR="00B33542" w:rsidRPr="005071A1" w:rsidRDefault="00B33542" w:rsidP="00B33542">
      <w:pPr>
        <w:pStyle w:val="paragraph"/>
      </w:pPr>
      <w:r w:rsidRPr="005071A1">
        <w:tab/>
        <w:t>(c)</w:t>
      </w:r>
      <w:r w:rsidRPr="005071A1">
        <w:tab/>
        <w:t xml:space="preserve">the person was, during any period prior to the commencement of his employment by the approved authority, employed in employment within or outside </w:t>
      </w:r>
      <w:smartTag w:uri="urn:schemas-microsoft-com:office:smarttags" w:element="place">
        <w:smartTag w:uri="urn:schemas-microsoft-com:office:smarttags" w:element="country-region">
          <w:r w:rsidRPr="005071A1">
            <w:t>Australia</w:t>
          </w:r>
        </w:smartTag>
      </w:smartTag>
      <w:r w:rsidRPr="005071A1">
        <w:t xml:space="preserve"> upon the termination of which:</w:t>
      </w:r>
    </w:p>
    <w:p w14:paraId="4FD47D6B" w14:textId="77777777" w:rsidR="00B33542" w:rsidRPr="005071A1" w:rsidRDefault="00B33542" w:rsidP="00B33542">
      <w:pPr>
        <w:pStyle w:val="paragraphsub"/>
      </w:pPr>
      <w:r w:rsidRPr="005071A1">
        <w:tab/>
        <w:t>(i)</w:t>
      </w:r>
      <w:r w:rsidRPr="005071A1">
        <w:tab/>
        <w:t>a transfer value within the meaning of Division</w:t>
      </w:r>
      <w:r w:rsidR="008B2950" w:rsidRPr="005071A1">
        <w:t> </w:t>
      </w:r>
      <w:r w:rsidRPr="005071A1">
        <w:t>2 of Part XA became payable to or in respect of him after the commencement of this subsection under a superannuation scheme applicable in relation to that employment;</w:t>
      </w:r>
    </w:p>
    <w:p w14:paraId="25DC6138" w14:textId="77777777" w:rsidR="00B33542" w:rsidRPr="005071A1" w:rsidRDefault="00B33542" w:rsidP="00B33542">
      <w:pPr>
        <w:pStyle w:val="paragraphsub"/>
      </w:pPr>
      <w:r w:rsidRPr="005071A1">
        <w:tab/>
        <w:t>(ii)</w:t>
      </w:r>
      <w:r w:rsidRPr="005071A1">
        <w:tab/>
        <w:t>a prescribed pension within the meaning of that Division became payable to him under such a scheme; or</w:t>
      </w:r>
    </w:p>
    <w:p w14:paraId="128A5D24" w14:textId="77777777" w:rsidR="00B33542" w:rsidRPr="005071A1" w:rsidRDefault="00B33542" w:rsidP="00B33542">
      <w:pPr>
        <w:pStyle w:val="paragraphsub"/>
        <w:keepNext/>
      </w:pPr>
      <w:r w:rsidRPr="005071A1">
        <w:tab/>
        <w:t>(iii)</w:t>
      </w:r>
      <w:r w:rsidRPr="005071A1">
        <w:tab/>
        <w:t>any deferred benefits within the meaning of that Division became applicable in respect of him after the commencement of this subsection under such a scheme;</w:t>
      </w:r>
    </w:p>
    <w:p w14:paraId="6123DF9B" w14:textId="77777777" w:rsidR="00B33542" w:rsidRPr="005071A1" w:rsidRDefault="00B33542" w:rsidP="00B33542">
      <w:pPr>
        <w:pStyle w:val="paragraph"/>
      </w:pPr>
      <w:r w:rsidRPr="005071A1">
        <w:tab/>
      </w:r>
      <w:r w:rsidRPr="005071A1">
        <w:tab/>
        <w:t xml:space="preserve">and was, during that period, a member of that superannuation scheme and, if the prior employment was employment in </w:t>
      </w:r>
      <w:r w:rsidRPr="005071A1">
        <w:lastRenderedPageBreak/>
        <w:t xml:space="preserve">relation to which </w:t>
      </w:r>
      <w:r w:rsidR="008B2950" w:rsidRPr="005071A1">
        <w:t>subparagraph (</w:t>
      </w:r>
      <w:r w:rsidRPr="005071A1">
        <w:t xml:space="preserve">i) of this paragraph applies, an amount equal to the amount of the transfer value referred to in that subparagraph has been paid to the Board in accordance with </w:t>
      </w:r>
      <w:r w:rsidR="008B2950" w:rsidRPr="005071A1">
        <w:t>subsection (</w:t>
      </w:r>
      <w:r w:rsidRPr="005071A1">
        <w:t xml:space="preserve">1) of </w:t>
      </w:r>
      <w:r w:rsidR="004510F0">
        <w:t>section 1</w:t>
      </w:r>
      <w:r w:rsidRPr="005071A1">
        <w:t>19J;</w:t>
      </w:r>
    </w:p>
    <w:p w14:paraId="3846199F" w14:textId="77777777" w:rsidR="00B33542" w:rsidRPr="005071A1" w:rsidRDefault="00B33542" w:rsidP="00B33542">
      <w:pPr>
        <w:pStyle w:val="subsection2"/>
      </w:pPr>
      <w:r w:rsidRPr="005071A1">
        <w:t>the Minister administering the Act or other law by or under which the approved authority is constituted, or a person authorized in writing by the Minister so administering that Act or that other law to exercise his powers under this subsection, may, on the recommendation of the approved authority, direct that the first</w:t>
      </w:r>
      <w:r w:rsidR="004510F0">
        <w:noBreakHyphen/>
      </w:r>
      <w:r w:rsidRPr="005071A1">
        <w:t xml:space="preserve">mentioned person be deemed to be an employee within the meaning of this section, and that person shall be deemed to be such an employee as from the date of the direction or, in the case of a person referred to in </w:t>
      </w:r>
      <w:r w:rsidR="008B2950" w:rsidRPr="005071A1">
        <w:t>paragraph (</w:t>
      </w:r>
      <w:r w:rsidRPr="005071A1">
        <w:t>b), shall be deemed to have been such an employee as from the date on which his employment by the approved authority commenced.</w:t>
      </w:r>
    </w:p>
    <w:p w14:paraId="7451BA35" w14:textId="77777777" w:rsidR="00B33542" w:rsidRPr="005071A1" w:rsidRDefault="00B33542" w:rsidP="00B33542">
      <w:pPr>
        <w:pStyle w:val="subsection"/>
      </w:pPr>
      <w:r w:rsidRPr="005071A1">
        <w:tab/>
        <w:t>(7)</w:t>
      </w:r>
      <w:r w:rsidRPr="005071A1">
        <w:tab/>
        <w:t xml:space="preserve">Where, in the case of a person referred to in </w:t>
      </w:r>
      <w:r w:rsidR="008B2950" w:rsidRPr="005071A1">
        <w:t>paragraph (</w:t>
      </w:r>
      <w:r w:rsidRPr="005071A1">
        <w:t xml:space="preserve">c) of </w:t>
      </w:r>
      <w:r w:rsidR="008B2950" w:rsidRPr="005071A1">
        <w:t>subsection (</w:t>
      </w:r>
      <w:r w:rsidRPr="005071A1">
        <w:t>6), the total of the periods of the prior employment referred to in that paragraph was less than seven years, that subsection does not apply in relation to that person unless the approved authority certifies that the person’s employment is likely to be continued for a period that is not less than the difference between seven years and the total of the periods of his prior employment.</w:t>
      </w:r>
    </w:p>
    <w:p w14:paraId="7E616E19" w14:textId="77777777" w:rsidR="00B33542" w:rsidRPr="005071A1" w:rsidRDefault="00B33542" w:rsidP="00B33542">
      <w:pPr>
        <w:pStyle w:val="subsection"/>
      </w:pPr>
      <w:r w:rsidRPr="005071A1">
        <w:tab/>
        <w:t>(8)</w:t>
      </w:r>
      <w:r w:rsidRPr="005071A1">
        <w:tab/>
        <w:t xml:space="preserve">For the purposes of this Act, the Principal of the </w:t>
      </w:r>
      <w:smartTag w:uri="urn:schemas-microsoft-com:office:smarttags" w:element="place">
        <w:smartTag w:uri="urn:schemas-microsoft-com:office:smarttags" w:element="PlaceName">
          <w:r w:rsidRPr="005071A1">
            <w:t>Darwin</w:t>
          </w:r>
        </w:smartTag>
        <w:r w:rsidRPr="005071A1">
          <w:t xml:space="preserve"> </w:t>
        </w:r>
        <w:smartTag w:uri="urn:schemas-microsoft-com:office:smarttags" w:element="PlaceType">
          <w:r w:rsidRPr="005071A1">
            <w:t>Community College</w:t>
          </w:r>
        </w:smartTag>
      </w:smartTag>
      <w:r w:rsidRPr="005071A1">
        <w:t xml:space="preserve"> shall be deemed to be employed by the College.</w:t>
      </w:r>
    </w:p>
    <w:p w14:paraId="7AC9B62E" w14:textId="77777777" w:rsidR="00B33542" w:rsidRPr="005071A1" w:rsidRDefault="00B33542" w:rsidP="00B33542">
      <w:pPr>
        <w:pStyle w:val="subsection"/>
      </w:pPr>
      <w:r w:rsidRPr="005071A1">
        <w:tab/>
        <w:t>(9)</w:t>
      </w:r>
      <w:r w:rsidRPr="005071A1">
        <w:tab/>
        <w:t xml:space="preserve">For the purposes of </w:t>
      </w:r>
      <w:r w:rsidR="008B2950" w:rsidRPr="005071A1">
        <w:t>subsection (</w:t>
      </w:r>
      <w:r w:rsidRPr="005071A1">
        <w:t xml:space="preserve">6) in its application in relation to Aboriginal Hostels Limited, that body shall be deemed to be constituted under an Act administered by the </w:t>
      </w:r>
      <w:r w:rsidR="001B267C" w:rsidRPr="005071A1">
        <w:t xml:space="preserve">Minister administering the </w:t>
      </w:r>
      <w:r w:rsidR="001B267C" w:rsidRPr="005071A1">
        <w:rPr>
          <w:i/>
        </w:rPr>
        <w:t xml:space="preserve">Aboriginal Land </w:t>
      </w:r>
      <w:r w:rsidR="00DD1A39" w:rsidRPr="005071A1">
        <w:rPr>
          <w:i/>
        </w:rPr>
        <w:t>and Waters</w:t>
      </w:r>
      <w:r w:rsidR="001B267C" w:rsidRPr="005071A1">
        <w:rPr>
          <w:i/>
        </w:rPr>
        <w:t xml:space="preserve"> (Jervis Bay Territory) Act 1986</w:t>
      </w:r>
      <w:r w:rsidRPr="005071A1">
        <w:t>.</w:t>
      </w:r>
    </w:p>
    <w:p w14:paraId="275F01B7" w14:textId="77777777" w:rsidR="00B33542" w:rsidRPr="005071A1" w:rsidRDefault="00B33542" w:rsidP="00B33542">
      <w:pPr>
        <w:pStyle w:val="subsection"/>
      </w:pPr>
      <w:r w:rsidRPr="005071A1">
        <w:lastRenderedPageBreak/>
        <w:tab/>
        <w:t>(11)</w:t>
      </w:r>
      <w:r w:rsidRPr="005071A1">
        <w:tab/>
        <w:t>Where a person was born on 29</w:t>
      </w:r>
      <w:r w:rsidR="008B2950" w:rsidRPr="005071A1">
        <w:t> </w:t>
      </w:r>
      <w:r w:rsidRPr="005071A1">
        <w:t>February in any year, then, in any subsequent year that is not a leap year, the anniversary of the birth of the person shall, for the purposes of this Act, be deemed to occur on 1</w:t>
      </w:r>
      <w:r w:rsidR="008B2950" w:rsidRPr="005071A1">
        <w:t> </w:t>
      </w:r>
      <w:r w:rsidRPr="005071A1">
        <w:t>March of that subsequent year.</w:t>
      </w:r>
    </w:p>
    <w:p w14:paraId="02D19ED4" w14:textId="77777777" w:rsidR="00B33542" w:rsidRPr="005071A1" w:rsidRDefault="00B33542" w:rsidP="00B33542">
      <w:pPr>
        <w:pStyle w:val="ActHead5"/>
      </w:pPr>
      <w:bookmarkStart w:id="5" w:name="_Toc185577387"/>
      <w:r w:rsidRPr="004510F0">
        <w:rPr>
          <w:rStyle w:val="CharSectno"/>
        </w:rPr>
        <w:t>4AA</w:t>
      </w:r>
      <w:r w:rsidRPr="005071A1">
        <w:t xml:space="preserve">  Members of the Defence Force</w:t>
      </w:r>
      <w:bookmarkEnd w:id="5"/>
    </w:p>
    <w:p w14:paraId="3EC6DA39" w14:textId="77777777" w:rsidR="00B33542" w:rsidRPr="005071A1" w:rsidRDefault="00B33542" w:rsidP="00B33542">
      <w:pPr>
        <w:pStyle w:val="subsection"/>
      </w:pPr>
      <w:r w:rsidRPr="005071A1">
        <w:tab/>
        <w:t>(1)</w:t>
      </w:r>
      <w:r w:rsidRPr="005071A1">
        <w:tab/>
        <w:t>A member of the Defence Force shall not, by reason only of being a member of the Defence Force, be deemed to be an employee.</w:t>
      </w:r>
    </w:p>
    <w:p w14:paraId="6DAE80D1" w14:textId="77777777" w:rsidR="00B33542" w:rsidRPr="005071A1" w:rsidRDefault="00B33542" w:rsidP="00B33542">
      <w:pPr>
        <w:pStyle w:val="subsection"/>
      </w:pPr>
      <w:r w:rsidRPr="005071A1">
        <w:tab/>
        <w:t>(2)</w:t>
      </w:r>
      <w:r w:rsidRPr="005071A1">
        <w:tab/>
        <w:t xml:space="preserve">Where a member of the Defence Force who is liable to contribute to the Commonwealth under the </w:t>
      </w:r>
      <w:r w:rsidRPr="005071A1">
        <w:rPr>
          <w:i/>
        </w:rPr>
        <w:t xml:space="preserve">Defence Force Retirement and Death Benefits Act 1973 </w:t>
      </w:r>
      <w:r w:rsidRPr="005071A1">
        <w:t>would, but for this section, by reason of becoming employed in a permanent capacity by the Commonwealth or for any other reason, become an employee, he shall be deemed not to be an employee until he ceases to be liable to contribute to the Commonwealth under that Act.</w:t>
      </w:r>
    </w:p>
    <w:p w14:paraId="5A90C70A" w14:textId="77777777" w:rsidR="00B33542" w:rsidRPr="005071A1" w:rsidRDefault="00B33542" w:rsidP="00B33542">
      <w:pPr>
        <w:pStyle w:val="ActHead5"/>
      </w:pPr>
      <w:bookmarkStart w:id="6" w:name="_Toc185577388"/>
      <w:r w:rsidRPr="004510F0">
        <w:rPr>
          <w:rStyle w:val="CharSectno"/>
        </w:rPr>
        <w:t>4A</w:t>
      </w:r>
      <w:r w:rsidRPr="005071A1">
        <w:t xml:space="preserve">  Salaries of officers in First Division of Public Service and statutory offices</w:t>
      </w:r>
      <w:bookmarkEnd w:id="6"/>
    </w:p>
    <w:p w14:paraId="7F30A0DF" w14:textId="77777777" w:rsidR="00B33542" w:rsidRPr="005071A1" w:rsidRDefault="00B33542" w:rsidP="00B33542">
      <w:pPr>
        <w:pStyle w:val="subsection"/>
      </w:pPr>
      <w:r w:rsidRPr="005071A1">
        <w:tab/>
        <w:t>(1)</w:t>
      </w:r>
      <w:r w:rsidRPr="005071A1">
        <w:tab/>
        <w:t>Where:</w:t>
      </w:r>
    </w:p>
    <w:p w14:paraId="07988DD7" w14:textId="77777777" w:rsidR="00B33542" w:rsidRPr="005071A1" w:rsidRDefault="00B33542" w:rsidP="00B33542">
      <w:pPr>
        <w:pStyle w:val="paragraph"/>
      </w:pPr>
      <w:r w:rsidRPr="005071A1">
        <w:tab/>
        <w:t>(a)</w:t>
      </w:r>
      <w:r w:rsidRPr="005071A1">
        <w:tab/>
        <w:t>the Parliament has not made provision determining the rate of salary payable in respect of an office in the First Division of the Public Service of the Commonwealth; and</w:t>
      </w:r>
    </w:p>
    <w:p w14:paraId="02862A48" w14:textId="77777777" w:rsidR="00B33542" w:rsidRPr="005071A1" w:rsidRDefault="00B33542" w:rsidP="00B33542">
      <w:pPr>
        <w:pStyle w:val="paragraph"/>
        <w:keepNext/>
      </w:pPr>
      <w:r w:rsidRPr="005071A1">
        <w:tab/>
        <w:t>(b)</w:t>
      </w:r>
      <w:r w:rsidRPr="005071A1">
        <w:tab/>
        <w:t>the Minister, by instrument in writing, declares that, for the purposes of this Act, the rate of salary payable in respect of that office is to be deemed to be such rate as is specified in the instrument;</w:t>
      </w:r>
    </w:p>
    <w:p w14:paraId="7010AFF8" w14:textId="77777777" w:rsidR="00B33542" w:rsidRPr="005071A1" w:rsidRDefault="00B33542" w:rsidP="00B33542">
      <w:pPr>
        <w:pStyle w:val="subsection2"/>
      </w:pPr>
      <w:r w:rsidRPr="005071A1">
        <w:t>salary at the rate specified in the instrument shall, for the purposes of this Act but not otherwise, be deemed to be payable in respect of that office as from the date on which the declaration is made, or as from the date as from which the declaration is expressed to have effect, whichever is the later, until:</w:t>
      </w:r>
    </w:p>
    <w:p w14:paraId="4B3BB68E" w14:textId="77777777" w:rsidR="00B33542" w:rsidRPr="005071A1" w:rsidRDefault="00B33542" w:rsidP="00B33542">
      <w:pPr>
        <w:pStyle w:val="paragraph"/>
      </w:pPr>
      <w:r w:rsidRPr="005071A1">
        <w:lastRenderedPageBreak/>
        <w:tab/>
        <w:t>(c)</w:t>
      </w:r>
      <w:r w:rsidRPr="005071A1">
        <w:tab/>
        <w:t>the Parliament makes provision determining the rate of salary payable in respect of that office; or</w:t>
      </w:r>
    </w:p>
    <w:p w14:paraId="4CD740EC" w14:textId="77777777" w:rsidR="00B33542" w:rsidRPr="005071A1" w:rsidRDefault="00B33542" w:rsidP="00B33542">
      <w:pPr>
        <w:pStyle w:val="paragraph"/>
        <w:keepNext/>
      </w:pPr>
      <w:r w:rsidRPr="005071A1">
        <w:tab/>
        <w:t>(d)</w:t>
      </w:r>
      <w:r w:rsidRPr="005071A1">
        <w:tab/>
        <w:t>salary is, by virtue of a further instrument in writing by the Minister under this subsection, to be deemed, for the purposes of this Act, to be payable in respect of that office at a rate specified in the further instrument, being a rate that is greater or lesser than the rate specified in the first</w:t>
      </w:r>
      <w:r w:rsidR="004510F0">
        <w:noBreakHyphen/>
      </w:r>
      <w:r w:rsidRPr="005071A1">
        <w:t>mentioned instrument;</w:t>
      </w:r>
    </w:p>
    <w:p w14:paraId="78E287AE" w14:textId="77777777" w:rsidR="00B33542" w:rsidRPr="005071A1" w:rsidRDefault="00B33542" w:rsidP="00B33542">
      <w:pPr>
        <w:pStyle w:val="subsection2"/>
      </w:pPr>
      <w:r w:rsidRPr="005071A1">
        <w:t>whichever first occurs.</w:t>
      </w:r>
    </w:p>
    <w:p w14:paraId="257C1845" w14:textId="77777777" w:rsidR="00B33542" w:rsidRPr="005071A1" w:rsidRDefault="00B33542" w:rsidP="00B33542">
      <w:pPr>
        <w:pStyle w:val="subsection"/>
      </w:pPr>
      <w:r w:rsidRPr="005071A1">
        <w:tab/>
        <w:t>(2)</w:t>
      </w:r>
      <w:r w:rsidRPr="005071A1">
        <w:tab/>
        <w:t>Where:</w:t>
      </w:r>
    </w:p>
    <w:p w14:paraId="24BBE4DC" w14:textId="77777777" w:rsidR="00B33542" w:rsidRPr="005071A1" w:rsidRDefault="00B33542" w:rsidP="00B33542">
      <w:pPr>
        <w:pStyle w:val="paragraph"/>
      </w:pPr>
      <w:r w:rsidRPr="005071A1">
        <w:tab/>
        <w:t>(a)</w:t>
      </w:r>
      <w:r w:rsidRPr="005071A1">
        <w:tab/>
        <w:t>the Parliament has made provision determining the rate of salary payable in respect of an office in the First Division of the Public Service of the Commonwealth or in respect of a statutory office under the Commonwealth; and</w:t>
      </w:r>
    </w:p>
    <w:p w14:paraId="5747A4F0" w14:textId="77777777" w:rsidR="00B33542" w:rsidRPr="005071A1" w:rsidRDefault="00B33542" w:rsidP="00B33542">
      <w:pPr>
        <w:pStyle w:val="paragraph"/>
        <w:keepNext/>
      </w:pPr>
      <w:r w:rsidRPr="005071A1">
        <w:tab/>
        <w:t>(b)</w:t>
      </w:r>
      <w:r w:rsidRPr="005071A1">
        <w:tab/>
        <w:t>the Minister, by instrument in writing, declares that, for the purposes of this Act, the rate of salary payable in respect of that office is to be deemed to be such rate as is specified in the instrument, being a rate that is greater or lesser than the rate determined by the provision made by the Parliament;</w:t>
      </w:r>
    </w:p>
    <w:p w14:paraId="728F5CEE" w14:textId="77777777" w:rsidR="00B33542" w:rsidRPr="005071A1" w:rsidRDefault="00B33542" w:rsidP="00B33542">
      <w:pPr>
        <w:pStyle w:val="subsection2"/>
      </w:pPr>
      <w:r w:rsidRPr="005071A1">
        <w:t>salary at the rate specified in the instrument shall, for the purposes of this Act but not otherwise, be deemed to be payable in respect of that office as from the date on which the declaration is made, or as from the date as from which the declaration is expressed to have effect, whichever is the later, until:</w:t>
      </w:r>
    </w:p>
    <w:p w14:paraId="00ED1D30" w14:textId="77777777" w:rsidR="00B33542" w:rsidRPr="005071A1" w:rsidRDefault="00B33542" w:rsidP="00B33542">
      <w:pPr>
        <w:pStyle w:val="paragraph"/>
      </w:pPr>
      <w:r w:rsidRPr="005071A1">
        <w:tab/>
        <w:t>(c)</w:t>
      </w:r>
      <w:r w:rsidRPr="005071A1">
        <w:tab/>
        <w:t>the Parliament makes further provision determining the rate of salary payable in respect of that office; or</w:t>
      </w:r>
    </w:p>
    <w:p w14:paraId="23855E55" w14:textId="77777777" w:rsidR="00B33542" w:rsidRPr="005071A1" w:rsidRDefault="00B33542" w:rsidP="00B33542">
      <w:pPr>
        <w:pStyle w:val="paragraph"/>
        <w:keepNext/>
      </w:pPr>
      <w:r w:rsidRPr="005071A1">
        <w:tab/>
        <w:t>(d)</w:t>
      </w:r>
      <w:r w:rsidRPr="005071A1">
        <w:tab/>
        <w:t xml:space="preserve">salary is, by virtue of a further instrument in writing by the Minister under this subsection, to be deemed, for the purposes of this Act, to be payable in respect of that office at a rate specified in the further instrument, being a rate that is </w:t>
      </w:r>
      <w:r w:rsidRPr="005071A1">
        <w:lastRenderedPageBreak/>
        <w:t>greater or lesser than the rate specified in the first</w:t>
      </w:r>
      <w:r w:rsidR="004510F0">
        <w:noBreakHyphen/>
      </w:r>
      <w:r w:rsidRPr="005071A1">
        <w:t>mentioned instrument;</w:t>
      </w:r>
    </w:p>
    <w:p w14:paraId="4E809694" w14:textId="77777777" w:rsidR="00B33542" w:rsidRPr="005071A1" w:rsidRDefault="00B33542" w:rsidP="00B33542">
      <w:pPr>
        <w:pStyle w:val="subsection2"/>
      </w:pPr>
      <w:r w:rsidRPr="005071A1">
        <w:t>whichever first occurs.</w:t>
      </w:r>
    </w:p>
    <w:p w14:paraId="361D9DD8" w14:textId="77777777" w:rsidR="00B33542" w:rsidRPr="005071A1" w:rsidRDefault="00B33542" w:rsidP="00B33542">
      <w:pPr>
        <w:pStyle w:val="ActHead5"/>
      </w:pPr>
      <w:bookmarkStart w:id="7" w:name="_Toc185577389"/>
      <w:r w:rsidRPr="004510F0">
        <w:rPr>
          <w:rStyle w:val="CharSectno"/>
        </w:rPr>
        <w:t>5</w:t>
      </w:r>
      <w:r w:rsidRPr="005071A1">
        <w:t xml:space="preserve">  Medical examination of employees</w:t>
      </w:r>
      <w:bookmarkEnd w:id="7"/>
    </w:p>
    <w:p w14:paraId="293D432F" w14:textId="77777777" w:rsidR="00B33542" w:rsidRPr="005071A1" w:rsidRDefault="00B33542" w:rsidP="00B33542">
      <w:pPr>
        <w:pStyle w:val="subsection"/>
      </w:pPr>
      <w:r w:rsidRPr="005071A1">
        <w:tab/>
        <w:t>(1)</w:t>
      </w:r>
      <w:r w:rsidRPr="005071A1">
        <w:tab/>
        <w:t xml:space="preserve">Except as otherwise provided by this Act, and notwithstanding anything contained in any other Act, a person who becomes an employee after the commencement of the </w:t>
      </w:r>
      <w:r w:rsidRPr="005071A1">
        <w:rPr>
          <w:i/>
        </w:rPr>
        <w:t>Superannuation Act 1965</w:t>
      </w:r>
      <w:r w:rsidRPr="005071A1">
        <w:t xml:space="preserve"> shall not contribute to the Fund under Part III or to the Provident Account unless:</w:t>
      </w:r>
    </w:p>
    <w:p w14:paraId="2E472224" w14:textId="77777777" w:rsidR="00B33542" w:rsidRPr="005071A1" w:rsidRDefault="00B33542" w:rsidP="00B33542">
      <w:pPr>
        <w:pStyle w:val="paragraph"/>
      </w:pPr>
      <w:r w:rsidRPr="005071A1">
        <w:tab/>
        <w:t>(a)</w:t>
      </w:r>
      <w:r w:rsidRPr="005071A1">
        <w:tab/>
        <w:t>he has, before becoming an employee, or within such period after becoming an employee as the Board allows, undergone a medical examination by a legally qualified medical practitioner approved by the Board;</w:t>
      </w:r>
    </w:p>
    <w:p w14:paraId="79F57E2A" w14:textId="77777777" w:rsidR="00B33542" w:rsidRPr="005071A1" w:rsidRDefault="00B33542" w:rsidP="00B33542">
      <w:pPr>
        <w:pStyle w:val="paragraph"/>
      </w:pPr>
      <w:r w:rsidRPr="005071A1">
        <w:tab/>
        <w:t>(b)</w:t>
      </w:r>
      <w:r w:rsidRPr="005071A1">
        <w:tab/>
        <w:t>a report of the result of the examination has been furnished by the medical practitioner to the Board; and</w:t>
      </w:r>
    </w:p>
    <w:p w14:paraId="59F60F36" w14:textId="77777777" w:rsidR="00B33542" w:rsidRPr="005071A1" w:rsidRDefault="00B33542" w:rsidP="00B33542">
      <w:pPr>
        <w:pStyle w:val="paragraph"/>
      </w:pPr>
      <w:r w:rsidRPr="005071A1">
        <w:tab/>
        <w:t>(c)</w:t>
      </w:r>
      <w:r w:rsidRPr="005071A1">
        <w:tab/>
        <w:t>the Board is satisfied, after considering the report of the medical practitioner, that the health and physical fitness of the person are such as to justify his being accepted as a contributor to the Fund under Part III or to the Provident Account, as the case may be.</w:t>
      </w:r>
    </w:p>
    <w:p w14:paraId="4FB2717E" w14:textId="77777777" w:rsidR="00B33542" w:rsidRPr="005071A1" w:rsidRDefault="00B33542" w:rsidP="00B33542">
      <w:pPr>
        <w:pStyle w:val="subsection"/>
        <w:keepNext/>
      </w:pPr>
      <w:r w:rsidRPr="005071A1">
        <w:tab/>
        <w:t>(2)</w:t>
      </w:r>
      <w:r w:rsidRPr="005071A1">
        <w:tab/>
        <w:t>Where:</w:t>
      </w:r>
    </w:p>
    <w:p w14:paraId="0BB8D7AD" w14:textId="77777777" w:rsidR="00B33542" w:rsidRPr="005071A1" w:rsidRDefault="00B33542" w:rsidP="00B33542">
      <w:pPr>
        <w:pStyle w:val="paragraph"/>
      </w:pPr>
      <w:r w:rsidRPr="005071A1">
        <w:tab/>
        <w:t>(a)</w:t>
      </w:r>
      <w:r w:rsidRPr="005071A1">
        <w:tab/>
        <w:t xml:space="preserve">a person who becomes an employee after the commencement of the </w:t>
      </w:r>
      <w:r w:rsidRPr="005071A1">
        <w:rPr>
          <w:i/>
        </w:rPr>
        <w:t xml:space="preserve">Superannuation Act 1965 </w:t>
      </w:r>
      <w:r w:rsidRPr="005071A1">
        <w:t>has, whether before or after becoming an employee, undergone a medical examination by a legally qualified medical practitioner approved by the Public Service Board;</w:t>
      </w:r>
    </w:p>
    <w:p w14:paraId="4D36C6B6" w14:textId="77777777" w:rsidR="00B33542" w:rsidRPr="005071A1" w:rsidRDefault="00B33542" w:rsidP="00B33542">
      <w:pPr>
        <w:pStyle w:val="paragraph"/>
      </w:pPr>
      <w:r w:rsidRPr="005071A1">
        <w:tab/>
        <w:t>(b)</w:t>
      </w:r>
      <w:r w:rsidRPr="005071A1">
        <w:tab/>
        <w:t>a report of the result of the examination has been furnished by the medical practitioner to the Public Service Board; and</w:t>
      </w:r>
    </w:p>
    <w:p w14:paraId="49721D2B" w14:textId="77777777" w:rsidR="00B33542" w:rsidRPr="005071A1" w:rsidRDefault="00B33542" w:rsidP="00B33542">
      <w:pPr>
        <w:pStyle w:val="paragraph"/>
        <w:keepNext/>
      </w:pPr>
      <w:r w:rsidRPr="005071A1">
        <w:tab/>
        <w:t>(c)</w:t>
      </w:r>
      <w:r w:rsidRPr="005071A1">
        <w:tab/>
        <w:t xml:space="preserve">the Public Service Board certifies, after considering the report of the medical practitioner, that the health and physical fitness of the person are such as to justify his being accepted </w:t>
      </w:r>
      <w:r w:rsidRPr="005071A1">
        <w:lastRenderedPageBreak/>
        <w:t>as a contributor to the Fund under Part III or to the Provident Account;</w:t>
      </w:r>
    </w:p>
    <w:p w14:paraId="39D5C76C" w14:textId="77777777" w:rsidR="00B33542" w:rsidRPr="005071A1" w:rsidRDefault="00B33542" w:rsidP="00B33542">
      <w:pPr>
        <w:pStyle w:val="subsection2"/>
      </w:pPr>
      <w:r w:rsidRPr="005071A1">
        <w:t>the Superannuation Board may, in its discretion, accept him as a contributor to the Fund under Part III or to the Provident Account.</w:t>
      </w:r>
    </w:p>
    <w:p w14:paraId="59505B0A" w14:textId="77777777" w:rsidR="00B33542" w:rsidRPr="005071A1" w:rsidRDefault="00B33542" w:rsidP="00B33542">
      <w:pPr>
        <w:pStyle w:val="ActHead5"/>
      </w:pPr>
      <w:bookmarkStart w:id="8" w:name="_Toc185577390"/>
      <w:r w:rsidRPr="004510F0">
        <w:rPr>
          <w:rStyle w:val="CharSectno"/>
        </w:rPr>
        <w:t>6</w:t>
      </w:r>
      <w:r w:rsidRPr="005071A1">
        <w:t xml:space="preserve">  Application of the </w:t>
      </w:r>
      <w:r w:rsidRPr="005071A1">
        <w:rPr>
          <w:i/>
        </w:rPr>
        <w:t>Criminal Code</w:t>
      </w:r>
      <w:bookmarkEnd w:id="8"/>
    </w:p>
    <w:p w14:paraId="7AC1828B" w14:textId="77777777" w:rsidR="00B33542" w:rsidRPr="005071A1" w:rsidRDefault="00B33542" w:rsidP="00B33542">
      <w:pPr>
        <w:pStyle w:val="subsection"/>
      </w:pPr>
      <w:r w:rsidRPr="005071A1">
        <w:tab/>
      </w:r>
      <w:r w:rsidRPr="005071A1">
        <w:tab/>
        <w:t>Chapter</w:t>
      </w:r>
      <w:r w:rsidR="008B2950" w:rsidRPr="005071A1">
        <w:t> </w:t>
      </w:r>
      <w:r w:rsidRPr="005071A1">
        <w:t xml:space="preserve">2 of the </w:t>
      </w:r>
      <w:r w:rsidRPr="005071A1">
        <w:rPr>
          <w:i/>
        </w:rPr>
        <w:t>Criminal Code</w:t>
      </w:r>
      <w:r w:rsidRPr="005071A1">
        <w:t xml:space="preserve"> applies to all offences against this Act.</w:t>
      </w:r>
    </w:p>
    <w:p w14:paraId="6CBA0E9F" w14:textId="77777777" w:rsidR="00B33542" w:rsidRPr="005071A1" w:rsidRDefault="00B33542" w:rsidP="00B33542">
      <w:pPr>
        <w:pStyle w:val="notetext"/>
      </w:pPr>
      <w:r w:rsidRPr="005071A1">
        <w:t>Note:</w:t>
      </w:r>
      <w:r w:rsidRPr="005071A1">
        <w:tab/>
        <w:t>Chapter</w:t>
      </w:r>
      <w:r w:rsidR="008B2950" w:rsidRPr="005071A1">
        <w:t> </w:t>
      </w:r>
      <w:r w:rsidRPr="005071A1">
        <w:t xml:space="preserve">2 of the </w:t>
      </w:r>
      <w:r w:rsidRPr="005071A1">
        <w:rPr>
          <w:i/>
        </w:rPr>
        <w:t>Criminal Code</w:t>
      </w:r>
      <w:r w:rsidRPr="005071A1">
        <w:t xml:space="preserve"> sets out the general principles of criminal responsibility.</w:t>
      </w:r>
    </w:p>
    <w:p w14:paraId="38CFDAFB" w14:textId="77777777" w:rsidR="00B33542" w:rsidRPr="005071A1" w:rsidRDefault="00B33542" w:rsidP="00B33542">
      <w:pPr>
        <w:pStyle w:val="ActHead5"/>
      </w:pPr>
      <w:bookmarkStart w:id="9" w:name="_Toc185577391"/>
      <w:r w:rsidRPr="004510F0">
        <w:rPr>
          <w:rStyle w:val="CharSectno"/>
        </w:rPr>
        <w:t>7</w:t>
      </w:r>
      <w:r w:rsidRPr="005071A1">
        <w:t xml:space="preserve">  Superannuation provision for certain persons by way of life assurance</w:t>
      </w:r>
      <w:bookmarkEnd w:id="9"/>
    </w:p>
    <w:p w14:paraId="19109458" w14:textId="77777777" w:rsidR="00B33542" w:rsidRPr="005071A1" w:rsidRDefault="00B33542" w:rsidP="00B33542">
      <w:pPr>
        <w:pStyle w:val="subsection"/>
      </w:pPr>
      <w:r w:rsidRPr="005071A1">
        <w:tab/>
        <w:t>(1)</w:t>
      </w:r>
      <w:r w:rsidRPr="005071A1">
        <w:tab/>
        <w:t>Where:</w:t>
      </w:r>
    </w:p>
    <w:p w14:paraId="2C17C08C" w14:textId="77777777" w:rsidR="00B33542" w:rsidRPr="005071A1" w:rsidRDefault="00B33542" w:rsidP="00B33542">
      <w:pPr>
        <w:pStyle w:val="paragraph"/>
      </w:pPr>
      <w:r w:rsidRPr="005071A1">
        <w:tab/>
        <w:t>(a)</w:t>
      </w:r>
      <w:r w:rsidRPr="005071A1">
        <w:tab/>
        <w:t>a person employed by the Commonwealth or by an approved authority was, immediately before the commencement of the employment, a contributor under:</w:t>
      </w:r>
    </w:p>
    <w:p w14:paraId="264286C3" w14:textId="77777777" w:rsidR="00B33542" w:rsidRPr="005071A1" w:rsidRDefault="00B33542" w:rsidP="00B33542">
      <w:pPr>
        <w:pStyle w:val="paragraphsub"/>
      </w:pPr>
      <w:r w:rsidRPr="005071A1">
        <w:tab/>
        <w:t>(i)</w:t>
      </w:r>
      <w:r w:rsidRPr="005071A1">
        <w:tab/>
        <w:t>a superannuation scheme conducted in accordance with the system established in the United Kingdom and known as the Federated Superannuation System for Universities; or</w:t>
      </w:r>
    </w:p>
    <w:p w14:paraId="6138C0C1" w14:textId="77777777" w:rsidR="00B33542" w:rsidRPr="005071A1" w:rsidRDefault="00B33542" w:rsidP="00B33542">
      <w:pPr>
        <w:pStyle w:val="paragraphsub"/>
      </w:pPr>
      <w:r w:rsidRPr="005071A1">
        <w:tab/>
        <w:t>(ii)</w:t>
      </w:r>
      <w:r w:rsidRPr="005071A1">
        <w:tab/>
        <w:t>a prescribed superannuation scheme, being a scheme under which benefits are provided for by means of life assurance policies; and</w:t>
      </w:r>
    </w:p>
    <w:p w14:paraId="594784C1" w14:textId="77777777" w:rsidR="00B33542" w:rsidRPr="005071A1" w:rsidRDefault="00B33542" w:rsidP="00B33542">
      <w:pPr>
        <w:pStyle w:val="paragraph"/>
        <w:keepNext/>
      </w:pPr>
      <w:r w:rsidRPr="005071A1">
        <w:tab/>
        <w:t>(b)</w:t>
      </w:r>
      <w:r w:rsidRPr="005071A1">
        <w:tab/>
        <w:t>the Treasurer considers that, by reason of special circumstances, an arrangement should be made under this section;</w:t>
      </w:r>
    </w:p>
    <w:p w14:paraId="27BCB562" w14:textId="77777777" w:rsidR="00B33542" w:rsidRPr="005071A1" w:rsidRDefault="00B33542" w:rsidP="00B33542">
      <w:pPr>
        <w:pStyle w:val="subsection2"/>
      </w:pPr>
      <w:r w:rsidRPr="005071A1">
        <w:t xml:space="preserve">the Commonwealth or the approved authority may make an arrangement with that person for assurance of his life by means of a life assurance policy, and for the payment of contributions by the </w:t>
      </w:r>
      <w:r w:rsidRPr="005071A1">
        <w:lastRenderedPageBreak/>
        <w:t>Commonwealth or the approved authority and that person for that purpose.</w:t>
      </w:r>
    </w:p>
    <w:p w14:paraId="0D873F34" w14:textId="77777777" w:rsidR="00B33542" w:rsidRPr="005071A1" w:rsidRDefault="00B33542" w:rsidP="00B33542">
      <w:pPr>
        <w:pStyle w:val="subsection"/>
      </w:pPr>
      <w:r w:rsidRPr="005071A1">
        <w:tab/>
        <w:t>(1A)</w:t>
      </w:r>
      <w:r w:rsidRPr="005071A1">
        <w:tab/>
        <w:t xml:space="preserve">An arrangement shall not be made under </w:t>
      </w:r>
      <w:r w:rsidR="008B2950" w:rsidRPr="005071A1">
        <w:t>subsection (</w:t>
      </w:r>
      <w:r w:rsidRPr="005071A1">
        <w:t>1) on or after 1</w:t>
      </w:r>
      <w:r w:rsidR="008B2950" w:rsidRPr="005071A1">
        <w:t> </w:t>
      </w:r>
      <w:r w:rsidRPr="005071A1">
        <w:t>July 1976.</w:t>
      </w:r>
    </w:p>
    <w:p w14:paraId="18907620" w14:textId="77777777" w:rsidR="00B33542" w:rsidRPr="005071A1" w:rsidRDefault="00B33542" w:rsidP="00B33542">
      <w:pPr>
        <w:pStyle w:val="subsection"/>
      </w:pPr>
      <w:r w:rsidRPr="005071A1">
        <w:tab/>
        <w:t>(2)</w:t>
      </w:r>
      <w:r w:rsidRPr="005071A1">
        <w:tab/>
        <w:t>Where a person with whom an arrangement has been made under this section:</w:t>
      </w:r>
    </w:p>
    <w:p w14:paraId="791060FE" w14:textId="77777777" w:rsidR="00B33542" w:rsidRPr="005071A1" w:rsidRDefault="00B33542" w:rsidP="00B33542">
      <w:pPr>
        <w:pStyle w:val="paragraph"/>
      </w:pPr>
      <w:r w:rsidRPr="005071A1">
        <w:tab/>
        <w:t>(a)</w:t>
      </w:r>
      <w:r w:rsidRPr="005071A1">
        <w:tab/>
        <w:t>is or becomes an employee; and</w:t>
      </w:r>
    </w:p>
    <w:p w14:paraId="0465F965" w14:textId="77777777" w:rsidR="00B33542" w:rsidRPr="005071A1" w:rsidRDefault="00B33542" w:rsidP="00B33542">
      <w:pPr>
        <w:pStyle w:val="paragraph"/>
        <w:keepNext/>
      </w:pPr>
      <w:r w:rsidRPr="005071A1">
        <w:tab/>
        <w:t>(b)</w:t>
      </w:r>
      <w:r w:rsidRPr="005071A1">
        <w:tab/>
        <w:t xml:space="preserve">has not, before he became or becomes an employee, or within such period after he became or becomes an employee or after the commencement of the </w:t>
      </w:r>
      <w:r w:rsidRPr="005071A1">
        <w:rPr>
          <w:i/>
        </w:rPr>
        <w:t>Superannuation Act 1965</w:t>
      </w:r>
      <w:r w:rsidRPr="005071A1">
        <w:t>, whichever is the later, as the Board allows, undergone a medical examination referred to in section</w:t>
      </w:r>
      <w:r w:rsidR="008B2950" w:rsidRPr="005071A1">
        <w:t> </w:t>
      </w:r>
      <w:r w:rsidRPr="005071A1">
        <w:t>5;</w:t>
      </w:r>
    </w:p>
    <w:p w14:paraId="571D5AC0" w14:textId="77777777" w:rsidR="00B33542" w:rsidRPr="005071A1" w:rsidRDefault="00B33542" w:rsidP="00B33542">
      <w:pPr>
        <w:pStyle w:val="subsection2"/>
      </w:pPr>
      <w:r w:rsidRPr="005071A1">
        <w:t>the Commonwealth or the approved authority, as the case may be, may, by notice in writing to the person, terminate the arrangement and, if the arrangement is so terminated:</w:t>
      </w:r>
    </w:p>
    <w:p w14:paraId="1C2F6765" w14:textId="77777777" w:rsidR="00B33542" w:rsidRPr="005071A1" w:rsidRDefault="00B33542" w:rsidP="00B33542">
      <w:pPr>
        <w:pStyle w:val="paragraph"/>
      </w:pPr>
      <w:r w:rsidRPr="005071A1">
        <w:tab/>
        <w:t>(c)</w:t>
      </w:r>
      <w:r w:rsidRPr="005071A1">
        <w:tab/>
        <w:t>the person shall, within two months after the termination or within such further period as the Minister allows, pay to the Commonwealth or to the approved authority, as the case may be, an amount equal to the sum of the contributions paid by the Commonwealth or the authority under the arrangement and compound interest on those contributions at the rate of three and three</w:t>
      </w:r>
      <w:r w:rsidR="004510F0">
        <w:noBreakHyphen/>
      </w:r>
      <w:r w:rsidRPr="005071A1">
        <w:t>quarters per centum per annum, and:</w:t>
      </w:r>
    </w:p>
    <w:p w14:paraId="619E59E4" w14:textId="77777777" w:rsidR="00B33542" w:rsidRPr="005071A1" w:rsidRDefault="00B33542" w:rsidP="00B33542">
      <w:pPr>
        <w:pStyle w:val="paragraphsub"/>
      </w:pPr>
      <w:r w:rsidRPr="005071A1">
        <w:tab/>
        <w:t>(i)</w:t>
      </w:r>
      <w:r w:rsidRPr="005071A1">
        <w:tab/>
        <w:t>if the amount is not paid within that period, it is recoverable by the Commonwealth or by the authority as a debt due to the Commonwealth or to the authority in any court of competent jurisdiction; and</w:t>
      </w:r>
    </w:p>
    <w:p w14:paraId="12EB759E" w14:textId="77777777" w:rsidR="00B33542" w:rsidRPr="005071A1" w:rsidRDefault="00B33542" w:rsidP="00B33542">
      <w:pPr>
        <w:pStyle w:val="paragraphsub"/>
      </w:pPr>
      <w:r w:rsidRPr="005071A1">
        <w:tab/>
        <w:t>(ii)</w:t>
      </w:r>
      <w:r w:rsidRPr="005071A1">
        <w:tab/>
        <w:t xml:space="preserve">if the amount is not paid within that period and is not recovered in pursuance of </w:t>
      </w:r>
      <w:r w:rsidR="008B2950" w:rsidRPr="005071A1">
        <w:t>subparagraph (</w:t>
      </w:r>
      <w:r w:rsidRPr="005071A1">
        <w:t xml:space="preserve">i) (whether or not any action is taken so to recover the amount) and, in pursuance of the arrangement, a life assurance policy has been assigned to the Commonwealth or to the authority—the Commonwealth or the authority, as the case may be, may, notwithstanding any obligation on </w:t>
      </w:r>
      <w:r w:rsidRPr="005071A1">
        <w:lastRenderedPageBreak/>
        <w:t>the Commonwealth or the authority to assign the policy to the person, surrender the policy and apply the proceeds of the surrender in reduction of the amount and, if the proceeds exceed the amount, shall pay an amount equal to the excess to the person; and</w:t>
      </w:r>
    </w:p>
    <w:p w14:paraId="6E0BF68D" w14:textId="77777777" w:rsidR="00B33542" w:rsidRPr="005071A1" w:rsidRDefault="00B33542" w:rsidP="00B33542">
      <w:pPr>
        <w:pStyle w:val="paragraph"/>
      </w:pPr>
      <w:r w:rsidRPr="005071A1">
        <w:tab/>
        <w:t>(d)</w:t>
      </w:r>
      <w:r w:rsidRPr="005071A1">
        <w:tab/>
        <w:t xml:space="preserve">where, in pursuance of the arrangement, a life assurance policy has been assigned to the Commonwealth or to the authority and the policy has not been surrendered in accordance with </w:t>
      </w:r>
      <w:r w:rsidR="008B2950" w:rsidRPr="005071A1">
        <w:t>paragraph (</w:t>
      </w:r>
      <w:r w:rsidRPr="005071A1">
        <w:t>c), the Commonwealth or the authority, as the case may be, shall, upon payment or recovery of the amount referred to in that paragraph, assign the policy to the person.</w:t>
      </w:r>
    </w:p>
    <w:p w14:paraId="5BFE7C5A" w14:textId="77777777" w:rsidR="00B33542" w:rsidRPr="005071A1" w:rsidRDefault="00B33542" w:rsidP="00B33542">
      <w:pPr>
        <w:pStyle w:val="subsection"/>
        <w:keepNext/>
        <w:keepLines/>
      </w:pPr>
      <w:r w:rsidRPr="005071A1">
        <w:tab/>
        <w:t>(2A)</w:t>
      </w:r>
      <w:r w:rsidRPr="005071A1">
        <w:tab/>
        <w:t xml:space="preserve">Where a person with whom an arrangement has been made under this section is or becomes a contributor to the Fund under Part III or to the Provident Account and the arrangement has not been terminated under </w:t>
      </w:r>
      <w:r w:rsidR="008B2950" w:rsidRPr="005071A1">
        <w:t>subsection (</w:t>
      </w:r>
      <w:r w:rsidRPr="005071A1">
        <w:t>2):</w:t>
      </w:r>
    </w:p>
    <w:p w14:paraId="4CF56FB9" w14:textId="77777777" w:rsidR="00B33542" w:rsidRPr="005071A1" w:rsidRDefault="00B33542" w:rsidP="00B33542">
      <w:pPr>
        <w:pStyle w:val="paragraph"/>
      </w:pPr>
      <w:r w:rsidRPr="005071A1">
        <w:tab/>
        <w:t>(a)</w:t>
      </w:r>
      <w:r w:rsidRPr="005071A1">
        <w:tab/>
        <w:t>if the arrangement has not otherwise terminated, the arrangement is, by force of this subsection, terminated;</w:t>
      </w:r>
    </w:p>
    <w:p w14:paraId="7ECBDCAD" w14:textId="77777777" w:rsidR="00B33542" w:rsidRPr="005071A1" w:rsidRDefault="00B33542" w:rsidP="00B33542">
      <w:pPr>
        <w:pStyle w:val="paragraph"/>
      </w:pPr>
      <w:r w:rsidRPr="005071A1">
        <w:tab/>
        <w:t>(b)</w:t>
      </w:r>
      <w:r w:rsidRPr="005071A1">
        <w:tab/>
        <w:t xml:space="preserve">the person shall, within two months after the date of commencement of the </w:t>
      </w:r>
      <w:r w:rsidRPr="005071A1">
        <w:rPr>
          <w:i/>
        </w:rPr>
        <w:t xml:space="preserve">Superannuation Act 1965 </w:t>
      </w:r>
      <w:r w:rsidRPr="005071A1">
        <w:t>or the date on which he became or becomes a contributor, whichever is the later date, or within such further period as the Minister allows, pay to the Commonwealth or to the approved authority, as the case may be, an amount equal to the sum of the contributions paid by the Commonwealth or the authority under the arrangement and compound interest on those contributions at the rate of three and three</w:t>
      </w:r>
      <w:r w:rsidR="004510F0">
        <w:noBreakHyphen/>
      </w:r>
      <w:r w:rsidRPr="005071A1">
        <w:t>quarters per centum per annum, and:</w:t>
      </w:r>
    </w:p>
    <w:p w14:paraId="6DDDDC32" w14:textId="77777777" w:rsidR="00B33542" w:rsidRPr="005071A1" w:rsidRDefault="00B33542" w:rsidP="00B33542">
      <w:pPr>
        <w:pStyle w:val="paragraphsub"/>
      </w:pPr>
      <w:r w:rsidRPr="005071A1">
        <w:tab/>
        <w:t>(i)</w:t>
      </w:r>
      <w:r w:rsidRPr="005071A1">
        <w:tab/>
        <w:t>if the amount is not paid within that period, it is recoverable by the Commonwealth or the authority as a debt due to the Commonwealth or to the authority in any court of competent jurisdiction; and</w:t>
      </w:r>
    </w:p>
    <w:p w14:paraId="73555409" w14:textId="77777777" w:rsidR="00B33542" w:rsidRPr="005071A1" w:rsidRDefault="00B33542" w:rsidP="00B33542">
      <w:pPr>
        <w:pStyle w:val="paragraphsub"/>
      </w:pPr>
      <w:r w:rsidRPr="005071A1">
        <w:lastRenderedPageBreak/>
        <w:tab/>
        <w:t>(ii)</w:t>
      </w:r>
      <w:r w:rsidRPr="005071A1">
        <w:tab/>
        <w:t xml:space="preserve">if the amount is not paid within that period and is not recovered in pursuance of </w:t>
      </w:r>
      <w:r w:rsidR="008B2950" w:rsidRPr="005071A1">
        <w:t>subparagraph (</w:t>
      </w:r>
      <w:r w:rsidRPr="005071A1">
        <w:t>i) (whether or not any action is taken so to recover the amount) and, in pursuance of the arrangement, a life assurance policy has been assigned to the Commonwealth or to the authority—the Commonwealth or the authority, as the case may be, may, notwithstanding any obligation on the Commonwealth or the authority to assign the policy to the person, surrender the policy and apply the proceeds of the surrender in reduction of the amount and, if the proceeds exceed the amount, shall pay an amount equal to the excess to the person; and</w:t>
      </w:r>
    </w:p>
    <w:p w14:paraId="2B85D070" w14:textId="77777777" w:rsidR="00B33542" w:rsidRPr="005071A1" w:rsidRDefault="00B33542" w:rsidP="00B33542">
      <w:pPr>
        <w:pStyle w:val="paragraph"/>
      </w:pPr>
      <w:r w:rsidRPr="005071A1">
        <w:tab/>
        <w:t>(c)</w:t>
      </w:r>
      <w:r w:rsidRPr="005071A1">
        <w:tab/>
        <w:t xml:space="preserve">if, in pursuance of the arrangement, a life assurance policy has been assigned to the Commonwealth or to the authority and the policy has not been surrendered in accordance with </w:t>
      </w:r>
      <w:r w:rsidR="008B2950" w:rsidRPr="005071A1">
        <w:t>paragraph (</w:t>
      </w:r>
      <w:r w:rsidRPr="005071A1">
        <w:t>b), the Commonwealth or the authority, as the case may be, shall, upon payment or recovery of the amount referred to in that paragraph, assign the policy to the person.</w:t>
      </w:r>
    </w:p>
    <w:p w14:paraId="479A1335" w14:textId="77777777" w:rsidR="00B33542" w:rsidRPr="005071A1" w:rsidRDefault="00B33542" w:rsidP="00B33542">
      <w:pPr>
        <w:pStyle w:val="subsection"/>
      </w:pPr>
      <w:r w:rsidRPr="005071A1">
        <w:tab/>
        <w:t>(3)</w:t>
      </w:r>
      <w:r w:rsidRPr="005071A1">
        <w:tab/>
        <w:t>An approved authority may apply for the purposes of an arrangement under this section any moneys under the control of the approved authority.</w:t>
      </w:r>
    </w:p>
    <w:p w14:paraId="7CDFACC5" w14:textId="77777777" w:rsidR="00B33542" w:rsidRPr="005071A1" w:rsidRDefault="00B33542" w:rsidP="00B33542">
      <w:pPr>
        <w:pStyle w:val="subsection"/>
      </w:pPr>
      <w:r w:rsidRPr="005071A1">
        <w:tab/>
        <w:t>(5)</w:t>
      </w:r>
      <w:r w:rsidRPr="005071A1">
        <w:tab/>
        <w:t xml:space="preserve">This section has effect subject to </w:t>
      </w:r>
      <w:r w:rsidR="004510F0">
        <w:t>section 1</w:t>
      </w:r>
      <w:r w:rsidRPr="005071A1">
        <w:t>19ZD.</w:t>
      </w:r>
    </w:p>
    <w:p w14:paraId="2BF3FD93" w14:textId="77777777" w:rsidR="00B33542" w:rsidRPr="005071A1" w:rsidRDefault="00B33542" w:rsidP="002477D1">
      <w:pPr>
        <w:pStyle w:val="ActHead2"/>
        <w:pageBreakBefore/>
      </w:pPr>
      <w:bookmarkStart w:id="10" w:name="_Toc185577392"/>
      <w:r w:rsidRPr="004510F0">
        <w:rPr>
          <w:rStyle w:val="CharPartNo"/>
        </w:rPr>
        <w:lastRenderedPageBreak/>
        <w:t>Part III</w:t>
      </w:r>
      <w:r w:rsidRPr="005071A1">
        <w:t>—</w:t>
      </w:r>
      <w:r w:rsidRPr="004510F0">
        <w:rPr>
          <w:rStyle w:val="CharPartText"/>
        </w:rPr>
        <w:t>Contributions</w:t>
      </w:r>
      <w:bookmarkEnd w:id="10"/>
    </w:p>
    <w:p w14:paraId="4A53BB8E" w14:textId="77777777" w:rsidR="00B33542" w:rsidRPr="005071A1" w:rsidRDefault="00B33542" w:rsidP="00B33542">
      <w:pPr>
        <w:pStyle w:val="ActHead3"/>
      </w:pPr>
      <w:bookmarkStart w:id="11" w:name="_Toc185577393"/>
      <w:r w:rsidRPr="004510F0">
        <w:rPr>
          <w:rStyle w:val="CharDivNo"/>
        </w:rPr>
        <w:t>Division</w:t>
      </w:r>
      <w:r w:rsidR="008B2950" w:rsidRPr="004510F0">
        <w:rPr>
          <w:rStyle w:val="CharDivNo"/>
        </w:rPr>
        <w:t> </w:t>
      </w:r>
      <w:r w:rsidRPr="004510F0">
        <w:rPr>
          <w:rStyle w:val="CharDivNo"/>
        </w:rPr>
        <w:t>1</w:t>
      </w:r>
      <w:r w:rsidRPr="005071A1">
        <w:t>—</w:t>
      </w:r>
      <w:r w:rsidRPr="004510F0">
        <w:rPr>
          <w:rStyle w:val="CharDivText"/>
        </w:rPr>
        <w:t>Contributions by employees</w:t>
      </w:r>
      <w:bookmarkEnd w:id="11"/>
    </w:p>
    <w:p w14:paraId="094F178C" w14:textId="77777777" w:rsidR="00B33542" w:rsidRPr="005071A1" w:rsidRDefault="00B33542" w:rsidP="00B33542">
      <w:pPr>
        <w:pStyle w:val="ActHead5"/>
      </w:pPr>
      <w:bookmarkStart w:id="12" w:name="_Toc185577394"/>
      <w:r w:rsidRPr="004510F0">
        <w:rPr>
          <w:rStyle w:val="CharSectno"/>
        </w:rPr>
        <w:t>19</w:t>
      </w:r>
      <w:r w:rsidRPr="005071A1">
        <w:t xml:space="preserve">  Commencement and cessation of contributions</w:t>
      </w:r>
      <w:bookmarkEnd w:id="12"/>
    </w:p>
    <w:p w14:paraId="3A470AFC" w14:textId="77777777" w:rsidR="00B33542" w:rsidRPr="005071A1" w:rsidRDefault="00B33542" w:rsidP="00B33542">
      <w:pPr>
        <w:pStyle w:val="subsection"/>
      </w:pPr>
      <w:r w:rsidRPr="005071A1">
        <w:tab/>
        <w:t>(1)</w:t>
      </w:r>
      <w:r w:rsidRPr="005071A1">
        <w:tab/>
        <w:t>Every employee (not being a State employee within the meaning of Part VII) shall (except as otherwise provided in this Act) contribute to the Fund from such date as the Governor</w:t>
      </w:r>
      <w:r w:rsidR="004510F0">
        <w:noBreakHyphen/>
      </w:r>
      <w:r w:rsidRPr="005071A1">
        <w:t xml:space="preserve">General notifies in the </w:t>
      </w:r>
      <w:r w:rsidRPr="005071A1">
        <w:rPr>
          <w:i/>
        </w:rPr>
        <w:t>Gazette</w:t>
      </w:r>
      <w:r w:rsidRPr="005071A1">
        <w:t>, or, in the case of an employee whose employment commences after the date so notified, as from the prescribed date.</w:t>
      </w:r>
    </w:p>
    <w:p w14:paraId="527D3711" w14:textId="77777777" w:rsidR="00B33542" w:rsidRPr="005071A1" w:rsidRDefault="00B33542" w:rsidP="00B33542">
      <w:pPr>
        <w:pStyle w:val="subsection"/>
      </w:pPr>
      <w:r w:rsidRPr="005071A1">
        <w:tab/>
        <w:t>(1A)</w:t>
      </w:r>
      <w:r w:rsidRPr="005071A1">
        <w:tab/>
        <w:t xml:space="preserve">For the purpose of </w:t>
      </w:r>
      <w:r w:rsidR="008B2950" w:rsidRPr="005071A1">
        <w:t>subsection (</w:t>
      </w:r>
      <w:r w:rsidRPr="005071A1">
        <w:t>1), the prescribed date is:</w:t>
      </w:r>
    </w:p>
    <w:p w14:paraId="28B678FE" w14:textId="77777777" w:rsidR="00B33542" w:rsidRPr="005071A1" w:rsidRDefault="00B33542" w:rsidP="00B33542">
      <w:pPr>
        <w:pStyle w:val="paragraph"/>
      </w:pPr>
      <w:r w:rsidRPr="005071A1">
        <w:tab/>
        <w:t>(a)</w:t>
      </w:r>
      <w:r w:rsidRPr="005071A1">
        <w:tab/>
        <w:t xml:space="preserve">in the case of a person other than a person to whom </w:t>
      </w:r>
      <w:r w:rsidR="008B2950" w:rsidRPr="005071A1">
        <w:t>paragraph (</w:t>
      </w:r>
      <w:r w:rsidRPr="005071A1">
        <w:t>b) or (c) applies—the date on which he becomes an employee or, if that date is not a pay</w:t>
      </w:r>
      <w:r w:rsidR="004510F0">
        <w:noBreakHyphen/>
      </w:r>
      <w:r w:rsidRPr="005071A1">
        <w:t>day, the next succeeding pay</w:t>
      </w:r>
      <w:r w:rsidR="004510F0">
        <w:noBreakHyphen/>
      </w:r>
      <w:r w:rsidRPr="005071A1">
        <w:t>day after that date;</w:t>
      </w:r>
    </w:p>
    <w:p w14:paraId="7B4C7EBD" w14:textId="77777777" w:rsidR="00B33542" w:rsidRPr="005071A1" w:rsidRDefault="00B33542" w:rsidP="00B33542">
      <w:pPr>
        <w:pStyle w:val="paragraph"/>
      </w:pPr>
      <w:r w:rsidRPr="005071A1">
        <w:tab/>
        <w:t>(b)</w:t>
      </w:r>
      <w:r w:rsidRPr="005071A1">
        <w:tab/>
        <w:t>in the case of a person who has been retired on the ground of invalidity or of physical or mental incapacity to perform his duties and is re</w:t>
      </w:r>
      <w:r w:rsidR="004510F0">
        <w:noBreakHyphen/>
      </w:r>
      <w:r w:rsidRPr="005071A1">
        <w:t>appointed on probation—the date on which his re</w:t>
      </w:r>
      <w:r w:rsidR="004510F0">
        <w:noBreakHyphen/>
      </w:r>
      <w:r w:rsidRPr="005071A1">
        <w:t>appointment is confirmed or, if that date is not a pay</w:t>
      </w:r>
      <w:r w:rsidR="004510F0">
        <w:noBreakHyphen/>
      </w:r>
      <w:r w:rsidRPr="005071A1">
        <w:t>day, the next succeeding pay</w:t>
      </w:r>
      <w:r w:rsidR="004510F0">
        <w:noBreakHyphen/>
      </w:r>
      <w:r w:rsidRPr="005071A1">
        <w:t>day after that date; or</w:t>
      </w:r>
    </w:p>
    <w:p w14:paraId="40A70A07" w14:textId="77777777" w:rsidR="00B33542" w:rsidRPr="005071A1" w:rsidRDefault="00B33542" w:rsidP="00B33542">
      <w:pPr>
        <w:pStyle w:val="paragraph"/>
      </w:pPr>
      <w:r w:rsidRPr="005071A1">
        <w:tab/>
        <w:t>(c)</w:t>
      </w:r>
      <w:r w:rsidRPr="005071A1">
        <w:tab/>
        <w:t>in the case of a person who is to be deemed to be an employee within the meaning of section</w:t>
      </w:r>
      <w:r w:rsidR="008B2950" w:rsidRPr="005071A1">
        <w:t> </w:t>
      </w:r>
      <w:r w:rsidRPr="005071A1">
        <w:t xml:space="preserve">4 by virtue of </w:t>
      </w:r>
      <w:r w:rsidR="008B2950" w:rsidRPr="005071A1">
        <w:t>subsection (</w:t>
      </w:r>
      <w:r w:rsidRPr="005071A1">
        <w:t>4), (5), (5A) or (6) of that section—the date as from which he is to be deemed to be, or to have been, an employee or, if that date is not, or was not, a pay</w:t>
      </w:r>
      <w:r w:rsidR="004510F0">
        <w:noBreakHyphen/>
      </w:r>
      <w:r w:rsidRPr="005071A1">
        <w:t>day, the next succeeding pay</w:t>
      </w:r>
      <w:r w:rsidR="004510F0">
        <w:noBreakHyphen/>
      </w:r>
      <w:r w:rsidRPr="005071A1">
        <w:t>day after that date.</w:t>
      </w:r>
    </w:p>
    <w:p w14:paraId="633881A3" w14:textId="77777777" w:rsidR="00B33542" w:rsidRPr="005071A1" w:rsidRDefault="00B33542" w:rsidP="00B33542">
      <w:pPr>
        <w:pStyle w:val="subsection"/>
      </w:pPr>
      <w:r w:rsidRPr="005071A1">
        <w:tab/>
        <w:t>(2)</w:t>
      </w:r>
      <w:r w:rsidRPr="005071A1">
        <w:tab/>
        <w:t>In respect of units of pension the initial contributions for which were made before 9</w:t>
      </w:r>
      <w:r w:rsidR="008B2950" w:rsidRPr="005071A1">
        <w:t> </w:t>
      </w:r>
      <w:r w:rsidRPr="005071A1">
        <w:t xml:space="preserve">August 1930, the contributor shall, subject to </w:t>
      </w:r>
      <w:r w:rsidRPr="005071A1">
        <w:lastRenderedPageBreak/>
        <w:t>this section, be liable to pay the contributions until immediately after the last fortnightly payment before he ceases to be an employee or before the anniversary of his initial contribution next preceding the attainment by him of the maximum age for retirement, whichever first happens.</w:t>
      </w:r>
    </w:p>
    <w:p w14:paraId="09D234EB" w14:textId="77777777" w:rsidR="00B33542" w:rsidRPr="005071A1" w:rsidRDefault="00B33542" w:rsidP="00B33542">
      <w:pPr>
        <w:pStyle w:val="subsection"/>
      </w:pPr>
      <w:r w:rsidRPr="005071A1">
        <w:tab/>
        <w:t>(2A)</w:t>
      </w:r>
      <w:r w:rsidRPr="005071A1">
        <w:tab/>
        <w:t>In respect of units of pension the initial contributions for which were or are made on or after 9</w:t>
      </w:r>
      <w:r w:rsidR="008B2950" w:rsidRPr="005071A1">
        <w:t> </w:t>
      </w:r>
      <w:r w:rsidRPr="005071A1">
        <w:t>August 1930, the contributor shall, subject to this section, be liable, in respect of each unit of pension or fraction of a unit of pension, to pay the contributions until immediately after the last fortnightly payment before he ceases to be an employee or before the anniversary of his initial contribution in respect of that unit or fraction of a unit next preceding the attainment by him of the maximum age for retirement, whichever first happens.</w:t>
      </w:r>
    </w:p>
    <w:p w14:paraId="6044C1A8" w14:textId="77777777" w:rsidR="00B33542" w:rsidRPr="005071A1" w:rsidRDefault="00B33542" w:rsidP="00B33542">
      <w:pPr>
        <w:pStyle w:val="subsection"/>
      </w:pPr>
      <w:r w:rsidRPr="005071A1">
        <w:tab/>
        <w:t>(2B)</w:t>
      </w:r>
      <w:r w:rsidRPr="005071A1">
        <w:tab/>
        <w:t>In the case of a contributor whose initial contribution in respect of a unit of pension or fraction of a unit of pension is made within twelve months before he attains the maximum age for retirement, twenty</w:t>
      </w:r>
      <w:r w:rsidR="004510F0">
        <w:noBreakHyphen/>
      </w:r>
      <w:r w:rsidRPr="005071A1">
        <w:t>six contributions at the fortnightly rates applicable to the contributor in respect of that unit or fraction shall be made before a pension in respect of superannuation as regards that unit or fraction becomes payable.</w:t>
      </w:r>
    </w:p>
    <w:p w14:paraId="48C64344" w14:textId="77777777" w:rsidR="00B33542" w:rsidRPr="005071A1" w:rsidRDefault="00B33542" w:rsidP="00B33542">
      <w:pPr>
        <w:pStyle w:val="subsection"/>
      </w:pPr>
      <w:r w:rsidRPr="005071A1">
        <w:tab/>
        <w:t>(2BA)</w:t>
      </w:r>
      <w:r w:rsidRPr="005071A1">
        <w:tab/>
        <w:t xml:space="preserve">For the purposes of </w:t>
      </w:r>
      <w:r w:rsidR="008B2950" w:rsidRPr="005071A1">
        <w:t>subsections (</w:t>
      </w:r>
      <w:r w:rsidRPr="005071A1">
        <w:t>2), (2A) and (2B), the initial contribution of an employee in respect of any additional unit of pension or fraction of a unit of pension shall be deemed to have been made on the date as from which the contribution became payable.</w:t>
      </w:r>
    </w:p>
    <w:p w14:paraId="790F5D7E" w14:textId="77777777" w:rsidR="00B33542" w:rsidRPr="005071A1" w:rsidRDefault="00B33542" w:rsidP="00B33542">
      <w:pPr>
        <w:pStyle w:val="subsection"/>
      </w:pPr>
      <w:r w:rsidRPr="005071A1">
        <w:tab/>
        <w:t>(2BB)</w:t>
      </w:r>
      <w:r w:rsidRPr="005071A1">
        <w:tab/>
        <w:t xml:space="preserve">After the attainment by a contributor of the anniversary of his birth next preceding the attainment by him of the maximum age for retirement in respect of any units of pension, he shall be liable to continue, subject to </w:t>
      </w:r>
      <w:r w:rsidR="008B2950" w:rsidRPr="005071A1">
        <w:t>subsection (</w:t>
      </w:r>
      <w:r w:rsidRPr="005071A1">
        <w:t xml:space="preserve">2BC), to make fortnightly payments of contributions for those units of pension at a rate equal to the sum of the rates of the contributions payable by him for </w:t>
      </w:r>
      <w:r w:rsidRPr="005071A1">
        <w:lastRenderedPageBreak/>
        <w:t>those units of pension immediately before that anniversary until he has completed payment of contributions for those units.</w:t>
      </w:r>
    </w:p>
    <w:p w14:paraId="5D82AA26" w14:textId="77777777" w:rsidR="00B33542" w:rsidRPr="005071A1" w:rsidRDefault="00B33542" w:rsidP="00B33542">
      <w:pPr>
        <w:pStyle w:val="subsection"/>
      </w:pPr>
      <w:r w:rsidRPr="005071A1">
        <w:tab/>
        <w:t>(2BC)</w:t>
      </w:r>
      <w:r w:rsidRPr="005071A1">
        <w:tab/>
        <w:t xml:space="preserve">The amount of the last payment by a contributor (not being a contributor who ceases to be an employee before he has completed payment of his contributions) shall, if necessary, be reduced so that the amount of the payments made by the contributor does not exceed the amount of the contributions that the contributor would, but for </w:t>
      </w:r>
      <w:r w:rsidR="008B2950" w:rsidRPr="005071A1">
        <w:t>subsection (</w:t>
      </w:r>
      <w:r w:rsidRPr="005071A1">
        <w:t>2BB), have been liable to pay.</w:t>
      </w:r>
    </w:p>
    <w:p w14:paraId="78C66BE9" w14:textId="77777777" w:rsidR="00B33542" w:rsidRPr="005071A1" w:rsidRDefault="00B33542" w:rsidP="00B33542">
      <w:pPr>
        <w:pStyle w:val="subsection"/>
      </w:pPr>
      <w:r w:rsidRPr="005071A1">
        <w:tab/>
        <w:t>(2BD)</w:t>
      </w:r>
      <w:r w:rsidRPr="005071A1">
        <w:tab/>
      </w:r>
      <w:r w:rsidR="008B2950" w:rsidRPr="005071A1">
        <w:t>Subsection (</w:t>
      </w:r>
      <w:r w:rsidRPr="005071A1">
        <w:t>2BB) does not apply in relation to contributions in respect of which this Act provides that twenty</w:t>
      </w:r>
      <w:r w:rsidR="004510F0">
        <w:noBreakHyphen/>
      </w:r>
      <w:r w:rsidRPr="005071A1">
        <w:t>six contributions shall be payable.</w:t>
      </w:r>
    </w:p>
    <w:p w14:paraId="6F26D05D" w14:textId="77777777" w:rsidR="00B33542" w:rsidRPr="005071A1" w:rsidRDefault="00B33542" w:rsidP="00B33542">
      <w:pPr>
        <w:pStyle w:val="subsection"/>
      </w:pPr>
      <w:r w:rsidRPr="005071A1">
        <w:tab/>
        <w:t>(2BE)</w:t>
      </w:r>
      <w:r w:rsidRPr="005071A1">
        <w:tab/>
        <w:t>Subject to this Act, where a contributor is retired on the ground of invalidity or physical or mental incapacity to perform his duties, or dies, before he has commenced to make contributions, or additional contributions, for or in respect of a unit of pension or an additional unit of pension for or in respect of which he has become liable, or has elected, to contribute, such contributions as are due by him for or in respect of that unit or additional unit, or, if a pay</w:t>
      </w:r>
      <w:r w:rsidR="004510F0">
        <w:noBreakHyphen/>
      </w:r>
      <w:r w:rsidRPr="005071A1">
        <w:t>day has not occurred before the retirement or death, one contribution at the fortnightly rate applicable to the contributor for or in respect of that unit or additional unit, shall be made before a pension in respect of that unit or additional unit becomes payable and may be deducted from any payments of pension or benefit that become payable to or in respect of that contributor.</w:t>
      </w:r>
    </w:p>
    <w:p w14:paraId="3F147067" w14:textId="77777777" w:rsidR="00B33542" w:rsidRPr="005071A1" w:rsidRDefault="00B33542" w:rsidP="00B33542">
      <w:pPr>
        <w:pStyle w:val="subsection"/>
      </w:pPr>
      <w:r w:rsidRPr="005071A1">
        <w:tab/>
        <w:t>(2C)</w:t>
      </w:r>
      <w:r w:rsidRPr="005071A1">
        <w:tab/>
        <w:t>A contributor:</w:t>
      </w:r>
    </w:p>
    <w:p w14:paraId="0E28F98F" w14:textId="77777777" w:rsidR="00B33542" w:rsidRPr="005071A1" w:rsidRDefault="00B33542" w:rsidP="00B33542">
      <w:pPr>
        <w:pStyle w:val="paragraph"/>
      </w:pPr>
      <w:r w:rsidRPr="005071A1">
        <w:tab/>
        <w:t>(a)</w:t>
      </w:r>
      <w:r w:rsidRPr="005071A1">
        <w:tab/>
        <w:t>who elects, or is called upon, to retire on or after attaining the age of sixty years; or</w:t>
      </w:r>
    </w:p>
    <w:p w14:paraId="54FAAA21" w14:textId="77777777" w:rsidR="00B33542" w:rsidRPr="005071A1" w:rsidRDefault="00B33542" w:rsidP="00B33542">
      <w:pPr>
        <w:pStyle w:val="paragraph"/>
        <w:keepNext/>
      </w:pPr>
      <w:r w:rsidRPr="005071A1">
        <w:lastRenderedPageBreak/>
        <w:tab/>
        <w:t>(b)</w:t>
      </w:r>
      <w:r w:rsidRPr="005071A1">
        <w:tab/>
        <w:t>the age for whose retirement is fixed at an earlier age than sixty</w:t>
      </w:r>
      <w:r w:rsidR="004510F0">
        <w:noBreakHyphen/>
      </w:r>
      <w:r w:rsidRPr="005071A1">
        <w:t>five years, but not less than sixty years, and who retires on attaining the age so fixed;</w:t>
      </w:r>
    </w:p>
    <w:p w14:paraId="2F5DA342" w14:textId="77777777" w:rsidR="00B33542" w:rsidRPr="005071A1" w:rsidRDefault="00B33542" w:rsidP="00B33542">
      <w:pPr>
        <w:pStyle w:val="subsection2"/>
      </w:pPr>
      <w:r w:rsidRPr="005071A1">
        <w:t>may, notwithstanding anything contained in this section contribute, in a lump sum, or in such smaller sums and at such periods as the Board approves, such amount as the Board considers necessary to enable a pension in respect of units of pension for which he is a contributor to be paid to him on retirement equal to the pension in respect of those units which would have been paid to him if he had retired at such later age (not exceeding the age of sixty</w:t>
      </w:r>
      <w:r w:rsidR="004510F0">
        <w:noBreakHyphen/>
      </w:r>
      <w:r w:rsidRPr="005071A1">
        <w:t>five years) as the Board approves.</w:t>
      </w:r>
    </w:p>
    <w:p w14:paraId="364CEAB4" w14:textId="77777777" w:rsidR="00B33542" w:rsidRPr="005071A1" w:rsidRDefault="00B33542" w:rsidP="00B33542">
      <w:pPr>
        <w:pStyle w:val="subsection"/>
      </w:pPr>
      <w:r w:rsidRPr="005071A1">
        <w:tab/>
        <w:t>(2D)</w:t>
      </w:r>
      <w:r w:rsidRPr="005071A1">
        <w:tab/>
        <w:t>A contributor:</w:t>
      </w:r>
    </w:p>
    <w:p w14:paraId="3FD4B90F" w14:textId="77777777" w:rsidR="00B33542" w:rsidRPr="005071A1" w:rsidRDefault="00B33542" w:rsidP="00B33542">
      <w:pPr>
        <w:pStyle w:val="paragraph"/>
      </w:pPr>
      <w:r w:rsidRPr="005071A1">
        <w:tab/>
        <w:t>(a)</w:t>
      </w:r>
      <w:r w:rsidRPr="005071A1">
        <w:tab/>
        <w:t>who elects, or is called upon, to retire on or after attaining the age of sixty years; or</w:t>
      </w:r>
    </w:p>
    <w:p w14:paraId="5ECC3ABB" w14:textId="77777777" w:rsidR="00B33542" w:rsidRPr="005071A1" w:rsidRDefault="00B33542" w:rsidP="00D11EDC">
      <w:pPr>
        <w:pStyle w:val="paragraph"/>
      </w:pPr>
      <w:r w:rsidRPr="005071A1">
        <w:tab/>
        <w:t>(b)</w:t>
      </w:r>
      <w:r w:rsidRPr="005071A1">
        <w:tab/>
        <w:t>the age for whose retirement is fixed at an earlier age than sixty</w:t>
      </w:r>
      <w:r w:rsidR="004510F0">
        <w:noBreakHyphen/>
      </w:r>
      <w:r w:rsidRPr="005071A1">
        <w:t>five years, but not less than sixty years, and who retires on attaining the age so fixed;</w:t>
      </w:r>
    </w:p>
    <w:p w14:paraId="5BF6004F" w14:textId="77777777" w:rsidR="00B33542" w:rsidRPr="005071A1" w:rsidRDefault="00B33542" w:rsidP="00B33542">
      <w:pPr>
        <w:pStyle w:val="subsection2"/>
      </w:pPr>
      <w:r w:rsidRPr="005071A1">
        <w:t>may, notwithstanding anything contained in this section, contribute, in a lump sum, or in such smaller sums and at such periods as the Board approves, the amount necessary to enable a pension in respect of non</w:t>
      </w:r>
      <w:r w:rsidR="004510F0">
        <w:noBreakHyphen/>
      </w:r>
      <w:r w:rsidRPr="005071A1">
        <w:t>contributory units of pension applicable in relation to him to be paid to him on retirement equal to the pension in respect of those units that would have been paid to him if he had retired at such later age (not exceeding the age of sixty</w:t>
      </w:r>
      <w:r w:rsidR="004510F0">
        <w:noBreakHyphen/>
      </w:r>
      <w:r w:rsidRPr="005071A1">
        <w:t>five years) as the Board approves.</w:t>
      </w:r>
    </w:p>
    <w:p w14:paraId="0776B184" w14:textId="77777777" w:rsidR="00B33542" w:rsidRPr="005071A1" w:rsidRDefault="00B33542" w:rsidP="00B33542">
      <w:pPr>
        <w:pStyle w:val="subsection"/>
      </w:pPr>
      <w:r w:rsidRPr="005071A1">
        <w:tab/>
        <w:t>(2E)</w:t>
      </w:r>
      <w:r w:rsidRPr="005071A1">
        <w:tab/>
        <w:t xml:space="preserve">For the purposes of </w:t>
      </w:r>
      <w:r w:rsidR="008B2950" w:rsidRPr="005071A1">
        <w:t>subsection (</w:t>
      </w:r>
      <w:r w:rsidRPr="005071A1">
        <w:t>2D), the amount necessary to be contributed to enable a pension in respect of non</w:t>
      </w:r>
      <w:r w:rsidR="004510F0">
        <w:noBreakHyphen/>
      </w:r>
      <w:r w:rsidRPr="005071A1">
        <w:t>contributory units of pension to be paid to a contributor on retirement equal to the pension in respect of those units that would have been paid to him if he had retired at a later age is an amount equal to five</w:t>
      </w:r>
      <w:r w:rsidR="004510F0">
        <w:noBreakHyphen/>
      </w:r>
      <w:r w:rsidRPr="005071A1">
        <w:t xml:space="preserve">sevenths of the amount that would be required to be contributed by him under </w:t>
      </w:r>
      <w:r w:rsidR="008B2950" w:rsidRPr="005071A1">
        <w:t>subsection (</w:t>
      </w:r>
      <w:r w:rsidRPr="005071A1">
        <w:t xml:space="preserve">2C) in respect of those units in relation to that age if he had become liable to contribute for those units on the </w:t>
      </w:r>
      <w:r w:rsidRPr="005071A1">
        <w:lastRenderedPageBreak/>
        <w:t>respective dates when those units became applicable in relation to him as non</w:t>
      </w:r>
      <w:r w:rsidR="004510F0">
        <w:noBreakHyphen/>
      </w:r>
      <w:r w:rsidRPr="005071A1">
        <w:t>contributory units and he had contributed for those units at the appropriate rates based on a retiring age of sixty</w:t>
      </w:r>
      <w:r w:rsidR="004510F0">
        <w:noBreakHyphen/>
      </w:r>
      <w:r w:rsidRPr="005071A1">
        <w:t>five years.</w:t>
      </w:r>
    </w:p>
    <w:p w14:paraId="6F84CE1F" w14:textId="77777777" w:rsidR="00B33542" w:rsidRPr="005071A1" w:rsidRDefault="00B33542" w:rsidP="00B33542">
      <w:pPr>
        <w:pStyle w:val="subsection"/>
      </w:pPr>
      <w:r w:rsidRPr="005071A1">
        <w:tab/>
        <w:t>(2F)</w:t>
      </w:r>
      <w:r w:rsidRPr="005071A1">
        <w:tab/>
        <w:t xml:space="preserve">Amounts equal to amounts contributed under </w:t>
      </w:r>
      <w:r w:rsidR="008B2950" w:rsidRPr="005071A1">
        <w:t>subsection (</w:t>
      </w:r>
      <w:r w:rsidRPr="005071A1">
        <w:t>2D) are payable to the Commonwealth out of the Fund.</w:t>
      </w:r>
    </w:p>
    <w:p w14:paraId="54E46BCE" w14:textId="77777777" w:rsidR="00B33542" w:rsidRPr="005071A1" w:rsidRDefault="00B33542" w:rsidP="00B33542">
      <w:pPr>
        <w:pStyle w:val="subsection"/>
      </w:pPr>
      <w:r w:rsidRPr="005071A1">
        <w:tab/>
        <w:t>(3)</w:t>
      </w:r>
      <w:r w:rsidRPr="005071A1">
        <w:tab/>
        <w:t>Where:</w:t>
      </w:r>
    </w:p>
    <w:p w14:paraId="5A089114" w14:textId="77777777" w:rsidR="00B33542" w:rsidRPr="005071A1" w:rsidRDefault="00B33542" w:rsidP="00B33542">
      <w:pPr>
        <w:pStyle w:val="paragraph"/>
      </w:pPr>
      <w:r w:rsidRPr="005071A1">
        <w:tab/>
        <w:t>(a)</w:t>
      </w:r>
      <w:r w:rsidRPr="005071A1">
        <w:tab/>
        <w:t>after, but as from a date before, the attainment by an employee of the maximum age for retirement; or</w:t>
      </w:r>
    </w:p>
    <w:p w14:paraId="15B2A4E7" w14:textId="77777777" w:rsidR="00B33542" w:rsidRPr="005071A1" w:rsidRDefault="00B33542" w:rsidP="00B33542">
      <w:pPr>
        <w:pStyle w:val="paragraph"/>
        <w:keepNext/>
      </w:pPr>
      <w:r w:rsidRPr="005071A1">
        <w:tab/>
        <w:t>(b)</w:t>
      </w:r>
      <w:r w:rsidRPr="005071A1">
        <w:tab/>
        <w:t>after, but as from a date before, the attainment by a pensioner of the maximum age for retirement, being a pensioner who retired on or after attaining that age;</w:t>
      </w:r>
    </w:p>
    <w:p w14:paraId="016CF655" w14:textId="77777777" w:rsidR="00B33542" w:rsidRPr="005071A1" w:rsidRDefault="00B33542" w:rsidP="00B33542">
      <w:pPr>
        <w:pStyle w:val="subsection2"/>
      </w:pPr>
      <w:r w:rsidRPr="005071A1">
        <w:t xml:space="preserve">his salary is increased and the number of units of pension ascertained in accordance with </w:t>
      </w:r>
      <w:r w:rsidR="008B2950" w:rsidRPr="005071A1">
        <w:t>subsection (</w:t>
      </w:r>
      <w:r w:rsidRPr="005071A1">
        <w:t>2) of section</w:t>
      </w:r>
      <w:r w:rsidR="008B2950" w:rsidRPr="005071A1">
        <w:t> </w:t>
      </w:r>
      <w:r w:rsidRPr="005071A1">
        <w:t>20 as it applied at the time when he attained the maximum age for retirement having regard to his salary immediately after the increase is greater than the number of units of pension ascertained in accordance with that subsection as it applied at the time when he attained the maximum age for retirement having regard to his salary immediately before the increase, he may elect to contribute for additional units of pension but so that the total number of units of pension (including non</w:t>
      </w:r>
      <w:r w:rsidR="004510F0">
        <w:noBreakHyphen/>
      </w:r>
      <w:r w:rsidRPr="005071A1">
        <w:t>contributory units of pension applicable in relation to him) does not exceed the first</w:t>
      </w:r>
      <w:r w:rsidR="004510F0">
        <w:noBreakHyphen/>
      </w:r>
      <w:r w:rsidRPr="005071A1">
        <w:t>mentioned number of units of pension.</w:t>
      </w:r>
    </w:p>
    <w:p w14:paraId="4C32C823" w14:textId="77777777" w:rsidR="00B33542" w:rsidRPr="005071A1" w:rsidRDefault="00B33542" w:rsidP="00B33542">
      <w:pPr>
        <w:pStyle w:val="subsection"/>
      </w:pPr>
      <w:r w:rsidRPr="005071A1">
        <w:tab/>
        <w:t>(4)</w:t>
      </w:r>
      <w:r w:rsidRPr="005071A1">
        <w:tab/>
        <w:t xml:space="preserve">In respect of units of pension for which an employee or pensioner elects to contribute under </w:t>
      </w:r>
      <w:r w:rsidR="008B2950" w:rsidRPr="005071A1">
        <w:t>subsection (</w:t>
      </w:r>
      <w:r w:rsidRPr="005071A1">
        <w:t>3), twenty</w:t>
      </w:r>
      <w:r w:rsidR="004510F0">
        <w:noBreakHyphen/>
      </w:r>
      <w:r w:rsidRPr="005071A1">
        <w:t>six contributions at the fortnightly rate applicable to the maximum age for retirement shall be made before pension in respect of superannuation becomes payable and, upon payment of those contributions, pension becomes payable as from the date of retirement.</w:t>
      </w:r>
    </w:p>
    <w:p w14:paraId="5334B577" w14:textId="77777777" w:rsidR="00B33542" w:rsidRPr="005071A1" w:rsidRDefault="00B33542" w:rsidP="00B33542">
      <w:pPr>
        <w:pStyle w:val="ActHead5"/>
      </w:pPr>
      <w:bookmarkStart w:id="13" w:name="_Toc185577395"/>
      <w:r w:rsidRPr="004510F0">
        <w:rPr>
          <w:rStyle w:val="CharSectno"/>
        </w:rPr>
        <w:lastRenderedPageBreak/>
        <w:t>19A</w:t>
      </w:r>
      <w:r w:rsidRPr="005071A1">
        <w:t xml:space="preserve">  Contributions not payable on or after 1</w:t>
      </w:r>
      <w:r w:rsidR="008B2950" w:rsidRPr="005071A1">
        <w:t> </w:t>
      </w:r>
      <w:r w:rsidRPr="005071A1">
        <w:t>July 1976</w:t>
      </w:r>
      <w:bookmarkEnd w:id="13"/>
    </w:p>
    <w:p w14:paraId="282277DD" w14:textId="77777777" w:rsidR="00B33542" w:rsidRPr="005071A1" w:rsidRDefault="00B33542" w:rsidP="00B33542">
      <w:pPr>
        <w:pStyle w:val="subsection"/>
      </w:pPr>
      <w:r w:rsidRPr="005071A1">
        <w:tab/>
      </w:r>
      <w:r w:rsidRPr="005071A1">
        <w:tab/>
        <w:t>Contributions shall not be made under this Act on or after 1</w:t>
      </w:r>
      <w:r w:rsidR="008B2950" w:rsidRPr="005071A1">
        <w:t> </w:t>
      </w:r>
      <w:r w:rsidRPr="005071A1">
        <w:t>July 1976 except:</w:t>
      </w:r>
    </w:p>
    <w:p w14:paraId="4D5D26C3" w14:textId="77777777" w:rsidR="00B33542" w:rsidRPr="005071A1" w:rsidRDefault="00B33542" w:rsidP="00B33542">
      <w:pPr>
        <w:pStyle w:val="paragraph"/>
      </w:pPr>
      <w:r w:rsidRPr="005071A1">
        <w:tab/>
        <w:t>(a)</w:t>
      </w:r>
      <w:r w:rsidRPr="005071A1">
        <w:tab/>
        <w:t>contributions the obligation for the payment of which came into existence before that date; or</w:t>
      </w:r>
    </w:p>
    <w:p w14:paraId="09A4D9A4" w14:textId="77777777" w:rsidR="00B33542" w:rsidRPr="005071A1" w:rsidRDefault="00B33542" w:rsidP="00B33542">
      <w:pPr>
        <w:pStyle w:val="paragraph"/>
      </w:pPr>
      <w:r w:rsidRPr="005071A1">
        <w:tab/>
        <w:t>(b)</w:t>
      </w:r>
      <w:r w:rsidRPr="005071A1">
        <w:tab/>
        <w:t xml:space="preserve">contributions payable by virtue of an election made under </w:t>
      </w:r>
      <w:r w:rsidR="008B2950" w:rsidRPr="005071A1">
        <w:t>subsection (</w:t>
      </w:r>
      <w:r w:rsidRPr="005071A1">
        <w:t xml:space="preserve">3) of </w:t>
      </w:r>
      <w:r w:rsidR="004510F0">
        <w:t>section 1</w:t>
      </w:r>
      <w:r w:rsidRPr="005071A1">
        <w:t>9, whether made before or after that date.</w:t>
      </w:r>
    </w:p>
    <w:p w14:paraId="143E110B" w14:textId="77777777" w:rsidR="00B33542" w:rsidRPr="005071A1" w:rsidRDefault="00B33542" w:rsidP="002477D1">
      <w:pPr>
        <w:pStyle w:val="ActHead3"/>
        <w:pageBreakBefore/>
      </w:pPr>
      <w:bookmarkStart w:id="14" w:name="_Toc185577396"/>
      <w:r w:rsidRPr="004510F0">
        <w:rPr>
          <w:rStyle w:val="CharDivNo"/>
        </w:rPr>
        <w:lastRenderedPageBreak/>
        <w:t>Division</w:t>
      </w:r>
      <w:r w:rsidR="008B2950" w:rsidRPr="004510F0">
        <w:rPr>
          <w:rStyle w:val="CharDivNo"/>
        </w:rPr>
        <w:t> </w:t>
      </w:r>
      <w:r w:rsidRPr="004510F0">
        <w:rPr>
          <w:rStyle w:val="CharDivNo"/>
        </w:rPr>
        <w:t>2</w:t>
      </w:r>
      <w:r w:rsidRPr="005071A1">
        <w:t>—</w:t>
      </w:r>
      <w:r w:rsidRPr="004510F0">
        <w:rPr>
          <w:rStyle w:val="CharDivText"/>
        </w:rPr>
        <w:t>Units of pension</w:t>
      </w:r>
      <w:bookmarkEnd w:id="14"/>
    </w:p>
    <w:p w14:paraId="2C2089C5" w14:textId="77777777" w:rsidR="00B33542" w:rsidRPr="005071A1" w:rsidRDefault="00B33542" w:rsidP="00B33542">
      <w:pPr>
        <w:pStyle w:val="ActHead5"/>
      </w:pPr>
      <w:bookmarkStart w:id="15" w:name="_Toc185577397"/>
      <w:r w:rsidRPr="004510F0">
        <w:rPr>
          <w:rStyle w:val="CharSectno"/>
        </w:rPr>
        <w:t>20</w:t>
      </w:r>
      <w:r w:rsidRPr="005071A1">
        <w:t xml:space="preserve">  Units of pension</w:t>
      </w:r>
      <w:bookmarkEnd w:id="15"/>
    </w:p>
    <w:p w14:paraId="77521BEF" w14:textId="77777777" w:rsidR="00B33542" w:rsidRPr="005071A1" w:rsidRDefault="00B33542" w:rsidP="00B33542">
      <w:pPr>
        <w:pStyle w:val="subsection"/>
      </w:pPr>
      <w:r w:rsidRPr="005071A1">
        <w:tab/>
        <w:t>(1)</w:t>
      </w:r>
      <w:r w:rsidRPr="005071A1">
        <w:tab/>
        <w:t>Subject to this Act, contributions by an employee shall be for units for pension.</w:t>
      </w:r>
    </w:p>
    <w:p w14:paraId="2406AA12" w14:textId="77777777" w:rsidR="00B33542" w:rsidRPr="005071A1" w:rsidRDefault="00B33542" w:rsidP="00B33542">
      <w:pPr>
        <w:pStyle w:val="subsection"/>
      </w:pPr>
      <w:r w:rsidRPr="005071A1">
        <w:tab/>
        <w:t>(2)</w:t>
      </w:r>
      <w:r w:rsidRPr="005071A1">
        <w:tab/>
        <w:t xml:space="preserve">Subject to this Act, the number of units of pension for which an employee shall contribute at any time (in this subsection referred to as </w:t>
      </w:r>
      <w:r w:rsidRPr="005071A1">
        <w:rPr>
          <w:b/>
          <w:i/>
        </w:rPr>
        <w:t>the relevant time</w:t>
      </w:r>
      <w:r w:rsidRPr="005071A1">
        <w:t>) is:</w:t>
      </w:r>
    </w:p>
    <w:p w14:paraId="2EB72CF6" w14:textId="77777777" w:rsidR="00B33542" w:rsidRPr="005071A1" w:rsidRDefault="00B33542" w:rsidP="00B33542">
      <w:pPr>
        <w:pStyle w:val="paragraph"/>
      </w:pPr>
      <w:r w:rsidRPr="005071A1">
        <w:tab/>
        <w:t>(a)</w:t>
      </w:r>
      <w:r w:rsidRPr="005071A1">
        <w:tab/>
        <w:t xml:space="preserve">in the case of an employee to whom </w:t>
      </w:r>
      <w:r w:rsidR="008B2950" w:rsidRPr="005071A1">
        <w:t>paragraph (</w:t>
      </w:r>
      <w:r w:rsidRPr="005071A1">
        <w:t>b) does not apply:</w:t>
      </w:r>
    </w:p>
    <w:p w14:paraId="4444AA97" w14:textId="77777777" w:rsidR="00B33542" w:rsidRPr="005071A1" w:rsidRDefault="00B33542" w:rsidP="00B33542">
      <w:pPr>
        <w:pStyle w:val="paragraphsub"/>
        <w:spacing w:before="120"/>
      </w:pPr>
      <w:r w:rsidRPr="005071A1">
        <w:tab/>
        <w:t>(i)</w:t>
      </w:r>
      <w:r w:rsidRPr="005071A1">
        <w:tab/>
        <w:t>if the salary of the employee at the relevant time does not exceed the prescribed amount—the number of units ascertained in accordance with the formula</w:t>
      </w:r>
    </w:p>
    <w:p w14:paraId="195138CD" w14:textId="77777777" w:rsidR="00B33542" w:rsidRPr="005071A1" w:rsidRDefault="009B7AF5" w:rsidP="009B7AF5">
      <w:pPr>
        <w:pStyle w:val="paragraphsub"/>
        <w:spacing w:before="120" w:after="120"/>
      </w:pPr>
      <w:r w:rsidRPr="005071A1">
        <w:tab/>
      </w:r>
      <w:r w:rsidRPr="005071A1">
        <w:tab/>
      </w:r>
      <w:r w:rsidR="00E02FDA" w:rsidRPr="005071A1">
        <w:rPr>
          <w:noProof/>
        </w:rPr>
        <w:drawing>
          <wp:inline distT="0" distB="0" distL="0" distR="0" wp14:anchorId="41FF6760" wp14:editId="7E2DB041">
            <wp:extent cx="238760" cy="354965"/>
            <wp:effectExtent l="0" t="0" r="8890" b="6985"/>
            <wp:docPr id="2" name="Picture 2" descr="Start formula start fraction A over 13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760" cy="354965"/>
                    </a:xfrm>
                    <a:prstGeom prst="rect">
                      <a:avLst/>
                    </a:prstGeom>
                    <a:noFill/>
                    <a:ln>
                      <a:noFill/>
                    </a:ln>
                  </pic:spPr>
                </pic:pic>
              </a:graphicData>
            </a:graphic>
          </wp:inline>
        </w:drawing>
      </w:r>
      <w:r w:rsidR="00B33542" w:rsidRPr="005071A1">
        <w:t>; or</w:t>
      </w:r>
    </w:p>
    <w:p w14:paraId="5BFCD10F" w14:textId="77777777" w:rsidR="00B33542" w:rsidRPr="005071A1" w:rsidRDefault="00B33542" w:rsidP="0060128E">
      <w:pPr>
        <w:pStyle w:val="paragraphsub"/>
        <w:spacing w:before="120" w:after="120"/>
      </w:pPr>
      <w:r w:rsidRPr="005071A1">
        <w:tab/>
        <w:t>(ii)</w:t>
      </w:r>
      <w:r w:rsidRPr="005071A1">
        <w:tab/>
        <w:t>if the salary of the employee at the relevant time exceeds the prescribed amount—the number of units ascertained in accordance with the formula</w:t>
      </w:r>
      <w:r w:rsidR="0060128E" w:rsidRPr="005071A1">
        <w:t xml:space="preserve"> </w:t>
      </w:r>
      <w:r w:rsidR="00E02FDA" w:rsidRPr="005071A1">
        <w:rPr>
          <w:noProof/>
        </w:rPr>
        <w:drawing>
          <wp:inline distT="0" distB="0" distL="0" distR="0" wp14:anchorId="39CF9A69" wp14:editId="6C637E17">
            <wp:extent cx="723265" cy="354965"/>
            <wp:effectExtent l="0" t="0" r="635" b="6985"/>
            <wp:docPr id="3" name="Picture 3" descr="Start formula start fraction B over 130 end fraction plus start fraction C over 163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3265" cy="354965"/>
                    </a:xfrm>
                    <a:prstGeom prst="rect">
                      <a:avLst/>
                    </a:prstGeom>
                    <a:noFill/>
                    <a:ln>
                      <a:noFill/>
                    </a:ln>
                  </pic:spPr>
                </pic:pic>
              </a:graphicData>
            </a:graphic>
          </wp:inline>
        </w:drawing>
      </w:r>
      <w:r w:rsidRPr="005071A1">
        <w:t>; and</w:t>
      </w:r>
    </w:p>
    <w:p w14:paraId="0CED1C52" w14:textId="77777777" w:rsidR="00B33542" w:rsidRPr="005071A1" w:rsidRDefault="00B33542" w:rsidP="00B33542">
      <w:pPr>
        <w:pStyle w:val="paragraph"/>
        <w:spacing w:before="120"/>
      </w:pPr>
      <w:r w:rsidRPr="005071A1">
        <w:tab/>
        <w:t>(b)</w:t>
      </w:r>
      <w:r w:rsidRPr="005071A1">
        <w:tab/>
        <w:t>in the case of an employee:</w:t>
      </w:r>
    </w:p>
    <w:p w14:paraId="7F643088" w14:textId="77777777" w:rsidR="00B33542" w:rsidRPr="005071A1" w:rsidRDefault="00B33542" w:rsidP="00B33542">
      <w:pPr>
        <w:pStyle w:val="paragraphsub"/>
      </w:pPr>
      <w:r w:rsidRPr="005071A1">
        <w:tab/>
        <w:t>(i)</w:t>
      </w:r>
      <w:r w:rsidRPr="005071A1">
        <w:tab/>
        <w:t>who became or becomes an employee on or after 14</w:t>
      </w:r>
      <w:r w:rsidR="008B2950" w:rsidRPr="005071A1">
        <w:t> </w:t>
      </w:r>
      <w:r w:rsidRPr="005071A1">
        <w:t>December 1959;</w:t>
      </w:r>
    </w:p>
    <w:p w14:paraId="41A6BAD5" w14:textId="77777777" w:rsidR="00B33542" w:rsidRPr="005071A1" w:rsidRDefault="00B33542" w:rsidP="00B33542">
      <w:pPr>
        <w:pStyle w:val="paragraphsub"/>
      </w:pPr>
      <w:r w:rsidRPr="005071A1">
        <w:tab/>
        <w:t>(ii)</w:t>
      </w:r>
      <w:r w:rsidRPr="005071A1">
        <w:tab/>
        <w:t>whose salary at the relevant time exceeds $2,600; and</w:t>
      </w:r>
    </w:p>
    <w:p w14:paraId="345A46BC" w14:textId="77777777" w:rsidR="00B33542" w:rsidRPr="005071A1" w:rsidRDefault="00B33542" w:rsidP="00B33542">
      <w:pPr>
        <w:pStyle w:val="paragraphsub"/>
        <w:keepNext/>
      </w:pPr>
      <w:r w:rsidRPr="005071A1">
        <w:lastRenderedPageBreak/>
        <w:tab/>
        <w:t>(iii)</w:t>
      </w:r>
      <w:r w:rsidRPr="005071A1">
        <w:tab/>
        <w:t>the number of years of whose prospective service is less than twenty;</w:t>
      </w:r>
    </w:p>
    <w:p w14:paraId="06586D79" w14:textId="77777777" w:rsidR="00B33542" w:rsidRPr="005071A1" w:rsidRDefault="00B33542" w:rsidP="00B33542">
      <w:pPr>
        <w:pStyle w:val="paragraph"/>
        <w:spacing w:after="120"/>
      </w:pPr>
      <w:r w:rsidRPr="005071A1">
        <w:tab/>
      </w:r>
      <w:r w:rsidRPr="005071A1">
        <w:tab/>
        <w:t>the number of units, disregarding any fraction of a unit, ascertained in accordance with the formula</w:t>
      </w:r>
    </w:p>
    <w:p w14:paraId="096C5FE6" w14:textId="77777777" w:rsidR="00B33542" w:rsidRPr="005071A1" w:rsidRDefault="009B7AF5" w:rsidP="009B7AF5">
      <w:pPr>
        <w:pStyle w:val="paragraph"/>
        <w:spacing w:before="120" w:after="120"/>
      </w:pPr>
      <w:r w:rsidRPr="005071A1">
        <w:tab/>
      </w:r>
      <w:r w:rsidRPr="005071A1">
        <w:tab/>
      </w:r>
      <w:r w:rsidR="00E02FDA" w:rsidRPr="005071A1">
        <w:rPr>
          <w:noProof/>
        </w:rPr>
        <w:drawing>
          <wp:inline distT="0" distB="0" distL="0" distR="0" wp14:anchorId="3FE9314A" wp14:editId="7014C450">
            <wp:extent cx="1726565" cy="368300"/>
            <wp:effectExtent l="0" t="0" r="0" b="0"/>
            <wp:docPr id="4" name="Picture 4" descr="Start formula 20 plus start fraction open bracket 60 plus 4D close bracket open bracket E minus 20 close bracket over 10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26565" cy="368300"/>
                    </a:xfrm>
                    <a:prstGeom prst="rect">
                      <a:avLst/>
                    </a:prstGeom>
                    <a:noFill/>
                    <a:ln>
                      <a:noFill/>
                    </a:ln>
                  </pic:spPr>
                </pic:pic>
              </a:graphicData>
            </a:graphic>
          </wp:inline>
        </w:drawing>
      </w:r>
    </w:p>
    <w:p w14:paraId="1DA7C316" w14:textId="77777777" w:rsidR="00B33542" w:rsidRPr="005071A1" w:rsidRDefault="00B33542" w:rsidP="00B33542">
      <w:pPr>
        <w:pStyle w:val="subsection"/>
      </w:pPr>
      <w:r w:rsidRPr="005071A1">
        <w:tab/>
        <w:t>(3)</w:t>
      </w:r>
      <w:r w:rsidRPr="005071A1">
        <w:tab/>
        <w:t xml:space="preserve">For the purpose of the application at any time in relation to an employee of a formula contained in </w:t>
      </w:r>
      <w:r w:rsidR="008B2950" w:rsidRPr="005071A1">
        <w:t>subsection (</w:t>
      </w:r>
      <w:r w:rsidRPr="005071A1">
        <w:t>2):</w:t>
      </w:r>
    </w:p>
    <w:p w14:paraId="47F3F63D" w14:textId="77777777" w:rsidR="00B33542" w:rsidRPr="005071A1" w:rsidRDefault="00B33542" w:rsidP="00B33542">
      <w:pPr>
        <w:pStyle w:val="Definition"/>
      </w:pPr>
      <w:r w:rsidRPr="005071A1">
        <w:rPr>
          <w:b/>
          <w:i/>
        </w:rPr>
        <w:t>A</w:t>
      </w:r>
      <w:r w:rsidRPr="005071A1">
        <w:t xml:space="preserve"> is the number of dollars in the salary of the employee at that time or, if the number of dollars in the salary of the employee at that time is not a multiple of one hundred and thirty, the next lower number that is such a multiple.</w:t>
      </w:r>
    </w:p>
    <w:p w14:paraId="753A546E" w14:textId="77777777" w:rsidR="00B33542" w:rsidRPr="005071A1" w:rsidRDefault="00B33542" w:rsidP="00B33542">
      <w:pPr>
        <w:pStyle w:val="Definition"/>
      </w:pPr>
      <w:r w:rsidRPr="005071A1">
        <w:rPr>
          <w:b/>
          <w:i/>
        </w:rPr>
        <w:t>B</w:t>
      </w:r>
      <w:r w:rsidRPr="005071A1">
        <w:t xml:space="preserve"> is the number of dollars in the prescribed amount.</w:t>
      </w:r>
    </w:p>
    <w:p w14:paraId="59C5EABC" w14:textId="77777777" w:rsidR="00B33542" w:rsidRPr="005071A1" w:rsidRDefault="00B33542" w:rsidP="00B33542">
      <w:pPr>
        <w:pStyle w:val="Definition"/>
      </w:pPr>
      <w:r w:rsidRPr="005071A1">
        <w:rPr>
          <w:b/>
          <w:i/>
        </w:rPr>
        <w:t>C</w:t>
      </w:r>
      <w:r w:rsidRPr="005071A1">
        <w:t xml:space="preserve"> is the number of dollars in the amount by which the salary of the employee at that time exceeds the prescribed amount or, if the number so ascertained is not a multiple of one hundred and sixty</w:t>
      </w:r>
      <w:r w:rsidR="004510F0">
        <w:noBreakHyphen/>
      </w:r>
      <w:r w:rsidRPr="005071A1">
        <w:t>three, the next lower number that is such a multiple.</w:t>
      </w:r>
    </w:p>
    <w:p w14:paraId="18CB01FF" w14:textId="77777777" w:rsidR="00B33542" w:rsidRPr="005071A1" w:rsidRDefault="00B33542" w:rsidP="00B33542">
      <w:pPr>
        <w:pStyle w:val="Definition"/>
      </w:pPr>
      <w:r w:rsidRPr="005071A1">
        <w:rPr>
          <w:b/>
          <w:i/>
        </w:rPr>
        <w:t>D</w:t>
      </w:r>
      <w:r w:rsidRPr="005071A1">
        <w:t xml:space="preserve"> is the number by which the number of years of prospective service of the employee exceeds ten; and</w:t>
      </w:r>
    </w:p>
    <w:p w14:paraId="3F1842FE" w14:textId="77777777" w:rsidR="00B33542" w:rsidRPr="005071A1" w:rsidRDefault="00B33542" w:rsidP="00B33542">
      <w:pPr>
        <w:pStyle w:val="Definition"/>
      </w:pPr>
      <w:r w:rsidRPr="005071A1">
        <w:rPr>
          <w:b/>
          <w:i/>
        </w:rPr>
        <w:t>E</w:t>
      </w:r>
      <w:r w:rsidRPr="005071A1">
        <w:t xml:space="preserve"> is the number of units of pension for which the employee would be required to contribute at that time under </w:t>
      </w:r>
      <w:r w:rsidR="008B2950" w:rsidRPr="005071A1">
        <w:t>paragraph (</w:t>
      </w:r>
      <w:r w:rsidRPr="005071A1">
        <w:t xml:space="preserve">a) of </w:t>
      </w:r>
      <w:r w:rsidR="008B2950" w:rsidRPr="005071A1">
        <w:t>subsection (</w:t>
      </w:r>
      <w:r w:rsidRPr="005071A1">
        <w:t>2) if that paragraph were applicable to him.</w:t>
      </w:r>
    </w:p>
    <w:p w14:paraId="20CEDC52" w14:textId="77777777" w:rsidR="00B33542" w:rsidRPr="005071A1" w:rsidRDefault="00B33542" w:rsidP="00B33542">
      <w:pPr>
        <w:pStyle w:val="subsection"/>
      </w:pPr>
      <w:r w:rsidRPr="005071A1">
        <w:tab/>
        <w:t>(4)</w:t>
      </w:r>
      <w:r w:rsidRPr="005071A1">
        <w:tab/>
        <w:t>Subject to this Act, a contributor is not eligible or required to begin to contribute for an additional unit of pension as from a date after he has attained the maximum age for retirement.</w:t>
      </w:r>
    </w:p>
    <w:p w14:paraId="3AE70BA8" w14:textId="77777777" w:rsidR="00B33542" w:rsidRPr="005071A1" w:rsidRDefault="00B33542" w:rsidP="00B33542">
      <w:pPr>
        <w:pStyle w:val="subsection"/>
      </w:pPr>
      <w:r w:rsidRPr="005071A1">
        <w:tab/>
        <w:t>(4A)</w:t>
      </w:r>
      <w:r w:rsidRPr="005071A1">
        <w:tab/>
        <w:t xml:space="preserve">Where the obligation of a contributor to contribute for an additional unit of pension came into existence on or before the date on which he attained the maximum age for retirement but, by </w:t>
      </w:r>
      <w:r w:rsidRPr="005071A1">
        <w:lastRenderedPageBreak/>
        <w:t xml:space="preserve">reason of </w:t>
      </w:r>
      <w:r w:rsidR="008B2950" w:rsidRPr="005071A1">
        <w:t>subsection (</w:t>
      </w:r>
      <w:r w:rsidRPr="005071A1">
        <w:t xml:space="preserve">1) of </w:t>
      </w:r>
      <w:r w:rsidR="004510F0">
        <w:t>section 1</w:t>
      </w:r>
      <w:r w:rsidRPr="005071A1">
        <w:t>38, contributions for that unit are payable as from a date after he attained that age:</w:t>
      </w:r>
    </w:p>
    <w:p w14:paraId="4CB70C04" w14:textId="77777777" w:rsidR="00B33542" w:rsidRPr="005071A1" w:rsidRDefault="00B33542" w:rsidP="00B33542">
      <w:pPr>
        <w:pStyle w:val="paragraph"/>
      </w:pPr>
      <w:r w:rsidRPr="005071A1">
        <w:tab/>
        <w:t>(a)</w:t>
      </w:r>
      <w:r w:rsidRPr="005071A1">
        <w:tab/>
        <w:t xml:space="preserve">the last preceding subsection and </w:t>
      </w:r>
      <w:r w:rsidR="008B2950" w:rsidRPr="005071A1">
        <w:t>subsection (</w:t>
      </w:r>
      <w:r w:rsidRPr="005071A1">
        <w:t xml:space="preserve">2) of </w:t>
      </w:r>
      <w:r w:rsidR="004510F0">
        <w:t>section 1</w:t>
      </w:r>
      <w:r w:rsidRPr="005071A1">
        <w:t>38 do not apply in relation to that unit; and</w:t>
      </w:r>
    </w:p>
    <w:p w14:paraId="2554C315" w14:textId="77777777" w:rsidR="00B33542" w:rsidRPr="005071A1" w:rsidRDefault="00B33542" w:rsidP="00B33542">
      <w:pPr>
        <w:pStyle w:val="paragraph"/>
      </w:pPr>
      <w:r w:rsidRPr="005071A1">
        <w:tab/>
        <w:t>(b)</w:t>
      </w:r>
      <w:r w:rsidRPr="005071A1">
        <w:tab/>
      </w:r>
      <w:r w:rsidR="008B2950" w:rsidRPr="005071A1">
        <w:t>subsection (</w:t>
      </w:r>
      <w:r w:rsidRPr="005071A1">
        <w:t xml:space="preserve">2B) of </w:t>
      </w:r>
      <w:r w:rsidR="004510F0">
        <w:t>section 1</w:t>
      </w:r>
      <w:r w:rsidRPr="005071A1">
        <w:t>9 applies as if his initial contribution in respect of that unit were made on the date on which his obligation to contribute for that unit came into existence.</w:t>
      </w:r>
    </w:p>
    <w:p w14:paraId="3FCCB700" w14:textId="77777777" w:rsidR="00B33542" w:rsidRPr="005071A1" w:rsidRDefault="00B33542" w:rsidP="00B33542">
      <w:pPr>
        <w:pStyle w:val="subsection"/>
      </w:pPr>
      <w:r w:rsidRPr="005071A1">
        <w:tab/>
        <w:t>(5)</w:t>
      </w:r>
      <w:r w:rsidRPr="005071A1">
        <w:tab/>
        <w:t xml:space="preserve">The number of units of pension for which an employee would otherwise be required to contribute at any time shall be reduced by the number of units of pension (if any) by which the number of units of pension ascertained in accordance with </w:t>
      </w:r>
      <w:r w:rsidR="008B2950" w:rsidRPr="005071A1">
        <w:t>subsection (</w:t>
      </w:r>
      <w:r w:rsidRPr="005071A1">
        <w:t>2) as it applied in relation to him immediately before that time exceeds the number of units of pension for which he was then a contributor.</w:t>
      </w:r>
    </w:p>
    <w:p w14:paraId="2B954196" w14:textId="77777777" w:rsidR="00B33542" w:rsidRPr="005071A1" w:rsidRDefault="00B33542" w:rsidP="00B33542">
      <w:pPr>
        <w:pStyle w:val="subsection"/>
      </w:pPr>
      <w:r w:rsidRPr="005071A1">
        <w:tab/>
        <w:t>(6)</w:t>
      </w:r>
      <w:r w:rsidRPr="005071A1">
        <w:tab/>
        <w:t>Where, at the time when an employee became or becomes a contributor, he was or is not less than forty years of age, he may, subject to section</w:t>
      </w:r>
      <w:r w:rsidR="008B2950" w:rsidRPr="005071A1">
        <w:t> </w:t>
      </w:r>
      <w:r w:rsidRPr="005071A1">
        <w:t>22, elect to reduce the number of initial units in respect of which he is required to contribute to a number not being less than two, but a person is not entitled to make an election under this subsection after 30</w:t>
      </w:r>
      <w:r w:rsidR="008B2950" w:rsidRPr="005071A1">
        <w:t> </w:t>
      </w:r>
      <w:r w:rsidRPr="005071A1">
        <w:t>June 1976.</w:t>
      </w:r>
    </w:p>
    <w:p w14:paraId="1801CF04" w14:textId="77777777" w:rsidR="00B33542" w:rsidRPr="005071A1" w:rsidRDefault="00B33542" w:rsidP="00B33542">
      <w:pPr>
        <w:pStyle w:val="subsection"/>
      </w:pPr>
      <w:r w:rsidRPr="005071A1">
        <w:tab/>
        <w:t>(7)</w:t>
      </w:r>
      <w:r w:rsidRPr="005071A1">
        <w:tab/>
        <w:t>Any additional contribution payable by reason of an increase in the salary of an employee is payable as from the date upon which his salary is increased, or as from the date as from which his salary is increased, whichever is the later.</w:t>
      </w:r>
    </w:p>
    <w:p w14:paraId="186F96C9" w14:textId="77777777" w:rsidR="00B33542" w:rsidRPr="005071A1" w:rsidRDefault="00B33542" w:rsidP="00B33542">
      <w:pPr>
        <w:pStyle w:val="subsection"/>
      </w:pPr>
      <w:r w:rsidRPr="005071A1">
        <w:tab/>
        <w:t>(8)</w:t>
      </w:r>
      <w:r w:rsidRPr="005071A1">
        <w:tab/>
        <w:t>Any additional contribution payable by reason of an increase in the prescribed amount is payable as from the date of the increase.</w:t>
      </w:r>
    </w:p>
    <w:p w14:paraId="0BF857B1" w14:textId="77777777" w:rsidR="00B33542" w:rsidRPr="005071A1" w:rsidRDefault="00B33542" w:rsidP="00B33542">
      <w:pPr>
        <w:pStyle w:val="subsection"/>
      </w:pPr>
      <w:r w:rsidRPr="005071A1">
        <w:tab/>
        <w:t>(8A)</w:t>
      </w:r>
      <w:r w:rsidRPr="005071A1">
        <w:tab/>
        <w:t>Where:</w:t>
      </w:r>
    </w:p>
    <w:p w14:paraId="5148DD64" w14:textId="77777777" w:rsidR="00B33542" w:rsidRPr="005071A1" w:rsidRDefault="00B33542" w:rsidP="00B33542">
      <w:pPr>
        <w:pStyle w:val="paragraph"/>
      </w:pPr>
      <w:r w:rsidRPr="005071A1">
        <w:tab/>
        <w:t>(a)</w:t>
      </w:r>
      <w:r w:rsidRPr="005071A1">
        <w:tab/>
        <w:t xml:space="preserve">the number of units of pension ascertained in relation to an employee in accordance with </w:t>
      </w:r>
      <w:r w:rsidR="008B2950" w:rsidRPr="005071A1">
        <w:t>subsection (</w:t>
      </w:r>
      <w:r w:rsidRPr="005071A1">
        <w:t xml:space="preserve">2) is reduced by </w:t>
      </w:r>
      <w:r w:rsidRPr="005071A1">
        <w:lastRenderedPageBreak/>
        <w:t>reason of an election made by the employee under section</w:t>
      </w:r>
      <w:r w:rsidR="008B2950" w:rsidRPr="005071A1">
        <w:t> </w:t>
      </w:r>
      <w:r w:rsidRPr="005071A1">
        <w:t>24; and</w:t>
      </w:r>
    </w:p>
    <w:p w14:paraId="73623917" w14:textId="77777777" w:rsidR="00B33542" w:rsidRPr="005071A1" w:rsidRDefault="00B33542" w:rsidP="00B33542">
      <w:pPr>
        <w:pStyle w:val="paragraph"/>
        <w:keepNext/>
      </w:pPr>
      <w:r w:rsidRPr="005071A1">
        <w:tab/>
        <w:t>(b)</w:t>
      </w:r>
      <w:r w:rsidRPr="005071A1">
        <w:tab/>
        <w:t>the sum of the number of units of pension for which he is a contributor and the number of non</w:t>
      </w:r>
      <w:r w:rsidR="004510F0">
        <w:noBreakHyphen/>
      </w:r>
      <w:r w:rsidRPr="005071A1">
        <w:t>contributory units of pension (if any) applicable in relation to him exceeds the reduced number of units so ascertained;</w:t>
      </w:r>
    </w:p>
    <w:p w14:paraId="1A35198C" w14:textId="77777777" w:rsidR="00B33542" w:rsidRPr="005071A1" w:rsidRDefault="00B33542" w:rsidP="00B33542">
      <w:pPr>
        <w:pStyle w:val="subsection2"/>
      </w:pPr>
      <w:r w:rsidRPr="005071A1">
        <w:t>the number of non</w:t>
      </w:r>
      <w:r w:rsidR="004510F0">
        <w:noBreakHyphen/>
      </w:r>
      <w:r w:rsidRPr="005071A1">
        <w:t>contributory units of pension (if any) applicable in relation to him shall, where necessary, be deemed to have been reduced accordingly and, if there are no non</w:t>
      </w:r>
      <w:r w:rsidR="004510F0">
        <w:noBreakHyphen/>
      </w:r>
      <w:r w:rsidRPr="005071A1">
        <w:t>contributory units of pension applicable in relation to him, whether by reason of the operation of this subsection or otherwise, the number of units of pension for which he was required to contribute shall, where necessary, be deemed to have been reduced accordingly.</w:t>
      </w:r>
    </w:p>
    <w:p w14:paraId="0221E2CF" w14:textId="77777777" w:rsidR="00B33542" w:rsidRPr="005071A1" w:rsidRDefault="00B33542" w:rsidP="00B33542">
      <w:pPr>
        <w:pStyle w:val="subsection"/>
      </w:pPr>
      <w:r w:rsidRPr="005071A1">
        <w:tab/>
        <w:t>(9)</w:t>
      </w:r>
      <w:r w:rsidRPr="005071A1">
        <w:tab/>
        <w:t>Where an employee who became or becomes an employee on or after 14</w:t>
      </w:r>
      <w:r w:rsidR="008B2950" w:rsidRPr="005071A1">
        <w:t> </w:t>
      </w:r>
      <w:r w:rsidRPr="005071A1">
        <w:t>December 1959, and to whom the proviso to section</w:t>
      </w:r>
      <w:r w:rsidR="008B2950" w:rsidRPr="005071A1">
        <w:t> </w:t>
      </w:r>
      <w:r w:rsidRPr="005071A1">
        <w:t>43 applies ceases to be an employee at an earlier age than his selected retiring age:</w:t>
      </w:r>
    </w:p>
    <w:p w14:paraId="6906D598" w14:textId="77777777" w:rsidR="00B33542" w:rsidRPr="005071A1" w:rsidRDefault="00B33542" w:rsidP="00B33542">
      <w:pPr>
        <w:pStyle w:val="paragraph"/>
      </w:pPr>
      <w:r w:rsidRPr="005071A1">
        <w:tab/>
        <w:t>(a)</w:t>
      </w:r>
      <w:r w:rsidRPr="005071A1">
        <w:tab/>
        <w:t>that earlier age shall be deemed to have been his selected retiring age;</w:t>
      </w:r>
    </w:p>
    <w:p w14:paraId="463D237A" w14:textId="77777777" w:rsidR="00B33542" w:rsidRPr="005071A1" w:rsidRDefault="00B33542" w:rsidP="00B33542">
      <w:pPr>
        <w:pStyle w:val="paragraph"/>
      </w:pPr>
      <w:r w:rsidRPr="005071A1">
        <w:tab/>
        <w:t>(b)</w:t>
      </w:r>
      <w:r w:rsidRPr="005071A1">
        <w:tab/>
        <w:t>where necessary, the number of non</w:t>
      </w:r>
      <w:r w:rsidR="004510F0">
        <w:noBreakHyphen/>
      </w:r>
      <w:r w:rsidRPr="005071A1">
        <w:t>contributory units of pension (if any) applicable in relation to him shall be deemed to have been reduced accordingly; and</w:t>
      </w:r>
    </w:p>
    <w:p w14:paraId="3286E872" w14:textId="77777777" w:rsidR="00B33542" w:rsidRPr="005071A1" w:rsidRDefault="00B33542" w:rsidP="00B33542">
      <w:pPr>
        <w:pStyle w:val="paragraph"/>
      </w:pPr>
      <w:r w:rsidRPr="005071A1">
        <w:tab/>
        <w:t>(c)</w:t>
      </w:r>
      <w:r w:rsidRPr="005071A1">
        <w:tab/>
        <w:t>if there are no non</w:t>
      </w:r>
      <w:r w:rsidR="004510F0">
        <w:noBreakHyphen/>
      </w:r>
      <w:r w:rsidRPr="005071A1">
        <w:t xml:space="preserve">contributory units of pension applicable in relation to him, whether by reason of the operation of </w:t>
      </w:r>
      <w:r w:rsidR="008B2950" w:rsidRPr="005071A1">
        <w:t>paragraph (</w:t>
      </w:r>
      <w:r w:rsidRPr="005071A1">
        <w:t>b) or otherwise, the number of units of pension for which he was required to contribute shall, where necessary, be deemed to have been reduced accordingly.</w:t>
      </w:r>
    </w:p>
    <w:p w14:paraId="7C90312E" w14:textId="77777777" w:rsidR="00B33542" w:rsidRPr="005071A1" w:rsidRDefault="00B33542" w:rsidP="00B33542">
      <w:pPr>
        <w:pStyle w:val="subsection"/>
      </w:pPr>
      <w:r w:rsidRPr="005071A1">
        <w:tab/>
        <w:t>(10)</w:t>
      </w:r>
      <w:r w:rsidRPr="005071A1">
        <w:tab/>
        <w:t>For the purposes of this section:</w:t>
      </w:r>
    </w:p>
    <w:p w14:paraId="42BBB4C3" w14:textId="77777777" w:rsidR="00B33542" w:rsidRPr="005071A1" w:rsidRDefault="00B33542" w:rsidP="00B33542">
      <w:pPr>
        <w:pStyle w:val="paragraph"/>
      </w:pPr>
      <w:r w:rsidRPr="005071A1">
        <w:tab/>
        <w:t>(a)</w:t>
      </w:r>
      <w:r w:rsidRPr="005071A1">
        <w:tab/>
        <w:t xml:space="preserve">the selected retiring age of an employee is, subject to </w:t>
      </w:r>
      <w:r w:rsidR="008B2950" w:rsidRPr="005071A1">
        <w:t>subsection (</w:t>
      </w:r>
      <w:r w:rsidRPr="005071A1">
        <w:t>9):</w:t>
      </w:r>
    </w:p>
    <w:p w14:paraId="36126AD7" w14:textId="77777777" w:rsidR="00B33542" w:rsidRPr="005071A1" w:rsidRDefault="00B33542" w:rsidP="00B33542">
      <w:pPr>
        <w:pStyle w:val="paragraphsub"/>
      </w:pPr>
      <w:r w:rsidRPr="005071A1">
        <w:tab/>
        <w:t>(i)</w:t>
      </w:r>
      <w:r w:rsidRPr="005071A1">
        <w:tab/>
        <w:t>in the case of an employee who has made an election under section</w:t>
      </w:r>
      <w:r w:rsidR="008B2950" w:rsidRPr="005071A1">
        <w:t> </w:t>
      </w:r>
      <w:r w:rsidRPr="005071A1">
        <w:t>24—the age of sixty years; and</w:t>
      </w:r>
    </w:p>
    <w:p w14:paraId="7B999750" w14:textId="77777777" w:rsidR="00B33542" w:rsidRPr="005071A1" w:rsidRDefault="00B33542" w:rsidP="00B33542">
      <w:pPr>
        <w:pStyle w:val="paragraphsub"/>
      </w:pPr>
      <w:r w:rsidRPr="005071A1">
        <w:lastRenderedPageBreak/>
        <w:tab/>
        <w:t>(ii)</w:t>
      </w:r>
      <w:r w:rsidRPr="005071A1">
        <w:tab/>
        <w:t>in any other case—the age of sixty</w:t>
      </w:r>
      <w:r w:rsidR="004510F0">
        <w:noBreakHyphen/>
      </w:r>
      <w:r w:rsidRPr="005071A1">
        <w:t>five years; and</w:t>
      </w:r>
    </w:p>
    <w:p w14:paraId="4E4ED6C4" w14:textId="77777777" w:rsidR="00B33542" w:rsidRPr="005071A1" w:rsidRDefault="00B33542" w:rsidP="00B33542">
      <w:pPr>
        <w:pStyle w:val="paragraph"/>
      </w:pPr>
      <w:r w:rsidRPr="005071A1">
        <w:tab/>
        <w:t>(b)</w:t>
      </w:r>
      <w:r w:rsidRPr="005071A1">
        <w:tab/>
        <w:t>the number of years of prospective service of an employee is the number of complete years included in the sum of the following periods:</w:t>
      </w:r>
    </w:p>
    <w:p w14:paraId="4191FD09" w14:textId="77777777" w:rsidR="00B33542" w:rsidRPr="005071A1" w:rsidRDefault="00B33542" w:rsidP="00B33542">
      <w:pPr>
        <w:pStyle w:val="paragraphsub"/>
      </w:pPr>
      <w:r w:rsidRPr="005071A1">
        <w:tab/>
        <w:t>(i)</w:t>
      </w:r>
      <w:r w:rsidRPr="005071A1">
        <w:tab/>
        <w:t>the period that commenced on the date upon which he became an employee and ends on the date upon which he will attain his selected retiring age;</w:t>
      </w:r>
    </w:p>
    <w:p w14:paraId="18A52853" w14:textId="77777777" w:rsidR="00B33542" w:rsidRPr="005071A1" w:rsidRDefault="00B33542" w:rsidP="00B33542">
      <w:pPr>
        <w:pStyle w:val="paragraphsub"/>
      </w:pPr>
      <w:r w:rsidRPr="005071A1">
        <w:tab/>
        <w:t>(ia)</w:t>
      </w:r>
      <w:r w:rsidRPr="005071A1">
        <w:tab/>
        <w:t>in the case of an employee who is a contributor to the Fund in accordance with Part VIA and was, immediately before he became an employee, a member of a superannuation scheme within the meaning of that Part—the period during which he was a member of that scheme;</w:t>
      </w:r>
    </w:p>
    <w:p w14:paraId="1308BAC4" w14:textId="77777777" w:rsidR="00B33542" w:rsidRPr="005071A1" w:rsidRDefault="00B33542" w:rsidP="00B33542">
      <w:pPr>
        <w:pStyle w:val="paragraphsub"/>
      </w:pPr>
      <w:r w:rsidRPr="005071A1">
        <w:tab/>
        <w:t>(ib)</w:t>
      </w:r>
      <w:r w:rsidRPr="005071A1">
        <w:tab/>
        <w:t>in the case of an employee who is contributing to the Fund in accordance with Part VIIA and was, immediately before he became an employee, a contributor to a State Fund within the meaning of that Part—the period during which he was a contributor to that Fund;</w:t>
      </w:r>
    </w:p>
    <w:p w14:paraId="50F1B709" w14:textId="77777777" w:rsidR="00B33542" w:rsidRPr="005071A1" w:rsidRDefault="00B33542" w:rsidP="00B33542">
      <w:pPr>
        <w:pStyle w:val="paragraphsub"/>
      </w:pPr>
      <w:r w:rsidRPr="005071A1">
        <w:tab/>
        <w:t>(ii)</w:t>
      </w:r>
      <w:r w:rsidRPr="005071A1">
        <w:tab/>
        <w:t xml:space="preserve">in the case of an employee who became an employee after the commencement of the </w:t>
      </w:r>
      <w:r w:rsidRPr="005071A1">
        <w:rPr>
          <w:i/>
        </w:rPr>
        <w:t>Superannuation Act 1971</w:t>
      </w:r>
      <w:r w:rsidRPr="005071A1">
        <w:t xml:space="preserve"> and was, immediately before he became an employee, a contributor to a Public Service Superannuation Fund within the meaning of Part VIII—the period during which he was a contributor to that Fund; and</w:t>
      </w:r>
    </w:p>
    <w:p w14:paraId="6407B932" w14:textId="77777777" w:rsidR="00B33542" w:rsidRPr="005071A1" w:rsidRDefault="00B33542" w:rsidP="00B33542">
      <w:pPr>
        <w:pStyle w:val="paragraphsub"/>
      </w:pPr>
      <w:r w:rsidRPr="005071A1">
        <w:tab/>
        <w:t>(iii)</w:t>
      </w:r>
      <w:r w:rsidRPr="005071A1">
        <w:tab/>
        <w:t xml:space="preserve">in the case of an employee who became an employee after the commencement of the </w:t>
      </w:r>
      <w:r w:rsidRPr="005071A1">
        <w:rPr>
          <w:i/>
        </w:rPr>
        <w:t xml:space="preserve">Superannuation Act 1971 </w:t>
      </w:r>
      <w:r w:rsidRPr="005071A1">
        <w:t xml:space="preserve">and was, at any time before he became an employee, employed in employment of a kind referred to in </w:t>
      </w:r>
      <w:r w:rsidR="004510F0">
        <w:t>section 1</w:t>
      </w:r>
      <w:r w:rsidRPr="005071A1">
        <w:t xml:space="preserve">19H—any periods of such employment </w:t>
      </w:r>
      <w:r w:rsidRPr="005071A1">
        <w:lastRenderedPageBreak/>
        <w:t>during which he was a member of a superannuation scheme applicable in relation to the employment.</w:t>
      </w:r>
    </w:p>
    <w:p w14:paraId="1758A6B5" w14:textId="77777777" w:rsidR="00B33542" w:rsidRPr="005071A1" w:rsidRDefault="00B33542" w:rsidP="00B33542">
      <w:pPr>
        <w:pStyle w:val="subsection"/>
      </w:pPr>
      <w:r w:rsidRPr="005071A1">
        <w:tab/>
        <w:t>(11)</w:t>
      </w:r>
      <w:r w:rsidRPr="005071A1">
        <w:tab/>
        <w:t xml:space="preserve">Where by reason of </w:t>
      </w:r>
      <w:r w:rsidR="008B2950" w:rsidRPr="005071A1">
        <w:t>subsection (</w:t>
      </w:r>
      <w:r w:rsidRPr="005071A1">
        <w:t xml:space="preserve">8A) or </w:t>
      </w:r>
      <w:r w:rsidR="008B2950" w:rsidRPr="005071A1">
        <w:t>paragraph (</w:t>
      </w:r>
      <w:r w:rsidRPr="005071A1">
        <w:t xml:space="preserve">b) of </w:t>
      </w:r>
      <w:r w:rsidR="008B2950" w:rsidRPr="005071A1">
        <w:t>subsection (</w:t>
      </w:r>
      <w:r w:rsidRPr="005071A1">
        <w:t>9) the number of non</w:t>
      </w:r>
      <w:r w:rsidR="004510F0">
        <w:noBreakHyphen/>
      </w:r>
      <w:r w:rsidRPr="005071A1">
        <w:t>contributory units of pension applicable in relation to an employee is to be deemed to have been reduced, those units shall be deemed to have been reduced in the reverse of the order in which they became applicable in relation to him as non</w:t>
      </w:r>
      <w:r w:rsidR="004510F0">
        <w:noBreakHyphen/>
      </w:r>
      <w:r w:rsidRPr="005071A1">
        <w:t>contributory units of pension.</w:t>
      </w:r>
    </w:p>
    <w:p w14:paraId="3F0024AD" w14:textId="77777777" w:rsidR="00B33542" w:rsidRPr="005071A1" w:rsidRDefault="00B33542" w:rsidP="00B33542">
      <w:pPr>
        <w:pStyle w:val="ActHead5"/>
      </w:pPr>
      <w:bookmarkStart w:id="16" w:name="_Toc185577398"/>
      <w:r w:rsidRPr="004510F0">
        <w:rPr>
          <w:rStyle w:val="CharSectno"/>
        </w:rPr>
        <w:t>20AA</w:t>
      </w:r>
      <w:r w:rsidRPr="005071A1">
        <w:t xml:space="preserve">  Obligation to make additional contributions after 4</w:t>
      </w:r>
      <w:r w:rsidR="008B2950" w:rsidRPr="005071A1">
        <w:t> </w:t>
      </w:r>
      <w:r w:rsidRPr="005071A1">
        <w:t>February 1976</w:t>
      </w:r>
      <w:bookmarkEnd w:id="16"/>
    </w:p>
    <w:p w14:paraId="038BE029" w14:textId="77777777" w:rsidR="00B33542" w:rsidRPr="005071A1" w:rsidRDefault="00B33542" w:rsidP="00B33542">
      <w:pPr>
        <w:pStyle w:val="subsection"/>
      </w:pPr>
      <w:r w:rsidRPr="005071A1">
        <w:tab/>
        <w:t>(1)</w:t>
      </w:r>
      <w:r w:rsidRPr="005071A1">
        <w:tab/>
        <w:t xml:space="preserve">Subject to </w:t>
      </w:r>
      <w:r w:rsidR="008B2950" w:rsidRPr="005071A1">
        <w:t>subsection (</w:t>
      </w:r>
      <w:r w:rsidRPr="005071A1">
        <w:t>2), a contributor is not eligible, and shall not be required, to contribute for an additional unit of pension by reason of:</w:t>
      </w:r>
    </w:p>
    <w:p w14:paraId="28233A2C" w14:textId="77777777" w:rsidR="00B33542" w:rsidRPr="005071A1" w:rsidRDefault="00B33542" w:rsidP="00B33542">
      <w:pPr>
        <w:pStyle w:val="paragraph"/>
      </w:pPr>
      <w:r w:rsidRPr="005071A1">
        <w:tab/>
        <w:t>(a)</w:t>
      </w:r>
      <w:r w:rsidRPr="005071A1">
        <w:tab/>
        <w:t>an increase in his salary that takes effect after 4</w:t>
      </w:r>
      <w:r w:rsidR="008B2950" w:rsidRPr="005071A1">
        <w:t> </w:t>
      </w:r>
      <w:r w:rsidRPr="005071A1">
        <w:t>February 1976; or</w:t>
      </w:r>
    </w:p>
    <w:p w14:paraId="6A7B6314" w14:textId="77777777" w:rsidR="00B33542" w:rsidRPr="005071A1" w:rsidRDefault="00B33542" w:rsidP="00B33542">
      <w:pPr>
        <w:pStyle w:val="paragraph"/>
      </w:pPr>
      <w:r w:rsidRPr="005071A1">
        <w:tab/>
        <w:t>(b)</w:t>
      </w:r>
      <w:r w:rsidRPr="005071A1">
        <w:tab/>
        <w:t>an increase in the prescribed amount that takes effect after that date.</w:t>
      </w:r>
    </w:p>
    <w:p w14:paraId="1A94DFD8" w14:textId="77777777" w:rsidR="00B33542" w:rsidRPr="005071A1" w:rsidRDefault="00B33542" w:rsidP="00B33542">
      <w:pPr>
        <w:pStyle w:val="subsection"/>
      </w:pPr>
      <w:r w:rsidRPr="005071A1">
        <w:tab/>
        <w:t>(2)</w:t>
      </w:r>
      <w:r w:rsidRPr="005071A1">
        <w:tab/>
        <w:t>Where:</w:t>
      </w:r>
    </w:p>
    <w:p w14:paraId="5C5C1252" w14:textId="77777777" w:rsidR="00B33542" w:rsidRPr="005071A1" w:rsidRDefault="00B33542" w:rsidP="00B33542">
      <w:pPr>
        <w:pStyle w:val="paragraph"/>
      </w:pPr>
      <w:r w:rsidRPr="005071A1">
        <w:tab/>
        <w:t>(a)</w:t>
      </w:r>
      <w:r w:rsidRPr="005071A1">
        <w:tab/>
        <w:t>a contributor ceases to be an employee after 4</w:t>
      </w:r>
      <w:r w:rsidR="008B2950" w:rsidRPr="005071A1">
        <w:t> </w:t>
      </w:r>
      <w:r w:rsidRPr="005071A1">
        <w:t>February 1976 and before 1</w:t>
      </w:r>
      <w:r w:rsidR="008B2950" w:rsidRPr="005071A1">
        <w:t> </w:t>
      </w:r>
      <w:r w:rsidRPr="005071A1">
        <w:t>July 1976, otherwise than by reason of death, and:</w:t>
      </w:r>
    </w:p>
    <w:p w14:paraId="5337BE1D" w14:textId="77777777" w:rsidR="00B33542" w:rsidRPr="005071A1" w:rsidRDefault="00B33542" w:rsidP="00B33542">
      <w:pPr>
        <w:pStyle w:val="paragraphsub"/>
      </w:pPr>
      <w:r w:rsidRPr="005071A1">
        <w:tab/>
        <w:t>(i)</w:t>
      </w:r>
      <w:r w:rsidRPr="005071A1">
        <w:tab/>
        <w:t>pension is payable to him;</w:t>
      </w:r>
    </w:p>
    <w:p w14:paraId="1C852EB6" w14:textId="77777777" w:rsidR="00B33542" w:rsidRPr="005071A1" w:rsidRDefault="00B33542" w:rsidP="00B33542">
      <w:pPr>
        <w:pStyle w:val="paragraphsub"/>
      </w:pPr>
      <w:r w:rsidRPr="005071A1">
        <w:tab/>
        <w:t>(ii)</w:t>
      </w:r>
      <w:r w:rsidRPr="005071A1">
        <w:tab/>
        <w:t xml:space="preserve">he makes an election under </w:t>
      </w:r>
      <w:r w:rsidR="004510F0">
        <w:t>section 1</w:t>
      </w:r>
      <w:r w:rsidRPr="005071A1">
        <w:t>19U; or</w:t>
      </w:r>
    </w:p>
    <w:p w14:paraId="3C5DBD3B" w14:textId="77777777" w:rsidR="00B33542" w:rsidRPr="005071A1" w:rsidRDefault="00B33542" w:rsidP="00B33542">
      <w:pPr>
        <w:pStyle w:val="paragraphsub"/>
      </w:pPr>
      <w:r w:rsidRPr="005071A1">
        <w:tab/>
        <w:t>(iii)</w:t>
      </w:r>
      <w:r w:rsidRPr="005071A1">
        <w:tab/>
        <w:t>he is entitled to benefit under section</w:t>
      </w:r>
      <w:r w:rsidR="008B2950" w:rsidRPr="005071A1">
        <w:t> </w:t>
      </w:r>
      <w:r w:rsidRPr="005071A1">
        <w:t>50; or</w:t>
      </w:r>
    </w:p>
    <w:p w14:paraId="7331545A" w14:textId="77777777" w:rsidR="00B33542" w:rsidRPr="005071A1" w:rsidRDefault="00B33542" w:rsidP="00B33542">
      <w:pPr>
        <w:pStyle w:val="paragraph"/>
        <w:keepNext/>
      </w:pPr>
      <w:r w:rsidRPr="005071A1">
        <w:tab/>
        <w:t>(b)</w:t>
      </w:r>
      <w:r w:rsidRPr="005071A1">
        <w:tab/>
        <w:t>a contributor dies after 4</w:t>
      </w:r>
      <w:r w:rsidR="008B2950" w:rsidRPr="005071A1">
        <w:t> </w:t>
      </w:r>
      <w:r w:rsidRPr="005071A1">
        <w:t>February 1976 and before 1</w:t>
      </w:r>
      <w:r w:rsidR="008B2950" w:rsidRPr="005071A1">
        <w:t> </w:t>
      </w:r>
      <w:r w:rsidRPr="005071A1">
        <w:t>July 1976 and pension is payable in respect of him;</w:t>
      </w:r>
    </w:p>
    <w:p w14:paraId="467DEB51" w14:textId="77777777" w:rsidR="00B33542" w:rsidRPr="005071A1" w:rsidRDefault="00B33542" w:rsidP="00B33542">
      <w:pPr>
        <w:pStyle w:val="subsection"/>
      </w:pPr>
      <w:r w:rsidRPr="005071A1">
        <w:tab/>
      </w:r>
      <w:r w:rsidRPr="005071A1">
        <w:tab/>
      </w:r>
      <w:r w:rsidR="008B2950" w:rsidRPr="005071A1">
        <w:t>subsection (</w:t>
      </w:r>
      <w:r w:rsidRPr="005071A1">
        <w:t>1) does not apply, and shall be deemed not to have applied, to or in relation to him.</w:t>
      </w:r>
    </w:p>
    <w:p w14:paraId="67B96E8C" w14:textId="77777777" w:rsidR="00B33542" w:rsidRPr="005071A1" w:rsidRDefault="00B33542" w:rsidP="00B33542">
      <w:pPr>
        <w:pStyle w:val="subsection"/>
      </w:pPr>
      <w:r w:rsidRPr="005071A1">
        <w:lastRenderedPageBreak/>
        <w:tab/>
        <w:t>(3)</w:t>
      </w:r>
      <w:r w:rsidRPr="005071A1">
        <w:tab/>
        <w:t xml:space="preserve">For the purposes of </w:t>
      </w:r>
      <w:r w:rsidR="008B2950" w:rsidRPr="005071A1">
        <w:t>subsection (</w:t>
      </w:r>
      <w:r w:rsidRPr="005071A1">
        <w:t>1), an increase in the salary of an employee shall be deemed to take effect as from the date upon which his salary is increased, or as from the date as from which his salary is increased, whichever is the later.</w:t>
      </w:r>
    </w:p>
    <w:p w14:paraId="4FD2CED2" w14:textId="77777777" w:rsidR="00B33542" w:rsidRPr="005071A1" w:rsidRDefault="00B33542" w:rsidP="00B33542">
      <w:pPr>
        <w:pStyle w:val="ActHead5"/>
      </w:pPr>
      <w:bookmarkStart w:id="17" w:name="_Toc185577399"/>
      <w:r w:rsidRPr="004510F0">
        <w:rPr>
          <w:rStyle w:val="CharSectno"/>
        </w:rPr>
        <w:t>20AB</w:t>
      </w:r>
      <w:r w:rsidRPr="005071A1">
        <w:t xml:space="preserve">  Elections consequential upon operation of section</w:t>
      </w:r>
      <w:r w:rsidR="008B2950" w:rsidRPr="005071A1">
        <w:t> </w:t>
      </w:r>
      <w:r w:rsidRPr="005071A1">
        <w:t>20AA</w:t>
      </w:r>
      <w:bookmarkEnd w:id="17"/>
    </w:p>
    <w:p w14:paraId="65551F96" w14:textId="77777777" w:rsidR="00B33542" w:rsidRPr="005071A1" w:rsidRDefault="00B33542" w:rsidP="00B33542">
      <w:pPr>
        <w:pStyle w:val="subsection"/>
      </w:pPr>
      <w:r w:rsidRPr="005071A1">
        <w:tab/>
        <w:t>(1)</w:t>
      </w:r>
      <w:r w:rsidRPr="005071A1">
        <w:tab/>
        <w:t>In this section:</w:t>
      </w:r>
    </w:p>
    <w:p w14:paraId="0DA99A68" w14:textId="77777777" w:rsidR="00B33542" w:rsidRPr="005071A1" w:rsidRDefault="00B33542" w:rsidP="00B33542">
      <w:pPr>
        <w:pStyle w:val="Definition"/>
      </w:pPr>
      <w:r w:rsidRPr="005071A1">
        <w:rPr>
          <w:b/>
          <w:i/>
        </w:rPr>
        <w:t>election to which this section applies</w:t>
      </w:r>
      <w:r w:rsidRPr="005071A1">
        <w:t xml:space="preserve"> means an election under </w:t>
      </w:r>
      <w:r w:rsidR="008B2950" w:rsidRPr="005071A1">
        <w:t>subsection (</w:t>
      </w:r>
      <w:r w:rsidRPr="005071A1">
        <w:t>1) or (2) of section</w:t>
      </w:r>
      <w:r w:rsidR="008B2950" w:rsidRPr="005071A1">
        <w:t> </w:t>
      </w:r>
      <w:r w:rsidRPr="005071A1">
        <w:t xml:space="preserve">20A, under </w:t>
      </w:r>
      <w:r w:rsidR="008B2950" w:rsidRPr="005071A1">
        <w:t>subsection (</w:t>
      </w:r>
      <w:r w:rsidRPr="005071A1">
        <w:t>1) of section</w:t>
      </w:r>
      <w:r w:rsidR="008B2950" w:rsidRPr="005071A1">
        <w:t> </w:t>
      </w:r>
      <w:r w:rsidRPr="005071A1">
        <w:t xml:space="preserve">22A, under </w:t>
      </w:r>
      <w:r w:rsidR="008B2950" w:rsidRPr="005071A1">
        <w:t>subsection (</w:t>
      </w:r>
      <w:r w:rsidRPr="005071A1">
        <w:t>1) or (2) of section</w:t>
      </w:r>
      <w:r w:rsidR="008B2950" w:rsidRPr="005071A1">
        <w:t> </w:t>
      </w:r>
      <w:r w:rsidRPr="005071A1">
        <w:t xml:space="preserve">25, or under </w:t>
      </w:r>
      <w:r w:rsidR="008B2950" w:rsidRPr="005071A1">
        <w:t>subsection (</w:t>
      </w:r>
      <w:r w:rsidRPr="005071A1">
        <w:t>1) of section</w:t>
      </w:r>
      <w:r w:rsidR="008B2950" w:rsidRPr="005071A1">
        <w:t> </w:t>
      </w:r>
      <w:r w:rsidRPr="005071A1">
        <w:t>31.</w:t>
      </w:r>
    </w:p>
    <w:p w14:paraId="3E954440" w14:textId="77777777" w:rsidR="00B33542" w:rsidRPr="005071A1" w:rsidRDefault="00B33542" w:rsidP="00B33542">
      <w:pPr>
        <w:pStyle w:val="Definition"/>
      </w:pPr>
      <w:r w:rsidRPr="005071A1">
        <w:rPr>
          <w:b/>
          <w:i/>
        </w:rPr>
        <w:t>person in respect of whom this section applies</w:t>
      </w:r>
      <w:r w:rsidRPr="005071A1">
        <w:t xml:space="preserve"> means a person who has ceased to be an employee and to whom </w:t>
      </w:r>
      <w:r w:rsidR="008B2950" w:rsidRPr="005071A1">
        <w:t>subsection (</w:t>
      </w:r>
      <w:r w:rsidRPr="005071A1">
        <w:t>1) of section</w:t>
      </w:r>
      <w:r w:rsidR="008B2950" w:rsidRPr="005071A1">
        <w:t> </w:t>
      </w:r>
      <w:r w:rsidRPr="005071A1">
        <w:t xml:space="preserve">20AA would apply but for the operation of </w:t>
      </w:r>
      <w:r w:rsidR="008B2950" w:rsidRPr="005071A1">
        <w:t>subsection (</w:t>
      </w:r>
      <w:r w:rsidRPr="005071A1">
        <w:t>2) of that section.</w:t>
      </w:r>
    </w:p>
    <w:p w14:paraId="7F681520" w14:textId="77777777" w:rsidR="00B33542" w:rsidRPr="005071A1" w:rsidRDefault="00B33542" w:rsidP="00B33542">
      <w:pPr>
        <w:pStyle w:val="subsection"/>
      </w:pPr>
      <w:r w:rsidRPr="005071A1">
        <w:tab/>
        <w:t>(2)</w:t>
      </w:r>
      <w:r w:rsidRPr="005071A1">
        <w:tab/>
        <w:t>A person in respect of whom this section applies is not disqualified from making an election to which this section applies by reason that he has ceased to be an employee if the election is made within a period of 3 months after he ceased to be an employee, or within such further period as the Board (or, on and after 1</w:t>
      </w:r>
      <w:r w:rsidR="008B2950" w:rsidRPr="005071A1">
        <w:t> </w:t>
      </w:r>
      <w:r w:rsidRPr="005071A1">
        <w:t>July 1976, the Commissioner for Superannuation), in special circumstances, allows and, if he makes such an election within that period, this Act has effect, and shall be deemed to have had effect, as if the election had been made before he ceased to be an employee.</w:t>
      </w:r>
    </w:p>
    <w:p w14:paraId="56FF7093" w14:textId="77777777" w:rsidR="00B33542" w:rsidRPr="005071A1" w:rsidRDefault="00B33542" w:rsidP="00B33542">
      <w:pPr>
        <w:pStyle w:val="subsection"/>
      </w:pPr>
      <w:r w:rsidRPr="005071A1">
        <w:tab/>
        <w:t>(3)</w:t>
      </w:r>
      <w:r w:rsidRPr="005071A1">
        <w:tab/>
        <w:t>Where a person in respect of whom this section applies:</w:t>
      </w:r>
    </w:p>
    <w:p w14:paraId="208E8C4C" w14:textId="77777777" w:rsidR="00B33542" w:rsidRPr="005071A1" w:rsidRDefault="00B33542" w:rsidP="00B33542">
      <w:pPr>
        <w:pStyle w:val="paragraph"/>
      </w:pPr>
      <w:r w:rsidRPr="005071A1">
        <w:tab/>
        <w:t>(a)</w:t>
      </w:r>
      <w:r w:rsidRPr="005071A1">
        <w:tab/>
        <w:t>ceases to be an employee by reason of his death; or</w:t>
      </w:r>
    </w:p>
    <w:p w14:paraId="17A911BC" w14:textId="77777777" w:rsidR="00B33542" w:rsidRPr="005071A1" w:rsidRDefault="00B33542" w:rsidP="00B33542">
      <w:pPr>
        <w:pStyle w:val="paragraph"/>
        <w:keepNext/>
      </w:pPr>
      <w:r w:rsidRPr="005071A1">
        <w:lastRenderedPageBreak/>
        <w:tab/>
        <w:t>(b)</w:t>
      </w:r>
      <w:r w:rsidRPr="005071A1">
        <w:tab/>
        <w:t xml:space="preserve">dies after he has ceased to be an employee but before the expiration of the period referred to in </w:t>
      </w:r>
      <w:r w:rsidR="008B2950" w:rsidRPr="005071A1">
        <w:t>subsection (</w:t>
      </w:r>
      <w:r w:rsidRPr="005071A1">
        <w:t>2);</w:t>
      </w:r>
    </w:p>
    <w:p w14:paraId="4C1A0FC5" w14:textId="77777777" w:rsidR="00B33542" w:rsidRPr="005071A1" w:rsidRDefault="00B33542" w:rsidP="00B33542">
      <w:pPr>
        <w:pStyle w:val="subsection2"/>
      </w:pPr>
      <w:r w:rsidRPr="005071A1">
        <w:t xml:space="preserve">the person (if any) who, by virtue of </w:t>
      </w:r>
      <w:r w:rsidR="008B2950" w:rsidRPr="005071A1">
        <w:t>subsection (</w:t>
      </w:r>
      <w:r w:rsidRPr="005071A1">
        <w:t>4), is eligible to make an election under this subsection may, within a period of 3 months after the death of the deceased person or within such further period as the Board (or, on and after 1</w:t>
      </w:r>
      <w:r w:rsidR="008B2950" w:rsidRPr="005071A1">
        <w:t> </w:t>
      </w:r>
      <w:r w:rsidRPr="005071A1">
        <w:t>July 1976, the Commissioner for Superannuation), in special circumstances, allows, make any election to which this section applies that could have been made by the deceased person but which was not made by him and, if the person so eligible makes such an election, this Act has effect, and shall be deemed to have had effect, as if the election had been made by the deceased person before he ceased to be an employee.</w:t>
      </w:r>
    </w:p>
    <w:p w14:paraId="1EDBD46E" w14:textId="77777777" w:rsidR="00B33542" w:rsidRPr="005071A1" w:rsidRDefault="00B33542" w:rsidP="00B33542">
      <w:pPr>
        <w:pStyle w:val="subsection"/>
      </w:pPr>
      <w:r w:rsidRPr="005071A1">
        <w:tab/>
        <w:t>(4)</w:t>
      </w:r>
      <w:r w:rsidRPr="005071A1">
        <w:tab/>
        <w:t xml:space="preserve">For the purposes of </w:t>
      </w:r>
      <w:r w:rsidR="008B2950" w:rsidRPr="005071A1">
        <w:t>subsection (</w:t>
      </w:r>
      <w:r w:rsidRPr="005071A1">
        <w:t>3), the person who is eligible to make an election under that subsection is:</w:t>
      </w:r>
    </w:p>
    <w:p w14:paraId="72714DF5" w14:textId="77777777" w:rsidR="00B33542" w:rsidRPr="005071A1" w:rsidRDefault="00B33542" w:rsidP="00B33542">
      <w:pPr>
        <w:pStyle w:val="paragraph"/>
      </w:pPr>
      <w:r w:rsidRPr="005071A1">
        <w:tab/>
        <w:t>(a)</w:t>
      </w:r>
      <w:r w:rsidRPr="005071A1">
        <w:tab/>
        <w:t>if the deceased person left a widow or widower—the widow or widower; or</w:t>
      </w:r>
    </w:p>
    <w:p w14:paraId="7FC8B393" w14:textId="77777777" w:rsidR="00B33542" w:rsidRPr="005071A1" w:rsidRDefault="00B33542" w:rsidP="00B33542">
      <w:pPr>
        <w:pStyle w:val="paragraph"/>
      </w:pPr>
      <w:r w:rsidRPr="005071A1">
        <w:tab/>
        <w:t>(b)</w:t>
      </w:r>
      <w:r w:rsidRPr="005071A1">
        <w:tab/>
        <w:t>in any other case—such person (if any) as the Board (or, on and after 1</w:t>
      </w:r>
      <w:r w:rsidR="008B2950" w:rsidRPr="005071A1">
        <w:t> </w:t>
      </w:r>
      <w:r w:rsidRPr="005071A1">
        <w:t>July 1976, the Commissioner for Superannuation) determines.</w:t>
      </w:r>
    </w:p>
    <w:p w14:paraId="519E0D1B" w14:textId="77777777" w:rsidR="00B33542" w:rsidRPr="005071A1" w:rsidRDefault="00B33542" w:rsidP="00B33542">
      <w:pPr>
        <w:pStyle w:val="subsection"/>
      </w:pPr>
      <w:r w:rsidRPr="005071A1">
        <w:tab/>
        <w:t>(5)</w:t>
      </w:r>
      <w:r w:rsidRPr="005071A1">
        <w:tab/>
        <w:t xml:space="preserve">Where an election is made under </w:t>
      </w:r>
      <w:r w:rsidR="008B2950" w:rsidRPr="005071A1">
        <w:t>subsection (</w:t>
      </w:r>
      <w:r w:rsidRPr="005071A1">
        <w:t>1) of section</w:t>
      </w:r>
      <w:r w:rsidR="008B2950" w:rsidRPr="005071A1">
        <w:t> </w:t>
      </w:r>
      <w:r w:rsidRPr="005071A1">
        <w:t xml:space="preserve">22A of this Act by virtue of </w:t>
      </w:r>
      <w:r w:rsidR="008B2950" w:rsidRPr="005071A1">
        <w:t>subsection (</w:t>
      </w:r>
      <w:r w:rsidRPr="005071A1">
        <w:t>2) or (3) by or in respect of a person in respect of whom this section applies, the election shall specify the date as from which the election is to have effect, being a date not earlier than 5</w:t>
      </w:r>
      <w:r w:rsidR="008B2950" w:rsidRPr="005071A1">
        <w:t> </w:t>
      </w:r>
      <w:r w:rsidRPr="005071A1">
        <w:t xml:space="preserve">February 1976 and not later than the date on which the person ceased to be an employee, and, for the purposes of </w:t>
      </w:r>
      <w:r w:rsidR="008B2950" w:rsidRPr="005071A1">
        <w:t>subsection (</w:t>
      </w:r>
      <w:r w:rsidRPr="005071A1">
        <w:t>2) of section</w:t>
      </w:r>
      <w:r w:rsidR="008B2950" w:rsidRPr="005071A1">
        <w:t> </w:t>
      </w:r>
      <w:r w:rsidRPr="005071A1">
        <w:t>22A, the date so specified shall be deemed to be the date of the election.</w:t>
      </w:r>
    </w:p>
    <w:p w14:paraId="3769A4A5" w14:textId="77777777" w:rsidR="00B33542" w:rsidRPr="005071A1" w:rsidRDefault="00B33542" w:rsidP="00B33542">
      <w:pPr>
        <w:pStyle w:val="ActHead5"/>
      </w:pPr>
      <w:bookmarkStart w:id="18" w:name="_Toc185577400"/>
      <w:r w:rsidRPr="004510F0">
        <w:rPr>
          <w:rStyle w:val="CharSectno"/>
        </w:rPr>
        <w:t>20A</w:t>
      </w:r>
      <w:r w:rsidRPr="005071A1">
        <w:t xml:space="preserve">  Rights of employees over 40 years of age</w:t>
      </w:r>
      <w:bookmarkEnd w:id="18"/>
    </w:p>
    <w:p w14:paraId="6ADE0DA1" w14:textId="77777777" w:rsidR="00B33542" w:rsidRPr="005071A1" w:rsidRDefault="00B33542" w:rsidP="00B33542">
      <w:pPr>
        <w:pStyle w:val="subsection"/>
      </w:pPr>
      <w:r w:rsidRPr="005071A1">
        <w:tab/>
        <w:t>(1)</w:t>
      </w:r>
      <w:r w:rsidRPr="005071A1">
        <w:tab/>
        <w:t xml:space="preserve">If the salary of an employee who has attained the age of forty years is increased and, by reason of the increase, the employee would, </w:t>
      </w:r>
      <w:r w:rsidRPr="005071A1">
        <w:lastRenderedPageBreak/>
        <w:t>but for this subsection, be required to contribute for an additional unit or units of pension, he may, subject to section</w:t>
      </w:r>
      <w:r w:rsidR="008B2950" w:rsidRPr="005071A1">
        <w:t> </w:t>
      </w:r>
      <w:r w:rsidRPr="005071A1">
        <w:t>22H, not later than six months after the date upon which his salary is increased, elect not to contribute for all or any of the additional units attributable to the increase, but, subject to section</w:t>
      </w:r>
      <w:r w:rsidR="008B2950" w:rsidRPr="005071A1">
        <w:t> </w:t>
      </w:r>
      <w:r w:rsidRPr="005071A1">
        <w:t>20AB, a person is not entitled to make an election under this subsection after 30</w:t>
      </w:r>
      <w:r w:rsidR="008B2950" w:rsidRPr="005071A1">
        <w:t> </w:t>
      </w:r>
      <w:r w:rsidRPr="005071A1">
        <w:t>June 1976.</w:t>
      </w:r>
    </w:p>
    <w:p w14:paraId="63BDC276" w14:textId="77777777" w:rsidR="00B33542" w:rsidRPr="005071A1" w:rsidRDefault="00B33542" w:rsidP="00B33542">
      <w:pPr>
        <w:pStyle w:val="subsection"/>
      </w:pPr>
      <w:r w:rsidRPr="005071A1">
        <w:tab/>
        <w:t>(2)</w:t>
      </w:r>
      <w:r w:rsidRPr="005071A1">
        <w:tab/>
        <w:t>If the prescribed amount is increased and, by reason of the increase, an employee who had attained the age of forty years before the date of the increase would, but for this subsection, be required to contribute for an additional unit or units of pension, he may, subject to section</w:t>
      </w:r>
      <w:r w:rsidR="008B2950" w:rsidRPr="005071A1">
        <w:t> </w:t>
      </w:r>
      <w:r w:rsidRPr="005071A1">
        <w:t>22H, not later than six months after that date, elect not to contribute for all or any of the additional units attributable to the increase, but, subject to section</w:t>
      </w:r>
      <w:r w:rsidR="008B2950" w:rsidRPr="005071A1">
        <w:t> </w:t>
      </w:r>
      <w:r w:rsidRPr="005071A1">
        <w:t>20AB, a person is not entitled to make an election under this subsection after 30</w:t>
      </w:r>
      <w:r w:rsidR="008B2950" w:rsidRPr="005071A1">
        <w:t> </w:t>
      </w:r>
      <w:r w:rsidRPr="005071A1">
        <w:t>June 1976.</w:t>
      </w:r>
    </w:p>
    <w:p w14:paraId="01DA1525" w14:textId="77777777" w:rsidR="00B33542" w:rsidRPr="005071A1" w:rsidRDefault="00B33542" w:rsidP="00B33542">
      <w:pPr>
        <w:pStyle w:val="subsection"/>
      </w:pPr>
      <w:r w:rsidRPr="005071A1">
        <w:tab/>
        <w:t>(3)</w:t>
      </w:r>
      <w:r w:rsidRPr="005071A1">
        <w:tab/>
        <w:t>Where an employee who has attained the age of forty years is a contributor for a number of units of pension less than the difference between:</w:t>
      </w:r>
    </w:p>
    <w:p w14:paraId="2669CB9D" w14:textId="77777777" w:rsidR="00B33542" w:rsidRPr="005071A1" w:rsidRDefault="00B33542" w:rsidP="00B33542">
      <w:pPr>
        <w:pStyle w:val="paragraph"/>
      </w:pPr>
      <w:r w:rsidRPr="005071A1">
        <w:tab/>
        <w:t>(a)</w:t>
      </w:r>
      <w:r w:rsidRPr="005071A1">
        <w:tab/>
        <w:t xml:space="preserve">the number of units of pension ascertained in accordance with </w:t>
      </w:r>
      <w:r w:rsidR="008B2950" w:rsidRPr="005071A1">
        <w:t>subsection (</w:t>
      </w:r>
      <w:r w:rsidRPr="005071A1">
        <w:t>2) of section</w:t>
      </w:r>
      <w:r w:rsidR="008B2950" w:rsidRPr="005071A1">
        <w:t> </w:t>
      </w:r>
      <w:r w:rsidRPr="005071A1">
        <w:t>20 as it applies in relation to him; and</w:t>
      </w:r>
    </w:p>
    <w:p w14:paraId="43B50F18" w14:textId="77777777" w:rsidR="00B33542" w:rsidRPr="005071A1" w:rsidRDefault="00B33542" w:rsidP="00B33542">
      <w:pPr>
        <w:pStyle w:val="paragraph"/>
        <w:keepNext/>
      </w:pPr>
      <w:r w:rsidRPr="005071A1">
        <w:tab/>
        <w:t>(b)</w:t>
      </w:r>
      <w:r w:rsidRPr="005071A1">
        <w:tab/>
        <w:t>the number of non</w:t>
      </w:r>
      <w:r w:rsidR="004510F0">
        <w:noBreakHyphen/>
      </w:r>
      <w:r w:rsidRPr="005071A1">
        <w:t>contributory units of pension, if any, applicable in relation to him;</w:t>
      </w:r>
    </w:p>
    <w:p w14:paraId="1410DA06" w14:textId="77777777" w:rsidR="00B33542" w:rsidRPr="005071A1" w:rsidRDefault="00B33542" w:rsidP="00B33542">
      <w:pPr>
        <w:pStyle w:val="subsection2"/>
      </w:pPr>
      <w:r w:rsidRPr="005071A1">
        <w:t>he may elect to contribute for such number of additional units of pension as does not exceed the number by which that difference exceeds the number of units of pension for which he is a contributor, but a person is not entitled to make an election under this subsection after 12</w:t>
      </w:r>
      <w:r w:rsidR="008B2950" w:rsidRPr="005071A1">
        <w:t> </w:t>
      </w:r>
      <w:r w:rsidRPr="005071A1">
        <w:t>February 1976.</w:t>
      </w:r>
    </w:p>
    <w:p w14:paraId="6588C489" w14:textId="77777777" w:rsidR="00B33542" w:rsidRPr="005071A1" w:rsidRDefault="00B33542" w:rsidP="00B33542">
      <w:pPr>
        <w:pStyle w:val="subsection"/>
      </w:pPr>
      <w:r w:rsidRPr="005071A1">
        <w:lastRenderedPageBreak/>
        <w:tab/>
        <w:t>(4)</w:t>
      </w:r>
      <w:r w:rsidRPr="005071A1">
        <w:tab/>
        <w:t xml:space="preserve">An election under </w:t>
      </w:r>
      <w:r w:rsidR="008B2950" w:rsidRPr="005071A1">
        <w:t>subsection (</w:t>
      </w:r>
      <w:r w:rsidRPr="005071A1">
        <w:t xml:space="preserve">3) does not have effect unless the employee satisfies the Board that he is not suffering from any physical or mental defect (not being a defect that, in the opinion of the Board, is the result of the service of the contributor as a member of the Forces as defined by </w:t>
      </w:r>
      <w:r w:rsidR="008B2950" w:rsidRPr="005071A1">
        <w:t>subsection (</w:t>
      </w:r>
      <w:r w:rsidRPr="005071A1">
        <w:t xml:space="preserve">2) of </w:t>
      </w:r>
      <w:r w:rsidR="004510F0">
        <w:t>section 1</w:t>
      </w:r>
      <w:r w:rsidRPr="005071A1">
        <w:t>47) likely to render him incapable of performing his duties before attaining the maximum age for retirement.</w:t>
      </w:r>
    </w:p>
    <w:p w14:paraId="4AE8A9FD" w14:textId="77777777" w:rsidR="00B33542" w:rsidRPr="005071A1" w:rsidRDefault="00B33542" w:rsidP="00B33542">
      <w:pPr>
        <w:pStyle w:val="subsection"/>
      </w:pPr>
      <w:r w:rsidRPr="005071A1">
        <w:tab/>
        <w:t>(5)</w:t>
      </w:r>
      <w:r w:rsidRPr="005071A1">
        <w:tab/>
        <w:t xml:space="preserve">Any additional contribution payable by reason of an election under </w:t>
      </w:r>
      <w:r w:rsidR="008B2950" w:rsidRPr="005071A1">
        <w:t>subsection (</w:t>
      </w:r>
      <w:r w:rsidRPr="005071A1">
        <w:t>3) is payable as from the date of the election.</w:t>
      </w:r>
    </w:p>
    <w:p w14:paraId="5ACE302A" w14:textId="77777777" w:rsidR="00B33542" w:rsidRPr="005071A1" w:rsidRDefault="00B33542" w:rsidP="00B33542">
      <w:pPr>
        <w:pStyle w:val="ActHead5"/>
      </w:pPr>
      <w:bookmarkStart w:id="19" w:name="_Toc185577401"/>
      <w:r w:rsidRPr="004510F0">
        <w:rPr>
          <w:rStyle w:val="CharSectno"/>
        </w:rPr>
        <w:t>20B</w:t>
      </w:r>
      <w:r w:rsidRPr="005071A1">
        <w:t xml:space="preserve">  Effect of reduction in salary or prescribed amount</w:t>
      </w:r>
      <w:bookmarkEnd w:id="19"/>
    </w:p>
    <w:p w14:paraId="331AB29F" w14:textId="77777777" w:rsidR="00B33542" w:rsidRPr="005071A1" w:rsidRDefault="00B33542" w:rsidP="00B33542">
      <w:pPr>
        <w:pStyle w:val="subsection"/>
      </w:pPr>
      <w:r w:rsidRPr="005071A1">
        <w:tab/>
        <w:t>(1)</w:t>
      </w:r>
      <w:r w:rsidRPr="005071A1">
        <w:tab/>
        <w:t xml:space="preserve">Where the number of units of pension for which an employee is required to contribute would, but for this section, be reduced by reason of a reduction in his salary or in the prescribed amount, the employee shall, subject to </w:t>
      </w:r>
      <w:r w:rsidR="008B2950" w:rsidRPr="005071A1">
        <w:t>subsection (</w:t>
      </w:r>
      <w:r w:rsidRPr="005071A1">
        <w:t>2), continue to contribute for the number of units for which he was a contributor immediately before the reduction.</w:t>
      </w:r>
    </w:p>
    <w:p w14:paraId="22433ECD" w14:textId="77777777" w:rsidR="00B33542" w:rsidRPr="005071A1" w:rsidRDefault="00B33542" w:rsidP="00B33542">
      <w:pPr>
        <w:pStyle w:val="subsection"/>
      </w:pPr>
      <w:r w:rsidRPr="005071A1">
        <w:tab/>
        <w:t>(2)</w:t>
      </w:r>
      <w:r w:rsidRPr="005071A1">
        <w:tab/>
        <w:t xml:space="preserve">An employee to whom </w:t>
      </w:r>
      <w:r w:rsidR="008B2950" w:rsidRPr="005071A1">
        <w:t>subsection (</w:t>
      </w:r>
      <w:r w:rsidRPr="005071A1">
        <w:t>1) of this section applies may, subject to section</w:t>
      </w:r>
      <w:r w:rsidR="008B2950" w:rsidRPr="005071A1">
        <w:t> </w:t>
      </w:r>
      <w:r w:rsidRPr="005071A1">
        <w:t xml:space="preserve">22J, elect to reduce the number of units for which he is required to contribute to a number of units not less than the number of units ascertained in accordance with </w:t>
      </w:r>
      <w:r w:rsidR="008B2950" w:rsidRPr="005071A1">
        <w:t>subsection (</w:t>
      </w:r>
      <w:r w:rsidRPr="005071A1">
        <w:t>2) of section</w:t>
      </w:r>
      <w:r w:rsidR="008B2950" w:rsidRPr="005071A1">
        <w:t> </w:t>
      </w:r>
      <w:r w:rsidRPr="005071A1">
        <w:t>20 as it applies in relation to him at the time of the election.</w:t>
      </w:r>
    </w:p>
    <w:p w14:paraId="08CD0B6D" w14:textId="77777777" w:rsidR="00B33542" w:rsidRPr="005071A1" w:rsidRDefault="00B33542" w:rsidP="00B33542">
      <w:pPr>
        <w:pStyle w:val="ActHead5"/>
      </w:pPr>
      <w:bookmarkStart w:id="20" w:name="_Toc185577402"/>
      <w:r w:rsidRPr="004510F0">
        <w:rPr>
          <w:rStyle w:val="CharSectno"/>
        </w:rPr>
        <w:t>21</w:t>
      </w:r>
      <w:r w:rsidRPr="005071A1">
        <w:t xml:space="preserve">  Exemption of employee who has made adequate provision</w:t>
      </w:r>
      <w:bookmarkEnd w:id="20"/>
    </w:p>
    <w:p w14:paraId="3D3C1CFB" w14:textId="77777777" w:rsidR="00B33542" w:rsidRPr="005071A1" w:rsidRDefault="00B33542" w:rsidP="00B33542">
      <w:pPr>
        <w:pStyle w:val="subsection"/>
      </w:pPr>
      <w:r w:rsidRPr="005071A1">
        <w:tab/>
      </w:r>
      <w:r w:rsidRPr="005071A1">
        <w:tab/>
        <w:t>Where an employee satisfies the Board that adequate provision has been made for himself and his family, the Board may exempt him from contributing for more than two units of pension.</w:t>
      </w:r>
    </w:p>
    <w:p w14:paraId="46308E7E" w14:textId="77777777" w:rsidR="00B33542" w:rsidRPr="005071A1" w:rsidRDefault="00B33542" w:rsidP="00B33542">
      <w:pPr>
        <w:pStyle w:val="ActHead5"/>
      </w:pPr>
      <w:bookmarkStart w:id="21" w:name="_Toc185577403"/>
      <w:r w:rsidRPr="004510F0">
        <w:rPr>
          <w:rStyle w:val="CharSectno"/>
        </w:rPr>
        <w:lastRenderedPageBreak/>
        <w:t>22</w:t>
      </w:r>
      <w:r w:rsidRPr="005071A1">
        <w:t xml:space="preserve">  Interpretation</w:t>
      </w:r>
      <w:bookmarkEnd w:id="21"/>
    </w:p>
    <w:p w14:paraId="4FD75249" w14:textId="77777777" w:rsidR="00B33542" w:rsidRPr="005071A1" w:rsidRDefault="00B33542" w:rsidP="00B33542">
      <w:pPr>
        <w:pStyle w:val="subsection"/>
      </w:pPr>
      <w:r w:rsidRPr="005071A1">
        <w:tab/>
        <w:t>(1)</w:t>
      </w:r>
      <w:r w:rsidRPr="005071A1">
        <w:tab/>
        <w:t>For the purposes of this Division, the prescribed amount is such amount, being a multiple of $130, as is specified in the regulations for the purpose of this subsection.</w:t>
      </w:r>
    </w:p>
    <w:p w14:paraId="127CA48C" w14:textId="77777777" w:rsidR="00B33542" w:rsidRPr="005071A1" w:rsidRDefault="00B33542" w:rsidP="00B33542">
      <w:pPr>
        <w:pStyle w:val="subsection"/>
      </w:pPr>
      <w:r w:rsidRPr="005071A1">
        <w:tab/>
        <w:t>(2)</w:t>
      </w:r>
      <w:r w:rsidRPr="005071A1">
        <w:tab/>
        <w:t xml:space="preserve">In making a regulation for the purpose of </w:t>
      </w:r>
      <w:r w:rsidR="008B2950" w:rsidRPr="005071A1">
        <w:t>subsection (</w:t>
      </w:r>
      <w:r w:rsidRPr="005071A1">
        <w:t>1), the Governor</w:t>
      </w:r>
      <w:r w:rsidR="004510F0">
        <w:noBreakHyphen/>
      </w:r>
      <w:r w:rsidRPr="005071A1">
        <w:t>General:</w:t>
      </w:r>
    </w:p>
    <w:p w14:paraId="52C14329" w14:textId="77777777" w:rsidR="00B33542" w:rsidRPr="005071A1" w:rsidRDefault="00B33542" w:rsidP="00B33542">
      <w:pPr>
        <w:pStyle w:val="paragraph"/>
      </w:pPr>
      <w:r w:rsidRPr="005071A1">
        <w:tab/>
        <w:t>(a)</w:t>
      </w:r>
      <w:r w:rsidRPr="005071A1">
        <w:tab/>
        <w:t>is not required to act on the recommendation of the Board; and</w:t>
      </w:r>
    </w:p>
    <w:p w14:paraId="5B3A4D7D" w14:textId="77777777" w:rsidR="00B33542" w:rsidRPr="005071A1" w:rsidRDefault="00B33542" w:rsidP="00B33542">
      <w:pPr>
        <w:pStyle w:val="paragraph"/>
      </w:pPr>
      <w:r w:rsidRPr="005071A1">
        <w:tab/>
        <w:t>(b)</w:t>
      </w:r>
      <w:r w:rsidRPr="005071A1">
        <w:tab/>
        <w:t>shall have regard to any general variations in the rates of salaries of employees that have occurred.</w:t>
      </w:r>
    </w:p>
    <w:p w14:paraId="66BBAD31" w14:textId="77777777" w:rsidR="00B33542" w:rsidRPr="005071A1" w:rsidRDefault="00B33542" w:rsidP="002477D1">
      <w:pPr>
        <w:pStyle w:val="ActHead3"/>
        <w:pageBreakBefore/>
      </w:pPr>
      <w:bookmarkStart w:id="22" w:name="_Toc185577404"/>
      <w:r w:rsidRPr="004510F0">
        <w:rPr>
          <w:rStyle w:val="CharDivNo"/>
        </w:rPr>
        <w:lastRenderedPageBreak/>
        <w:t>Division</w:t>
      </w:r>
      <w:r w:rsidR="008B2950" w:rsidRPr="004510F0">
        <w:rPr>
          <w:rStyle w:val="CharDivNo"/>
        </w:rPr>
        <w:t> </w:t>
      </w:r>
      <w:r w:rsidRPr="004510F0">
        <w:rPr>
          <w:rStyle w:val="CharDivNo"/>
        </w:rPr>
        <w:t>2A</w:t>
      </w:r>
      <w:r w:rsidRPr="005071A1">
        <w:t>—</w:t>
      </w:r>
      <w:r w:rsidRPr="004510F0">
        <w:rPr>
          <w:rStyle w:val="CharDivText"/>
        </w:rPr>
        <w:t>Non</w:t>
      </w:r>
      <w:r w:rsidR="004510F0" w:rsidRPr="004510F0">
        <w:rPr>
          <w:rStyle w:val="CharDivText"/>
        </w:rPr>
        <w:noBreakHyphen/>
      </w:r>
      <w:r w:rsidRPr="004510F0">
        <w:rPr>
          <w:rStyle w:val="CharDivText"/>
        </w:rPr>
        <w:t>contributory units of pension</w:t>
      </w:r>
      <w:bookmarkEnd w:id="22"/>
    </w:p>
    <w:p w14:paraId="48F02983" w14:textId="77777777" w:rsidR="00B33542" w:rsidRPr="005071A1" w:rsidRDefault="00B33542" w:rsidP="00B33542">
      <w:pPr>
        <w:pStyle w:val="ActHead5"/>
      </w:pPr>
      <w:bookmarkStart w:id="23" w:name="_Toc185577405"/>
      <w:r w:rsidRPr="004510F0">
        <w:rPr>
          <w:rStyle w:val="CharSectno"/>
        </w:rPr>
        <w:t>22A</w:t>
      </w:r>
      <w:r w:rsidRPr="005071A1">
        <w:t xml:space="preserve">  Election to take up rejected units as non</w:t>
      </w:r>
      <w:r w:rsidR="004510F0">
        <w:noBreakHyphen/>
      </w:r>
      <w:r w:rsidRPr="005071A1">
        <w:t>contributory units</w:t>
      </w:r>
      <w:bookmarkEnd w:id="23"/>
    </w:p>
    <w:p w14:paraId="407551F8" w14:textId="77777777" w:rsidR="00B33542" w:rsidRPr="005071A1" w:rsidRDefault="00B33542" w:rsidP="00B33542">
      <w:pPr>
        <w:pStyle w:val="subsection"/>
      </w:pPr>
      <w:r w:rsidRPr="005071A1">
        <w:tab/>
        <w:t>(1)</w:t>
      </w:r>
      <w:r w:rsidRPr="005071A1">
        <w:tab/>
        <w:t>Where an employee who has attained the age of forty years but has not attained the age of sixty</w:t>
      </w:r>
      <w:r w:rsidR="004510F0">
        <w:noBreakHyphen/>
      </w:r>
      <w:r w:rsidRPr="005071A1">
        <w:t>five years is a contributor for a number of units of pension less than the difference between:</w:t>
      </w:r>
    </w:p>
    <w:p w14:paraId="6FD66697" w14:textId="77777777" w:rsidR="00B33542" w:rsidRPr="005071A1" w:rsidRDefault="00B33542" w:rsidP="00B33542">
      <w:pPr>
        <w:pStyle w:val="paragraph"/>
      </w:pPr>
      <w:r w:rsidRPr="005071A1">
        <w:tab/>
        <w:t>(a)</w:t>
      </w:r>
      <w:r w:rsidRPr="005071A1">
        <w:tab/>
        <w:t xml:space="preserve">the number of units of pension ascertained in accordance with </w:t>
      </w:r>
      <w:r w:rsidR="008B2950" w:rsidRPr="005071A1">
        <w:t>subsection (</w:t>
      </w:r>
      <w:r w:rsidRPr="005071A1">
        <w:t>2) of section</w:t>
      </w:r>
      <w:r w:rsidR="008B2950" w:rsidRPr="005071A1">
        <w:t> </w:t>
      </w:r>
      <w:r w:rsidRPr="005071A1">
        <w:t>20 as it applies in relation to him; and</w:t>
      </w:r>
    </w:p>
    <w:p w14:paraId="0F2AA459" w14:textId="77777777" w:rsidR="00B33542" w:rsidRPr="005071A1" w:rsidRDefault="00B33542" w:rsidP="00B33542">
      <w:pPr>
        <w:pStyle w:val="paragraph"/>
        <w:keepNext/>
      </w:pPr>
      <w:r w:rsidRPr="005071A1">
        <w:tab/>
        <w:t>(b)</w:t>
      </w:r>
      <w:r w:rsidRPr="005071A1">
        <w:tab/>
        <w:t>the number of non</w:t>
      </w:r>
      <w:r w:rsidR="004510F0">
        <w:noBreakHyphen/>
      </w:r>
      <w:r w:rsidRPr="005071A1">
        <w:t>contributory units of pension, if any, applicable in relation to him;</w:t>
      </w:r>
    </w:p>
    <w:p w14:paraId="71EF969D" w14:textId="77777777" w:rsidR="00B33542" w:rsidRPr="005071A1" w:rsidRDefault="00B33542" w:rsidP="00B33542">
      <w:pPr>
        <w:pStyle w:val="subsection2"/>
      </w:pPr>
      <w:r w:rsidRPr="005071A1">
        <w:t xml:space="preserve">he may, subject to this Act and to the </w:t>
      </w:r>
      <w:r w:rsidRPr="005071A1">
        <w:rPr>
          <w:i/>
        </w:rPr>
        <w:t>Superannuation Act (No.</w:t>
      </w:r>
      <w:r w:rsidR="008B2950" w:rsidRPr="005071A1">
        <w:rPr>
          <w:i/>
        </w:rPr>
        <w:t> </w:t>
      </w:r>
      <w:r w:rsidRPr="005071A1">
        <w:rPr>
          <w:i/>
        </w:rPr>
        <w:t>2) 1969</w:t>
      </w:r>
      <w:r w:rsidRPr="005071A1">
        <w:t>, elect that such number of units of pension as does not exceed the number by which that difference exceeds the number of units of pension for which he is a contributor are to be applicable in relation to him as non</w:t>
      </w:r>
      <w:r w:rsidR="004510F0">
        <w:noBreakHyphen/>
      </w:r>
      <w:r w:rsidRPr="005071A1">
        <w:t>contributory units of pension, but, subject to section</w:t>
      </w:r>
      <w:r w:rsidR="008B2950" w:rsidRPr="005071A1">
        <w:t> </w:t>
      </w:r>
      <w:r w:rsidRPr="005071A1">
        <w:t>20AB, a person is not entitled to make an election under this subsection after 30</w:t>
      </w:r>
      <w:r w:rsidR="008B2950" w:rsidRPr="005071A1">
        <w:t> </w:t>
      </w:r>
      <w:r w:rsidRPr="005071A1">
        <w:t>June 1976.</w:t>
      </w:r>
    </w:p>
    <w:p w14:paraId="0F71EC4A" w14:textId="77777777" w:rsidR="00B33542" w:rsidRPr="005071A1" w:rsidRDefault="00B33542" w:rsidP="00B33542">
      <w:pPr>
        <w:pStyle w:val="subsection"/>
      </w:pPr>
      <w:r w:rsidRPr="005071A1">
        <w:tab/>
        <w:t>(2)</w:t>
      </w:r>
      <w:r w:rsidRPr="005071A1">
        <w:tab/>
        <w:t xml:space="preserve">An election by an employee under </w:t>
      </w:r>
      <w:r w:rsidR="008B2950" w:rsidRPr="005071A1">
        <w:t>subsection (</w:t>
      </w:r>
      <w:r w:rsidRPr="005071A1">
        <w:t>1) does not have effect in relation to a unit of pension unless the sum of:</w:t>
      </w:r>
    </w:p>
    <w:p w14:paraId="2082920D" w14:textId="77777777" w:rsidR="00B33542" w:rsidRPr="005071A1" w:rsidRDefault="00B33542" w:rsidP="00B33542">
      <w:pPr>
        <w:pStyle w:val="paragraph"/>
      </w:pPr>
      <w:r w:rsidRPr="005071A1">
        <w:tab/>
        <w:t>(a)</w:t>
      </w:r>
      <w:r w:rsidRPr="005071A1">
        <w:tab/>
        <w:t>the fortnightly amount of the contributions (other than contributions for reserve units of pension) that are payable by him to the Fund on the date of the election or, if that date is not a pay</w:t>
      </w:r>
      <w:r w:rsidR="004510F0">
        <w:noBreakHyphen/>
      </w:r>
      <w:r w:rsidRPr="005071A1">
        <w:t>day, that would be so payable if that date were a pay</w:t>
      </w:r>
      <w:r w:rsidR="004510F0">
        <w:noBreakHyphen/>
      </w:r>
      <w:r w:rsidRPr="005071A1">
        <w:t>day; and</w:t>
      </w:r>
    </w:p>
    <w:p w14:paraId="4C29B4EB" w14:textId="77777777" w:rsidR="00B33542" w:rsidRPr="005071A1" w:rsidRDefault="00B33542" w:rsidP="00B33542">
      <w:pPr>
        <w:pStyle w:val="paragraph"/>
        <w:keepNext/>
      </w:pPr>
      <w:r w:rsidRPr="005071A1">
        <w:lastRenderedPageBreak/>
        <w:tab/>
        <w:t>(b)</w:t>
      </w:r>
      <w:r w:rsidRPr="005071A1">
        <w:tab/>
        <w:t>the fortnightly amount of the contributions that, if he became liable to contribute for that unit on that date, would be payable by him to the Fund in respect of that unit on that date or, if that date is not a pay</w:t>
      </w:r>
      <w:r w:rsidR="004510F0">
        <w:noBreakHyphen/>
      </w:r>
      <w:r w:rsidRPr="005071A1">
        <w:t>day, on the next following pay</w:t>
      </w:r>
      <w:r w:rsidR="004510F0">
        <w:noBreakHyphen/>
      </w:r>
      <w:r w:rsidRPr="005071A1">
        <w:t>day;</w:t>
      </w:r>
    </w:p>
    <w:p w14:paraId="770E7E0C" w14:textId="77777777" w:rsidR="00B33542" w:rsidRPr="005071A1" w:rsidRDefault="00B33542" w:rsidP="00B33542">
      <w:pPr>
        <w:pStyle w:val="subsection2"/>
      </w:pPr>
      <w:r w:rsidRPr="005071A1">
        <w:t>exceeds three</w:t>
      </w:r>
      <w:r w:rsidR="004510F0">
        <w:noBreakHyphen/>
      </w:r>
      <w:r w:rsidRPr="005071A1">
        <w:t>one thousand and fortieths of his salary as at the date of the election.</w:t>
      </w:r>
    </w:p>
    <w:p w14:paraId="02069B08" w14:textId="77777777" w:rsidR="00B33542" w:rsidRPr="005071A1" w:rsidRDefault="00B33542" w:rsidP="00B33542">
      <w:pPr>
        <w:pStyle w:val="subsection"/>
      </w:pPr>
      <w:r w:rsidRPr="005071A1">
        <w:tab/>
        <w:t>(3)</w:t>
      </w:r>
      <w:r w:rsidRPr="005071A1">
        <w:tab/>
        <w:t xml:space="preserve">Where an election is made by an employee under </w:t>
      </w:r>
      <w:r w:rsidR="008B2950" w:rsidRPr="005071A1">
        <w:t>subsection (</w:t>
      </w:r>
      <w:r w:rsidRPr="005071A1">
        <w:t>1) after 4</w:t>
      </w:r>
      <w:r w:rsidR="008B2950" w:rsidRPr="005071A1">
        <w:t> </w:t>
      </w:r>
      <w:r w:rsidRPr="005071A1">
        <w:t>February 1976 and before 1</w:t>
      </w:r>
      <w:r w:rsidR="008B2950" w:rsidRPr="005071A1">
        <w:t> </w:t>
      </w:r>
      <w:r w:rsidRPr="005071A1">
        <w:t>July 1976, not being an election made by virtue of section</w:t>
      </w:r>
      <w:r w:rsidR="008B2950" w:rsidRPr="005071A1">
        <w:t> </w:t>
      </w:r>
      <w:r w:rsidRPr="005071A1">
        <w:t xml:space="preserve">20AB, his salary as at the date of the election shall, for the purposes of </w:t>
      </w:r>
      <w:r w:rsidR="008B2950" w:rsidRPr="005071A1">
        <w:t>subsection (</w:t>
      </w:r>
      <w:r w:rsidRPr="005071A1">
        <w:t>2), be deemed to be the salary that was his salary as at 4</w:t>
      </w:r>
      <w:r w:rsidR="008B2950" w:rsidRPr="005071A1">
        <w:t> </w:t>
      </w:r>
      <w:r w:rsidRPr="005071A1">
        <w:t>February 1976.</w:t>
      </w:r>
    </w:p>
    <w:p w14:paraId="5276415F" w14:textId="77777777" w:rsidR="00B33542" w:rsidRPr="005071A1" w:rsidRDefault="00B33542" w:rsidP="00B33542">
      <w:pPr>
        <w:pStyle w:val="ActHead5"/>
      </w:pPr>
      <w:bookmarkStart w:id="24" w:name="_Toc185577406"/>
      <w:r w:rsidRPr="004510F0">
        <w:rPr>
          <w:rStyle w:val="CharSectno"/>
        </w:rPr>
        <w:t>22B</w:t>
      </w:r>
      <w:r w:rsidRPr="005071A1">
        <w:t xml:space="preserve">  Election by certain contributors to convert existing units to non</w:t>
      </w:r>
      <w:r w:rsidR="004510F0">
        <w:noBreakHyphen/>
      </w:r>
      <w:r w:rsidRPr="005071A1">
        <w:t>contributory units</w:t>
      </w:r>
      <w:bookmarkEnd w:id="24"/>
    </w:p>
    <w:p w14:paraId="1DB6AD96" w14:textId="77777777" w:rsidR="00B33542" w:rsidRPr="005071A1" w:rsidRDefault="00B33542" w:rsidP="00B33542">
      <w:pPr>
        <w:pStyle w:val="subsection"/>
      </w:pPr>
      <w:r w:rsidRPr="005071A1">
        <w:tab/>
        <w:t>(1)</w:t>
      </w:r>
      <w:r w:rsidRPr="005071A1">
        <w:tab/>
        <w:t>Subject to this Act, an employee who has attained the age of forty years, but has not attained the age of sixty</w:t>
      </w:r>
      <w:r w:rsidR="004510F0">
        <w:noBreakHyphen/>
      </w:r>
      <w:r w:rsidRPr="005071A1">
        <w:t>five years, before the date of commencement of this section and is a contributor at that date may, before the expiration of the prescribed period, if he is still an employee, elect that such number of units of pension as is specified in the election, being units of pension for which he was a contributor immediately before that date and at the date of the election and the obligation to contribute for which came into existence on or after the date on which he attained the age of forty years, are to be applicable in relation to him as non</w:t>
      </w:r>
      <w:r w:rsidR="004510F0">
        <w:noBreakHyphen/>
      </w:r>
      <w:r w:rsidRPr="005071A1">
        <w:t>contributory units of pension.</w:t>
      </w:r>
    </w:p>
    <w:p w14:paraId="042E1655" w14:textId="77777777" w:rsidR="00B33542" w:rsidRPr="005071A1" w:rsidRDefault="00B33542" w:rsidP="00B33542">
      <w:pPr>
        <w:pStyle w:val="subsection"/>
      </w:pPr>
      <w:r w:rsidRPr="005071A1">
        <w:tab/>
        <w:t>(2)</w:t>
      </w:r>
      <w:r w:rsidRPr="005071A1">
        <w:tab/>
        <w:t xml:space="preserve">An election by an employee under </w:t>
      </w:r>
      <w:r w:rsidR="008B2950" w:rsidRPr="005071A1">
        <w:t>subsection (</w:t>
      </w:r>
      <w:r w:rsidRPr="005071A1">
        <w:t>1):</w:t>
      </w:r>
    </w:p>
    <w:p w14:paraId="771B6F40" w14:textId="77777777" w:rsidR="00B33542" w:rsidRPr="005071A1" w:rsidRDefault="00B33542" w:rsidP="00B33542">
      <w:pPr>
        <w:pStyle w:val="paragraph"/>
      </w:pPr>
      <w:r w:rsidRPr="005071A1">
        <w:tab/>
        <w:t>(a)</w:t>
      </w:r>
      <w:r w:rsidRPr="005071A1">
        <w:tab/>
        <w:t>shall, if it is made after the date of commencement of this section, be deemed, for the purposes of this Division, to have taken effect on that date; and</w:t>
      </w:r>
    </w:p>
    <w:p w14:paraId="7287E92D" w14:textId="77777777" w:rsidR="00B33542" w:rsidRPr="005071A1" w:rsidRDefault="00B33542" w:rsidP="00B33542">
      <w:pPr>
        <w:pStyle w:val="paragraph"/>
      </w:pPr>
      <w:r w:rsidRPr="005071A1">
        <w:lastRenderedPageBreak/>
        <w:tab/>
        <w:t>(b)</w:t>
      </w:r>
      <w:r w:rsidRPr="005071A1">
        <w:tab/>
        <w:t>shall be taken to relate to units of pension in the reverse of the order in which he became liable to contribute for those units.</w:t>
      </w:r>
    </w:p>
    <w:p w14:paraId="63095829" w14:textId="77777777" w:rsidR="00B33542" w:rsidRPr="005071A1" w:rsidRDefault="00B33542" w:rsidP="00B33542">
      <w:pPr>
        <w:pStyle w:val="subsection"/>
      </w:pPr>
      <w:r w:rsidRPr="005071A1">
        <w:tab/>
        <w:t>(3)</w:t>
      </w:r>
      <w:r w:rsidRPr="005071A1">
        <w:tab/>
        <w:t xml:space="preserve">An election under this section by an employee other than an employee to whom </w:t>
      </w:r>
      <w:r w:rsidR="008B2950" w:rsidRPr="005071A1">
        <w:t>subsection (</w:t>
      </w:r>
      <w:r w:rsidRPr="005071A1">
        <w:t xml:space="preserve">2BB) of </w:t>
      </w:r>
      <w:r w:rsidR="004510F0">
        <w:t>section 1</w:t>
      </w:r>
      <w:r w:rsidRPr="005071A1">
        <w:t>9 applies does not have effect, and shall be deemed not to have had effect, in relation to a unit of pension unless, if the election had had effect on the day immediately before the date of commencement of this section, the fortnightly amount of the contributions (other than contributions for reserve units of pension) that, but for the operation of the election in relation to that unit, would have been payable by him to the Fund on that day or, if that day was not a pay</w:t>
      </w:r>
      <w:r w:rsidR="004510F0">
        <w:noBreakHyphen/>
      </w:r>
      <w:r w:rsidRPr="005071A1">
        <w:t>day, that would have been so payable if that day had been a pay</w:t>
      </w:r>
      <w:r w:rsidR="004510F0">
        <w:noBreakHyphen/>
      </w:r>
      <w:r w:rsidRPr="005071A1">
        <w:t>day, exceeds three</w:t>
      </w:r>
      <w:r w:rsidR="004510F0">
        <w:noBreakHyphen/>
      </w:r>
      <w:r w:rsidRPr="005071A1">
        <w:t>one thousand and fortieths of his salary as at that day.</w:t>
      </w:r>
    </w:p>
    <w:p w14:paraId="7887FDA0" w14:textId="77777777" w:rsidR="00B33542" w:rsidRPr="005071A1" w:rsidRDefault="00B33542" w:rsidP="00B33542">
      <w:pPr>
        <w:pStyle w:val="subsection"/>
      </w:pPr>
      <w:r w:rsidRPr="005071A1">
        <w:tab/>
        <w:t>(4)</w:t>
      </w:r>
      <w:r w:rsidRPr="005071A1">
        <w:tab/>
        <w:t xml:space="preserve">An election under this section by an employee to whom </w:t>
      </w:r>
      <w:r w:rsidR="008B2950" w:rsidRPr="005071A1">
        <w:t>subsection (</w:t>
      </w:r>
      <w:r w:rsidRPr="005071A1">
        <w:t xml:space="preserve">2BB) of </w:t>
      </w:r>
      <w:r w:rsidR="004510F0">
        <w:t>section 1</w:t>
      </w:r>
      <w:r w:rsidRPr="005071A1">
        <w:t>9 applies does not have effect, and shall be deemed not to have had effect, in relation to a unit of pension unless, if the election had had effect on the day immediately before the date of commencement of this section, the sum of:</w:t>
      </w:r>
    </w:p>
    <w:p w14:paraId="1419D013" w14:textId="77777777" w:rsidR="00B33542" w:rsidRPr="005071A1" w:rsidRDefault="00B33542" w:rsidP="00B33542">
      <w:pPr>
        <w:pStyle w:val="paragraph"/>
      </w:pPr>
      <w:r w:rsidRPr="005071A1">
        <w:tab/>
        <w:t>(a)</w:t>
      </w:r>
      <w:r w:rsidRPr="005071A1">
        <w:tab/>
        <w:t xml:space="preserve">the fortnightly amount of the contributions (other than contributions for reserve units of pension) that, but for this section, would have been payable by him to the Fund under </w:t>
      </w:r>
      <w:r w:rsidR="008B2950" w:rsidRPr="005071A1">
        <w:t>subsection (</w:t>
      </w:r>
      <w:r w:rsidRPr="005071A1">
        <w:t xml:space="preserve">2BB) or </w:t>
      </w:r>
      <w:r w:rsidR="008B2950" w:rsidRPr="005071A1">
        <w:t>subsection (</w:t>
      </w:r>
      <w:r w:rsidRPr="005071A1">
        <w:t xml:space="preserve">2BC) of </w:t>
      </w:r>
      <w:r w:rsidR="004510F0">
        <w:t>section 1</w:t>
      </w:r>
      <w:r w:rsidRPr="005071A1">
        <w:t>9 on that day or, if that day was not a pay</w:t>
      </w:r>
      <w:r w:rsidR="004510F0">
        <w:noBreakHyphen/>
      </w:r>
      <w:r w:rsidRPr="005071A1">
        <w:t>day, that would have been so payable if that day had been a pay</w:t>
      </w:r>
      <w:r w:rsidR="004510F0">
        <w:noBreakHyphen/>
      </w:r>
      <w:r w:rsidRPr="005071A1">
        <w:t>day; and</w:t>
      </w:r>
    </w:p>
    <w:p w14:paraId="3D502093" w14:textId="77777777" w:rsidR="00B33542" w:rsidRPr="005071A1" w:rsidRDefault="00B33542" w:rsidP="00B33542">
      <w:pPr>
        <w:pStyle w:val="paragraph"/>
        <w:keepNext/>
      </w:pPr>
      <w:r w:rsidRPr="005071A1">
        <w:tab/>
        <w:t>(b)</w:t>
      </w:r>
      <w:r w:rsidRPr="005071A1">
        <w:tab/>
        <w:t>the fortnightly amount of any other contributions that, but for this section, would have been payable by him to the Fund on that day or, if that day was not a pay</w:t>
      </w:r>
      <w:r w:rsidR="004510F0">
        <w:noBreakHyphen/>
      </w:r>
      <w:r w:rsidRPr="005071A1">
        <w:t>day, that would have been so payable if that day had been a pay</w:t>
      </w:r>
      <w:r w:rsidR="004510F0">
        <w:noBreakHyphen/>
      </w:r>
      <w:r w:rsidRPr="005071A1">
        <w:t>day;</w:t>
      </w:r>
    </w:p>
    <w:p w14:paraId="45FE7FAB" w14:textId="77777777" w:rsidR="00B33542" w:rsidRPr="005071A1" w:rsidRDefault="00B33542" w:rsidP="00B33542">
      <w:pPr>
        <w:pStyle w:val="subsection2"/>
      </w:pPr>
      <w:r w:rsidRPr="005071A1">
        <w:t xml:space="preserve">reduced by the fortnightly amount of the contributions ascertained in relation to him in accordance with the appropriate tables set out in the Third, Fourth, Fifth and Sixth Schedules in respect of units </w:t>
      </w:r>
      <w:r w:rsidRPr="005071A1">
        <w:lastRenderedPageBreak/>
        <w:t>of pension in respect of which an election by him under this section has, or is to be deemed to have had, effect, exceeds three</w:t>
      </w:r>
      <w:r w:rsidR="004510F0">
        <w:noBreakHyphen/>
      </w:r>
      <w:r w:rsidRPr="005071A1">
        <w:t>one thousand and fortieths of his salary as at that day.</w:t>
      </w:r>
    </w:p>
    <w:p w14:paraId="4F749BE9" w14:textId="77777777" w:rsidR="00B33542" w:rsidRPr="005071A1" w:rsidRDefault="00B33542" w:rsidP="00B33542">
      <w:pPr>
        <w:pStyle w:val="subsection"/>
      </w:pPr>
      <w:r w:rsidRPr="005071A1">
        <w:tab/>
        <w:t>(5)</w:t>
      </w:r>
      <w:r w:rsidRPr="005071A1">
        <w:tab/>
        <w:t>Where:</w:t>
      </w:r>
    </w:p>
    <w:p w14:paraId="478E1CD9" w14:textId="77777777" w:rsidR="00B33542" w:rsidRPr="005071A1" w:rsidRDefault="00B33542" w:rsidP="00B33542">
      <w:pPr>
        <w:pStyle w:val="paragraph"/>
      </w:pPr>
      <w:r w:rsidRPr="005071A1">
        <w:tab/>
        <w:t>(a)</w:t>
      </w:r>
      <w:r w:rsidRPr="005071A1">
        <w:tab/>
        <w:t>after the date of commencement of this section an employee in relation to whom a non</w:t>
      </w:r>
      <w:r w:rsidR="004510F0">
        <w:noBreakHyphen/>
      </w:r>
      <w:r w:rsidRPr="005071A1">
        <w:t xml:space="preserve">contributory unit of pension is applicable makes an election under this section in relation to a unit of pension (in this subsection referred to as </w:t>
      </w:r>
      <w:r w:rsidRPr="005071A1">
        <w:rPr>
          <w:b/>
          <w:i/>
        </w:rPr>
        <w:t>the contributory unit</w:t>
      </w:r>
      <w:r w:rsidRPr="005071A1">
        <w:t>); and</w:t>
      </w:r>
    </w:p>
    <w:p w14:paraId="31F59D8E" w14:textId="77777777" w:rsidR="00B33542" w:rsidRPr="005071A1" w:rsidRDefault="00B33542" w:rsidP="00D11EDC">
      <w:pPr>
        <w:pStyle w:val="paragraph"/>
      </w:pPr>
      <w:r w:rsidRPr="005071A1">
        <w:tab/>
        <w:t>(b)</w:t>
      </w:r>
      <w:r w:rsidRPr="005071A1">
        <w:tab/>
        <w:t>if the election had been made before the non</w:t>
      </w:r>
      <w:r w:rsidR="004510F0">
        <w:noBreakHyphen/>
      </w:r>
      <w:r w:rsidRPr="005071A1">
        <w:t>contributory unit became applicable in relation to him, the non</w:t>
      </w:r>
      <w:r w:rsidR="004510F0">
        <w:noBreakHyphen/>
      </w:r>
      <w:r w:rsidRPr="005071A1">
        <w:t xml:space="preserve">contributory unit would not have become so applicable by reason of the operation of </w:t>
      </w:r>
      <w:r w:rsidR="008B2950" w:rsidRPr="005071A1">
        <w:t>subsection (</w:t>
      </w:r>
      <w:r w:rsidRPr="005071A1">
        <w:t>2) of section</w:t>
      </w:r>
      <w:r w:rsidR="008B2950" w:rsidRPr="005071A1">
        <w:t> </w:t>
      </w:r>
      <w:r w:rsidRPr="005071A1">
        <w:t xml:space="preserve">22A, </w:t>
      </w:r>
      <w:r w:rsidR="008B2950" w:rsidRPr="005071A1">
        <w:t>subsection (</w:t>
      </w:r>
      <w:r w:rsidRPr="005071A1">
        <w:t>3) of section</w:t>
      </w:r>
      <w:r w:rsidR="008B2950" w:rsidRPr="005071A1">
        <w:t> </w:t>
      </w:r>
      <w:r w:rsidRPr="005071A1">
        <w:t>22C, section</w:t>
      </w:r>
      <w:r w:rsidR="008B2950" w:rsidRPr="005071A1">
        <w:t> </w:t>
      </w:r>
      <w:r w:rsidRPr="005071A1">
        <w:t>22D or section</w:t>
      </w:r>
      <w:r w:rsidR="008B2950" w:rsidRPr="005071A1">
        <w:t> </w:t>
      </w:r>
      <w:r w:rsidRPr="005071A1">
        <w:t>22E of this Act or section</w:t>
      </w:r>
      <w:r w:rsidR="008B2950" w:rsidRPr="005071A1">
        <w:t> </w:t>
      </w:r>
      <w:r w:rsidRPr="005071A1">
        <w:t xml:space="preserve">31 of the </w:t>
      </w:r>
      <w:r w:rsidRPr="005071A1">
        <w:rPr>
          <w:i/>
        </w:rPr>
        <w:t>Superannuation Act (No.</w:t>
      </w:r>
      <w:r w:rsidR="008B2950" w:rsidRPr="005071A1">
        <w:rPr>
          <w:i/>
        </w:rPr>
        <w:t> </w:t>
      </w:r>
      <w:r w:rsidRPr="005071A1">
        <w:rPr>
          <w:i/>
        </w:rPr>
        <w:t>2) 1969</w:t>
      </w:r>
      <w:r w:rsidRPr="005071A1">
        <w:t>;</w:t>
      </w:r>
    </w:p>
    <w:p w14:paraId="36AA1991" w14:textId="77777777" w:rsidR="00B33542" w:rsidRPr="005071A1" w:rsidRDefault="00B33542" w:rsidP="00B33542">
      <w:pPr>
        <w:pStyle w:val="subsection2"/>
      </w:pPr>
      <w:r w:rsidRPr="005071A1">
        <w:t>the election under this section does not have effect in relation to the contributory unit.</w:t>
      </w:r>
    </w:p>
    <w:p w14:paraId="36A3A65E" w14:textId="77777777" w:rsidR="00B33542" w:rsidRPr="005071A1" w:rsidRDefault="00B33542" w:rsidP="00B33542">
      <w:pPr>
        <w:pStyle w:val="subsection"/>
      </w:pPr>
      <w:r w:rsidRPr="005071A1">
        <w:tab/>
        <w:t>(6)</w:t>
      </w:r>
      <w:r w:rsidRPr="005071A1">
        <w:tab/>
        <w:t>Sections</w:t>
      </w:r>
      <w:r w:rsidR="008B2950" w:rsidRPr="005071A1">
        <w:t> </w:t>
      </w:r>
      <w:r w:rsidRPr="005071A1">
        <w:t>135 and 136 do not apply in relation to an election under this section.</w:t>
      </w:r>
    </w:p>
    <w:p w14:paraId="3F32440F" w14:textId="77777777" w:rsidR="00B33542" w:rsidRPr="005071A1" w:rsidRDefault="00B33542" w:rsidP="00B33542">
      <w:pPr>
        <w:pStyle w:val="subsection"/>
      </w:pPr>
      <w:r w:rsidRPr="005071A1">
        <w:tab/>
        <w:t>(7)</w:t>
      </w:r>
      <w:r w:rsidRPr="005071A1">
        <w:tab/>
        <w:t xml:space="preserve">For the purposes of this section, </w:t>
      </w:r>
      <w:r w:rsidRPr="005071A1">
        <w:rPr>
          <w:b/>
          <w:i/>
        </w:rPr>
        <w:t>the prescribed period</w:t>
      </w:r>
      <w:r w:rsidRPr="005071A1">
        <w:t xml:space="preserve"> is, subject to </w:t>
      </w:r>
      <w:r w:rsidR="008B2950" w:rsidRPr="005071A1">
        <w:t>subsection (</w:t>
      </w:r>
      <w:r w:rsidRPr="005071A1">
        <w:t>8), the period of six months commencing on the date of commencement of this section or, if the Board (whether before or after the expiration of that period) extends that period, the period as so extended.</w:t>
      </w:r>
    </w:p>
    <w:p w14:paraId="0669BA1C" w14:textId="77777777" w:rsidR="00B33542" w:rsidRPr="005071A1" w:rsidRDefault="00B33542" w:rsidP="00B33542">
      <w:pPr>
        <w:pStyle w:val="subsection"/>
      </w:pPr>
      <w:r w:rsidRPr="005071A1">
        <w:tab/>
        <w:t>(8)</w:t>
      </w:r>
      <w:r w:rsidRPr="005071A1">
        <w:tab/>
        <w:t xml:space="preserve">Where the Board has, under </w:t>
      </w:r>
      <w:r w:rsidR="008B2950" w:rsidRPr="005071A1">
        <w:t>subsection (</w:t>
      </w:r>
      <w:r w:rsidRPr="005071A1">
        <w:t>7), extended the period of six months referred to in that subsection, the Board may (whether before or after the expiration of the period as so extended) further extend, or successively further extend, that period and, in that case, the prescribed period is the period as so further extended.</w:t>
      </w:r>
    </w:p>
    <w:p w14:paraId="211582AA" w14:textId="77777777" w:rsidR="00B33542" w:rsidRPr="005071A1" w:rsidRDefault="00B33542" w:rsidP="00B33542">
      <w:pPr>
        <w:pStyle w:val="ActHead5"/>
      </w:pPr>
      <w:bookmarkStart w:id="25" w:name="_Toc185577407"/>
      <w:r w:rsidRPr="004510F0">
        <w:rPr>
          <w:rStyle w:val="CharSectno"/>
        </w:rPr>
        <w:lastRenderedPageBreak/>
        <w:t>22C</w:t>
      </w:r>
      <w:r w:rsidRPr="005071A1">
        <w:t xml:space="preserve">  Election to take up units as non</w:t>
      </w:r>
      <w:r w:rsidR="004510F0">
        <w:noBreakHyphen/>
      </w:r>
      <w:r w:rsidRPr="005071A1">
        <w:t>contributory units where salary increased after attainment of maximum age for retirement</w:t>
      </w:r>
      <w:bookmarkEnd w:id="25"/>
    </w:p>
    <w:p w14:paraId="514279F7" w14:textId="77777777" w:rsidR="00B33542" w:rsidRPr="005071A1" w:rsidRDefault="00B33542" w:rsidP="00B33542">
      <w:pPr>
        <w:pStyle w:val="subsection"/>
      </w:pPr>
      <w:r w:rsidRPr="005071A1">
        <w:tab/>
        <w:t>(1)</w:t>
      </w:r>
      <w:r w:rsidRPr="005071A1">
        <w:tab/>
        <w:t xml:space="preserve">Where an employee, or a pensioner who retires after the commencement of this section, is entitled to make an election under </w:t>
      </w:r>
      <w:r w:rsidR="008B2950" w:rsidRPr="005071A1">
        <w:t>subsection (</w:t>
      </w:r>
      <w:r w:rsidRPr="005071A1">
        <w:t xml:space="preserve">3) of </w:t>
      </w:r>
      <w:r w:rsidR="004510F0">
        <w:t>section 1</w:t>
      </w:r>
      <w:r w:rsidRPr="005071A1">
        <w:t>9 to contribute for an additional unit of pension, the employee or pensioner may, subject to this Act, instead of making that election, elect that that additional unit of pension is to be applicable in relation to him as a non</w:t>
      </w:r>
      <w:r w:rsidR="004510F0">
        <w:noBreakHyphen/>
      </w:r>
      <w:r w:rsidRPr="005071A1">
        <w:t>contributory unit of pension.</w:t>
      </w:r>
    </w:p>
    <w:p w14:paraId="7E4DDA22" w14:textId="77777777" w:rsidR="00B33542" w:rsidRPr="005071A1" w:rsidRDefault="00B33542" w:rsidP="00B33542">
      <w:pPr>
        <w:pStyle w:val="subsection"/>
      </w:pPr>
      <w:r w:rsidRPr="005071A1">
        <w:tab/>
        <w:t>(2)</w:t>
      </w:r>
      <w:r w:rsidRPr="005071A1">
        <w:tab/>
        <w:t>An election under this section shall, for the purposes of this Act, be deemed to have taken effect on the date on which the employee or pensioner attained the maximum age for retirement or the date of commencement of this section, whichever is the later.</w:t>
      </w:r>
    </w:p>
    <w:p w14:paraId="0BB64FA7" w14:textId="77777777" w:rsidR="00B33542" w:rsidRPr="005071A1" w:rsidRDefault="00B33542" w:rsidP="00B33542">
      <w:pPr>
        <w:pStyle w:val="subsection"/>
      </w:pPr>
      <w:r w:rsidRPr="005071A1">
        <w:tab/>
        <w:t>(3)</w:t>
      </w:r>
      <w:r w:rsidRPr="005071A1">
        <w:tab/>
        <w:t>An election under this section does not have effect, and shall be deemed not to have had effect, in relation to a unit of pension unless the sum of:</w:t>
      </w:r>
    </w:p>
    <w:p w14:paraId="6C1A7289" w14:textId="77777777" w:rsidR="00B33542" w:rsidRPr="005071A1" w:rsidRDefault="00B33542" w:rsidP="00B33542">
      <w:pPr>
        <w:pStyle w:val="paragraph"/>
      </w:pPr>
      <w:r w:rsidRPr="005071A1">
        <w:tab/>
        <w:t>(a)</w:t>
      </w:r>
      <w:r w:rsidRPr="005071A1">
        <w:tab/>
        <w:t>the fortnightly amount of the contributions (if any) that are payable or, where they have been previously paid, would be payable if they had not been so paid, by him to the Fund on the date of the election or, if that date is not a pay</w:t>
      </w:r>
      <w:r w:rsidR="004510F0">
        <w:noBreakHyphen/>
      </w:r>
      <w:r w:rsidRPr="005071A1">
        <w:t>day, that would be so payable if that date were a pay</w:t>
      </w:r>
      <w:r w:rsidR="004510F0">
        <w:noBreakHyphen/>
      </w:r>
      <w:r w:rsidRPr="005071A1">
        <w:t>day; and</w:t>
      </w:r>
    </w:p>
    <w:p w14:paraId="4DA8ECCD" w14:textId="77777777" w:rsidR="00B33542" w:rsidRPr="005071A1" w:rsidRDefault="00B33542" w:rsidP="00B33542">
      <w:pPr>
        <w:pStyle w:val="paragraph"/>
        <w:keepNext/>
      </w:pPr>
      <w:r w:rsidRPr="005071A1">
        <w:tab/>
        <w:t>(b)</w:t>
      </w:r>
      <w:r w:rsidRPr="005071A1">
        <w:tab/>
        <w:t xml:space="preserve">the fortnightly amount of the contributions that, if the employee or pensioner had on the date of the election made an election under </w:t>
      </w:r>
      <w:r w:rsidR="008B2950" w:rsidRPr="005071A1">
        <w:t>subsection (</w:t>
      </w:r>
      <w:r w:rsidRPr="005071A1">
        <w:t xml:space="preserve">3) of </w:t>
      </w:r>
      <w:r w:rsidR="004510F0">
        <w:t>section 1</w:t>
      </w:r>
      <w:r w:rsidRPr="005071A1">
        <w:t>9 in relation to that unit, would be payable by him to the Fund in respect of that unit on that date or, if that date is not a pay</w:t>
      </w:r>
      <w:r w:rsidR="004510F0">
        <w:noBreakHyphen/>
      </w:r>
      <w:r w:rsidRPr="005071A1">
        <w:t>day, that would be so payable if that date were a pay</w:t>
      </w:r>
      <w:r w:rsidR="004510F0">
        <w:noBreakHyphen/>
      </w:r>
      <w:r w:rsidRPr="005071A1">
        <w:t>day;</w:t>
      </w:r>
    </w:p>
    <w:p w14:paraId="64915833" w14:textId="77777777" w:rsidR="00B33542" w:rsidRPr="005071A1" w:rsidRDefault="00B33542" w:rsidP="00B33542">
      <w:pPr>
        <w:pStyle w:val="subsection2"/>
      </w:pPr>
      <w:r w:rsidRPr="005071A1">
        <w:t>exceeds three</w:t>
      </w:r>
      <w:r w:rsidR="004510F0">
        <w:noBreakHyphen/>
      </w:r>
      <w:r w:rsidRPr="005071A1">
        <w:t>one thousand and fortieths of his salary as at:</w:t>
      </w:r>
    </w:p>
    <w:p w14:paraId="36F193AA" w14:textId="77777777" w:rsidR="00B33542" w:rsidRPr="005071A1" w:rsidRDefault="00B33542" w:rsidP="00B33542">
      <w:pPr>
        <w:pStyle w:val="paragraph"/>
      </w:pPr>
      <w:r w:rsidRPr="005071A1">
        <w:tab/>
        <w:t>(c)</w:t>
      </w:r>
      <w:r w:rsidRPr="005071A1">
        <w:tab/>
        <w:t>in the case of an election by an employee—the date of the election; or</w:t>
      </w:r>
    </w:p>
    <w:p w14:paraId="6CBAB340" w14:textId="77777777" w:rsidR="00B33542" w:rsidRPr="005071A1" w:rsidRDefault="00B33542" w:rsidP="00B33542">
      <w:pPr>
        <w:pStyle w:val="paragraph"/>
      </w:pPr>
      <w:r w:rsidRPr="005071A1">
        <w:lastRenderedPageBreak/>
        <w:tab/>
        <w:t>(d)</w:t>
      </w:r>
      <w:r w:rsidRPr="005071A1">
        <w:tab/>
        <w:t>in the case of an election by a pensioner—the time immediately after the increase in salary by virtue of which he became entitled to make the election.</w:t>
      </w:r>
    </w:p>
    <w:p w14:paraId="517B9DED" w14:textId="77777777" w:rsidR="00B33542" w:rsidRPr="005071A1" w:rsidRDefault="00B33542" w:rsidP="00B33542">
      <w:pPr>
        <w:pStyle w:val="ActHead5"/>
      </w:pPr>
      <w:bookmarkStart w:id="26" w:name="_Toc185577408"/>
      <w:r w:rsidRPr="004510F0">
        <w:rPr>
          <w:rStyle w:val="CharSectno"/>
        </w:rPr>
        <w:t>22D</w:t>
      </w:r>
      <w:r w:rsidRPr="005071A1">
        <w:t xml:space="preserve">  Election ineffective if number of contributory units is, or falls below, number of initial units</w:t>
      </w:r>
      <w:bookmarkEnd w:id="26"/>
    </w:p>
    <w:p w14:paraId="0E667AB9" w14:textId="77777777" w:rsidR="00B33542" w:rsidRPr="005071A1" w:rsidRDefault="00B33542" w:rsidP="00B33542">
      <w:pPr>
        <w:pStyle w:val="subsection"/>
      </w:pPr>
      <w:r w:rsidRPr="005071A1">
        <w:tab/>
        <w:t>(1)</w:t>
      </w:r>
      <w:r w:rsidRPr="005071A1">
        <w:tab/>
        <w:t>An election by an employee under section</w:t>
      </w:r>
      <w:r w:rsidR="008B2950" w:rsidRPr="005071A1">
        <w:t> </w:t>
      </w:r>
      <w:r w:rsidRPr="005071A1">
        <w:t>22A does not have effect, and an election by an employee under section</w:t>
      </w:r>
      <w:r w:rsidR="008B2950" w:rsidRPr="005071A1">
        <w:t> </w:t>
      </w:r>
      <w:r w:rsidRPr="005071A1">
        <w:t>22C does not have effect and shall be deemed not to have had effect, where:</w:t>
      </w:r>
    </w:p>
    <w:p w14:paraId="0C7EB4B9" w14:textId="77777777" w:rsidR="00B33542" w:rsidRPr="005071A1" w:rsidRDefault="00B33542" w:rsidP="00B33542">
      <w:pPr>
        <w:pStyle w:val="paragraph"/>
      </w:pPr>
      <w:r w:rsidRPr="005071A1">
        <w:tab/>
        <w:t>(a)</w:t>
      </w:r>
      <w:r w:rsidRPr="005071A1">
        <w:tab/>
        <w:t xml:space="preserve">in a case to which </w:t>
      </w:r>
      <w:r w:rsidR="008B2950" w:rsidRPr="005071A1">
        <w:t>paragraphs (</w:t>
      </w:r>
      <w:r w:rsidRPr="005071A1">
        <w:t>b), (c) and (d) do not apply—the number of units of pension (other than reserve units of pension) for which he is a contributor at the time of the election is less than his initial unit entitlement;</w:t>
      </w:r>
    </w:p>
    <w:p w14:paraId="73E7C272" w14:textId="77777777" w:rsidR="00B33542" w:rsidRPr="005071A1" w:rsidRDefault="00B33542" w:rsidP="00B33542">
      <w:pPr>
        <w:pStyle w:val="paragraph"/>
      </w:pPr>
      <w:r w:rsidRPr="005071A1">
        <w:tab/>
        <w:t>(b)</w:t>
      </w:r>
      <w:r w:rsidRPr="005071A1">
        <w:tab/>
        <w:t>in the case of an employee to whom section</w:t>
      </w:r>
      <w:r w:rsidR="008B2950" w:rsidRPr="005071A1">
        <w:t> </w:t>
      </w:r>
      <w:r w:rsidRPr="005071A1">
        <w:t>67 applies—the sum of the number of units of pension (other than reserve units of pension) for which he is a contributor at the time of the election and the number of units of pension (other than non</w:t>
      </w:r>
      <w:r w:rsidR="004510F0">
        <w:noBreakHyphen/>
      </w:r>
      <w:r w:rsidRPr="005071A1">
        <w:t>contributory units of pension) in respect of which he is in receipt of a pension under this Act is less than his initial unit entitlement;</w:t>
      </w:r>
    </w:p>
    <w:p w14:paraId="1D1B73D2" w14:textId="77777777" w:rsidR="00B33542" w:rsidRPr="005071A1" w:rsidRDefault="00B33542" w:rsidP="00B33542">
      <w:pPr>
        <w:pStyle w:val="paragraph"/>
      </w:pPr>
      <w:r w:rsidRPr="005071A1">
        <w:tab/>
        <w:t>(c)</w:t>
      </w:r>
      <w:r w:rsidRPr="005071A1">
        <w:tab/>
        <w:t>in the case of an employee to whom section</w:t>
      </w:r>
      <w:r w:rsidR="008B2950" w:rsidRPr="005071A1">
        <w:t> </w:t>
      </w:r>
      <w:r w:rsidRPr="005071A1">
        <w:t>69 applies or applied—the sum of the number of units of pension (other than reserve units of pension) for which he is a contributor at the time of the election and the number of units of pension in respect of which his right referred to in section</w:t>
      </w:r>
      <w:r w:rsidR="008B2950" w:rsidRPr="005071A1">
        <w:t> </w:t>
      </w:r>
      <w:r w:rsidRPr="005071A1">
        <w:t>68 is or was, under section</w:t>
      </w:r>
      <w:r w:rsidR="008B2950" w:rsidRPr="005071A1">
        <w:t> </w:t>
      </w:r>
      <w:r w:rsidRPr="005071A1">
        <w:t>71 or section</w:t>
      </w:r>
      <w:r w:rsidR="008B2950" w:rsidRPr="005071A1">
        <w:t> </w:t>
      </w:r>
      <w:r w:rsidRPr="005071A1">
        <w:t>72, commutable for new rights is less than his initial unit entitlement; or</w:t>
      </w:r>
    </w:p>
    <w:p w14:paraId="4137020D" w14:textId="77777777" w:rsidR="00B33542" w:rsidRPr="005071A1" w:rsidRDefault="00B33542" w:rsidP="00B33542">
      <w:pPr>
        <w:pStyle w:val="paragraph"/>
      </w:pPr>
      <w:r w:rsidRPr="005071A1">
        <w:tab/>
        <w:t>(d)</w:t>
      </w:r>
      <w:r w:rsidRPr="005071A1">
        <w:tab/>
        <w:t xml:space="preserve">in the case of an employee to whom </w:t>
      </w:r>
      <w:r w:rsidR="008B2950" w:rsidRPr="005071A1">
        <w:t>paragraph (</w:t>
      </w:r>
      <w:r w:rsidRPr="005071A1">
        <w:t xml:space="preserve">c) or </w:t>
      </w:r>
      <w:r w:rsidR="008B2950" w:rsidRPr="005071A1">
        <w:t>paragraph (</w:t>
      </w:r>
      <w:r w:rsidRPr="005071A1">
        <w:t xml:space="preserve">e) of </w:t>
      </w:r>
      <w:r w:rsidR="008B2950" w:rsidRPr="005071A1">
        <w:t>subsection (</w:t>
      </w:r>
      <w:r w:rsidRPr="005071A1">
        <w:t xml:space="preserve">1) of </w:t>
      </w:r>
      <w:r w:rsidR="004510F0">
        <w:t>section 1</w:t>
      </w:r>
      <w:r w:rsidRPr="005071A1">
        <w:t>19H applies, the sum of:</w:t>
      </w:r>
    </w:p>
    <w:p w14:paraId="7656807D" w14:textId="77777777" w:rsidR="00B33542" w:rsidRPr="005071A1" w:rsidRDefault="00B33542" w:rsidP="00B33542">
      <w:pPr>
        <w:pStyle w:val="paragraphsub"/>
      </w:pPr>
      <w:r w:rsidRPr="005071A1">
        <w:lastRenderedPageBreak/>
        <w:tab/>
        <w:t>(i)</w:t>
      </w:r>
      <w:r w:rsidRPr="005071A1">
        <w:tab/>
        <w:t>the number of units of pension (other than reserve units of pension) for which he is a contributor at the time of the election; and</w:t>
      </w:r>
    </w:p>
    <w:p w14:paraId="6F8C3E75" w14:textId="77777777" w:rsidR="00B33542" w:rsidRPr="005071A1" w:rsidRDefault="00B33542" w:rsidP="00B33542">
      <w:pPr>
        <w:pStyle w:val="paragraphsub"/>
        <w:keepNext/>
      </w:pPr>
      <w:r w:rsidRPr="005071A1">
        <w:tab/>
        <w:t>(ii)</w:t>
      </w:r>
      <w:r w:rsidRPr="005071A1">
        <w:tab/>
        <w:t xml:space="preserve">so many of the number of units of pension specified in relation to him in a determination by the Board under </w:t>
      </w:r>
      <w:r w:rsidR="008B2950" w:rsidRPr="005071A1">
        <w:t>subparagraph (</w:t>
      </w:r>
      <w:r w:rsidRPr="005071A1">
        <w:t xml:space="preserve">iii) or (iv) of </w:t>
      </w:r>
      <w:r w:rsidR="008B2950" w:rsidRPr="005071A1">
        <w:t>paragraph (</w:t>
      </w:r>
      <w:r w:rsidRPr="005071A1">
        <w:t xml:space="preserve">c) of </w:t>
      </w:r>
      <w:r w:rsidR="008B2950" w:rsidRPr="005071A1">
        <w:t>subsection (</w:t>
      </w:r>
      <w:r w:rsidRPr="005071A1">
        <w:t xml:space="preserve">3) of </w:t>
      </w:r>
      <w:r w:rsidR="004510F0">
        <w:t>section 1</w:t>
      </w:r>
      <w:r w:rsidRPr="005071A1">
        <w:t xml:space="preserve">19J or </w:t>
      </w:r>
      <w:r w:rsidR="008B2950" w:rsidRPr="005071A1">
        <w:t>paragraph (</w:t>
      </w:r>
      <w:r w:rsidRPr="005071A1">
        <w:t xml:space="preserve">b) or (c) of </w:t>
      </w:r>
      <w:r w:rsidR="008B2950" w:rsidRPr="005071A1">
        <w:t>subsection (</w:t>
      </w:r>
      <w:r w:rsidRPr="005071A1">
        <w:t xml:space="preserve">2) of </w:t>
      </w:r>
      <w:r w:rsidR="004510F0">
        <w:t>section 1</w:t>
      </w:r>
      <w:r w:rsidRPr="005071A1">
        <w:t xml:space="preserve">19K as are referable to the pension referred to in </w:t>
      </w:r>
      <w:r w:rsidR="008B2950" w:rsidRPr="005071A1">
        <w:t>paragraph (</w:t>
      </w:r>
      <w:r w:rsidRPr="005071A1">
        <w:t xml:space="preserve">c), or the deferred benefits referred to in </w:t>
      </w:r>
      <w:r w:rsidR="008B2950" w:rsidRPr="005071A1">
        <w:t>paragraph (</w:t>
      </w:r>
      <w:r w:rsidRPr="005071A1">
        <w:t xml:space="preserve">e), of </w:t>
      </w:r>
      <w:r w:rsidR="008B2950" w:rsidRPr="005071A1">
        <w:t>subsection (</w:t>
      </w:r>
      <w:r w:rsidRPr="005071A1">
        <w:t xml:space="preserve">1) of </w:t>
      </w:r>
      <w:r w:rsidR="004510F0">
        <w:t>section 1</w:t>
      </w:r>
      <w:r w:rsidRPr="005071A1">
        <w:t>19H;</w:t>
      </w:r>
    </w:p>
    <w:p w14:paraId="724502DD" w14:textId="77777777" w:rsidR="00B33542" w:rsidRPr="005071A1" w:rsidRDefault="00B33542" w:rsidP="00B33542">
      <w:pPr>
        <w:pStyle w:val="paragraph"/>
      </w:pPr>
      <w:r w:rsidRPr="005071A1">
        <w:tab/>
      </w:r>
      <w:r w:rsidRPr="005071A1">
        <w:tab/>
        <w:t>is less than his initial unit entitlement.</w:t>
      </w:r>
    </w:p>
    <w:p w14:paraId="5C8BDBEF" w14:textId="77777777" w:rsidR="00B33542" w:rsidRPr="005071A1" w:rsidRDefault="00B33542" w:rsidP="00B33542">
      <w:pPr>
        <w:pStyle w:val="subsection"/>
      </w:pPr>
      <w:r w:rsidRPr="005071A1">
        <w:tab/>
        <w:t>(2)</w:t>
      </w:r>
      <w:r w:rsidRPr="005071A1">
        <w:tab/>
        <w:t>An election by an employee under section</w:t>
      </w:r>
      <w:r w:rsidR="008B2950" w:rsidRPr="005071A1">
        <w:t> </w:t>
      </w:r>
      <w:r w:rsidRPr="005071A1">
        <w:t>22B does not have effect, and shall be deemed not to have had effect, in relation to a unit of pension where, if it had effect in relation to that unit:</w:t>
      </w:r>
    </w:p>
    <w:p w14:paraId="7C813F34" w14:textId="77777777" w:rsidR="00B33542" w:rsidRPr="005071A1" w:rsidRDefault="00B33542" w:rsidP="00B33542">
      <w:pPr>
        <w:pStyle w:val="paragraph"/>
      </w:pPr>
      <w:r w:rsidRPr="005071A1">
        <w:tab/>
        <w:t>(a)</w:t>
      </w:r>
      <w:r w:rsidRPr="005071A1">
        <w:tab/>
        <w:t xml:space="preserve">in a case to which </w:t>
      </w:r>
      <w:r w:rsidR="008B2950" w:rsidRPr="005071A1">
        <w:t>paragraphs (</w:t>
      </w:r>
      <w:r w:rsidRPr="005071A1">
        <w:t>b) and (c) do not apply—the number of units of pension (other than reserve units of pension) for which he was a contributor as at the time immediately before the time as from which the election has or had effect less the number of units of pension in respect of which an election by the employee under section</w:t>
      </w:r>
      <w:r w:rsidR="008B2950" w:rsidRPr="005071A1">
        <w:t> </w:t>
      </w:r>
      <w:r w:rsidRPr="005071A1">
        <w:t>22B has effect would be less than his initial unit entitlement;</w:t>
      </w:r>
    </w:p>
    <w:p w14:paraId="0562B6DD" w14:textId="77777777" w:rsidR="00B33542" w:rsidRPr="005071A1" w:rsidRDefault="00B33542" w:rsidP="00B33542">
      <w:pPr>
        <w:pStyle w:val="paragraph"/>
      </w:pPr>
      <w:r w:rsidRPr="005071A1">
        <w:tab/>
        <w:t>(b)</w:t>
      </w:r>
      <w:r w:rsidRPr="005071A1">
        <w:tab/>
        <w:t>in the case of an employee to whom section</w:t>
      </w:r>
      <w:r w:rsidR="008B2950" w:rsidRPr="005071A1">
        <w:t> </w:t>
      </w:r>
      <w:r w:rsidRPr="005071A1">
        <w:t>67 applies, the sum of:</w:t>
      </w:r>
    </w:p>
    <w:p w14:paraId="370DF143" w14:textId="77777777" w:rsidR="00B33542" w:rsidRPr="005071A1" w:rsidRDefault="00B33542" w:rsidP="00B33542">
      <w:pPr>
        <w:pStyle w:val="paragraphsub"/>
      </w:pPr>
      <w:r w:rsidRPr="005071A1">
        <w:tab/>
        <w:t>(i)</w:t>
      </w:r>
      <w:r w:rsidRPr="005071A1">
        <w:tab/>
        <w:t>the number of units of pension (other than reserve units of pension) for which he was a contributor as at the time immediately before the time as from which the election has or had effect less the number of units of pension in respect of which an election by the employee under section</w:t>
      </w:r>
      <w:r w:rsidR="008B2950" w:rsidRPr="005071A1">
        <w:t> </w:t>
      </w:r>
      <w:r w:rsidRPr="005071A1">
        <w:t>22B has effect; and</w:t>
      </w:r>
    </w:p>
    <w:p w14:paraId="2CED5AED" w14:textId="77777777" w:rsidR="00B33542" w:rsidRPr="005071A1" w:rsidRDefault="00B33542" w:rsidP="00B33542">
      <w:pPr>
        <w:pStyle w:val="paragraphsub"/>
        <w:keepNext/>
      </w:pPr>
      <w:r w:rsidRPr="005071A1">
        <w:lastRenderedPageBreak/>
        <w:tab/>
        <w:t>(ii)</w:t>
      </w:r>
      <w:r w:rsidRPr="005071A1">
        <w:tab/>
        <w:t>the number of units of pension (other than non</w:t>
      </w:r>
      <w:r w:rsidR="004510F0">
        <w:noBreakHyphen/>
      </w:r>
      <w:r w:rsidRPr="005071A1">
        <w:t>contributory units of pension) in respect of which he is in receipt of a pension under this Act;</w:t>
      </w:r>
    </w:p>
    <w:p w14:paraId="28C609CB" w14:textId="77777777" w:rsidR="00B33542" w:rsidRPr="005071A1" w:rsidRDefault="00B33542" w:rsidP="00B33542">
      <w:pPr>
        <w:pStyle w:val="paragraph"/>
      </w:pPr>
      <w:r w:rsidRPr="005071A1">
        <w:tab/>
      </w:r>
      <w:r w:rsidRPr="005071A1">
        <w:tab/>
        <w:t>would be less than his initial unit entitlement; or</w:t>
      </w:r>
    </w:p>
    <w:p w14:paraId="50728677" w14:textId="77777777" w:rsidR="00B33542" w:rsidRPr="005071A1" w:rsidRDefault="00B33542" w:rsidP="00B33542">
      <w:pPr>
        <w:pStyle w:val="paragraph"/>
      </w:pPr>
      <w:r w:rsidRPr="005071A1">
        <w:tab/>
        <w:t>(c)</w:t>
      </w:r>
      <w:r w:rsidRPr="005071A1">
        <w:tab/>
        <w:t>in the case of an employee to whom section</w:t>
      </w:r>
      <w:r w:rsidR="008B2950" w:rsidRPr="005071A1">
        <w:t> </w:t>
      </w:r>
      <w:r w:rsidRPr="005071A1">
        <w:t>69 applies or applied, the sum of:</w:t>
      </w:r>
    </w:p>
    <w:p w14:paraId="549D5547" w14:textId="77777777" w:rsidR="00B33542" w:rsidRPr="005071A1" w:rsidRDefault="00B33542" w:rsidP="00B33542">
      <w:pPr>
        <w:pStyle w:val="paragraphsub"/>
      </w:pPr>
      <w:r w:rsidRPr="005071A1">
        <w:tab/>
        <w:t>(i)</w:t>
      </w:r>
      <w:r w:rsidRPr="005071A1">
        <w:tab/>
        <w:t>the number of units of pension (other than reserve units of pension) for which he was a contributor as at the time immediately before the time as from which the election has or had effect less the number of units of pension in respect of which an election by the employee under section</w:t>
      </w:r>
      <w:r w:rsidR="008B2950" w:rsidRPr="005071A1">
        <w:t> </w:t>
      </w:r>
      <w:r w:rsidRPr="005071A1">
        <w:t>22B has effect; and</w:t>
      </w:r>
    </w:p>
    <w:p w14:paraId="32DD5AA9" w14:textId="77777777" w:rsidR="00B33542" w:rsidRPr="005071A1" w:rsidRDefault="00B33542" w:rsidP="00B33542">
      <w:pPr>
        <w:pStyle w:val="paragraphsub"/>
        <w:keepNext/>
      </w:pPr>
      <w:r w:rsidRPr="005071A1">
        <w:tab/>
        <w:t>(ii)</w:t>
      </w:r>
      <w:r w:rsidRPr="005071A1">
        <w:tab/>
        <w:t>the number of units of pension in respect of which his right referred to in section</w:t>
      </w:r>
      <w:r w:rsidR="008B2950" w:rsidRPr="005071A1">
        <w:t> </w:t>
      </w:r>
      <w:r w:rsidRPr="005071A1">
        <w:t>68 is or was, under section</w:t>
      </w:r>
      <w:r w:rsidR="008B2950" w:rsidRPr="005071A1">
        <w:t> </w:t>
      </w:r>
      <w:r w:rsidRPr="005071A1">
        <w:t>71 or section</w:t>
      </w:r>
      <w:r w:rsidR="008B2950" w:rsidRPr="005071A1">
        <w:t> </w:t>
      </w:r>
      <w:r w:rsidRPr="005071A1">
        <w:t>72, commutable for new rights;</w:t>
      </w:r>
    </w:p>
    <w:p w14:paraId="70EBE560" w14:textId="77777777" w:rsidR="00B33542" w:rsidRPr="005071A1" w:rsidRDefault="00B33542" w:rsidP="00B33542">
      <w:pPr>
        <w:pStyle w:val="paragraph"/>
      </w:pPr>
      <w:r w:rsidRPr="005071A1">
        <w:tab/>
      </w:r>
      <w:r w:rsidRPr="005071A1">
        <w:tab/>
        <w:t>would be less than his initial unit entitlement.</w:t>
      </w:r>
    </w:p>
    <w:p w14:paraId="24CB87DE" w14:textId="77777777" w:rsidR="00B33542" w:rsidRPr="005071A1" w:rsidRDefault="00B33542" w:rsidP="002028EB">
      <w:pPr>
        <w:pStyle w:val="subsection"/>
        <w:keepNext/>
      </w:pPr>
      <w:r w:rsidRPr="005071A1">
        <w:tab/>
        <w:t>(3)</w:t>
      </w:r>
      <w:r w:rsidRPr="005071A1">
        <w:tab/>
        <w:t>An election by a pensioner under section</w:t>
      </w:r>
      <w:r w:rsidR="008B2950" w:rsidRPr="005071A1">
        <w:t> </w:t>
      </w:r>
      <w:r w:rsidRPr="005071A1">
        <w:t>22C does not have effect, and shall be deemed not to have had effect, where:</w:t>
      </w:r>
    </w:p>
    <w:p w14:paraId="2F280A05" w14:textId="77777777" w:rsidR="00B33542" w:rsidRPr="005071A1" w:rsidRDefault="00B33542" w:rsidP="00B33542">
      <w:pPr>
        <w:pStyle w:val="paragraph"/>
      </w:pPr>
      <w:r w:rsidRPr="005071A1">
        <w:tab/>
        <w:t>(a)</w:t>
      </w:r>
      <w:r w:rsidRPr="005071A1">
        <w:tab/>
        <w:t xml:space="preserve">in a case to which </w:t>
      </w:r>
      <w:r w:rsidR="008B2950" w:rsidRPr="005071A1">
        <w:t>paragraphs (</w:t>
      </w:r>
      <w:r w:rsidRPr="005071A1">
        <w:t>b) and (c) do not apply, the sum of:</w:t>
      </w:r>
    </w:p>
    <w:p w14:paraId="2E152866" w14:textId="77777777" w:rsidR="00B33542" w:rsidRPr="005071A1" w:rsidRDefault="00B33542" w:rsidP="00B33542">
      <w:pPr>
        <w:pStyle w:val="paragraphsub"/>
      </w:pPr>
      <w:r w:rsidRPr="005071A1">
        <w:tab/>
        <w:t>(i)</w:t>
      </w:r>
      <w:r w:rsidRPr="005071A1">
        <w:tab/>
        <w:t>the number of units of pension (if any) for which he is a contributor at the time of the election; and</w:t>
      </w:r>
    </w:p>
    <w:p w14:paraId="7CBBAEF0" w14:textId="77777777" w:rsidR="00B33542" w:rsidRPr="005071A1" w:rsidRDefault="00B33542" w:rsidP="00B33542">
      <w:pPr>
        <w:pStyle w:val="paragraphsub"/>
        <w:keepNext/>
      </w:pPr>
      <w:r w:rsidRPr="005071A1">
        <w:tab/>
        <w:t>(ii)</w:t>
      </w:r>
      <w:r w:rsidRPr="005071A1">
        <w:tab/>
        <w:t>the number of units of pension (other than non</w:t>
      </w:r>
      <w:r w:rsidR="004510F0">
        <w:noBreakHyphen/>
      </w:r>
      <w:r w:rsidRPr="005071A1">
        <w:t>contributory units of pension) in respect of which he is in receipt of a pension under this Act at that time;</w:t>
      </w:r>
    </w:p>
    <w:p w14:paraId="47331DE1" w14:textId="77777777" w:rsidR="00B33542" w:rsidRPr="005071A1" w:rsidRDefault="00B33542" w:rsidP="00B33542">
      <w:pPr>
        <w:pStyle w:val="paragraph"/>
      </w:pPr>
      <w:r w:rsidRPr="005071A1">
        <w:tab/>
      </w:r>
      <w:r w:rsidRPr="005071A1">
        <w:tab/>
        <w:t>is less than his initial unit entitlement;</w:t>
      </w:r>
    </w:p>
    <w:p w14:paraId="0F0E21C6" w14:textId="77777777" w:rsidR="00B33542" w:rsidRPr="005071A1" w:rsidRDefault="00B33542" w:rsidP="00B33542">
      <w:pPr>
        <w:pStyle w:val="paragraph"/>
      </w:pPr>
      <w:r w:rsidRPr="005071A1">
        <w:tab/>
        <w:t>(b)</w:t>
      </w:r>
      <w:r w:rsidRPr="005071A1">
        <w:tab/>
        <w:t>in the case of a pensioner to whom section</w:t>
      </w:r>
      <w:r w:rsidR="008B2950" w:rsidRPr="005071A1">
        <w:t> </w:t>
      </w:r>
      <w:r w:rsidRPr="005071A1">
        <w:t>69 applies, the sum of:</w:t>
      </w:r>
    </w:p>
    <w:p w14:paraId="2C326506" w14:textId="77777777" w:rsidR="00B33542" w:rsidRPr="005071A1" w:rsidRDefault="00B33542" w:rsidP="00B33542">
      <w:pPr>
        <w:pStyle w:val="paragraphsub"/>
      </w:pPr>
      <w:r w:rsidRPr="005071A1">
        <w:lastRenderedPageBreak/>
        <w:tab/>
        <w:t>(i)</w:t>
      </w:r>
      <w:r w:rsidRPr="005071A1">
        <w:tab/>
        <w:t xml:space="preserve">the total number of units of pension referred to in </w:t>
      </w:r>
      <w:r w:rsidR="008B2950" w:rsidRPr="005071A1">
        <w:t>subparagraphs (</w:t>
      </w:r>
      <w:r w:rsidRPr="005071A1">
        <w:t xml:space="preserve">i) and (ii) of </w:t>
      </w:r>
      <w:r w:rsidR="008B2950" w:rsidRPr="005071A1">
        <w:t>paragraph (</w:t>
      </w:r>
      <w:r w:rsidRPr="005071A1">
        <w:t>a) of this subsection; and</w:t>
      </w:r>
    </w:p>
    <w:p w14:paraId="245A6495" w14:textId="77777777" w:rsidR="00B33542" w:rsidRPr="005071A1" w:rsidRDefault="00B33542" w:rsidP="00B33542">
      <w:pPr>
        <w:pStyle w:val="paragraphsub"/>
        <w:keepNext/>
      </w:pPr>
      <w:r w:rsidRPr="005071A1">
        <w:tab/>
        <w:t>(ii)</w:t>
      </w:r>
      <w:r w:rsidRPr="005071A1">
        <w:tab/>
        <w:t>the number of units of pension (other than units of pension so referred to) in respect of which his right referred to in section</w:t>
      </w:r>
      <w:r w:rsidR="008B2950" w:rsidRPr="005071A1">
        <w:t> </w:t>
      </w:r>
      <w:r w:rsidRPr="005071A1">
        <w:t>68 was, under section</w:t>
      </w:r>
      <w:r w:rsidR="008B2950" w:rsidRPr="005071A1">
        <w:t> </w:t>
      </w:r>
      <w:r w:rsidRPr="005071A1">
        <w:t>71 or section</w:t>
      </w:r>
      <w:r w:rsidR="008B2950" w:rsidRPr="005071A1">
        <w:t> </w:t>
      </w:r>
      <w:r w:rsidRPr="005071A1">
        <w:t>72, commutable for new rights;</w:t>
      </w:r>
    </w:p>
    <w:p w14:paraId="3AD173F5" w14:textId="77777777" w:rsidR="00B33542" w:rsidRPr="005071A1" w:rsidRDefault="00B33542" w:rsidP="00B33542">
      <w:pPr>
        <w:pStyle w:val="paragraph"/>
      </w:pPr>
      <w:r w:rsidRPr="005071A1">
        <w:tab/>
      </w:r>
      <w:r w:rsidRPr="005071A1">
        <w:tab/>
        <w:t>is less than his initial unit entitlement; or</w:t>
      </w:r>
    </w:p>
    <w:p w14:paraId="105A50F4" w14:textId="77777777" w:rsidR="00B33542" w:rsidRPr="005071A1" w:rsidRDefault="00B33542" w:rsidP="00B33542">
      <w:pPr>
        <w:pStyle w:val="paragraph"/>
      </w:pPr>
      <w:r w:rsidRPr="005071A1">
        <w:tab/>
        <w:t>(c)</w:t>
      </w:r>
      <w:r w:rsidRPr="005071A1">
        <w:tab/>
        <w:t xml:space="preserve">in the case of a pensioner in relation to whom </w:t>
      </w:r>
      <w:r w:rsidR="008B2950" w:rsidRPr="005071A1">
        <w:t>paragraph (</w:t>
      </w:r>
      <w:r w:rsidRPr="005071A1">
        <w:t xml:space="preserve">c) or </w:t>
      </w:r>
      <w:r w:rsidR="008B2950" w:rsidRPr="005071A1">
        <w:t>paragraph (</w:t>
      </w:r>
      <w:r w:rsidRPr="005071A1">
        <w:t xml:space="preserve">e) of </w:t>
      </w:r>
      <w:r w:rsidR="008B2950" w:rsidRPr="005071A1">
        <w:t>subsection (</w:t>
      </w:r>
      <w:r w:rsidRPr="005071A1">
        <w:t xml:space="preserve">1) of </w:t>
      </w:r>
      <w:r w:rsidR="004510F0">
        <w:t>section 1</w:t>
      </w:r>
      <w:r w:rsidRPr="005071A1">
        <w:t>19H applied, the sum of:</w:t>
      </w:r>
    </w:p>
    <w:p w14:paraId="73E05709" w14:textId="77777777" w:rsidR="00B33542" w:rsidRPr="005071A1" w:rsidRDefault="00B33542" w:rsidP="00B33542">
      <w:pPr>
        <w:pStyle w:val="paragraphsub"/>
      </w:pPr>
      <w:r w:rsidRPr="005071A1">
        <w:tab/>
        <w:t>(i)</w:t>
      </w:r>
      <w:r w:rsidRPr="005071A1">
        <w:tab/>
        <w:t xml:space="preserve">the total number of units of pension referred to in </w:t>
      </w:r>
      <w:r w:rsidR="008B2950" w:rsidRPr="005071A1">
        <w:t>subparagraphs (</w:t>
      </w:r>
      <w:r w:rsidRPr="005071A1">
        <w:t xml:space="preserve">i) and (ii) of </w:t>
      </w:r>
      <w:r w:rsidR="008B2950" w:rsidRPr="005071A1">
        <w:t>paragraph (</w:t>
      </w:r>
      <w:r w:rsidRPr="005071A1">
        <w:t>a) of this subsection; and</w:t>
      </w:r>
    </w:p>
    <w:p w14:paraId="0077EF88" w14:textId="77777777" w:rsidR="00B33542" w:rsidRPr="005071A1" w:rsidRDefault="00B33542" w:rsidP="00B33542">
      <w:pPr>
        <w:pStyle w:val="paragraphsub"/>
        <w:keepNext/>
      </w:pPr>
      <w:r w:rsidRPr="005071A1">
        <w:tab/>
        <w:t>(ii)</w:t>
      </w:r>
      <w:r w:rsidRPr="005071A1">
        <w:tab/>
        <w:t xml:space="preserve">so many of the number of units of pension specified in relation to him in a determination by the Board under </w:t>
      </w:r>
      <w:r w:rsidR="008B2950" w:rsidRPr="005071A1">
        <w:t>subparagraph (</w:t>
      </w:r>
      <w:r w:rsidRPr="005071A1">
        <w:t xml:space="preserve">iii) or (iv) of </w:t>
      </w:r>
      <w:r w:rsidR="008B2950" w:rsidRPr="005071A1">
        <w:t>paragraph (</w:t>
      </w:r>
      <w:r w:rsidRPr="005071A1">
        <w:t xml:space="preserve">c) of </w:t>
      </w:r>
      <w:r w:rsidR="008B2950" w:rsidRPr="005071A1">
        <w:t>subsection (</w:t>
      </w:r>
      <w:r w:rsidRPr="005071A1">
        <w:t xml:space="preserve">3) of </w:t>
      </w:r>
      <w:r w:rsidR="004510F0">
        <w:t>section 1</w:t>
      </w:r>
      <w:r w:rsidRPr="005071A1">
        <w:t xml:space="preserve">19J or </w:t>
      </w:r>
      <w:r w:rsidR="008B2950" w:rsidRPr="005071A1">
        <w:t>paragraph (</w:t>
      </w:r>
      <w:r w:rsidRPr="005071A1">
        <w:t xml:space="preserve">b) or (c) of </w:t>
      </w:r>
      <w:r w:rsidR="008B2950" w:rsidRPr="005071A1">
        <w:t>subsection (</w:t>
      </w:r>
      <w:r w:rsidRPr="005071A1">
        <w:t xml:space="preserve">2) of </w:t>
      </w:r>
      <w:r w:rsidR="004510F0">
        <w:t>section 1</w:t>
      </w:r>
      <w:r w:rsidRPr="005071A1">
        <w:t xml:space="preserve">19K as are referable to the pension referred to in </w:t>
      </w:r>
      <w:r w:rsidR="008B2950" w:rsidRPr="005071A1">
        <w:t>paragraph (</w:t>
      </w:r>
      <w:r w:rsidRPr="005071A1">
        <w:t xml:space="preserve">c), or the deferred benefits referred to in </w:t>
      </w:r>
      <w:r w:rsidR="008B2950" w:rsidRPr="005071A1">
        <w:t>paragraph (</w:t>
      </w:r>
      <w:r w:rsidRPr="005071A1">
        <w:t xml:space="preserve">e), of </w:t>
      </w:r>
      <w:r w:rsidR="008B2950" w:rsidRPr="005071A1">
        <w:t>subsection (</w:t>
      </w:r>
      <w:r w:rsidRPr="005071A1">
        <w:t xml:space="preserve">1) of </w:t>
      </w:r>
      <w:r w:rsidR="004510F0">
        <w:t>section 1</w:t>
      </w:r>
      <w:r w:rsidRPr="005071A1">
        <w:t>19H;</w:t>
      </w:r>
    </w:p>
    <w:p w14:paraId="142CE03E" w14:textId="77777777" w:rsidR="00B33542" w:rsidRPr="005071A1" w:rsidRDefault="00B33542" w:rsidP="00B33542">
      <w:pPr>
        <w:pStyle w:val="paragraph"/>
      </w:pPr>
      <w:r w:rsidRPr="005071A1">
        <w:tab/>
      </w:r>
      <w:r w:rsidRPr="005071A1">
        <w:tab/>
        <w:t>is less than his initial unit entitlement.</w:t>
      </w:r>
    </w:p>
    <w:p w14:paraId="18A367F8" w14:textId="77777777" w:rsidR="00B33542" w:rsidRPr="005071A1" w:rsidRDefault="00B33542" w:rsidP="00B33542">
      <w:pPr>
        <w:pStyle w:val="subsection"/>
      </w:pPr>
      <w:r w:rsidRPr="005071A1">
        <w:tab/>
        <w:t>(4)</w:t>
      </w:r>
      <w:r w:rsidRPr="005071A1">
        <w:tab/>
        <w:t xml:space="preserve">A reference in </w:t>
      </w:r>
      <w:r w:rsidR="008B2950" w:rsidRPr="005071A1">
        <w:t>subsections (</w:t>
      </w:r>
      <w:r w:rsidRPr="005071A1">
        <w:t>1), (2) or (3) to the initial unit entitlement of an employee or pensioner:</w:t>
      </w:r>
    </w:p>
    <w:p w14:paraId="4FD851F9" w14:textId="77777777" w:rsidR="00B33542" w:rsidRPr="005071A1" w:rsidRDefault="00B33542" w:rsidP="00B33542">
      <w:pPr>
        <w:pStyle w:val="paragraph"/>
      </w:pPr>
      <w:r w:rsidRPr="005071A1">
        <w:tab/>
        <w:t>(a)</w:t>
      </w:r>
      <w:r w:rsidRPr="005071A1">
        <w:tab/>
        <w:t xml:space="preserve">shall, subject to </w:t>
      </w:r>
      <w:r w:rsidR="008B2950" w:rsidRPr="005071A1">
        <w:t>paragraph (</w:t>
      </w:r>
      <w:r w:rsidRPr="005071A1">
        <w:t>b), be read as a reference to the full unit entitlement of the employee or pensioner as at the time when he became a contributor to the Fund, or, if he became a contributor to the Fund after having previously ceased to be a contributor to the Fund, when he last became a contributor to the Fund; and</w:t>
      </w:r>
    </w:p>
    <w:p w14:paraId="38CD9A7B" w14:textId="77777777" w:rsidR="00B33542" w:rsidRPr="005071A1" w:rsidRDefault="00B33542" w:rsidP="00B33542">
      <w:pPr>
        <w:pStyle w:val="paragraph"/>
      </w:pPr>
      <w:r w:rsidRPr="005071A1">
        <w:tab/>
        <w:t>(b)</w:t>
      </w:r>
      <w:r w:rsidRPr="005071A1">
        <w:tab/>
        <w:t xml:space="preserve">shall, in relation to an employee who is contributing to the Fund in accordance with Part VIA or VIIA or a pensioner </w:t>
      </w:r>
      <w:r w:rsidRPr="005071A1">
        <w:lastRenderedPageBreak/>
        <w:t>who was, immediately before becoming a pensioner, so contributing to the Fund, be read as a reference to the number of units of pension for which, but for Parts VIA and XA or Parts VIIA and XA, as the case may be, he would have been liable to contribute to the Fund by virtue of section</w:t>
      </w:r>
      <w:r w:rsidR="008B2950" w:rsidRPr="005071A1">
        <w:t> </w:t>
      </w:r>
      <w:r w:rsidRPr="005071A1">
        <w:t>20 at the time when he became an employee or, if he became an employee after having previously ceased to be an employee, when he last became an employee.</w:t>
      </w:r>
    </w:p>
    <w:p w14:paraId="42AC3ABF" w14:textId="77777777" w:rsidR="00B33542" w:rsidRPr="005071A1" w:rsidRDefault="00B33542" w:rsidP="00B33542">
      <w:pPr>
        <w:pStyle w:val="subsection"/>
      </w:pPr>
      <w:r w:rsidRPr="005071A1">
        <w:tab/>
        <w:t>(5)</w:t>
      </w:r>
      <w:r w:rsidRPr="005071A1">
        <w:tab/>
        <w:t>In the case of an employee or pensioner who made an election under section</w:t>
      </w:r>
      <w:r w:rsidR="008B2950" w:rsidRPr="005071A1">
        <w:t> </w:t>
      </w:r>
      <w:r w:rsidRPr="005071A1">
        <w:t xml:space="preserve">24 that had the effect of reducing the number of units of pension ascertained in relation to him in accordance with </w:t>
      </w:r>
      <w:r w:rsidR="008B2950" w:rsidRPr="005071A1">
        <w:t>subsection (</w:t>
      </w:r>
      <w:r w:rsidRPr="005071A1">
        <w:t>2) of section</w:t>
      </w:r>
      <w:r w:rsidR="008B2950" w:rsidRPr="005071A1">
        <w:t> </w:t>
      </w:r>
      <w:r w:rsidRPr="005071A1">
        <w:t>20, his initial unit entitlement shall be ascertained for the purposes of this section as if he had made the election at the time when he became, or last became, a contributor to the Fund.</w:t>
      </w:r>
    </w:p>
    <w:p w14:paraId="645697F6" w14:textId="77777777" w:rsidR="00B33542" w:rsidRPr="005071A1" w:rsidRDefault="00B33542" w:rsidP="00B33542">
      <w:pPr>
        <w:pStyle w:val="ActHead5"/>
      </w:pPr>
      <w:bookmarkStart w:id="27" w:name="_Toc185577409"/>
      <w:r w:rsidRPr="004510F0">
        <w:rPr>
          <w:rStyle w:val="CharSectno"/>
        </w:rPr>
        <w:t>22E</w:t>
      </w:r>
      <w:r w:rsidRPr="005071A1">
        <w:t xml:space="preserve">  Election ineffective if number of contributory units is, or falls below, one</w:t>
      </w:r>
      <w:r w:rsidR="004510F0">
        <w:noBreakHyphen/>
      </w:r>
      <w:r w:rsidRPr="005071A1">
        <w:t>half of full unit entitlement</w:t>
      </w:r>
      <w:bookmarkEnd w:id="27"/>
    </w:p>
    <w:p w14:paraId="6910ABC1" w14:textId="77777777" w:rsidR="00B33542" w:rsidRPr="005071A1" w:rsidRDefault="00B33542" w:rsidP="00B33542">
      <w:pPr>
        <w:pStyle w:val="subsection"/>
      </w:pPr>
      <w:r w:rsidRPr="005071A1">
        <w:tab/>
        <w:t>(1)</w:t>
      </w:r>
      <w:r w:rsidRPr="005071A1">
        <w:tab/>
        <w:t>An election by an employee under section</w:t>
      </w:r>
      <w:r w:rsidR="008B2950" w:rsidRPr="005071A1">
        <w:t> </w:t>
      </w:r>
      <w:r w:rsidRPr="005071A1">
        <w:t>22A does not have effect, and an election by an employee under section</w:t>
      </w:r>
      <w:r w:rsidR="008B2950" w:rsidRPr="005071A1">
        <w:t> </w:t>
      </w:r>
      <w:r w:rsidRPr="005071A1">
        <w:t>22C does not have effect and shall be deemed not to have had effect, where:</w:t>
      </w:r>
    </w:p>
    <w:p w14:paraId="3F9A00D3" w14:textId="77777777" w:rsidR="00B33542" w:rsidRPr="005071A1" w:rsidRDefault="00B33542" w:rsidP="00B33542">
      <w:pPr>
        <w:pStyle w:val="paragraph"/>
      </w:pPr>
      <w:r w:rsidRPr="005071A1">
        <w:tab/>
        <w:t>(a)</w:t>
      </w:r>
      <w:r w:rsidRPr="005071A1">
        <w:tab/>
        <w:t xml:space="preserve">in a case to which </w:t>
      </w:r>
      <w:r w:rsidR="008B2950" w:rsidRPr="005071A1">
        <w:t>paragraphs (</w:t>
      </w:r>
      <w:r w:rsidRPr="005071A1">
        <w:t>b), (c) and (d) do not apply—the number of units of pension (other than reserve units of pension) for which he is a contributor at the time of the election is less than one</w:t>
      </w:r>
      <w:r w:rsidR="004510F0">
        <w:noBreakHyphen/>
      </w:r>
      <w:r w:rsidRPr="005071A1">
        <w:t>half of his full unit entitlement as at that time;</w:t>
      </w:r>
    </w:p>
    <w:p w14:paraId="121E8635" w14:textId="77777777" w:rsidR="00B33542" w:rsidRPr="005071A1" w:rsidRDefault="00B33542" w:rsidP="00B33542">
      <w:pPr>
        <w:pStyle w:val="paragraph"/>
      </w:pPr>
      <w:r w:rsidRPr="005071A1">
        <w:tab/>
        <w:t>(b)</w:t>
      </w:r>
      <w:r w:rsidRPr="005071A1">
        <w:tab/>
        <w:t>in the case of an employee to whom section</w:t>
      </w:r>
      <w:r w:rsidR="008B2950" w:rsidRPr="005071A1">
        <w:t> </w:t>
      </w:r>
      <w:r w:rsidRPr="005071A1">
        <w:t>67 applies—the sum of the number of units of pension (other than reserve units of pension) for which he is a contributor at the time of the election and the number of units of pension (other than non</w:t>
      </w:r>
      <w:r w:rsidR="004510F0">
        <w:noBreakHyphen/>
      </w:r>
      <w:r w:rsidRPr="005071A1">
        <w:t xml:space="preserve">contributory units of pension) in respect of which he is </w:t>
      </w:r>
      <w:r w:rsidRPr="005071A1">
        <w:lastRenderedPageBreak/>
        <w:t>in receipt of a pension under this Act is less than one</w:t>
      </w:r>
      <w:r w:rsidR="004510F0">
        <w:noBreakHyphen/>
      </w:r>
      <w:r w:rsidRPr="005071A1">
        <w:t>half of his full unit entitlement as at that time;</w:t>
      </w:r>
    </w:p>
    <w:p w14:paraId="380F53C8" w14:textId="77777777" w:rsidR="00B33542" w:rsidRPr="005071A1" w:rsidRDefault="00B33542" w:rsidP="00B33542">
      <w:pPr>
        <w:pStyle w:val="paragraph"/>
      </w:pPr>
      <w:r w:rsidRPr="005071A1">
        <w:tab/>
        <w:t>(c)</w:t>
      </w:r>
      <w:r w:rsidRPr="005071A1">
        <w:tab/>
        <w:t>in the case of an employee to whom section</w:t>
      </w:r>
      <w:r w:rsidR="008B2950" w:rsidRPr="005071A1">
        <w:t> </w:t>
      </w:r>
      <w:r w:rsidRPr="005071A1">
        <w:t>69 applies or applied—the sum of the number of units of pension (other than reserve units of pension) for which he is a contributor at the time of the election and the number of units of pension in respect of which his right referred to in section</w:t>
      </w:r>
      <w:r w:rsidR="008B2950" w:rsidRPr="005071A1">
        <w:t> </w:t>
      </w:r>
      <w:r w:rsidRPr="005071A1">
        <w:t>68 is or was, under section</w:t>
      </w:r>
      <w:r w:rsidR="008B2950" w:rsidRPr="005071A1">
        <w:t> </w:t>
      </w:r>
      <w:r w:rsidRPr="005071A1">
        <w:t>71 or section</w:t>
      </w:r>
      <w:r w:rsidR="008B2950" w:rsidRPr="005071A1">
        <w:t> </w:t>
      </w:r>
      <w:r w:rsidRPr="005071A1">
        <w:t>72, commutable for new rights is less than one</w:t>
      </w:r>
      <w:r w:rsidR="004510F0">
        <w:noBreakHyphen/>
      </w:r>
      <w:r w:rsidRPr="005071A1">
        <w:t>half of his full unit entitlement as at that time; or</w:t>
      </w:r>
    </w:p>
    <w:p w14:paraId="3F0DDFCC" w14:textId="77777777" w:rsidR="00B33542" w:rsidRPr="005071A1" w:rsidRDefault="00B33542" w:rsidP="00B33542">
      <w:pPr>
        <w:pStyle w:val="paragraph"/>
      </w:pPr>
      <w:r w:rsidRPr="005071A1">
        <w:tab/>
        <w:t>(d)</w:t>
      </w:r>
      <w:r w:rsidRPr="005071A1">
        <w:tab/>
        <w:t xml:space="preserve">in the case of an employee to whom </w:t>
      </w:r>
      <w:r w:rsidR="008B2950" w:rsidRPr="005071A1">
        <w:t>paragraph (</w:t>
      </w:r>
      <w:r w:rsidRPr="005071A1">
        <w:t xml:space="preserve">c) or </w:t>
      </w:r>
      <w:r w:rsidR="008B2950" w:rsidRPr="005071A1">
        <w:t>paragraph (</w:t>
      </w:r>
      <w:r w:rsidRPr="005071A1">
        <w:t xml:space="preserve">e) of </w:t>
      </w:r>
      <w:r w:rsidR="008B2950" w:rsidRPr="005071A1">
        <w:t>subsection (</w:t>
      </w:r>
      <w:r w:rsidRPr="005071A1">
        <w:t xml:space="preserve">1) of </w:t>
      </w:r>
      <w:r w:rsidR="004510F0">
        <w:t>section 1</w:t>
      </w:r>
      <w:r w:rsidRPr="005071A1">
        <w:t>19H applies, the sum of:</w:t>
      </w:r>
    </w:p>
    <w:p w14:paraId="124F5B2C" w14:textId="77777777" w:rsidR="00B33542" w:rsidRPr="005071A1" w:rsidRDefault="00B33542" w:rsidP="00B33542">
      <w:pPr>
        <w:pStyle w:val="paragraphsub"/>
      </w:pPr>
      <w:r w:rsidRPr="005071A1">
        <w:tab/>
        <w:t>(i)</w:t>
      </w:r>
      <w:r w:rsidRPr="005071A1">
        <w:tab/>
        <w:t>the number of units of pension (other than reserve units of pension) for which he is a contributor at the time of the election; and</w:t>
      </w:r>
    </w:p>
    <w:p w14:paraId="09695418" w14:textId="77777777" w:rsidR="00B33542" w:rsidRPr="005071A1" w:rsidRDefault="00B33542" w:rsidP="00B33542">
      <w:pPr>
        <w:pStyle w:val="paragraphsub"/>
        <w:keepNext/>
      </w:pPr>
      <w:r w:rsidRPr="005071A1">
        <w:tab/>
        <w:t>(ii)</w:t>
      </w:r>
      <w:r w:rsidRPr="005071A1">
        <w:tab/>
        <w:t xml:space="preserve">so many of the number of units of pension specified in relation to him in a determination by the Board under </w:t>
      </w:r>
      <w:r w:rsidR="008B2950" w:rsidRPr="005071A1">
        <w:t>subparagraph (</w:t>
      </w:r>
      <w:r w:rsidRPr="005071A1">
        <w:t xml:space="preserve">iii) or (iv) of </w:t>
      </w:r>
      <w:r w:rsidR="008B2950" w:rsidRPr="005071A1">
        <w:t>paragraph (</w:t>
      </w:r>
      <w:r w:rsidRPr="005071A1">
        <w:t xml:space="preserve">c) of </w:t>
      </w:r>
      <w:r w:rsidR="008B2950" w:rsidRPr="005071A1">
        <w:t>subsection (</w:t>
      </w:r>
      <w:r w:rsidRPr="005071A1">
        <w:t xml:space="preserve">3) of </w:t>
      </w:r>
      <w:r w:rsidR="004510F0">
        <w:t>section 1</w:t>
      </w:r>
      <w:r w:rsidRPr="005071A1">
        <w:t xml:space="preserve">19J or </w:t>
      </w:r>
      <w:r w:rsidR="008B2950" w:rsidRPr="005071A1">
        <w:t>paragraph (</w:t>
      </w:r>
      <w:r w:rsidRPr="005071A1">
        <w:t xml:space="preserve">b) or (c) of </w:t>
      </w:r>
      <w:r w:rsidR="008B2950" w:rsidRPr="005071A1">
        <w:t>subsection (</w:t>
      </w:r>
      <w:r w:rsidRPr="005071A1">
        <w:t xml:space="preserve">2) of </w:t>
      </w:r>
      <w:r w:rsidR="004510F0">
        <w:t>section 1</w:t>
      </w:r>
      <w:r w:rsidRPr="005071A1">
        <w:t xml:space="preserve">19K as are referable to the pension referred to in </w:t>
      </w:r>
      <w:r w:rsidR="008B2950" w:rsidRPr="005071A1">
        <w:t>paragraph (</w:t>
      </w:r>
      <w:r w:rsidRPr="005071A1">
        <w:t xml:space="preserve">c), or the deferred benefits referred to in </w:t>
      </w:r>
      <w:r w:rsidR="008B2950" w:rsidRPr="005071A1">
        <w:t>paragraph (</w:t>
      </w:r>
      <w:r w:rsidRPr="005071A1">
        <w:t xml:space="preserve">e), of </w:t>
      </w:r>
      <w:r w:rsidR="008B2950" w:rsidRPr="005071A1">
        <w:t>subsection (</w:t>
      </w:r>
      <w:r w:rsidRPr="005071A1">
        <w:t xml:space="preserve">1) of </w:t>
      </w:r>
      <w:r w:rsidR="004510F0">
        <w:t>section 1</w:t>
      </w:r>
      <w:r w:rsidRPr="005071A1">
        <w:t>19H;</w:t>
      </w:r>
    </w:p>
    <w:p w14:paraId="28CBDD89" w14:textId="77777777" w:rsidR="00B33542" w:rsidRPr="005071A1" w:rsidRDefault="00B33542" w:rsidP="00B33542">
      <w:pPr>
        <w:pStyle w:val="paragraph"/>
      </w:pPr>
      <w:r w:rsidRPr="005071A1">
        <w:tab/>
      </w:r>
      <w:r w:rsidRPr="005071A1">
        <w:tab/>
        <w:t>is less than one</w:t>
      </w:r>
      <w:r w:rsidR="004510F0">
        <w:noBreakHyphen/>
      </w:r>
      <w:r w:rsidRPr="005071A1">
        <w:t>half of his full unit entitlement as at that time.</w:t>
      </w:r>
    </w:p>
    <w:p w14:paraId="2FFE88D1" w14:textId="77777777" w:rsidR="00B33542" w:rsidRPr="005071A1" w:rsidRDefault="00B33542" w:rsidP="00B33542">
      <w:pPr>
        <w:pStyle w:val="subsection"/>
      </w:pPr>
      <w:r w:rsidRPr="005071A1">
        <w:tab/>
        <w:t>(2)</w:t>
      </w:r>
      <w:r w:rsidRPr="005071A1">
        <w:tab/>
        <w:t>An election by an employee under section</w:t>
      </w:r>
      <w:r w:rsidR="008B2950" w:rsidRPr="005071A1">
        <w:t> </w:t>
      </w:r>
      <w:r w:rsidRPr="005071A1">
        <w:t>22B does not have effect, and shall be deemed not to have had effect, in relation to a unit of pension where, if it had effect in relation to that unit:</w:t>
      </w:r>
    </w:p>
    <w:p w14:paraId="52D38EAB" w14:textId="77777777" w:rsidR="00B33542" w:rsidRPr="005071A1" w:rsidRDefault="00B33542" w:rsidP="00B33542">
      <w:pPr>
        <w:pStyle w:val="paragraph"/>
      </w:pPr>
      <w:r w:rsidRPr="005071A1">
        <w:tab/>
        <w:t>(a)</w:t>
      </w:r>
      <w:r w:rsidRPr="005071A1">
        <w:tab/>
        <w:t xml:space="preserve">in a case to which </w:t>
      </w:r>
      <w:r w:rsidR="008B2950" w:rsidRPr="005071A1">
        <w:t>paragraphs (</w:t>
      </w:r>
      <w:r w:rsidRPr="005071A1">
        <w:t xml:space="preserve">b) and (c) do not apply—the number of units of pension (other than reserve units of pension) for which he was a contributor as at the time immediately before the time as from which the election has </w:t>
      </w:r>
      <w:r w:rsidRPr="005071A1">
        <w:lastRenderedPageBreak/>
        <w:t>or had effect less the number of units of pension in respect of which an election by the employee under section</w:t>
      </w:r>
      <w:r w:rsidR="008B2950" w:rsidRPr="005071A1">
        <w:t> </w:t>
      </w:r>
      <w:r w:rsidRPr="005071A1">
        <w:t>22B has effect would be less than one</w:t>
      </w:r>
      <w:r w:rsidR="004510F0">
        <w:noBreakHyphen/>
      </w:r>
      <w:r w:rsidRPr="005071A1">
        <w:t>half of his full unit entitlement as at the time immediately after the time as from which the election has or had effect;</w:t>
      </w:r>
    </w:p>
    <w:p w14:paraId="191520AC" w14:textId="77777777" w:rsidR="00B33542" w:rsidRPr="005071A1" w:rsidRDefault="00B33542" w:rsidP="00B33542">
      <w:pPr>
        <w:pStyle w:val="paragraph"/>
      </w:pPr>
      <w:r w:rsidRPr="005071A1">
        <w:tab/>
        <w:t>(b)</w:t>
      </w:r>
      <w:r w:rsidRPr="005071A1">
        <w:tab/>
        <w:t>in the case of an employee to whom section</w:t>
      </w:r>
      <w:r w:rsidR="008B2950" w:rsidRPr="005071A1">
        <w:t> </w:t>
      </w:r>
      <w:r w:rsidRPr="005071A1">
        <w:t>67 applies, the sum of:</w:t>
      </w:r>
    </w:p>
    <w:p w14:paraId="5A932533" w14:textId="77777777" w:rsidR="00B33542" w:rsidRPr="005071A1" w:rsidRDefault="00B33542" w:rsidP="00B33542">
      <w:pPr>
        <w:pStyle w:val="paragraphsub"/>
      </w:pPr>
      <w:r w:rsidRPr="005071A1">
        <w:tab/>
        <w:t>(i)</w:t>
      </w:r>
      <w:r w:rsidRPr="005071A1">
        <w:tab/>
        <w:t>the number of units of pension (other than reserve units of pension) for which he was a contributor as at the time immediately before the time as from which the election has or had effect less the number of units of pension in respect of which an election by the employee under section</w:t>
      </w:r>
      <w:r w:rsidR="008B2950" w:rsidRPr="005071A1">
        <w:t> </w:t>
      </w:r>
      <w:r w:rsidRPr="005071A1">
        <w:t>22B has effect; and</w:t>
      </w:r>
    </w:p>
    <w:p w14:paraId="5A06F0A4" w14:textId="77777777" w:rsidR="00B33542" w:rsidRPr="005071A1" w:rsidRDefault="00B33542" w:rsidP="00D11EDC">
      <w:pPr>
        <w:pStyle w:val="paragraphsub"/>
      </w:pPr>
      <w:r w:rsidRPr="005071A1">
        <w:tab/>
        <w:t>(ii)</w:t>
      </w:r>
      <w:r w:rsidRPr="005071A1">
        <w:tab/>
        <w:t>the number of units of pension (other than non</w:t>
      </w:r>
      <w:r w:rsidR="004510F0">
        <w:noBreakHyphen/>
      </w:r>
      <w:r w:rsidRPr="005071A1">
        <w:t>contributory units of pension) in respect of which he is in receipt of a pension under this Act;</w:t>
      </w:r>
    </w:p>
    <w:p w14:paraId="574A989F" w14:textId="77777777" w:rsidR="00B33542" w:rsidRPr="005071A1" w:rsidRDefault="00B33542" w:rsidP="00B33542">
      <w:pPr>
        <w:pStyle w:val="paragraph"/>
      </w:pPr>
      <w:r w:rsidRPr="005071A1">
        <w:tab/>
      </w:r>
      <w:r w:rsidRPr="005071A1">
        <w:tab/>
        <w:t>would be less than one</w:t>
      </w:r>
      <w:r w:rsidR="004510F0">
        <w:noBreakHyphen/>
      </w:r>
      <w:r w:rsidRPr="005071A1">
        <w:t>half of his full unit entitlement as at the time immediately after the time as from which the election has or had effect; or</w:t>
      </w:r>
    </w:p>
    <w:p w14:paraId="63CDEBD1" w14:textId="77777777" w:rsidR="00B33542" w:rsidRPr="005071A1" w:rsidRDefault="00B33542" w:rsidP="00B33542">
      <w:pPr>
        <w:pStyle w:val="paragraph"/>
      </w:pPr>
      <w:r w:rsidRPr="005071A1">
        <w:tab/>
        <w:t>(c)</w:t>
      </w:r>
      <w:r w:rsidRPr="005071A1">
        <w:tab/>
        <w:t>in the case of an employee to whom section</w:t>
      </w:r>
      <w:r w:rsidR="008B2950" w:rsidRPr="005071A1">
        <w:t> </w:t>
      </w:r>
      <w:r w:rsidRPr="005071A1">
        <w:t>69 applies or applied, the sum of:</w:t>
      </w:r>
    </w:p>
    <w:p w14:paraId="6DDCABE1" w14:textId="77777777" w:rsidR="00B33542" w:rsidRPr="005071A1" w:rsidRDefault="00B33542" w:rsidP="00B33542">
      <w:pPr>
        <w:pStyle w:val="paragraphsub"/>
      </w:pPr>
      <w:r w:rsidRPr="005071A1">
        <w:tab/>
        <w:t>(i)</w:t>
      </w:r>
      <w:r w:rsidRPr="005071A1">
        <w:tab/>
        <w:t>the number of units of pension (other than reserve units of pension) for which he was a contributor as at the time immediately before the time as from which the election has or had effect less the number of units of pension in respect of which an election by the employee under section</w:t>
      </w:r>
      <w:r w:rsidR="008B2950" w:rsidRPr="005071A1">
        <w:t> </w:t>
      </w:r>
      <w:r w:rsidRPr="005071A1">
        <w:t>22B has effect; and</w:t>
      </w:r>
    </w:p>
    <w:p w14:paraId="45BAD9B7" w14:textId="77777777" w:rsidR="00B33542" w:rsidRPr="005071A1" w:rsidRDefault="00B33542" w:rsidP="00B33542">
      <w:pPr>
        <w:pStyle w:val="paragraphsub"/>
        <w:keepNext/>
      </w:pPr>
      <w:r w:rsidRPr="005071A1">
        <w:lastRenderedPageBreak/>
        <w:tab/>
        <w:t>(ii)</w:t>
      </w:r>
      <w:r w:rsidRPr="005071A1">
        <w:tab/>
        <w:t>the number of units of pension in respect of which his right referred to in section</w:t>
      </w:r>
      <w:r w:rsidR="008B2950" w:rsidRPr="005071A1">
        <w:t> </w:t>
      </w:r>
      <w:r w:rsidRPr="005071A1">
        <w:t>68 is or was, under section</w:t>
      </w:r>
      <w:r w:rsidR="008B2950" w:rsidRPr="005071A1">
        <w:t> </w:t>
      </w:r>
      <w:r w:rsidRPr="005071A1">
        <w:t>71 or section</w:t>
      </w:r>
      <w:r w:rsidR="008B2950" w:rsidRPr="005071A1">
        <w:t> </w:t>
      </w:r>
      <w:r w:rsidRPr="005071A1">
        <w:t>72, commutable for new rights;</w:t>
      </w:r>
    </w:p>
    <w:p w14:paraId="2C3F0870" w14:textId="77777777" w:rsidR="00B33542" w:rsidRPr="005071A1" w:rsidRDefault="00B33542" w:rsidP="00B33542">
      <w:pPr>
        <w:pStyle w:val="paragraph"/>
      </w:pPr>
      <w:r w:rsidRPr="005071A1">
        <w:tab/>
      </w:r>
      <w:r w:rsidRPr="005071A1">
        <w:tab/>
        <w:t>would be less than one</w:t>
      </w:r>
      <w:r w:rsidR="004510F0">
        <w:noBreakHyphen/>
      </w:r>
      <w:r w:rsidRPr="005071A1">
        <w:t>half of his full unit entitlement as at the time immediately after the time as from which the election has or had effect.</w:t>
      </w:r>
    </w:p>
    <w:p w14:paraId="09338B0E" w14:textId="77777777" w:rsidR="00B33542" w:rsidRPr="005071A1" w:rsidRDefault="00B33542" w:rsidP="00B33542">
      <w:pPr>
        <w:pStyle w:val="subsection"/>
      </w:pPr>
      <w:r w:rsidRPr="005071A1">
        <w:tab/>
        <w:t>(3)</w:t>
      </w:r>
      <w:r w:rsidRPr="005071A1">
        <w:tab/>
        <w:t>An election by a pensioner under section</w:t>
      </w:r>
      <w:r w:rsidR="008B2950" w:rsidRPr="005071A1">
        <w:t> </w:t>
      </w:r>
      <w:r w:rsidRPr="005071A1">
        <w:t>22C does not have effect, and shall be deemed not to have had effect, where:</w:t>
      </w:r>
    </w:p>
    <w:p w14:paraId="196A4DD0" w14:textId="77777777" w:rsidR="00B33542" w:rsidRPr="005071A1" w:rsidRDefault="00B33542" w:rsidP="00B33542">
      <w:pPr>
        <w:pStyle w:val="paragraph"/>
      </w:pPr>
      <w:r w:rsidRPr="005071A1">
        <w:tab/>
        <w:t>(a)</w:t>
      </w:r>
      <w:r w:rsidRPr="005071A1">
        <w:tab/>
        <w:t xml:space="preserve">in a case to which </w:t>
      </w:r>
      <w:r w:rsidR="008B2950" w:rsidRPr="005071A1">
        <w:t>paragraphs (</w:t>
      </w:r>
      <w:r w:rsidRPr="005071A1">
        <w:t>b) and (c) do not apply, the sum of:</w:t>
      </w:r>
    </w:p>
    <w:p w14:paraId="1E37E11B" w14:textId="77777777" w:rsidR="00B33542" w:rsidRPr="005071A1" w:rsidRDefault="00B33542" w:rsidP="00B33542">
      <w:pPr>
        <w:pStyle w:val="paragraphsub"/>
      </w:pPr>
      <w:r w:rsidRPr="005071A1">
        <w:tab/>
        <w:t>(i)</w:t>
      </w:r>
      <w:r w:rsidRPr="005071A1">
        <w:tab/>
        <w:t>the number of units of pension (if any) for which he is a contributor at the time of the election; and</w:t>
      </w:r>
    </w:p>
    <w:p w14:paraId="60C399A8" w14:textId="77777777" w:rsidR="00B33542" w:rsidRPr="005071A1" w:rsidRDefault="00B33542" w:rsidP="00B33542">
      <w:pPr>
        <w:pStyle w:val="paragraphsub"/>
        <w:keepNext/>
      </w:pPr>
      <w:r w:rsidRPr="005071A1">
        <w:tab/>
        <w:t>(ii)</w:t>
      </w:r>
      <w:r w:rsidRPr="005071A1">
        <w:tab/>
        <w:t>the number of units of pension (other than non</w:t>
      </w:r>
      <w:r w:rsidR="004510F0">
        <w:noBreakHyphen/>
      </w:r>
      <w:r w:rsidRPr="005071A1">
        <w:t>contributory units of pension) in respect of which he is in receipt of a pension under this Act at that time;</w:t>
      </w:r>
    </w:p>
    <w:p w14:paraId="4AEA9B7F" w14:textId="77777777" w:rsidR="00B33542" w:rsidRPr="005071A1" w:rsidRDefault="00B33542" w:rsidP="00B33542">
      <w:pPr>
        <w:pStyle w:val="paragraph"/>
      </w:pPr>
      <w:r w:rsidRPr="005071A1">
        <w:tab/>
      </w:r>
      <w:r w:rsidRPr="005071A1">
        <w:tab/>
        <w:t>is less than one</w:t>
      </w:r>
      <w:r w:rsidR="004510F0">
        <w:noBreakHyphen/>
      </w:r>
      <w:r w:rsidRPr="005071A1">
        <w:t>half of his full unit entitlement as at the time of the election;</w:t>
      </w:r>
    </w:p>
    <w:p w14:paraId="255C2C55" w14:textId="77777777" w:rsidR="00B33542" w:rsidRPr="005071A1" w:rsidRDefault="00B33542" w:rsidP="002028EB">
      <w:pPr>
        <w:pStyle w:val="paragraph"/>
        <w:keepNext/>
      </w:pPr>
      <w:r w:rsidRPr="005071A1">
        <w:tab/>
        <w:t>(b)</w:t>
      </w:r>
      <w:r w:rsidRPr="005071A1">
        <w:tab/>
        <w:t>in the case of a pensioner to whom section</w:t>
      </w:r>
      <w:r w:rsidR="008B2950" w:rsidRPr="005071A1">
        <w:t> </w:t>
      </w:r>
      <w:r w:rsidRPr="005071A1">
        <w:t>69 applied, the sum of:</w:t>
      </w:r>
    </w:p>
    <w:p w14:paraId="5C1D8082" w14:textId="77777777" w:rsidR="00B33542" w:rsidRPr="005071A1" w:rsidRDefault="00B33542" w:rsidP="00B33542">
      <w:pPr>
        <w:pStyle w:val="paragraphsub"/>
      </w:pPr>
      <w:r w:rsidRPr="005071A1">
        <w:tab/>
        <w:t>(i)</w:t>
      </w:r>
      <w:r w:rsidRPr="005071A1">
        <w:tab/>
        <w:t xml:space="preserve">the total number of units of pension referred to in </w:t>
      </w:r>
      <w:r w:rsidR="008B2950" w:rsidRPr="005071A1">
        <w:t>subparagraphs (</w:t>
      </w:r>
      <w:r w:rsidRPr="005071A1">
        <w:t xml:space="preserve">i) and (ii) of </w:t>
      </w:r>
      <w:r w:rsidR="008B2950" w:rsidRPr="005071A1">
        <w:t>paragraph (</w:t>
      </w:r>
      <w:r w:rsidRPr="005071A1">
        <w:t>a) of this subsection; and</w:t>
      </w:r>
    </w:p>
    <w:p w14:paraId="72D7EDF0" w14:textId="77777777" w:rsidR="00B33542" w:rsidRPr="005071A1" w:rsidRDefault="00B33542" w:rsidP="00B33542">
      <w:pPr>
        <w:pStyle w:val="paragraphsub"/>
        <w:keepNext/>
      </w:pPr>
      <w:r w:rsidRPr="005071A1">
        <w:tab/>
        <w:t>(ii)</w:t>
      </w:r>
      <w:r w:rsidRPr="005071A1">
        <w:tab/>
        <w:t>the number of units of pension (other than units of pension so referred to) in respect of which his right referred to in section</w:t>
      </w:r>
      <w:r w:rsidR="008B2950" w:rsidRPr="005071A1">
        <w:t> </w:t>
      </w:r>
      <w:r w:rsidRPr="005071A1">
        <w:t>68 was, under section</w:t>
      </w:r>
      <w:r w:rsidR="008B2950" w:rsidRPr="005071A1">
        <w:t> </w:t>
      </w:r>
      <w:r w:rsidRPr="005071A1">
        <w:t>71 or section</w:t>
      </w:r>
      <w:r w:rsidR="008B2950" w:rsidRPr="005071A1">
        <w:t> </w:t>
      </w:r>
      <w:r w:rsidRPr="005071A1">
        <w:t>72, commutable for new rights;</w:t>
      </w:r>
    </w:p>
    <w:p w14:paraId="60D013E9" w14:textId="77777777" w:rsidR="00B33542" w:rsidRPr="005071A1" w:rsidRDefault="00B33542" w:rsidP="00B33542">
      <w:pPr>
        <w:pStyle w:val="paragraph"/>
      </w:pPr>
      <w:r w:rsidRPr="005071A1">
        <w:tab/>
      </w:r>
      <w:r w:rsidRPr="005071A1">
        <w:tab/>
        <w:t>is less than one</w:t>
      </w:r>
      <w:r w:rsidR="004510F0">
        <w:noBreakHyphen/>
      </w:r>
      <w:r w:rsidRPr="005071A1">
        <w:t>half of his full unit entitlement as at the time of the election; or</w:t>
      </w:r>
    </w:p>
    <w:p w14:paraId="2998B813" w14:textId="77777777" w:rsidR="00B33542" w:rsidRPr="005071A1" w:rsidRDefault="00B33542" w:rsidP="00B33542">
      <w:pPr>
        <w:pStyle w:val="paragraph"/>
      </w:pPr>
      <w:r w:rsidRPr="005071A1">
        <w:tab/>
        <w:t>(c)</w:t>
      </w:r>
      <w:r w:rsidRPr="005071A1">
        <w:tab/>
        <w:t xml:space="preserve">in the case of a pensioner to whom </w:t>
      </w:r>
      <w:r w:rsidR="008B2950" w:rsidRPr="005071A1">
        <w:t>paragraph (</w:t>
      </w:r>
      <w:r w:rsidRPr="005071A1">
        <w:t xml:space="preserve">c) or </w:t>
      </w:r>
      <w:r w:rsidR="008B2950" w:rsidRPr="005071A1">
        <w:t>paragraph (</w:t>
      </w:r>
      <w:r w:rsidRPr="005071A1">
        <w:t xml:space="preserve">e) of </w:t>
      </w:r>
      <w:r w:rsidR="008B2950" w:rsidRPr="005071A1">
        <w:t>subsection (</w:t>
      </w:r>
      <w:r w:rsidRPr="005071A1">
        <w:t xml:space="preserve">1) of </w:t>
      </w:r>
      <w:r w:rsidR="004510F0">
        <w:t>section 1</w:t>
      </w:r>
      <w:r w:rsidRPr="005071A1">
        <w:t>19H applied, the sum of:</w:t>
      </w:r>
    </w:p>
    <w:p w14:paraId="62DA6FFD" w14:textId="77777777" w:rsidR="00B33542" w:rsidRPr="005071A1" w:rsidRDefault="00B33542" w:rsidP="00B33542">
      <w:pPr>
        <w:pStyle w:val="paragraphsub"/>
      </w:pPr>
      <w:r w:rsidRPr="005071A1">
        <w:lastRenderedPageBreak/>
        <w:tab/>
        <w:t>(i)</w:t>
      </w:r>
      <w:r w:rsidRPr="005071A1">
        <w:tab/>
        <w:t xml:space="preserve">the total number of units of pension referred to in </w:t>
      </w:r>
      <w:r w:rsidR="008B2950" w:rsidRPr="005071A1">
        <w:t>subparagraphs (</w:t>
      </w:r>
      <w:r w:rsidRPr="005071A1">
        <w:t xml:space="preserve">i) and (ii) of </w:t>
      </w:r>
      <w:r w:rsidR="008B2950" w:rsidRPr="005071A1">
        <w:t>paragraph (</w:t>
      </w:r>
      <w:r w:rsidRPr="005071A1">
        <w:t>a) of this subsection; and</w:t>
      </w:r>
    </w:p>
    <w:p w14:paraId="71073ADD" w14:textId="77777777" w:rsidR="00B33542" w:rsidRPr="005071A1" w:rsidRDefault="00B33542" w:rsidP="00B33542">
      <w:pPr>
        <w:pStyle w:val="paragraphsub"/>
        <w:keepNext/>
      </w:pPr>
      <w:r w:rsidRPr="005071A1">
        <w:tab/>
        <w:t>(ii)</w:t>
      </w:r>
      <w:r w:rsidRPr="005071A1">
        <w:tab/>
        <w:t xml:space="preserve">so many of the number of units of pension specified in relation to him in a determination by the Board under </w:t>
      </w:r>
      <w:r w:rsidR="008B2950" w:rsidRPr="005071A1">
        <w:t>subparagraph (</w:t>
      </w:r>
      <w:r w:rsidRPr="005071A1">
        <w:t xml:space="preserve">iii) or (iv) of </w:t>
      </w:r>
      <w:r w:rsidR="008B2950" w:rsidRPr="005071A1">
        <w:t>paragraph (</w:t>
      </w:r>
      <w:r w:rsidRPr="005071A1">
        <w:t xml:space="preserve">c) of </w:t>
      </w:r>
      <w:r w:rsidR="008B2950" w:rsidRPr="005071A1">
        <w:t>subsection (</w:t>
      </w:r>
      <w:r w:rsidRPr="005071A1">
        <w:t xml:space="preserve">3) of </w:t>
      </w:r>
      <w:r w:rsidR="004510F0">
        <w:t>section 1</w:t>
      </w:r>
      <w:r w:rsidRPr="005071A1">
        <w:t xml:space="preserve">19J or </w:t>
      </w:r>
      <w:r w:rsidR="008B2950" w:rsidRPr="005071A1">
        <w:t>paragraph (</w:t>
      </w:r>
      <w:r w:rsidRPr="005071A1">
        <w:t xml:space="preserve">b) or (c) of </w:t>
      </w:r>
      <w:r w:rsidR="008B2950" w:rsidRPr="005071A1">
        <w:t>subsection (</w:t>
      </w:r>
      <w:r w:rsidRPr="005071A1">
        <w:t xml:space="preserve">2) of </w:t>
      </w:r>
      <w:r w:rsidR="004510F0">
        <w:t>section 1</w:t>
      </w:r>
      <w:r w:rsidRPr="005071A1">
        <w:t xml:space="preserve">19K as are referable to the pension referred to in </w:t>
      </w:r>
      <w:r w:rsidR="008B2950" w:rsidRPr="005071A1">
        <w:t>paragraph (</w:t>
      </w:r>
      <w:r w:rsidRPr="005071A1">
        <w:t xml:space="preserve">c), or the deferred benefits referred to in </w:t>
      </w:r>
      <w:r w:rsidR="008B2950" w:rsidRPr="005071A1">
        <w:t>paragraph (</w:t>
      </w:r>
      <w:r w:rsidRPr="005071A1">
        <w:t xml:space="preserve">e), of </w:t>
      </w:r>
      <w:r w:rsidR="008B2950" w:rsidRPr="005071A1">
        <w:t>subsection (</w:t>
      </w:r>
      <w:r w:rsidRPr="005071A1">
        <w:t xml:space="preserve">1) of </w:t>
      </w:r>
      <w:r w:rsidR="004510F0">
        <w:t>section 1</w:t>
      </w:r>
      <w:r w:rsidRPr="005071A1">
        <w:t>19H;</w:t>
      </w:r>
    </w:p>
    <w:p w14:paraId="3D6A1716" w14:textId="77777777" w:rsidR="00B33542" w:rsidRPr="005071A1" w:rsidRDefault="00B33542" w:rsidP="00B33542">
      <w:pPr>
        <w:pStyle w:val="paragraph"/>
      </w:pPr>
      <w:r w:rsidRPr="005071A1">
        <w:tab/>
      </w:r>
      <w:r w:rsidRPr="005071A1">
        <w:tab/>
        <w:t>is less than one</w:t>
      </w:r>
      <w:r w:rsidR="004510F0">
        <w:noBreakHyphen/>
      </w:r>
      <w:r w:rsidRPr="005071A1">
        <w:t>half of his full unit entitlement as at the time of the election.</w:t>
      </w:r>
    </w:p>
    <w:p w14:paraId="2A0488ED" w14:textId="77777777" w:rsidR="00B33542" w:rsidRPr="005071A1" w:rsidRDefault="00B33542" w:rsidP="00B33542">
      <w:pPr>
        <w:pStyle w:val="subsection"/>
      </w:pPr>
      <w:r w:rsidRPr="005071A1">
        <w:tab/>
        <w:t>(4)</w:t>
      </w:r>
      <w:r w:rsidRPr="005071A1">
        <w:tab/>
        <w:t>In ascertaining the full unit entitlement of an employee or pensioner for the purposes of the application of this section in relation to an election under section</w:t>
      </w:r>
      <w:r w:rsidR="008B2950" w:rsidRPr="005071A1">
        <w:t> </w:t>
      </w:r>
      <w:r w:rsidRPr="005071A1">
        <w:t>22C, regard shall be had to his salary immediately after the increase in salary by virtue of which he became entitled to make that election.</w:t>
      </w:r>
    </w:p>
    <w:p w14:paraId="0B05AF16" w14:textId="77777777" w:rsidR="00B33542" w:rsidRPr="005071A1" w:rsidRDefault="00B33542" w:rsidP="00B33542">
      <w:pPr>
        <w:pStyle w:val="ActHead5"/>
      </w:pPr>
      <w:bookmarkStart w:id="28" w:name="_Toc185577410"/>
      <w:r w:rsidRPr="004510F0">
        <w:rPr>
          <w:rStyle w:val="CharSectno"/>
        </w:rPr>
        <w:t>22F</w:t>
      </w:r>
      <w:r w:rsidRPr="005071A1">
        <w:t xml:space="preserve">  Effect of election</w:t>
      </w:r>
      <w:bookmarkEnd w:id="28"/>
    </w:p>
    <w:p w14:paraId="741AA14D" w14:textId="77777777" w:rsidR="00B33542" w:rsidRPr="005071A1" w:rsidRDefault="00B33542" w:rsidP="00B33542">
      <w:pPr>
        <w:pStyle w:val="subsection"/>
      </w:pPr>
      <w:r w:rsidRPr="005071A1">
        <w:tab/>
        <w:t>(1)</w:t>
      </w:r>
      <w:r w:rsidRPr="005071A1">
        <w:tab/>
        <w:t>Where an employee or pensioner makes an election under this Division in relation to a unit of pension:</w:t>
      </w:r>
    </w:p>
    <w:p w14:paraId="3CAAFDA9" w14:textId="77777777" w:rsidR="00B33542" w:rsidRPr="005071A1" w:rsidRDefault="00B33542" w:rsidP="00B33542">
      <w:pPr>
        <w:pStyle w:val="paragraph"/>
      </w:pPr>
      <w:r w:rsidRPr="005071A1">
        <w:tab/>
        <w:t>(a)</w:t>
      </w:r>
      <w:r w:rsidRPr="005071A1">
        <w:tab/>
        <w:t>that unit of pension becomes, or shall be deemed to have become, on and from the date as from which the election has or had effect, a non</w:t>
      </w:r>
      <w:r w:rsidR="004510F0">
        <w:noBreakHyphen/>
      </w:r>
      <w:r w:rsidRPr="005071A1">
        <w:t>contributory unit of pension applicable in relation to him;</w:t>
      </w:r>
    </w:p>
    <w:p w14:paraId="06D20B73" w14:textId="77777777" w:rsidR="00B33542" w:rsidRPr="005071A1" w:rsidRDefault="00B33542" w:rsidP="00B33542">
      <w:pPr>
        <w:pStyle w:val="paragraph"/>
      </w:pPr>
      <w:r w:rsidRPr="005071A1">
        <w:tab/>
        <w:t>(b)</w:t>
      </w:r>
      <w:r w:rsidRPr="005071A1">
        <w:tab/>
        <w:t xml:space="preserve">subject to </w:t>
      </w:r>
      <w:r w:rsidR="008B2950" w:rsidRPr="005071A1">
        <w:t>subsection (</w:t>
      </w:r>
      <w:r w:rsidRPr="005071A1">
        <w:t xml:space="preserve">2D) of </w:t>
      </w:r>
      <w:r w:rsidR="004510F0">
        <w:t>section 1</w:t>
      </w:r>
      <w:r w:rsidRPr="005071A1">
        <w:t>9, he is not required or permitted to contribute, or to continue to contribute, as the case may be, for that unit of pension;</w:t>
      </w:r>
    </w:p>
    <w:p w14:paraId="430DE017" w14:textId="77777777" w:rsidR="00B33542" w:rsidRPr="005071A1" w:rsidRDefault="00B33542" w:rsidP="00B33542">
      <w:pPr>
        <w:pStyle w:val="paragraph"/>
      </w:pPr>
      <w:r w:rsidRPr="005071A1">
        <w:lastRenderedPageBreak/>
        <w:tab/>
        <w:t>(c)</w:t>
      </w:r>
      <w:r w:rsidRPr="005071A1">
        <w:tab/>
        <w:t>if any contributions payable by him for that unit have been deferred in whole or in part by virtue of section</w:t>
      </w:r>
      <w:r w:rsidR="008B2950" w:rsidRPr="005071A1">
        <w:t> </w:t>
      </w:r>
      <w:r w:rsidRPr="005071A1">
        <w:t xml:space="preserve">73 of the </w:t>
      </w:r>
      <w:r w:rsidRPr="005071A1">
        <w:rPr>
          <w:i/>
        </w:rPr>
        <w:t>Superannuation Act 1959</w:t>
      </w:r>
      <w:r w:rsidRPr="005071A1">
        <w:t xml:space="preserve"> or section</w:t>
      </w:r>
      <w:r w:rsidR="008B2950" w:rsidRPr="005071A1">
        <w:t> </w:t>
      </w:r>
      <w:r w:rsidRPr="005071A1">
        <w:t xml:space="preserve">33 of the </w:t>
      </w:r>
      <w:r w:rsidRPr="005071A1">
        <w:rPr>
          <w:i/>
        </w:rPr>
        <w:t>Superannuation Act 1963</w:t>
      </w:r>
      <w:r w:rsidRPr="005071A1">
        <w:t>—the compound interest payable upon the deferred contributions ceases to accrue upon the date of the election, and the amount of the interest that has accrued before that date is payable forthwith to the Fund and:</w:t>
      </w:r>
    </w:p>
    <w:p w14:paraId="065ABDBB" w14:textId="77777777" w:rsidR="00B33542" w:rsidRPr="005071A1" w:rsidRDefault="00B33542" w:rsidP="00B33542">
      <w:pPr>
        <w:pStyle w:val="paragraphsub"/>
      </w:pPr>
      <w:r w:rsidRPr="005071A1">
        <w:tab/>
        <w:t>(i)</w:t>
      </w:r>
      <w:r w:rsidRPr="005071A1">
        <w:tab/>
        <w:t>shall, to the extent that it does not exceed the amount of any benefit payable to or in respect of the employee or pensioner under this Act, be deducted by the Board from the benefit; and</w:t>
      </w:r>
    </w:p>
    <w:p w14:paraId="622D6D92" w14:textId="77777777" w:rsidR="00B33542" w:rsidRPr="005071A1" w:rsidRDefault="00B33542" w:rsidP="00B33542">
      <w:pPr>
        <w:pStyle w:val="paragraphsub"/>
      </w:pPr>
      <w:r w:rsidRPr="005071A1">
        <w:tab/>
        <w:t>(ii)</w:t>
      </w:r>
      <w:r w:rsidRPr="005071A1">
        <w:tab/>
        <w:t>may, to the extent, if any, that it exceeds the amount of that benefit, be recovered by the Board in any court of competent jurisdiction as a debt due by the employee or pensioner to the Board;</w:t>
      </w:r>
    </w:p>
    <w:p w14:paraId="03D1748D" w14:textId="77777777" w:rsidR="00B33542" w:rsidRPr="005071A1" w:rsidRDefault="00B33542" w:rsidP="00B33542">
      <w:pPr>
        <w:pStyle w:val="paragraph"/>
      </w:pPr>
      <w:r w:rsidRPr="005071A1">
        <w:tab/>
        <w:t>(d)</w:t>
      </w:r>
      <w:r w:rsidRPr="005071A1">
        <w:tab/>
        <w:t xml:space="preserve">subject to </w:t>
      </w:r>
      <w:r w:rsidR="008B2950" w:rsidRPr="005071A1">
        <w:t>subsection (</w:t>
      </w:r>
      <w:r w:rsidRPr="005071A1">
        <w:t>2), any additional unit of pension the obligation to contribute for which comes or came into existence after the date as from which the election has or had effect shall be at the appropriate rate based on a retiring age of sixty</w:t>
      </w:r>
      <w:r w:rsidR="004510F0">
        <w:noBreakHyphen/>
      </w:r>
      <w:r w:rsidRPr="005071A1">
        <w:t>five years; and</w:t>
      </w:r>
    </w:p>
    <w:p w14:paraId="1570F807" w14:textId="77777777" w:rsidR="00B33542" w:rsidRPr="005071A1" w:rsidRDefault="00B33542" w:rsidP="00B33542">
      <w:pPr>
        <w:pStyle w:val="paragraph"/>
      </w:pPr>
      <w:r w:rsidRPr="005071A1">
        <w:tab/>
        <w:t>(e)</w:t>
      </w:r>
      <w:r w:rsidRPr="005071A1">
        <w:tab/>
        <w:t xml:space="preserve">his maximum age for retirement is, in respect of all additional units of pension in relation to which </w:t>
      </w:r>
      <w:r w:rsidR="008B2950" w:rsidRPr="005071A1">
        <w:t>paragraph (</w:t>
      </w:r>
      <w:r w:rsidRPr="005071A1">
        <w:t>d) applies, sixty</w:t>
      </w:r>
      <w:r w:rsidR="004510F0">
        <w:noBreakHyphen/>
      </w:r>
      <w:r w:rsidRPr="005071A1">
        <w:t>five years.</w:t>
      </w:r>
    </w:p>
    <w:p w14:paraId="29E7DDDD" w14:textId="77777777" w:rsidR="00B33542" w:rsidRPr="005071A1" w:rsidRDefault="00B33542" w:rsidP="00B33542">
      <w:pPr>
        <w:pStyle w:val="subsection"/>
      </w:pPr>
      <w:r w:rsidRPr="005071A1">
        <w:tab/>
        <w:t>(2)</w:t>
      </w:r>
      <w:r w:rsidRPr="005071A1">
        <w:tab/>
      </w:r>
      <w:r w:rsidR="008B2950" w:rsidRPr="005071A1">
        <w:t>Paragraph (</w:t>
      </w:r>
      <w:r w:rsidRPr="005071A1">
        <w:t xml:space="preserve">d) of </w:t>
      </w:r>
      <w:r w:rsidR="008B2950" w:rsidRPr="005071A1">
        <w:t>subsection (</w:t>
      </w:r>
      <w:r w:rsidRPr="005071A1">
        <w:t>1) does not prevent a contributor making an election under section</w:t>
      </w:r>
      <w:r w:rsidR="008B2950" w:rsidRPr="005071A1">
        <w:t> </w:t>
      </w:r>
      <w:r w:rsidRPr="005071A1">
        <w:t>24 and ceases to apply in relation to him if he makes such an election, but if, after making such an election, he makes a further election under this Division in relation to a unit of pension, that paragraph applies in relation to any additional units of pension for which he commences to contribute after the date of the further election.</w:t>
      </w:r>
    </w:p>
    <w:p w14:paraId="3F373F67" w14:textId="77777777" w:rsidR="00B33542" w:rsidRPr="005071A1" w:rsidRDefault="00B33542" w:rsidP="00B33542">
      <w:pPr>
        <w:pStyle w:val="ActHead5"/>
      </w:pPr>
      <w:bookmarkStart w:id="29" w:name="_Toc185577411"/>
      <w:r w:rsidRPr="004510F0">
        <w:rPr>
          <w:rStyle w:val="CharSectno"/>
        </w:rPr>
        <w:lastRenderedPageBreak/>
        <w:t>22G</w:t>
      </w:r>
      <w:r w:rsidRPr="005071A1">
        <w:t xml:space="preserve">  Cessation of non</w:t>
      </w:r>
      <w:r w:rsidR="004510F0">
        <w:noBreakHyphen/>
      </w:r>
      <w:r w:rsidRPr="005071A1">
        <w:t>contributory units where contributor exempted from contributing for more than two units</w:t>
      </w:r>
      <w:bookmarkEnd w:id="29"/>
    </w:p>
    <w:p w14:paraId="45881D45" w14:textId="77777777" w:rsidR="00B33542" w:rsidRPr="005071A1" w:rsidRDefault="00B33542" w:rsidP="00B33542">
      <w:pPr>
        <w:pStyle w:val="subsection"/>
      </w:pPr>
      <w:r w:rsidRPr="005071A1">
        <w:tab/>
      </w:r>
      <w:r w:rsidRPr="005071A1">
        <w:tab/>
        <w:t>Where an employee in relation to whom a non</w:t>
      </w:r>
      <w:r w:rsidR="004510F0">
        <w:noBreakHyphen/>
      </w:r>
      <w:r w:rsidRPr="005071A1">
        <w:t>contributory unit of pension is applicable is granted an exemption under section</w:t>
      </w:r>
      <w:r w:rsidR="008B2950" w:rsidRPr="005071A1">
        <w:t> </w:t>
      </w:r>
      <w:r w:rsidRPr="005071A1">
        <w:t>21 from contributing for more than two units of pension, that non</w:t>
      </w:r>
      <w:r w:rsidR="004510F0">
        <w:noBreakHyphen/>
      </w:r>
      <w:r w:rsidRPr="005071A1">
        <w:t>contributory unit of pension ceases to be applicable in relation to him.</w:t>
      </w:r>
    </w:p>
    <w:p w14:paraId="11D7CB84" w14:textId="77777777" w:rsidR="00B33542" w:rsidRPr="005071A1" w:rsidRDefault="00B33542" w:rsidP="00B33542">
      <w:pPr>
        <w:pStyle w:val="ActHead5"/>
      </w:pPr>
      <w:bookmarkStart w:id="30" w:name="_Toc185577412"/>
      <w:r w:rsidRPr="004510F0">
        <w:rPr>
          <w:rStyle w:val="CharSectno"/>
        </w:rPr>
        <w:t>22H</w:t>
      </w:r>
      <w:r w:rsidRPr="005071A1">
        <w:t xml:space="preserve">  Election not to contribute for units, or to contribute for units at age sixty</w:t>
      </w:r>
      <w:r w:rsidR="004510F0">
        <w:noBreakHyphen/>
      </w:r>
      <w:r w:rsidRPr="005071A1">
        <w:t>five rates, ineffective in certain cases</w:t>
      </w:r>
      <w:bookmarkEnd w:id="30"/>
    </w:p>
    <w:p w14:paraId="1EA74C90" w14:textId="77777777" w:rsidR="00B33542" w:rsidRPr="005071A1" w:rsidRDefault="00B33542" w:rsidP="00B33542">
      <w:pPr>
        <w:pStyle w:val="subsection"/>
      </w:pPr>
      <w:r w:rsidRPr="005071A1">
        <w:tab/>
      </w:r>
      <w:r w:rsidRPr="005071A1">
        <w:tab/>
        <w:t>Where an employee in relation to whom a non</w:t>
      </w:r>
      <w:r w:rsidR="004510F0">
        <w:noBreakHyphen/>
      </w:r>
      <w:r w:rsidRPr="005071A1">
        <w:t>contributory unit of pension is applicable:</w:t>
      </w:r>
    </w:p>
    <w:p w14:paraId="13310057" w14:textId="77777777" w:rsidR="00B33542" w:rsidRPr="005071A1" w:rsidRDefault="00B33542" w:rsidP="00B33542">
      <w:pPr>
        <w:pStyle w:val="paragraph"/>
      </w:pPr>
      <w:r w:rsidRPr="005071A1">
        <w:tab/>
        <w:t>(a)</w:t>
      </w:r>
      <w:r w:rsidRPr="005071A1">
        <w:tab/>
        <w:t xml:space="preserve">makes an election under </w:t>
      </w:r>
      <w:r w:rsidR="008B2950" w:rsidRPr="005071A1">
        <w:t>subsection (</w:t>
      </w:r>
      <w:r w:rsidRPr="005071A1">
        <w:t xml:space="preserve">1) or </w:t>
      </w:r>
      <w:r w:rsidR="008B2950" w:rsidRPr="005071A1">
        <w:t>subsection (</w:t>
      </w:r>
      <w:r w:rsidRPr="005071A1">
        <w:t>2) of section</w:t>
      </w:r>
      <w:r w:rsidR="008B2950" w:rsidRPr="005071A1">
        <w:t> </w:t>
      </w:r>
      <w:r w:rsidRPr="005071A1">
        <w:t xml:space="preserve">20A of this Act, or </w:t>
      </w:r>
      <w:r w:rsidR="008B2950" w:rsidRPr="005071A1">
        <w:t>subsection (</w:t>
      </w:r>
      <w:r w:rsidRPr="005071A1">
        <w:t>2) of section</w:t>
      </w:r>
      <w:r w:rsidR="008B2950" w:rsidRPr="005071A1">
        <w:t> </w:t>
      </w:r>
      <w:r w:rsidRPr="005071A1">
        <w:t xml:space="preserve">32 of the </w:t>
      </w:r>
      <w:r w:rsidRPr="005071A1">
        <w:rPr>
          <w:i/>
        </w:rPr>
        <w:t>Superannuation Act (No.</w:t>
      </w:r>
      <w:r w:rsidR="008B2950" w:rsidRPr="005071A1">
        <w:rPr>
          <w:i/>
        </w:rPr>
        <w:t> </w:t>
      </w:r>
      <w:r w:rsidRPr="005071A1">
        <w:rPr>
          <w:i/>
        </w:rPr>
        <w:t>2) 1969</w:t>
      </w:r>
      <w:r w:rsidRPr="005071A1">
        <w:t>, not to contribute for one or more units of pension; or</w:t>
      </w:r>
    </w:p>
    <w:p w14:paraId="59E6BCC8" w14:textId="77777777" w:rsidR="00B33542" w:rsidRPr="005071A1" w:rsidRDefault="00B33542" w:rsidP="00B33542">
      <w:pPr>
        <w:pStyle w:val="paragraph"/>
        <w:keepNext/>
      </w:pPr>
      <w:r w:rsidRPr="005071A1">
        <w:tab/>
        <w:t>(b)</w:t>
      </w:r>
      <w:r w:rsidRPr="005071A1">
        <w:tab/>
        <w:t xml:space="preserve">makes an election under </w:t>
      </w:r>
      <w:r w:rsidR="008B2950" w:rsidRPr="005071A1">
        <w:t>subsection (</w:t>
      </w:r>
      <w:r w:rsidRPr="005071A1">
        <w:t>1) of section</w:t>
      </w:r>
      <w:r w:rsidR="008B2950" w:rsidRPr="005071A1">
        <w:t> </w:t>
      </w:r>
      <w:r w:rsidRPr="005071A1">
        <w:t>25 of this Act to contribute for an additional unit of pension or additional units of pension at the appropriate rate based on a retiring age of sixty</w:t>
      </w:r>
      <w:r w:rsidR="004510F0">
        <w:noBreakHyphen/>
      </w:r>
      <w:r w:rsidRPr="005071A1">
        <w:t>five years;</w:t>
      </w:r>
    </w:p>
    <w:p w14:paraId="03E520D2" w14:textId="77777777" w:rsidR="00B33542" w:rsidRPr="005071A1" w:rsidRDefault="00B33542" w:rsidP="00B33542">
      <w:pPr>
        <w:pStyle w:val="subsection2"/>
      </w:pPr>
      <w:r w:rsidRPr="005071A1">
        <w:t>the election does not have effect in relation to a unit of pension where:</w:t>
      </w:r>
    </w:p>
    <w:p w14:paraId="0828DBCE" w14:textId="77777777" w:rsidR="00B33542" w:rsidRPr="005071A1" w:rsidRDefault="00B33542" w:rsidP="00B33542">
      <w:pPr>
        <w:pStyle w:val="paragraph"/>
      </w:pPr>
      <w:r w:rsidRPr="005071A1">
        <w:tab/>
        <w:t>(c)</w:t>
      </w:r>
      <w:r w:rsidRPr="005071A1">
        <w:tab/>
        <w:t>the employee became entitled to make the election before the date as from which the non</w:t>
      </w:r>
      <w:r w:rsidR="004510F0">
        <w:noBreakHyphen/>
      </w:r>
      <w:r w:rsidRPr="005071A1">
        <w:t>contributory unit became applicable in relation to him; and</w:t>
      </w:r>
    </w:p>
    <w:p w14:paraId="22851434" w14:textId="77777777" w:rsidR="00B33542" w:rsidRPr="005071A1" w:rsidRDefault="00B33542" w:rsidP="00B33542">
      <w:pPr>
        <w:pStyle w:val="paragraph"/>
      </w:pPr>
      <w:r w:rsidRPr="005071A1">
        <w:tab/>
        <w:t>(d)</w:t>
      </w:r>
      <w:r w:rsidRPr="005071A1">
        <w:tab/>
        <w:t>if the election had been made before the date as from which the non</w:t>
      </w:r>
      <w:r w:rsidR="004510F0">
        <w:noBreakHyphen/>
      </w:r>
      <w:r w:rsidRPr="005071A1">
        <w:t>contributory unit became applicable in relation to him, the non</w:t>
      </w:r>
      <w:r w:rsidR="004510F0">
        <w:noBreakHyphen/>
      </w:r>
      <w:r w:rsidRPr="005071A1">
        <w:t xml:space="preserve">contributory unit would not have become so applicable by reason of the operation of </w:t>
      </w:r>
      <w:r w:rsidR="008B2950" w:rsidRPr="005071A1">
        <w:t>subsection (</w:t>
      </w:r>
      <w:r w:rsidRPr="005071A1">
        <w:t>2) of section</w:t>
      </w:r>
      <w:r w:rsidR="008B2950" w:rsidRPr="005071A1">
        <w:t> </w:t>
      </w:r>
      <w:r w:rsidRPr="005071A1">
        <w:t xml:space="preserve">22A, </w:t>
      </w:r>
      <w:r w:rsidR="008B2950" w:rsidRPr="005071A1">
        <w:t>subsection (</w:t>
      </w:r>
      <w:r w:rsidRPr="005071A1">
        <w:t xml:space="preserve">3) or </w:t>
      </w:r>
      <w:r w:rsidR="008B2950" w:rsidRPr="005071A1">
        <w:t>subsection (</w:t>
      </w:r>
      <w:r w:rsidRPr="005071A1">
        <w:t>4) of section</w:t>
      </w:r>
      <w:r w:rsidR="008B2950" w:rsidRPr="005071A1">
        <w:t> </w:t>
      </w:r>
      <w:r w:rsidRPr="005071A1">
        <w:t xml:space="preserve">22B, </w:t>
      </w:r>
      <w:r w:rsidR="008B2950" w:rsidRPr="005071A1">
        <w:lastRenderedPageBreak/>
        <w:t>subsection (</w:t>
      </w:r>
      <w:r w:rsidRPr="005071A1">
        <w:t>3) of section</w:t>
      </w:r>
      <w:r w:rsidR="008B2950" w:rsidRPr="005071A1">
        <w:t> </w:t>
      </w:r>
      <w:r w:rsidRPr="005071A1">
        <w:t>22C, section</w:t>
      </w:r>
      <w:r w:rsidR="008B2950" w:rsidRPr="005071A1">
        <w:t> </w:t>
      </w:r>
      <w:r w:rsidRPr="005071A1">
        <w:t>22D or section</w:t>
      </w:r>
      <w:r w:rsidR="008B2950" w:rsidRPr="005071A1">
        <w:t> </w:t>
      </w:r>
      <w:r w:rsidRPr="005071A1">
        <w:t>22E of this Act or section</w:t>
      </w:r>
      <w:r w:rsidR="008B2950" w:rsidRPr="005071A1">
        <w:t> </w:t>
      </w:r>
      <w:r w:rsidRPr="005071A1">
        <w:t xml:space="preserve">31 of the </w:t>
      </w:r>
      <w:r w:rsidRPr="005071A1">
        <w:rPr>
          <w:i/>
        </w:rPr>
        <w:t>Superannuation Act (No.</w:t>
      </w:r>
      <w:r w:rsidR="008B2950" w:rsidRPr="005071A1">
        <w:rPr>
          <w:i/>
        </w:rPr>
        <w:t> </w:t>
      </w:r>
      <w:r w:rsidRPr="005071A1">
        <w:rPr>
          <w:i/>
        </w:rPr>
        <w:t>2) 1969</w:t>
      </w:r>
      <w:r w:rsidRPr="005071A1">
        <w:t>.</w:t>
      </w:r>
    </w:p>
    <w:p w14:paraId="6664C25D" w14:textId="77777777" w:rsidR="00B33542" w:rsidRPr="005071A1" w:rsidRDefault="00B33542" w:rsidP="00B33542">
      <w:pPr>
        <w:pStyle w:val="ActHead5"/>
      </w:pPr>
      <w:bookmarkStart w:id="31" w:name="_Toc185577413"/>
      <w:r w:rsidRPr="004510F0">
        <w:rPr>
          <w:rStyle w:val="CharSectno"/>
        </w:rPr>
        <w:t>22J</w:t>
      </w:r>
      <w:r w:rsidRPr="005071A1">
        <w:t xml:space="preserve">  Election to reduce contributory units ineffective in certain cases</w:t>
      </w:r>
      <w:bookmarkEnd w:id="31"/>
    </w:p>
    <w:p w14:paraId="428161D2" w14:textId="77777777" w:rsidR="00B33542" w:rsidRPr="005071A1" w:rsidRDefault="00B33542" w:rsidP="00B33542">
      <w:pPr>
        <w:pStyle w:val="subsection"/>
      </w:pPr>
      <w:r w:rsidRPr="005071A1">
        <w:tab/>
        <w:t>(1)</w:t>
      </w:r>
      <w:r w:rsidRPr="005071A1">
        <w:tab/>
        <w:t>Where an employee in relation to whom a non</w:t>
      </w:r>
      <w:r w:rsidR="004510F0">
        <w:noBreakHyphen/>
      </w:r>
      <w:r w:rsidRPr="005071A1">
        <w:t xml:space="preserve">contributory unit of pension is applicable makes an election under </w:t>
      </w:r>
      <w:r w:rsidR="008B2950" w:rsidRPr="005071A1">
        <w:t>subsection (</w:t>
      </w:r>
      <w:r w:rsidRPr="005071A1">
        <w:t>6) of section</w:t>
      </w:r>
      <w:r w:rsidR="008B2950" w:rsidRPr="005071A1">
        <w:t> </w:t>
      </w:r>
      <w:r w:rsidRPr="005071A1">
        <w:t xml:space="preserve">20 or </w:t>
      </w:r>
      <w:r w:rsidR="008B2950" w:rsidRPr="005071A1">
        <w:t>subsection (</w:t>
      </w:r>
      <w:r w:rsidRPr="005071A1">
        <w:t>2) of section</w:t>
      </w:r>
      <w:r w:rsidR="008B2950" w:rsidRPr="005071A1">
        <w:t> </w:t>
      </w:r>
      <w:r w:rsidRPr="005071A1">
        <w:t xml:space="preserve">20B to reduce the number of units of pension for which he is required to contribute, </w:t>
      </w:r>
      <w:r w:rsidR="008B2950" w:rsidRPr="005071A1">
        <w:t>subsections (</w:t>
      </w:r>
      <w:r w:rsidRPr="005071A1">
        <w:t>2), (3) and (4) of this section apply in relation to the election.</w:t>
      </w:r>
    </w:p>
    <w:p w14:paraId="78928EAD" w14:textId="77777777" w:rsidR="00B33542" w:rsidRPr="005071A1" w:rsidRDefault="00B33542" w:rsidP="00B33542">
      <w:pPr>
        <w:pStyle w:val="subsection"/>
      </w:pPr>
      <w:r w:rsidRPr="005071A1">
        <w:tab/>
        <w:t>(2)</w:t>
      </w:r>
      <w:r w:rsidRPr="005071A1">
        <w:tab/>
        <w:t xml:space="preserve">If the employee is not an employee to whom </w:t>
      </w:r>
      <w:r w:rsidR="008B2950" w:rsidRPr="005071A1">
        <w:t>subsection (</w:t>
      </w:r>
      <w:r w:rsidRPr="005071A1">
        <w:t xml:space="preserve">2BB) of </w:t>
      </w:r>
      <w:r w:rsidR="004510F0">
        <w:t>section 1</w:t>
      </w:r>
      <w:r w:rsidRPr="005071A1">
        <w:t>9 applies, the election does not have effect in relation to a unit of pension unless the fortnightly amount of the contributions (other than contributions for reserve units of pension) that, but for the operation of the election in relation to that unit, would be payable by him to the Fund on the date of the election or, if that date is not a pay</w:t>
      </w:r>
      <w:r w:rsidR="004510F0">
        <w:noBreakHyphen/>
      </w:r>
      <w:r w:rsidRPr="005071A1">
        <w:t>day, that would be so payable if that date were a pay</w:t>
      </w:r>
      <w:r w:rsidR="004510F0">
        <w:noBreakHyphen/>
      </w:r>
      <w:r w:rsidRPr="005071A1">
        <w:t>day, exceeds three</w:t>
      </w:r>
      <w:r w:rsidR="004510F0">
        <w:noBreakHyphen/>
      </w:r>
      <w:r w:rsidRPr="005071A1">
        <w:t>one thousand and fortieths of his salary as at that date.</w:t>
      </w:r>
    </w:p>
    <w:p w14:paraId="29787770" w14:textId="77777777" w:rsidR="00B33542" w:rsidRPr="005071A1" w:rsidRDefault="00B33542" w:rsidP="00B33542">
      <w:pPr>
        <w:pStyle w:val="subsection"/>
      </w:pPr>
      <w:r w:rsidRPr="005071A1">
        <w:tab/>
        <w:t>(3)</w:t>
      </w:r>
      <w:r w:rsidRPr="005071A1">
        <w:tab/>
        <w:t xml:space="preserve">If the employee is an employee to whom </w:t>
      </w:r>
      <w:r w:rsidR="008B2950" w:rsidRPr="005071A1">
        <w:t>subsection (</w:t>
      </w:r>
      <w:r w:rsidRPr="005071A1">
        <w:t xml:space="preserve">2BB) of </w:t>
      </w:r>
      <w:r w:rsidR="004510F0">
        <w:t>section 1</w:t>
      </w:r>
      <w:r w:rsidRPr="005071A1">
        <w:t>9 applies, the election does not have effect in relation to a unit of pension unless the sum of:</w:t>
      </w:r>
    </w:p>
    <w:p w14:paraId="0D8ACF72" w14:textId="77777777" w:rsidR="00B33542" w:rsidRPr="005071A1" w:rsidRDefault="00B33542" w:rsidP="00B33542">
      <w:pPr>
        <w:pStyle w:val="paragraph"/>
      </w:pPr>
      <w:r w:rsidRPr="005071A1">
        <w:tab/>
        <w:t>(a)</w:t>
      </w:r>
      <w:r w:rsidRPr="005071A1">
        <w:tab/>
        <w:t xml:space="preserve">the fortnightly amount of the contributions (other than contributions for reserve units of pension) that, but for this section, would be payable by him to the Fund under </w:t>
      </w:r>
      <w:r w:rsidR="008B2950" w:rsidRPr="005071A1">
        <w:t>subsection (</w:t>
      </w:r>
      <w:r w:rsidRPr="005071A1">
        <w:t xml:space="preserve">2BB) or </w:t>
      </w:r>
      <w:r w:rsidR="008B2950" w:rsidRPr="005071A1">
        <w:t>subsection (</w:t>
      </w:r>
      <w:r w:rsidRPr="005071A1">
        <w:t xml:space="preserve">2BC) of </w:t>
      </w:r>
      <w:r w:rsidR="004510F0">
        <w:t>section 1</w:t>
      </w:r>
      <w:r w:rsidRPr="005071A1">
        <w:t>9 on the date of the election or, if that date is not a pay</w:t>
      </w:r>
      <w:r w:rsidR="004510F0">
        <w:noBreakHyphen/>
      </w:r>
      <w:r w:rsidRPr="005071A1">
        <w:t>day, that would be so payable if that date were a pay</w:t>
      </w:r>
      <w:r w:rsidR="004510F0">
        <w:noBreakHyphen/>
      </w:r>
      <w:r w:rsidRPr="005071A1">
        <w:t>day; and</w:t>
      </w:r>
    </w:p>
    <w:p w14:paraId="2144EE08" w14:textId="77777777" w:rsidR="00B33542" w:rsidRPr="005071A1" w:rsidRDefault="00B33542" w:rsidP="00B33542">
      <w:pPr>
        <w:pStyle w:val="paragraph"/>
        <w:keepNext/>
      </w:pPr>
      <w:r w:rsidRPr="005071A1">
        <w:tab/>
        <w:t>(b)</w:t>
      </w:r>
      <w:r w:rsidRPr="005071A1">
        <w:tab/>
        <w:t xml:space="preserve">the fortnightly amount of any other contributions that, but for this section, would be payable by him to the Fund on the date </w:t>
      </w:r>
      <w:r w:rsidRPr="005071A1">
        <w:lastRenderedPageBreak/>
        <w:t>of the election or, if that date is not a pay</w:t>
      </w:r>
      <w:r w:rsidR="004510F0">
        <w:noBreakHyphen/>
      </w:r>
      <w:r w:rsidRPr="005071A1">
        <w:t>day, that would be so payable if that date were a pay</w:t>
      </w:r>
      <w:r w:rsidR="004510F0">
        <w:noBreakHyphen/>
      </w:r>
      <w:r w:rsidRPr="005071A1">
        <w:t>day;</w:t>
      </w:r>
    </w:p>
    <w:p w14:paraId="6C6C636C" w14:textId="77777777" w:rsidR="00B33542" w:rsidRPr="005071A1" w:rsidRDefault="00B33542" w:rsidP="00B33542">
      <w:pPr>
        <w:pStyle w:val="subsection2"/>
      </w:pPr>
      <w:r w:rsidRPr="005071A1">
        <w:t xml:space="preserve">reduced by the fortnightly amount of the contributions ascertained in relation to him in accordance with the appropriate tables set out in the Third, Fourth, Fifth and Sixth Schedules in respect of units of pension in respect of which an election by him under </w:t>
      </w:r>
      <w:r w:rsidR="008B2950" w:rsidRPr="005071A1">
        <w:t>subsection (</w:t>
      </w:r>
      <w:r w:rsidRPr="005071A1">
        <w:t>6) of section</w:t>
      </w:r>
      <w:r w:rsidR="008B2950" w:rsidRPr="005071A1">
        <w:t> </w:t>
      </w:r>
      <w:r w:rsidRPr="005071A1">
        <w:t xml:space="preserve">20 or </w:t>
      </w:r>
      <w:r w:rsidR="008B2950" w:rsidRPr="005071A1">
        <w:t>subsection (</w:t>
      </w:r>
      <w:r w:rsidRPr="005071A1">
        <w:t>2) of section</w:t>
      </w:r>
      <w:r w:rsidR="008B2950" w:rsidRPr="005071A1">
        <w:t> </w:t>
      </w:r>
      <w:r w:rsidRPr="005071A1">
        <w:t>20B has effect, exceeds three</w:t>
      </w:r>
      <w:r w:rsidR="004510F0">
        <w:noBreakHyphen/>
      </w:r>
      <w:r w:rsidRPr="005071A1">
        <w:t>one thousand and fortieths of his salary as at that date.</w:t>
      </w:r>
    </w:p>
    <w:p w14:paraId="152F211F" w14:textId="77777777" w:rsidR="00B33542" w:rsidRPr="005071A1" w:rsidRDefault="00B33542" w:rsidP="00B33542">
      <w:pPr>
        <w:pStyle w:val="subsection"/>
      </w:pPr>
      <w:r w:rsidRPr="005071A1">
        <w:tab/>
        <w:t>(4)</w:t>
      </w:r>
      <w:r w:rsidRPr="005071A1">
        <w:tab/>
        <w:t>Sections</w:t>
      </w:r>
      <w:r w:rsidR="008B2950" w:rsidRPr="005071A1">
        <w:t> </w:t>
      </w:r>
      <w:r w:rsidRPr="005071A1">
        <w:t>22D and 22E apply in relation to the election in like manner as those sections apply in relation to an election under section</w:t>
      </w:r>
      <w:r w:rsidR="008B2950" w:rsidRPr="005071A1">
        <w:t> </w:t>
      </w:r>
      <w:r w:rsidRPr="005071A1">
        <w:t>22B.</w:t>
      </w:r>
    </w:p>
    <w:p w14:paraId="4C16518B" w14:textId="77777777" w:rsidR="00B33542" w:rsidRPr="005071A1" w:rsidRDefault="00B33542" w:rsidP="00B33542">
      <w:pPr>
        <w:pStyle w:val="ActHead5"/>
      </w:pPr>
      <w:bookmarkStart w:id="32" w:name="_Toc185577414"/>
      <w:r w:rsidRPr="004510F0">
        <w:rPr>
          <w:rStyle w:val="CharSectno"/>
        </w:rPr>
        <w:t>22K</w:t>
      </w:r>
      <w:r w:rsidRPr="005071A1">
        <w:t xml:space="preserve">  References to full unit entitlement</w:t>
      </w:r>
      <w:bookmarkEnd w:id="32"/>
    </w:p>
    <w:p w14:paraId="0F430C94" w14:textId="77777777" w:rsidR="00B33542" w:rsidRPr="005071A1" w:rsidRDefault="00B33542" w:rsidP="00B33542">
      <w:pPr>
        <w:pStyle w:val="subsection"/>
      </w:pPr>
      <w:r w:rsidRPr="005071A1">
        <w:tab/>
        <w:t>(1)</w:t>
      </w:r>
      <w:r w:rsidRPr="005071A1">
        <w:tab/>
        <w:t>A reference in this Division to the full unit entitlement of an employee or pensioner, in relation to any time, shall be read as a reference to:</w:t>
      </w:r>
    </w:p>
    <w:p w14:paraId="1A463D65" w14:textId="77777777" w:rsidR="00B33542" w:rsidRPr="005071A1" w:rsidRDefault="00B33542" w:rsidP="00B33542">
      <w:pPr>
        <w:pStyle w:val="paragraph"/>
      </w:pPr>
      <w:r w:rsidRPr="005071A1">
        <w:tab/>
        <w:t>(a)</w:t>
      </w:r>
      <w:r w:rsidRPr="005071A1">
        <w:tab/>
        <w:t xml:space="preserve">the number of units of pension ascertained in accordance with </w:t>
      </w:r>
      <w:r w:rsidR="008B2950" w:rsidRPr="005071A1">
        <w:t>subsection (</w:t>
      </w:r>
      <w:r w:rsidRPr="005071A1">
        <w:t>2) of section</w:t>
      </w:r>
      <w:r w:rsidR="008B2950" w:rsidRPr="005071A1">
        <w:t> </w:t>
      </w:r>
      <w:r w:rsidRPr="005071A1">
        <w:t>20 as it applies or applied in relation to the employee or pensioner at that time; or</w:t>
      </w:r>
    </w:p>
    <w:p w14:paraId="13AE04F1" w14:textId="77777777" w:rsidR="00B33542" w:rsidRPr="005071A1" w:rsidRDefault="00B33542" w:rsidP="00B33542">
      <w:pPr>
        <w:pStyle w:val="paragraph"/>
        <w:keepNext/>
      </w:pPr>
      <w:r w:rsidRPr="005071A1">
        <w:tab/>
        <w:t>(b)</w:t>
      </w:r>
      <w:r w:rsidRPr="005071A1">
        <w:tab/>
        <w:t>the sum of the number of units of pension for which he was a contributor at that time and the number of non</w:t>
      </w:r>
      <w:r w:rsidR="004510F0">
        <w:noBreakHyphen/>
      </w:r>
      <w:r w:rsidRPr="005071A1">
        <w:t>contributory units of pension that were applicable in relation to him at that time;</w:t>
      </w:r>
    </w:p>
    <w:p w14:paraId="16003C56" w14:textId="77777777" w:rsidR="00B33542" w:rsidRPr="005071A1" w:rsidRDefault="00B33542" w:rsidP="00B33542">
      <w:pPr>
        <w:pStyle w:val="subsection2"/>
      </w:pPr>
      <w:r w:rsidRPr="005071A1">
        <w:t>whichever is the greater.</w:t>
      </w:r>
    </w:p>
    <w:p w14:paraId="22177E38" w14:textId="77777777" w:rsidR="00B33542" w:rsidRPr="005071A1" w:rsidRDefault="00B33542" w:rsidP="00B33542">
      <w:pPr>
        <w:pStyle w:val="subsection"/>
      </w:pPr>
      <w:r w:rsidRPr="005071A1">
        <w:tab/>
        <w:t>(2)</w:t>
      </w:r>
      <w:r w:rsidRPr="005071A1">
        <w:tab/>
        <w:t xml:space="preserve">The reference in </w:t>
      </w:r>
      <w:r w:rsidR="008B2950" w:rsidRPr="005071A1">
        <w:t>subsection (</w:t>
      </w:r>
      <w:r w:rsidRPr="005071A1">
        <w:t xml:space="preserve">1) to </w:t>
      </w:r>
      <w:r w:rsidR="008B2950" w:rsidRPr="005071A1">
        <w:t>subsection (</w:t>
      </w:r>
      <w:r w:rsidRPr="005071A1">
        <w:t>2) of section</w:t>
      </w:r>
      <w:r w:rsidR="008B2950" w:rsidRPr="005071A1">
        <w:t> </w:t>
      </w:r>
      <w:r w:rsidRPr="005071A1">
        <w:t xml:space="preserve">20 shall, for the purposes of the application of </w:t>
      </w:r>
      <w:r w:rsidR="008B2950" w:rsidRPr="005071A1">
        <w:t>subsection (</w:t>
      </w:r>
      <w:r w:rsidRPr="005071A1">
        <w:t>1) in relation to any time before 1</w:t>
      </w:r>
      <w:r w:rsidR="008B2950" w:rsidRPr="005071A1">
        <w:t> </w:t>
      </w:r>
      <w:r w:rsidRPr="005071A1">
        <w:t xml:space="preserve">November 1963, be read as a reference to the corresponding provision of the </w:t>
      </w:r>
      <w:r w:rsidRPr="005071A1">
        <w:rPr>
          <w:i/>
        </w:rPr>
        <w:t>Superannuation Act 1922</w:t>
      </w:r>
      <w:r w:rsidRPr="005071A1">
        <w:t>, or of that Act as amended, as in force at that time.</w:t>
      </w:r>
    </w:p>
    <w:p w14:paraId="7A51EF0D" w14:textId="77777777" w:rsidR="00B33542" w:rsidRPr="005071A1" w:rsidRDefault="00B33542" w:rsidP="00B33542">
      <w:pPr>
        <w:pStyle w:val="ActHead5"/>
      </w:pPr>
      <w:bookmarkStart w:id="33" w:name="_Toc185577415"/>
      <w:r w:rsidRPr="004510F0">
        <w:rPr>
          <w:rStyle w:val="CharSectno"/>
        </w:rPr>
        <w:lastRenderedPageBreak/>
        <w:t>22L</w:t>
      </w:r>
      <w:r w:rsidRPr="005071A1">
        <w:t xml:space="preserve">  Effect of certain elections in relation to elections to take up non</w:t>
      </w:r>
      <w:r w:rsidR="004510F0">
        <w:noBreakHyphen/>
      </w:r>
      <w:r w:rsidRPr="005071A1">
        <w:t>contributory units</w:t>
      </w:r>
      <w:bookmarkEnd w:id="33"/>
    </w:p>
    <w:p w14:paraId="344CB538" w14:textId="77777777" w:rsidR="00B33542" w:rsidRPr="005071A1" w:rsidRDefault="00B33542" w:rsidP="00B33542">
      <w:pPr>
        <w:pStyle w:val="subsection"/>
      </w:pPr>
      <w:r w:rsidRPr="005071A1">
        <w:tab/>
        <w:t>(1)</w:t>
      </w:r>
      <w:r w:rsidRPr="005071A1">
        <w:tab/>
        <w:t xml:space="preserve">Where, on or after the date of commencement of this section, an employee makes an election under </w:t>
      </w:r>
      <w:r w:rsidR="008B2950" w:rsidRPr="005071A1">
        <w:t>subsection (</w:t>
      </w:r>
      <w:r w:rsidRPr="005071A1">
        <w:t>6) of section</w:t>
      </w:r>
      <w:r w:rsidR="008B2950" w:rsidRPr="005071A1">
        <w:t> </w:t>
      </w:r>
      <w:r w:rsidRPr="005071A1">
        <w:t xml:space="preserve">20, </w:t>
      </w:r>
      <w:r w:rsidR="008B2950" w:rsidRPr="005071A1">
        <w:t>subsection (</w:t>
      </w:r>
      <w:r w:rsidRPr="005071A1">
        <w:t xml:space="preserve">1) or </w:t>
      </w:r>
      <w:r w:rsidR="008B2950" w:rsidRPr="005071A1">
        <w:t>subsection (</w:t>
      </w:r>
      <w:r w:rsidRPr="005071A1">
        <w:t>2) of section</w:t>
      </w:r>
      <w:r w:rsidR="008B2950" w:rsidRPr="005071A1">
        <w:t> </w:t>
      </w:r>
      <w:r w:rsidRPr="005071A1">
        <w:t xml:space="preserve">20A, </w:t>
      </w:r>
      <w:r w:rsidR="008B2950" w:rsidRPr="005071A1">
        <w:t>subsection (</w:t>
      </w:r>
      <w:r w:rsidRPr="005071A1">
        <w:t>2) of section</w:t>
      </w:r>
      <w:r w:rsidR="008B2950" w:rsidRPr="005071A1">
        <w:t> </w:t>
      </w:r>
      <w:r w:rsidRPr="005071A1">
        <w:t xml:space="preserve">20B, </w:t>
      </w:r>
      <w:r w:rsidR="008B2950" w:rsidRPr="005071A1">
        <w:t>subsection (</w:t>
      </w:r>
      <w:r w:rsidRPr="005071A1">
        <w:t>1) of section</w:t>
      </w:r>
      <w:r w:rsidR="008B2950" w:rsidRPr="005071A1">
        <w:t> </w:t>
      </w:r>
      <w:r w:rsidRPr="005071A1">
        <w:t xml:space="preserve">25 or </w:t>
      </w:r>
      <w:r w:rsidR="008B2950" w:rsidRPr="005071A1">
        <w:t>subsection (</w:t>
      </w:r>
      <w:r w:rsidRPr="005071A1">
        <w:t>1) of section</w:t>
      </w:r>
      <w:r w:rsidR="008B2950" w:rsidRPr="005071A1">
        <w:t> </w:t>
      </w:r>
      <w:r w:rsidRPr="005071A1">
        <w:t xml:space="preserve">31 of this Act or </w:t>
      </w:r>
      <w:r w:rsidR="008B2950" w:rsidRPr="005071A1">
        <w:t>subsection (</w:t>
      </w:r>
      <w:r w:rsidRPr="005071A1">
        <w:t>2) of section</w:t>
      </w:r>
      <w:r w:rsidR="008B2950" w:rsidRPr="005071A1">
        <w:t> </w:t>
      </w:r>
      <w:r w:rsidRPr="005071A1">
        <w:t xml:space="preserve">32 of the </w:t>
      </w:r>
      <w:r w:rsidRPr="005071A1">
        <w:rPr>
          <w:i/>
        </w:rPr>
        <w:t>Superannuation Act (No.</w:t>
      </w:r>
      <w:r w:rsidR="008B2950" w:rsidRPr="005071A1">
        <w:rPr>
          <w:i/>
        </w:rPr>
        <w:t> </w:t>
      </w:r>
      <w:r w:rsidRPr="005071A1">
        <w:rPr>
          <w:i/>
        </w:rPr>
        <w:t xml:space="preserve">2) 1969 </w:t>
      </w:r>
      <w:r w:rsidRPr="005071A1">
        <w:t xml:space="preserve">(in this section referred to as </w:t>
      </w:r>
      <w:r w:rsidRPr="005071A1">
        <w:rPr>
          <w:b/>
          <w:i/>
        </w:rPr>
        <w:t>the basic election</w:t>
      </w:r>
      <w:r w:rsidRPr="005071A1">
        <w:t>), then:</w:t>
      </w:r>
    </w:p>
    <w:p w14:paraId="7DD0E39B" w14:textId="77777777" w:rsidR="00B33542" w:rsidRPr="005071A1" w:rsidRDefault="00B33542" w:rsidP="00B33542">
      <w:pPr>
        <w:pStyle w:val="paragraph"/>
      </w:pPr>
      <w:r w:rsidRPr="005071A1">
        <w:tab/>
        <w:t>(a)</w:t>
      </w:r>
      <w:r w:rsidRPr="005071A1">
        <w:tab/>
        <w:t>if, on or after the date of the basic election, the employee makes an election under section</w:t>
      </w:r>
      <w:r w:rsidR="008B2950" w:rsidRPr="005071A1">
        <w:t> </w:t>
      </w:r>
      <w:r w:rsidRPr="005071A1">
        <w:t xml:space="preserve">22A of this Act that is expressed to have taken effect as from a date earlier than the date of the basic election—the basic election shall, subject to </w:t>
      </w:r>
      <w:r w:rsidR="008B2950" w:rsidRPr="005071A1">
        <w:t>subsection (</w:t>
      </w:r>
      <w:r w:rsidRPr="005071A1">
        <w:t xml:space="preserve">2) of this section, be deemed, for the purposes of the application of </w:t>
      </w:r>
      <w:r w:rsidR="008B2950" w:rsidRPr="005071A1">
        <w:t>subsections (</w:t>
      </w:r>
      <w:r w:rsidRPr="005071A1">
        <w:t>7), (8) and (10) of section</w:t>
      </w:r>
      <w:r w:rsidR="008B2950" w:rsidRPr="005071A1">
        <w:t> </w:t>
      </w:r>
      <w:r w:rsidRPr="005071A1">
        <w:t xml:space="preserve">31 of the </w:t>
      </w:r>
      <w:r w:rsidRPr="005071A1">
        <w:rPr>
          <w:i/>
        </w:rPr>
        <w:t>Superannuation Act (No.</w:t>
      </w:r>
      <w:r w:rsidR="008B2950" w:rsidRPr="005071A1">
        <w:rPr>
          <w:i/>
        </w:rPr>
        <w:t> </w:t>
      </w:r>
      <w:r w:rsidRPr="005071A1">
        <w:rPr>
          <w:i/>
        </w:rPr>
        <w:t xml:space="preserve">2) 1969 </w:t>
      </w:r>
      <w:r w:rsidRPr="005071A1">
        <w:t>in relation to the election under section</w:t>
      </w:r>
      <w:r w:rsidR="008B2950" w:rsidRPr="005071A1">
        <w:t> </w:t>
      </w:r>
      <w:r w:rsidRPr="005071A1">
        <w:t>22A of this Act, to have been made on the day immediately before the date as from which that last</w:t>
      </w:r>
      <w:r w:rsidR="004510F0">
        <w:noBreakHyphen/>
      </w:r>
      <w:r w:rsidRPr="005071A1">
        <w:t>mentioned election had effect; or</w:t>
      </w:r>
    </w:p>
    <w:p w14:paraId="51B8AF56" w14:textId="77777777" w:rsidR="00B33542" w:rsidRPr="005071A1" w:rsidRDefault="00B33542" w:rsidP="00B33542">
      <w:pPr>
        <w:pStyle w:val="paragraph"/>
      </w:pPr>
      <w:r w:rsidRPr="005071A1">
        <w:tab/>
        <w:t>(b)</w:t>
      </w:r>
      <w:r w:rsidRPr="005071A1">
        <w:tab/>
        <w:t>if, on or after the date of the basic election, the employee makes an election under section</w:t>
      </w:r>
      <w:r w:rsidR="008B2950" w:rsidRPr="005071A1">
        <w:t> </w:t>
      </w:r>
      <w:r w:rsidRPr="005071A1">
        <w:t xml:space="preserve">22B of this Act—the basic election shall, subject to </w:t>
      </w:r>
      <w:r w:rsidR="008B2950" w:rsidRPr="005071A1">
        <w:t>subsection (</w:t>
      </w:r>
      <w:r w:rsidRPr="005071A1">
        <w:t xml:space="preserve">2) of this section, be deemed, for the purposes of the application of </w:t>
      </w:r>
      <w:r w:rsidR="008B2950" w:rsidRPr="005071A1">
        <w:t>subsections (</w:t>
      </w:r>
      <w:r w:rsidRPr="005071A1">
        <w:t>3) and (4) of section</w:t>
      </w:r>
      <w:r w:rsidR="008B2950" w:rsidRPr="005071A1">
        <w:t> </w:t>
      </w:r>
      <w:r w:rsidRPr="005071A1">
        <w:t>22B and sections</w:t>
      </w:r>
      <w:r w:rsidR="008B2950" w:rsidRPr="005071A1">
        <w:t> </w:t>
      </w:r>
      <w:r w:rsidRPr="005071A1">
        <w:t>22D and 22E of this Act in relation to the election under section</w:t>
      </w:r>
      <w:r w:rsidR="008B2950" w:rsidRPr="005071A1">
        <w:t> </w:t>
      </w:r>
      <w:r w:rsidRPr="005071A1">
        <w:t>22B of this Act, to have been made on the day immediately before the date as from which that last</w:t>
      </w:r>
      <w:r w:rsidR="004510F0">
        <w:noBreakHyphen/>
      </w:r>
      <w:r w:rsidRPr="005071A1">
        <w:t>mentioned election had effect.</w:t>
      </w:r>
    </w:p>
    <w:p w14:paraId="352B642A" w14:textId="77777777" w:rsidR="00B33542" w:rsidRPr="005071A1" w:rsidRDefault="00B33542" w:rsidP="00B33542">
      <w:pPr>
        <w:pStyle w:val="subsection"/>
      </w:pPr>
      <w:r w:rsidRPr="005071A1">
        <w:tab/>
        <w:t>(2)</w:t>
      </w:r>
      <w:r w:rsidRPr="005071A1">
        <w:tab/>
      </w:r>
      <w:r w:rsidR="008B2950" w:rsidRPr="005071A1">
        <w:t>Subsection (</w:t>
      </w:r>
      <w:r w:rsidRPr="005071A1">
        <w:t>1) does not apply in relation to the basic election unless the obligation to contribute for the unit or units of pension to which the basic election related came into existence before the date as from which the election under section</w:t>
      </w:r>
      <w:r w:rsidR="008B2950" w:rsidRPr="005071A1">
        <w:t> </w:t>
      </w:r>
      <w:r w:rsidRPr="005071A1">
        <w:t>22A or section</w:t>
      </w:r>
      <w:r w:rsidR="008B2950" w:rsidRPr="005071A1">
        <w:t> </w:t>
      </w:r>
      <w:r w:rsidRPr="005071A1">
        <w:t>22B, as the case may be, had effect.</w:t>
      </w:r>
    </w:p>
    <w:p w14:paraId="5CAE64A4" w14:textId="77777777" w:rsidR="00B33542" w:rsidRPr="005071A1" w:rsidRDefault="00B33542" w:rsidP="00B33542">
      <w:pPr>
        <w:pStyle w:val="ActHead5"/>
      </w:pPr>
      <w:bookmarkStart w:id="34" w:name="_Toc185577416"/>
      <w:r w:rsidRPr="004510F0">
        <w:rPr>
          <w:rStyle w:val="CharSectno"/>
        </w:rPr>
        <w:lastRenderedPageBreak/>
        <w:t>22M</w:t>
      </w:r>
      <w:r w:rsidRPr="005071A1">
        <w:t xml:space="preserve">  Deferred contributions</w:t>
      </w:r>
      <w:bookmarkEnd w:id="34"/>
    </w:p>
    <w:p w14:paraId="2957C910" w14:textId="77777777" w:rsidR="00B33542" w:rsidRPr="005071A1" w:rsidRDefault="00B33542" w:rsidP="00B33542">
      <w:pPr>
        <w:pStyle w:val="subsection"/>
      </w:pPr>
      <w:r w:rsidRPr="005071A1">
        <w:tab/>
      </w:r>
      <w:r w:rsidRPr="005071A1">
        <w:tab/>
        <w:t>A reference in this Division to contributions payable by an employee to the Fund shall, if the employee has deferred payment of the whole or any part of those contributions under section</w:t>
      </w:r>
      <w:r w:rsidR="008B2950" w:rsidRPr="005071A1">
        <w:t> </w:t>
      </w:r>
      <w:r w:rsidRPr="005071A1">
        <w:t xml:space="preserve">73 of the </w:t>
      </w:r>
      <w:r w:rsidRPr="005071A1">
        <w:rPr>
          <w:i/>
        </w:rPr>
        <w:t xml:space="preserve">Superannuation Act 1959 </w:t>
      </w:r>
      <w:r w:rsidRPr="005071A1">
        <w:t>or section</w:t>
      </w:r>
      <w:r w:rsidR="008B2950" w:rsidRPr="005071A1">
        <w:t> </w:t>
      </w:r>
      <w:r w:rsidRPr="005071A1">
        <w:t xml:space="preserve">33 of the </w:t>
      </w:r>
      <w:r w:rsidRPr="005071A1">
        <w:rPr>
          <w:i/>
        </w:rPr>
        <w:t>Superannuation Act 1963</w:t>
      </w:r>
      <w:r w:rsidRPr="005071A1">
        <w:t>, be read as including a reference to the contributions that, but for the deferment, would be payable by him to the Fund.</w:t>
      </w:r>
    </w:p>
    <w:p w14:paraId="27C92A5A" w14:textId="77777777" w:rsidR="00B33542" w:rsidRPr="005071A1" w:rsidRDefault="004510F0" w:rsidP="002477D1">
      <w:pPr>
        <w:pStyle w:val="ActHead3"/>
        <w:pageBreakBefore/>
      </w:pPr>
      <w:bookmarkStart w:id="35" w:name="_Toc185577417"/>
      <w:r w:rsidRPr="004510F0">
        <w:rPr>
          <w:rStyle w:val="CharDivNo"/>
        </w:rPr>
        <w:lastRenderedPageBreak/>
        <w:t>Division 3</w:t>
      </w:r>
      <w:r w:rsidR="00B33542" w:rsidRPr="005071A1">
        <w:t>—</w:t>
      </w:r>
      <w:r w:rsidR="00B33542" w:rsidRPr="004510F0">
        <w:rPr>
          <w:rStyle w:val="CharDivText"/>
        </w:rPr>
        <w:t>Scale of contributions by employees</w:t>
      </w:r>
      <w:bookmarkEnd w:id="35"/>
    </w:p>
    <w:p w14:paraId="6B6A99BB" w14:textId="77777777" w:rsidR="00B33542" w:rsidRPr="005071A1" w:rsidRDefault="00B33542" w:rsidP="00B33542">
      <w:pPr>
        <w:pStyle w:val="ActHead5"/>
      </w:pPr>
      <w:bookmarkStart w:id="36" w:name="_Toc185577418"/>
      <w:r w:rsidRPr="004510F0">
        <w:rPr>
          <w:rStyle w:val="CharSectno"/>
        </w:rPr>
        <w:t>23</w:t>
      </w:r>
      <w:r w:rsidRPr="005071A1">
        <w:t xml:space="preserve">  Contributions by employees</w:t>
      </w:r>
      <w:bookmarkEnd w:id="36"/>
    </w:p>
    <w:p w14:paraId="73988F5F" w14:textId="77777777" w:rsidR="00B33542" w:rsidRPr="005071A1" w:rsidRDefault="00B33542" w:rsidP="00B33542">
      <w:pPr>
        <w:pStyle w:val="subsection"/>
      </w:pPr>
      <w:r w:rsidRPr="005071A1">
        <w:tab/>
        <w:t>(1)</w:t>
      </w:r>
      <w:r w:rsidRPr="005071A1">
        <w:tab/>
        <w:t>Subject to this Act, the amount of contribution to be paid by an employee is an amount ascertained in accordance with the tables of contributions set out in the Third Schedule reduced by an amount, if any, ascertained in accordance with the tables of reductions of contributions set out in the Sixth Schedule.</w:t>
      </w:r>
    </w:p>
    <w:p w14:paraId="3EC113D7" w14:textId="77777777" w:rsidR="00B33542" w:rsidRPr="005071A1" w:rsidRDefault="00B33542" w:rsidP="00B33542">
      <w:pPr>
        <w:pStyle w:val="subsection"/>
      </w:pPr>
      <w:r w:rsidRPr="005071A1">
        <w:tab/>
        <w:t>(2)</w:t>
      </w:r>
      <w:r w:rsidRPr="005071A1">
        <w:tab/>
        <w:t>In the case of a male employee whose obligation to contribute to the Fund comes into existence on or after 1</w:t>
      </w:r>
      <w:r w:rsidR="008B2950" w:rsidRPr="005071A1">
        <w:t> </w:t>
      </w:r>
      <w:r w:rsidRPr="005071A1">
        <w:t>July 1962, the rate of contribution in respect of two of his initial units of pension is the rate appropriate to his age next birthday set out in Table XIV or Table XVII in the Third Schedule, as the case may be, increased by 5 cents in respect of each of those two units.</w:t>
      </w:r>
    </w:p>
    <w:p w14:paraId="10230157" w14:textId="77777777" w:rsidR="00B33542" w:rsidRPr="005071A1" w:rsidRDefault="00B33542" w:rsidP="00B33542">
      <w:pPr>
        <w:pStyle w:val="subsection"/>
      </w:pPr>
      <w:r w:rsidRPr="005071A1">
        <w:tab/>
        <w:t>(3)</w:t>
      </w:r>
      <w:r w:rsidRPr="005071A1">
        <w:tab/>
        <w:t>The amount of contribution to be paid by an employee who has elected that section</w:t>
      </w:r>
      <w:r w:rsidR="008B2950" w:rsidRPr="005071A1">
        <w:t> </w:t>
      </w:r>
      <w:r w:rsidRPr="005071A1">
        <w:t>26 shall not apply to him is:</w:t>
      </w:r>
    </w:p>
    <w:p w14:paraId="29F71F1A" w14:textId="77777777" w:rsidR="00B33542" w:rsidRPr="005071A1" w:rsidRDefault="00B33542" w:rsidP="00B33542">
      <w:pPr>
        <w:pStyle w:val="paragraph"/>
      </w:pPr>
      <w:r w:rsidRPr="005071A1">
        <w:tab/>
        <w:t>(a)</w:t>
      </w:r>
      <w:r w:rsidRPr="005071A1">
        <w:tab/>
        <w:t>in respect of:</w:t>
      </w:r>
    </w:p>
    <w:p w14:paraId="087100A4" w14:textId="77777777" w:rsidR="00B33542" w:rsidRPr="005071A1" w:rsidRDefault="00B33542" w:rsidP="00B33542">
      <w:pPr>
        <w:pStyle w:val="paragraphsub"/>
      </w:pPr>
      <w:r w:rsidRPr="005071A1">
        <w:tab/>
        <w:t>(i)</w:t>
      </w:r>
      <w:r w:rsidRPr="005071A1">
        <w:tab/>
        <w:t>units of pension in respect of which the obligation to contribute came into existence on or after 14</w:t>
      </w:r>
      <w:r w:rsidR="008B2950" w:rsidRPr="005071A1">
        <w:t> </w:t>
      </w:r>
      <w:r w:rsidRPr="005071A1">
        <w:t>December 1959 and before 1</w:t>
      </w:r>
      <w:r w:rsidR="008B2950" w:rsidRPr="005071A1">
        <w:t> </w:t>
      </w:r>
      <w:r w:rsidRPr="005071A1">
        <w:t>July 1962; or</w:t>
      </w:r>
    </w:p>
    <w:p w14:paraId="72323F09" w14:textId="77777777" w:rsidR="00B33542" w:rsidRPr="005071A1" w:rsidRDefault="00B33542" w:rsidP="00B33542">
      <w:pPr>
        <w:pStyle w:val="paragraphsub"/>
        <w:keepNext/>
      </w:pPr>
      <w:r w:rsidRPr="005071A1">
        <w:tab/>
        <w:t>(ii)</w:t>
      </w:r>
      <w:r w:rsidRPr="005071A1">
        <w:tab/>
        <w:t>reserve units of pension for which he commenced to contribute on or after 14</w:t>
      </w:r>
      <w:r w:rsidR="008B2950" w:rsidRPr="005071A1">
        <w:t> </w:t>
      </w:r>
      <w:r w:rsidRPr="005071A1">
        <w:t>December 1959, and before 1</w:t>
      </w:r>
      <w:r w:rsidR="008B2950" w:rsidRPr="005071A1">
        <w:t> </w:t>
      </w:r>
      <w:r w:rsidRPr="005071A1">
        <w:t>July 1962;</w:t>
      </w:r>
    </w:p>
    <w:p w14:paraId="0CA92399" w14:textId="77777777" w:rsidR="00B33542" w:rsidRPr="005071A1" w:rsidRDefault="00B33542" w:rsidP="00B33542">
      <w:pPr>
        <w:pStyle w:val="paragraph"/>
      </w:pPr>
      <w:r w:rsidRPr="005071A1">
        <w:tab/>
      </w:r>
      <w:r w:rsidRPr="005071A1">
        <w:tab/>
        <w:t>an amount ascertained in accordance with the rates of contribution specified in Table I in the Fourth Schedule reduced by an amount ascertained in accordance with the reductions in contributions specified in Table XVII in the Sixth Schedule; and</w:t>
      </w:r>
    </w:p>
    <w:p w14:paraId="4FC76AA4" w14:textId="77777777" w:rsidR="00B33542" w:rsidRPr="005071A1" w:rsidRDefault="00B33542" w:rsidP="00B33542">
      <w:pPr>
        <w:pStyle w:val="paragraph"/>
      </w:pPr>
      <w:r w:rsidRPr="005071A1">
        <w:tab/>
        <w:t>(b)</w:t>
      </w:r>
      <w:r w:rsidRPr="005071A1">
        <w:tab/>
        <w:t>in respect of:</w:t>
      </w:r>
    </w:p>
    <w:p w14:paraId="3052E90D" w14:textId="77777777" w:rsidR="00B33542" w:rsidRPr="005071A1" w:rsidRDefault="00B33542" w:rsidP="00B33542">
      <w:pPr>
        <w:pStyle w:val="paragraphsub"/>
      </w:pPr>
      <w:r w:rsidRPr="005071A1">
        <w:lastRenderedPageBreak/>
        <w:tab/>
        <w:t>(i)</w:t>
      </w:r>
      <w:r w:rsidRPr="005071A1">
        <w:tab/>
        <w:t>units of pension in respect of which the obligation to contribute comes into existence on or after 1</w:t>
      </w:r>
      <w:r w:rsidR="008B2950" w:rsidRPr="005071A1">
        <w:t> </w:t>
      </w:r>
      <w:r w:rsidRPr="005071A1">
        <w:t>July 1962; or</w:t>
      </w:r>
    </w:p>
    <w:p w14:paraId="77C35888" w14:textId="77777777" w:rsidR="00B33542" w:rsidRPr="005071A1" w:rsidRDefault="00B33542" w:rsidP="00B33542">
      <w:pPr>
        <w:pStyle w:val="paragraphsub"/>
        <w:keepNext/>
      </w:pPr>
      <w:r w:rsidRPr="005071A1">
        <w:tab/>
        <w:t>(ii)</w:t>
      </w:r>
      <w:r w:rsidRPr="005071A1">
        <w:tab/>
        <w:t>reserve units of pension for which he commences to contribute on or after that date;</w:t>
      </w:r>
    </w:p>
    <w:p w14:paraId="1C285E2F" w14:textId="77777777" w:rsidR="00B33542" w:rsidRPr="005071A1" w:rsidRDefault="00B33542" w:rsidP="00B33542">
      <w:pPr>
        <w:pStyle w:val="paragraph"/>
      </w:pPr>
      <w:r w:rsidRPr="005071A1">
        <w:tab/>
      </w:r>
      <w:r w:rsidRPr="005071A1">
        <w:tab/>
        <w:t>an amount ascertained in accordance with the rates of contribution specified in Table II in the Fourth Schedule to this Act.</w:t>
      </w:r>
    </w:p>
    <w:p w14:paraId="53B1DF74" w14:textId="77777777" w:rsidR="00B33542" w:rsidRPr="005071A1" w:rsidRDefault="00B33542" w:rsidP="00B33542">
      <w:pPr>
        <w:pStyle w:val="ActHead5"/>
      </w:pPr>
      <w:bookmarkStart w:id="37" w:name="_Toc185577419"/>
      <w:r w:rsidRPr="004510F0">
        <w:rPr>
          <w:rStyle w:val="CharSectno"/>
        </w:rPr>
        <w:t>24</w:t>
      </w:r>
      <w:r w:rsidRPr="005071A1">
        <w:t xml:space="preserve">  Election to contribute for full pension at 60 years of age</w:t>
      </w:r>
      <w:bookmarkEnd w:id="37"/>
    </w:p>
    <w:p w14:paraId="69D64FB0" w14:textId="77777777" w:rsidR="00B33542" w:rsidRPr="005071A1" w:rsidRDefault="00B33542" w:rsidP="00B33542">
      <w:pPr>
        <w:pStyle w:val="subsection"/>
      </w:pPr>
      <w:r w:rsidRPr="005071A1">
        <w:tab/>
        <w:t>(1)</w:t>
      </w:r>
      <w:r w:rsidRPr="005071A1">
        <w:tab/>
        <w:t>A contributor who is less than sixty years of age may, at any time, elect to contribute at such rates based on a retiring age of sixty years as are applicable.</w:t>
      </w:r>
    </w:p>
    <w:p w14:paraId="5DBBF804" w14:textId="77777777" w:rsidR="00B33542" w:rsidRPr="005071A1" w:rsidRDefault="00B33542" w:rsidP="00B33542">
      <w:pPr>
        <w:pStyle w:val="subsection"/>
      </w:pPr>
      <w:r w:rsidRPr="005071A1">
        <w:tab/>
        <w:t>(2)</w:t>
      </w:r>
      <w:r w:rsidRPr="005071A1">
        <w:tab/>
        <w:t xml:space="preserve">Subject to </w:t>
      </w:r>
      <w:r w:rsidR="008B2950" w:rsidRPr="005071A1">
        <w:t>subsection (</w:t>
      </w:r>
      <w:r w:rsidRPr="005071A1">
        <w:t>2A), a person is not entitled to make an election under this section after 12</w:t>
      </w:r>
      <w:r w:rsidR="008B2950" w:rsidRPr="005071A1">
        <w:t> </w:t>
      </w:r>
      <w:r w:rsidRPr="005071A1">
        <w:t>February 1976.</w:t>
      </w:r>
    </w:p>
    <w:p w14:paraId="0F268C92" w14:textId="77777777" w:rsidR="00B33542" w:rsidRPr="005071A1" w:rsidRDefault="00B33542" w:rsidP="00B33542">
      <w:pPr>
        <w:pStyle w:val="subsection"/>
      </w:pPr>
      <w:r w:rsidRPr="005071A1">
        <w:tab/>
        <w:t>(2A)</w:t>
      </w:r>
      <w:r w:rsidRPr="005071A1">
        <w:tab/>
        <w:t>Where, on or after 13</w:t>
      </w:r>
      <w:r w:rsidR="008B2950" w:rsidRPr="005071A1">
        <w:t> </w:t>
      </w:r>
      <w:r w:rsidRPr="005071A1">
        <w:t>February 1976 but before 30</w:t>
      </w:r>
      <w:r w:rsidR="008B2950" w:rsidRPr="005071A1">
        <w:t> </w:t>
      </w:r>
      <w:r w:rsidRPr="005071A1">
        <w:t>April 1976, a person who is a contributor makes an election under this section and the election arises out of or is otherwise related to a communication made to the Board by the person before 13</w:t>
      </w:r>
      <w:r w:rsidR="008B2950" w:rsidRPr="005071A1">
        <w:t> </w:t>
      </w:r>
      <w:r w:rsidRPr="005071A1">
        <w:t>February 1976, the Board (or, on or after 1</w:t>
      </w:r>
      <w:r w:rsidR="008B2950" w:rsidRPr="005071A1">
        <w:t> </w:t>
      </w:r>
      <w:r w:rsidRPr="005071A1">
        <w:t xml:space="preserve">July 1976, the Commissioner for Superannuation) may direct in writing that the election shall be treated, for the purposes of </w:t>
      </w:r>
      <w:r w:rsidR="008B2950" w:rsidRPr="005071A1">
        <w:t>subsection (</w:t>
      </w:r>
      <w:r w:rsidRPr="005071A1">
        <w:t>2), as having been made before 13</w:t>
      </w:r>
      <w:r w:rsidR="008B2950" w:rsidRPr="005071A1">
        <w:t> </w:t>
      </w:r>
      <w:r w:rsidRPr="005071A1">
        <w:t>February 1976, and the direction has effect accordingly.</w:t>
      </w:r>
    </w:p>
    <w:p w14:paraId="54EB6BB8" w14:textId="77777777" w:rsidR="00B33542" w:rsidRPr="005071A1" w:rsidRDefault="00B33542" w:rsidP="00B33542">
      <w:pPr>
        <w:pStyle w:val="subsection"/>
      </w:pPr>
      <w:r w:rsidRPr="005071A1">
        <w:tab/>
        <w:t>(3)</w:t>
      </w:r>
      <w:r w:rsidRPr="005071A1">
        <w:tab/>
        <w:t>Any contributor who makes an election in accordance with this section shall be entitled, upon retirement on attaining the age of sixty years, to receive full pension according to the number of units for which he was contributing at the time of his retirement.</w:t>
      </w:r>
    </w:p>
    <w:p w14:paraId="669051E6" w14:textId="77777777" w:rsidR="00B33542" w:rsidRPr="005071A1" w:rsidRDefault="00B33542" w:rsidP="00B33542">
      <w:pPr>
        <w:pStyle w:val="subsection"/>
      </w:pPr>
      <w:r w:rsidRPr="005071A1">
        <w:lastRenderedPageBreak/>
        <w:tab/>
        <w:t>(4)</w:t>
      </w:r>
      <w:r w:rsidRPr="005071A1">
        <w:tab/>
        <w:t>For the purposes of this Act the maximum age for retirement of a contributor who makes an election under this section shall be sixty years.</w:t>
      </w:r>
    </w:p>
    <w:p w14:paraId="49A2DF83" w14:textId="77777777" w:rsidR="00B33542" w:rsidRPr="005071A1" w:rsidRDefault="00B33542" w:rsidP="00B33542">
      <w:pPr>
        <w:pStyle w:val="subsection"/>
      </w:pPr>
      <w:r w:rsidRPr="005071A1">
        <w:tab/>
        <w:t>(5)</w:t>
      </w:r>
      <w:r w:rsidRPr="005071A1">
        <w:tab/>
        <w:t>Where a contributor who has made an election under this section does not retire upon attaining the age of sixty years, he shall not be required to make contributions after attaining that age and shall not be entitled to receive pension until retirement.</w:t>
      </w:r>
    </w:p>
    <w:p w14:paraId="08658134" w14:textId="77777777" w:rsidR="00B33542" w:rsidRPr="005071A1" w:rsidRDefault="00B33542" w:rsidP="00B33542">
      <w:pPr>
        <w:pStyle w:val="subsection"/>
      </w:pPr>
      <w:r w:rsidRPr="005071A1">
        <w:tab/>
        <w:t>(6)</w:t>
      </w:r>
      <w:r w:rsidRPr="005071A1">
        <w:tab/>
        <w:t>The Board shall make such adjustment of contributions as, in its opinion, is necessary by reason of the election of a contributor to contribute at rates based on a retiring age of sixty years.</w:t>
      </w:r>
    </w:p>
    <w:p w14:paraId="391A6ED9" w14:textId="77777777" w:rsidR="00B33542" w:rsidRPr="005071A1" w:rsidRDefault="00B33542" w:rsidP="00B33542">
      <w:pPr>
        <w:pStyle w:val="ActHead5"/>
      </w:pPr>
      <w:bookmarkStart w:id="38" w:name="_Toc185577420"/>
      <w:r w:rsidRPr="004510F0">
        <w:rPr>
          <w:rStyle w:val="CharSectno"/>
        </w:rPr>
        <w:t>25</w:t>
      </w:r>
      <w:r w:rsidRPr="005071A1">
        <w:t xml:space="preserve">  Election to contribute for additional units at 65 years of age</w:t>
      </w:r>
      <w:bookmarkEnd w:id="38"/>
    </w:p>
    <w:p w14:paraId="461B5532" w14:textId="77777777" w:rsidR="00B33542" w:rsidRPr="005071A1" w:rsidRDefault="00B33542" w:rsidP="00B33542">
      <w:pPr>
        <w:pStyle w:val="subsection"/>
      </w:pPr>
      <w:r w:rsidRPr="005071A1">
        <w:tab/>
        <w:t>(1)</w:t>
      </w:r>
      <w:r w:rsidRPr="005071A1">
        <w:tab/>
        <w:t>Subject to section</w:t>
      </w:r>
      <w:r w:rsidR="008B2950" w:rsidRPr="005071A1">
        <w:t> </w:t>
      </w:r>
      <w:r w:rsidRPr="005071A1">
        <w:t>22H, a contributor who has made an election in accordance with the last preceding section and becomes eligible or is required to contribute for an additional unit or units of pension in pursuance of this Act may, within the prescribed time, elect to contribute for that additional unit, or those additional units, at the appropriate rate based on a retiring age of sixty</w:t>
      </w:r>
      <w:r w:rsidR="004510F0">
        <w:noBreakHyphen/>
      </w:r>
      <w:r w:rsidRPr="005071A1">
        <w:t>five years.</w:t>
      </w:r>
    </w:p>
    <w:p w14:paraId="21A03B41" w14:textId="77777777" w:rsidR="00B33542" w:rsidRPr="005071A1" w:rsidRDefault="00B33542" w:rsidP="00B33542">
      <w:pPr>
        <w:pStyle w:val="subsection"/>
        <w:keepNext/>
      </w:pPr>
      <w:r w:rsidRPr="005071A1">
        <w:tab/>
        <w:t>(2)</w:t>
      </w:r>
      <w:r w:rsidRPr="005071A1">
        <w:tab/>
        <w:t>A contributor who:</w:t>
      </w:r>
    </w:p>
    <w:p w14:paraId="1B0DE928" w14:textId="77777777" w:rsidR="00B33542" w:rsidRPr="005071A1" w:rsidRDefault="00B33542" w:rsidP="00B33542">
      <w:pPr>
        <w:pStyle w:val="paragraph"/>
      </w:pPr>
      <w:r w:rsidRPr="005071A1">
        <w:tab/>
        <w:t>(a)</w:t>
      </w:r>
      <w:r w:rsidRPr="005071A1">
        <w:tab/>
        <w:t>has made an election to contribute at rates based on a retiring age of sixty years;</w:t>
      </w:r>
    </w:p>
    <w:p w14:paraId="7FB67460" w14:textId="77777777" w:rsidR="00B33542" w:rsidRPr="005071A1" w:rsidRDefault="00B33542" w:rsidP="00B33542">
      <w:pPr>
        <w:pStyle w:val="paragraph"/>
      </w:pPr>
      <w:r w:rsidRPr="005071A1">
        <w:tab/>
        <w:t>(b)</w:t>
      </w:r>
      <w:r w:rsidRPr="005071A1">
        <w:tab/>
        <w:t>has attained that age but has not attained the age of sixty</w:t>
      </w:r>
      <w:r w:rsidR="004510F0">
        <w:noBreakHyphen/>
      </w:r>
      <w:r w:rsidRPr="005071A1">
        <w:t>five years;</w:t>
      </w:r>
    </w:p>
    <w:p w14:paraId="159B86B5" w14:textId="77777777" w:rsidR="00B33542" w:rsidRPr="005071A1" w:rsidRDefault="00B33542" w:rsidP="00B33542">
      <w:pPr>
        <w:pStyle w:val="paragraph"/>
        <w:keepNext/>
      </w:pPr>
      <w:r w:rsidRPr="005071A1">
        <w:tab/>
        <w:t>(c)</w:t>
      </w:r>
      <w:r w:rsidRPr="005071A1">
        <w:tab/>
        <w:t xml:space="preserve">but for </w:t>
      </w:r>
      <w:r w:rsidR="008B2950" w:rsidRPr="005071A1">
        <w:t>subsection (</w:t>
      </w:r>
      <w:r w:rsidRPr="005071A1">
        <w:t>4) of section</w:t>
      </w:r>
      <w:r w:rsidR="008B2950" w:rsidRPr="005071A1">
        <w:t> </w:t>
      </w:r>
      <w:r w:rsidRPr="005071A1">
        <w:t>20, would have been eligible or required to contribute for an additional unit of pension;</w:t>
      </w:r>
    </w:p>
    <w:p w14:paraId="0A8B7CBD" w14:textId="77777777" w:rsidR="00B33542" w:rsidRPr="005071A1" w:rsidRDefault="00B33542" w:rsidP="00B33542">
      <w:pPr>
        <w:pStyle w:val="subsection2"/>
      </w:pPr>
      <w:r w:rsidRPr="005071A1">
        <w:t>may, within the prescribed time, elect to contribute for that additional unit at the appropriate rate based on a retiring age of sixty</w:t>
      </w:r>
      <w:r w:rsidR="004510F0">
        <w:noBreakHyphen/>
      </w:r>
      <w:r w:rsidRPr="005071A1">
        <w:t>five years.</w:t>
      </w:r>
    </w:p>
    <w:p w14:paraId="243D0DDE" w14:textId="77777777" w:rsidR="00B33542" w:rsidRPr="005071A1" w:rsidRDefault="00B33542" w:rsidP="00B33542">
      <w:pPr>
        <w:pStyle w:val="subsection"/>
      </w:pPr>
      <w:r w:rsidRPr="005071A1">
        <w:tab/>
        <w:t>(3)</w:t>
      </w:r>
      <w:r w:rsidRPr="005071A1">
        <w:tab/>
        <w:t xml:space="preserve">Where a contributor has made an election under </w:t>
      </w:r>
      <w:r w:rsidR="008B2950" w:rsidRPr="005071A1">
        <w:t>subsection (</w:t>
      </w:r>
      <w:r w:rsidRPr="005071A1">
        <w:t>1) or (2):</w:t>
      </w:r>
    </w:p>
    <w:p w14:paraId="5549C1C2" w14:textId="77777777" w:rsidR="00B33542" w:rsidRPr="005071A1" w:rsidRDefault="00B33542" w:rsidP="00B33542">
      <w:pPr>
        <w:pStyle w:val="paragraph"/>
      </w:pPr>
      <w:r w:rsidRPr="005071A1">
        <w:lastRenderedPageBreak/>
        <w:tab/>
        <w:t>(a)</w:t>
      </w:r>
      <w:r w:rsidRPr="005071A1">
        <w:tab/>
        <w:t>any further additional unit of pension for which he commences to contribute after that election shall be at the appropriate rate based on a retiring age of sixty</w:t>
      </w:r>
      <w:r w:rsidR="004510F0">
        <w:noBreakHyphen/>
      </w:r>
      <w:r w:rsidRPr="005071A1">
        <w:t>five years; and</w:t>
      </w:r>
    </w:p>
    <w:p w14:paraId="099B0D97" w14:textId="77777777" w:rsidR="00B33542" w:rsidRPr="005071A1" w:rsidRDefault="00B33542" w:rsidP="00B33542">
      <w:pPr>
        <w:pStyle w:val="paragraph"/>
      </w:pPr>
      <w:r w:rsidRPr="005071A1">
        <w:tab/>
        <w:t>(b)</w:t>
      </w:r>
      <w:r w:rsidRPr="005071A1">
        <w:tab/>
        <w:t>the maximum age for retirement of that contributor shall, in respect of all the additional units of pension in relation to which this section applies, be sixty</w:t>
      </w:r>
      <w:r w:rsidR="004510F0">
        <w:noBreakHyphen/>
      </w:r>
      <w:r w:rsidRPr="005071A1">
        <w:t>five years.</w:t>
      </w:r>
    </w:p>
    <w:p w14:paraId="1C6512BB" w14:textId="77777777" w:rsidR="00B33542" w:rsidRPr="005071A1" w:rsidRDefault="00B33542" w:rsidP="00B33542">
      <w:pPr>
        <w:pStyle w:val="subsection"/>
      </w:pPr>
      <w:r w:rsidRPr="005071A1">
        <w:tab/>
        <w:t>(4)</w:t>
      </w:r>
      <w:r w:rsidRPr="005071A1">
        <w:tab/>
        <w:t xml:space="preserve">Any additional contribution payable by reason of an election under </w:t>
      </w:r>
      <w:r w:rsidR="008B2950" w:rsidRPr="005071A1">
        <w:t>subsection (</w:t>
      </w:r>
      <w:r w:rsidRPr="005071A1">
        <w:t>2) is payable as from the date of the election.</w:t>
      </w:r>
    </w:p>
    <w:p w14:paraId="6C8C3E3D" w14:textId="77777777" w:rsidR="00B33542" w:rsidRPr="005071A1" w:rsidRDefault="00B33542" w:rsidP="00B33542">
      <w:pPr>
        <w:pStyle w:val="subsection"/>
      </w:pPr>
      <w:r w:rsidRPr="005071A1">
        <w:tab/>
        <w:t>(5)</w:t>
      </w:r>
      <w:r w:rsidRPr="005071A1">
        <w:tab/>
        <w:t>A person is not entitled to make an election under this section after 30</w:t>
      </w:r>
      <w:r w:rsidR="008B2950" w:rsidRPr="005071A1">
        <w:t> </w:t>
      </w:r>
      <w:r w:rsidRPr="005071A1">
        <w:t>June 1976.</w:t>
      </w:r>
    </w:p>
    <w:p w14:paraId="5B3C8DBD" w14:textId="77777777" w:rsidR="00B33542" w:rsidRPr="005071A1" w:rsidRDefault="00B33542" w:rsidP="002477D1">
      <w:pPr>
        <w:pStyle w:val="ActHead3"/>
        <w:pageBreakBefore/>
      </w:pPr>
      <w:bookmarkStart w:id="39" w:name="_Toc185577421"/>
      <w:r w:rsidRPr="004510F0">
        <w:rPr>
          <w:rStyle w:val="CharDivNo"/>
        </w:rPr>
        <w:lastRenderedPageBreak/>
        <w:t>Division</w:t>
      </w:r>
      <w:r w:rsidR="008B2950" w:rsidRPr="004510F0">
        <w:rPr>
          <w:rStyle w:val="CharDivNo"/>
        </w:rPr>
        <w:t> </w:t>
      </w:r>
      <w:r w:rsidRPr="004510F0">
        <w:rPr>
          <w:rStyle w:val="CharDivNo"/>
        </w:rPr>
        <w:t>4</w:t>
      </w:r>
      <w:r w:rsidRPr="005071A1">
        <w:t>—</w:t>
      </w:r>
      <w:r w:rsidRPr="004510F0">
        <w:rPr>
          <w:rStyle w:val="CharDivText"/>
        </w:rPr>
        <w:t>Contributions for additional benefits for widows</w:t>
      </w:r>
      <w:bookmarkEnd w:id="39"/>
    </w:p>
    <w:p w14:paraId="3D1674EF" w14:textId="77777777" w:rsidR="00B33542" w:rsidRPr="005071A1" w:rsidRDefault="00B33542" w:rsidP="00B33542">
      <w:pPr>
        <w:pStyle w:val="ActHead5"/>
      </w:pPr>
      <w:bookmarkStart w:id="40" w:name="_Toc185577422"/>
      <w:r w:rsidRPr="004510F0">
        <w:rPr>
          <w:rStyle w:val="CharSectno"/>
        </w:rPr>
        <w:t>26</w:t>
      </w:r>
      <w:r w:rsidRPr="005071A1">
        <w:t xml:space="preserve">  Additional contributions by existing contributors</w:t>
      </w:r>
      <w:bookmarkEnd w:id="40"/>
    </w:p>
    <w:p w14:paraId="2190D688" w14:textId="77777777" w:rsidR="00B33542" w:rsidRPr="005071A1" w:rsidRDefault="00B33542" w:rsidP="00B33542">
      <w:pPr>
        <w:pStyle w:val="subsection"/>
      </w:pPr>
      <w:r w:rsidRPr="005071A1">
        <w:tab/>
        <w:t>(1)</w:t>
      </w:r>
      <w:r w:rsidRPr="005071A1">
        <w:tab/>
        <w:t>In this section:</w:t>
      </w:r>
    </w:p>
    <w:p w14:paraId="4C82F3DA" w14:textId="77777777" w:rsidR="00B33542" w:rsidRPr="005071A1" w:rsidRDefault="00B33542" w:rsidP="00B33542">
      <w:pPr>
        <w:pStyle w:val="paragraph"/>
      </w:pPr>
      <w:r w:rsidRPr="005071A1">
        <w:tab/>
        <w:t>(a)</w:t>
      </w:r>
      <w:r w:rsidRPr="005071A1">
        <w:tab/>
        <w:t>references to a contributor are references to a male contributor whose obligation to contribute to the Fund came into existence before 14</w:t>
      </w:r>
      <w:r w:rsidR="008B2950" w:rsidRPr="005071A1">
        <w:t> </w:t>
      </w:r>
      <w:r w:rsidRPr="005071A1">
        <w:t>December 1959; and</w:t>
      </w:r>
    </w:p>
    <w:p w14:paraId="56D1C0DE" w14:textId="77777777" w:rsidR="00B33542" w:rsidRPr="005071A1" w:rsidRDefault="00B33542" w:rsidP="00B33542">
      <w:pPr>
        <w:pStyle w:val="paragraph"/>
      </w:pPr>
      <w:r w:rsidRPr="005071A1">
        <w:tab/>
        <w:t>(b)</w:t>
      </w:r>
      <w:r w:rsidRPr="005071A1">
        <w:tab/>
        <w:t>references to a unit of pension include references to a reserve unit of pension and a fraction of a unit of pension.</w:t>
      </w:r>
    </w:p>
    <w:p w14:paraId="47E0FA36" w14:textId="77777777" w:rsidR="00B33542" w:rsidRPr="005071A1" w:rsidRDefault="00B33542" w:rsidP="00B33542">
      <w:pPr>
        <w:pStyle w:val="subsection"/>
      </w:pPr>
      <w:r w:rsidRPr="005071A1">
        <w:tab/>
        <w:t>(2)</w:t>
      </w:r>
      <w:r w:rsidRPr="005071A1">
        <w:tab/>
        <w:t>A male contributor who, before 14</w:t>
      </w:r>
      <w:r w:rsidR="008B2950" w:rsidRPr="005071A1">
        <w:t> </w:t>
      </w:r>
      <w:r w:rsidRPr="005071A1">
        <w:t xml:space="preserve">December 1959, was credited with one or more fully paid units of pension shall, for the purposes of </w:t>
      </w:r>
      <w:r w:rsidR="008B2950" w:rsidRPr="005071A1">
        <w:t>paragraph (</w:t>
      </w:r>
      <w:r w:rsidRPr="005071A1">
        <w:t xml:space="preserve">a) of </w:t>
      </w:r>
      <w:r w:rsidR="008B2950" w:rsidRPr="005071A1">
        <w:t>subsection (</w:t>
      </w:r>
      <w:r w:rsidRPr="005071A1">
        <w:t>1), be deemed to be a male contributor whose obligation to contribute to the Fund came into existence before that date.</w:t>
      </w:r>
    </w:p>
    <w:p w14:paraId="1CEBC33C" w14:textId="77777777" w:rsidR="00B33542" w:rsidRPr="005071A1" w:rsidRDefault="00B33542" w:rsidP="00B33542">
      <w:pPr>
        <w:pStyle w:val="subsection"/>
      </w:pPr>
      <w:r w:rsidRPr="005071A1">
        <w:tab/>
        <w:t>(3)</w:t>
      </w:r>
      <w:r w:rsidRPr="005071A1">
        <w:tab/>
        <w:t>A contributor may, not later than 13</w:t>
      </w:r>
      <w:r w:rsidR="008B2950" w:rsidRPr="005071A1">
        <w:t> </w:t>
      </w:r>
      <w:r w:rsidRPr="005071A1">
        <w:t>June 1960, elect that this section shall not apply to him.</w:t>
      </w:r>
    </w:p>
    <w:p w14:paraId="1BAD9191" w14:textId="77777777" w:rsidR="00B33542" w:rsidRPr="005071A1" w:rsidRDefault="00B33542" w:rsidP="00B33542">
      <w:pPr>
        <w:pStyle w:val="subsection"/>
      </w:pPr>
      <w:r w:rsidRPr="005071A1">
        <w:tab/>
        <w:t>(4)</w:t>
      </w:r>
      <w:r w:rsidRPr="005071A1">
        <w:tab/>
        <w:t>A contributor who does not so elect shall, from and including 14</w:t>
      </w:r>
      <w:r w:rsidR="008B2950" w:rsidRPr="005071A1">
        <w:t> </w:t>
      </w:r>
      <w:r w:rsidRPr="005071A1">
        <w:t>December 1959, in respect of:</w:t>
      </w:r>
    </w:p>
    <w:p w14:paraId="6CB62710" w14:textId="77777777" w:rsidR="00B33542" w:rsidRPr="005071A1" w:rsidRDefault="00B33542" w:rsidP="00B33542">
      <w:pPr>
        <w:pStyle w:val="paragraph"/>
      </w:pPr>
      <w:r w:rsidRPr="005071A1">
        <w:tab/>
        <w:t>(a)</w:t>
      </w:r>
      <w:r w:rsidRPr="005071A1">
        <w:tab/>
        <w:t>each unit of pension (if any) for which he is contributing at that date;</w:t>
      </w:r>
    </w:p>
    <w:p w14:paraId="23058447" w14:textId="77777777" w:rsidR="00B33542" w:rsidRPr="005071A1" w:rsidRDefault="00B33542" w:rsidP="00B33542">
      <w:pPr>
        <w:pStyle w:val="paragraph"/>
      </w:pPr>
      <w:r w:rsidRPr="005071A1">
        <w:tab/>
        <w:t>(b)</w:t>
      </w:r>
      <w:r w:rsidRPr="005071A1">
        <w:tab/>
        <w:t>each unit of pension (if any) in respect of which he has completed his contributions not later than that date; and</w:t>
      </w:r>
    </w:p>
    <w:p w14:paraId="25B06E30" w14:textId="77777777" w:rsidR="00B33542" w:rsidRPr="005071A1" w:rsidRDefault="00B33542" w:rsidP="00B33542">
      <w:pPr>
        <w:pStyle w:val="paragraph"/>
        <w:keepNext/>
      </w:pPr>
      <w:r w:rsidRPr="005071A1">
        <w:tab/>
        <w:t>(c)</w:t>
      </w:r>
      <w:r w:rsidRPr="005071A1">
        <w:tab/>
        <w:t>each fully paid unit of pension (if any) which has been credited to him as from a date not later than that date;</w:t>
      </w:r>
    </w:p>
    <w:p w14:paraId="7C7FEB78" w14:textId="77777777" w:rsidR="00B33542" w:rsidRPr="005071A1" w:rsidRDefault="00B33542" w:rsidP="00B33542">
      <w:pPr>
        <w:pStyle w:val="subsection2"/>
      </w:pPr>
      <w:r w:rsidRPr="005071A1">
        <w:t>make such contributions (if any) to the Fund as are specified in the Fifth Schedule.</w:t>
      </w:r>
    </w:p>
    <w:p w14:paraId="52795819" w14:textId="77777777" w:rsidR="00B33542" w:rsidRPr="005071A1" w:rsidRDefault="00B33542" w:rsidP="00B33542">
      <w:pPr>
        <w:pStyle w:val="subsection"/>
      </w:pPr>
      <w:r w:rsidRPr="005071A1">
        <w:tab/>
        <w:t>(5)</w:t>
      </w:r>
      <w:r w:rsidRPr="005071A1">
        <w:tab/>
        <w:t>The amount of contribution to be paid by a contributor who has not so elected is:</w:t>
      </w:r>
    </w:p>
    <w:p w14:paraId="14359A84" w14:textId="77777777" w:rsidR="00B33542" w:rsidRPr="005071A1" w:rsidRDefault="00B33542" w:rsidP="00B33542">
      <w:pPr>
        <w:pStyle w:val="paragraph"/>
      </w:pPr>
      <w:r w:rsidRPr="005071A1">
        <w:lastRenderedPageBreak/>
        <w:tab/>
        <w:t>(a)</w:t>
      </w:r>
      <w:r w:rsidRPr="005071A1">
        <w:tab/>
        <w:t>in respect of:</w:t>
      </w:r>
    </w:p>
    <w:p w14:paraId="67756EDA" w14:textId="77777777" w:rsidR="00B33542" w:rsidRPr="005071A1" w:rsidRDefault="00B33542" w:rsidP="00B33542">
      <w:pPr>
        <w:pStyle w:val="paragraphsub"/>
      </w:pPr>
      <w:r w:rsidRPr="005071A1">
        <w:tab/>
        <w:t>(i)</w:t>
      </w:r>
      <w:r w:rsidRPr="005071A1">
        <w:tab/>
        <w:t>units of pension in respect of which the obligation to contribute came into existence on or after 14</w:t>
      </w:r>
      <w:r w:rsidR="008B2950" w:rsidRPr="005071A1">
        <w:t> </w:t>
      </w:r>
      <w:r w:rsidRPr="005071A1">
        <w:t>December 1959, and before 2</w:t>
      </w:r>
      <w:r w:rsidR="008B2950" w:rsidRPr="005071A1">
        <w:t> </w:t>
      </w:r>
      <w:r w:rsidRPr="005071A1">
        <w:t>July 1962; or</w:t>
      </w:r>
    </w:p>
    <w:p w14:paraId="1F2A842E" w14:textId="77777777" w:rsidR="00B33542" w:rsidRPr="005071A1" w:rsidRDefault="00B33542" w:rsidP="00B33542">
      <w:pPr>
        <w:pStyle w:val="paragraphsub"/>
        <w:keepNext/>
      </w:pPr>
      <w:r w:rsidRPr="005071A1">
        <w:tab/>
        <w:t>(ii)</w:t>
      </w:r>
      <w:r w:rsidRPr="005071A1">
        <w:tab/>
        <w:t>reserve units of pension for which such a contributor commenced to contribute on or after 14</w:t>
      </w:r>
      <w:r w:rsidR="008B2950" w:rsidRPr="005071A1">
        <w:t> </w:t>
      </w:r>
      <w:r w:rsidRPr="005071A1">
        <w:t>December 1959, and before 1</w:t>
      </w:r>
      <w:r w:rsidR="008B2950" w:rsidRPr="005071A1">
        <w:t> </w:t>
      </w:r>
      <w:r w:rsidRPr="005071A1">
        <w:t>July 1962;</w:t>
      </w:r>
    </w:p>
    <w:p w14:paraId="3D1D8A2A" w14:textId="77777777" w:rsidR="00B33542" w:rsidRPr="005071A1" w:rsidRDefault="00B33542" w:rsidP="00B33542">
      <w:pPr>
        <w:pStyle w:val="paragraph"/>
      </w:pPr>
      <w:r w:rsidRPr="005071A1">
        <w:tab/>
      </w:r>
      <w:r w:rsidRPr="005071A1">
        <w:tab/>
        <w:t>an amount ascertained in accordance with the rates of contribution specified in Table IX or Table XI in the Third Schedule, as the case requires, reduced by an amount ascertained in accordance with the reductions in contributions specified in Table XIII or Table XV in the Sixth Schedule, as the case requires; and</w:t>
      </w:r>
    </w:p>
    <w:p w14:paraId="314A429A" w14:textId="77777777" w:rsidR="00B33542" w:rsidRPr="005071A1" w:rsidRDefault="00B33542" w:rsidP="00B33542">
      <w:pPr>
        <w:pStyle w:val="paragraph"/>
      </w:pPr>
      <w:r w:rsidRPr="005071A1">
        <w:tab/>
        <w:t>(b)</w:t>
      </w:r>
      <w:r w:rsidRPr="005071A1">
        <w:tab/>
        <w:t>in respect of:</w:t>
      </w:r>
    </w:p>
    <w:p w14:paraId="08E9E384" w14:textId="77777777" w:rsidR="00B33542" w:rsidRPr="005071A1" w:rsidRDefault="00B33542" w:rsidP="00B33542">
      <w:pPr>
        <w:pStyle w:val="paragraphsub"/>
      </w:pPr>
      <w:r w:rsidRPr="005071A1">
        <w:tab/>
        <w:t>(i)</w:t>
      </w:r>
      <w:r w:rsidRPr="005071A1">
        <w:tab/>
        <w:t>units of pension in respect of which the obligation to contribute comes into existence on or after 1</w:t>
      </w:r>
      <w:r w:rsidR="008B2950" w:rsidRPr="005071A1">
        <w:t> </w:t>
      </w:r>
      <w:r w:rsidRPr="005071A1">
        <w:t>July 1962; or</w:t>
      </w:r>
    </w:p>
    <w:p w14:paraId="0FCA0311" w14:textId="77777777" w:rsidR="00B33542" w:rsidRPr="005071A1" w:rsidRDefault="00B33542" w:rsidP="00B33542">
      <w:pPr>
        <w:pStyle w:val="paragraphsub"/>
        <w:keepNext/>
      </w:pPr>
      <w:r w:rsidRPr="005071A1">
        <w:tab/>
        <w:t>(ii)</w:t>
      </w:r>
      <w:r w:rsidRPr="005071A1">
        <w:tab/>
        <w:t>reserve units of pension for which such a contributor commences to contribute on or after that date;</w:t>
      </w:r>
    </w:p>
    <w:p w14:paraId="53E45AEC" w14:textId="77777777" w:rsidR="00B33542" w:rsidRPr="005071A1" w:rsidRDefault="00B33542" w:rsidP="00B33542">
      <w:pPr>
        <w:pStyle w:val="paragraph"/>
      </w:pPr>
      <w:r w:rsidRPr="005071A1">
        <w:tab/>
      </w:r>
      <w:r w:rsidRPr="005071A1">
        <w:tab/>
        <w:t>an amount ascertained in accordance with the rates of contribution specified in Table XIII or Table XVI in the Third Schedule, as the case requires.</w:t>
      </w:r>
    </w:p>
    <w:p w14:paraId="7A80EEF7" w14:textId="77777777" w:rsidR="00B33542" w:rsidRPr="005071A1" w:rsidRDefault="00B33542" w:rsidP="00B33542">
      <w:pPr>
        <w:pStyle w:val="subsection"/>
      </w:pPr>
      <w:r w:rsidRPr="005071A1">
        <w:tab/>
        <w:t>(6)</w:t>
      </w:r>
      <w:r w:rsidRPr="005071A1">
        <w:tab/>
        <w:t xml:space="preserve">Contributions payable under </w:t>
      </w:r>
      <w:r w:rsidR="008B2950" w:rsidRPr="005071A1">
        <w:t>subsection (</w:t>
      </w:r>
      <w:r w:rsidRPr="005071A1">
        <w:t>4) are in addition to any other contributions payable by the contributor.</w:t>
      </w:r>
    </w:p>
    <w:p w14:paraId="3F5C74C3" w14:textId="77777777" w:rsidR="00B33542" w:rsidRPr="005071A1" w:rsidRDefault="00B33542" w:rsidP="00B33542">
      <w:pPr>
        <w:pStyle w:val="subsection"/>
      </w:pPr>
      <w:r w:rsidRPr="005071A1">
        <w:tab/>
        <w:t>(7)</w:t>
      </w:r>
      <w:r w:rsidRPr="005071A1">
        <w:tab/>
        <w:t xml:space="preserve">A contributor who elected under </w:t>
      </w:r>
      <w:r w:rsidR="008B2950" w:rsidRPr="005071A1">
        <w:t>subsection (</w:t>
      </w:r>
      <w:r w:rsidRPr="005071A1">
        <w:t>3) that this section shall not apply to him may, not later than the expiration of six months after the commencement of this subsection, by notice in writing to the Board, revoke the election.</w:t>
      </w:r>
    </w:p>
    <w:p w14:paraId="58F84091" w14:textId="77777777" w:rsidR="00B33542" w:rsidRPr="005071A1" w:rsidRDefault="00B33542" w:rsidP="00B33542">
      <w:pPr>
        <w:pStyle w:val="subsection"/>
      </w:pPr>
      <w:r w:rsidRPr="005071A1">
        <w:tab/>
        <w:t>(8)</w:t>
      </w:r>
      <w:r w:rsidRPr="005071A1">
        <w:tab/>
        <w:t xml:space="preserve">A revocation under </w:t>
      </w:r>
      <w:r w:rsidR="008B2950" w:rsidRPr="005071A1">
        <w:t>subsection (</w:t>
      </w:r>
      <w:r w:rsidRPr="005071A1">
        <w:t xml:space="preserve">7) does not have effect unless the contributor satisfies the Board, within six months after the date of </w:t>
      </w:r>
      <w:r w:rsidRPr="005071A1">
        <w:lastRenderedPageBreak/>
        <w:t xml:space="preserve">the revocation or within such further period as the Board allows, that he is not suffering from any physical or mental defect (not being a defect that, in the opinion of the Board, is the result of the service of the contributor as a member of the Forces as defined by </w:t>
      </w:r>
      <w:r w:rsidR="008B2950" w:rsidRPr="005071A1">
        <w:t>subsection (</w:t>
      </w:r>
      <w:r w:rsidRPr="005071A1">
        <w:t xml:space="preserve">2) of </w:t>
      </w:r>
      <w:r w:rsidR="004510F0">
        <w:t>section 1</w:t>
      </w:r>
      <w:r w:rsidRPr="005071A1">
        <w:t>47) likely to render him incapable of performing his duties before attaining the maximum age for retirement.</w:t>
      </w:r>
    </w:p>
    <w:p w14:paraId="46D1F1D0" w14:textId="77777777" w:rsidR="00B33542" w:rsidRPr="005071A1" w:rsidRDefault="00B33542" w:rsidP="00B33542">
      <w:pPr>
        <w:pStyle w:val="subsection"/>
      </w:pPr>
      <w:r w:rsidRPr="005071A1">
        <w:tab/>
        <w:t>(9)</w:t>
      </w:r>
      <w:r w:rsidRPr="005071A1">
        <w:tab/>
        <w:t>An election that is so revoked shall, for the purposes of this Act, be deemed not to have been made.</w:t>
      </w:r>
    </w:p>
    <w:p w14:paraId="7F368B0E" w14:textId="77777777" w:rsidR="00B33542" w:rsidRPr="005071A1" w:rsidRDefault="00B33542" w:rsidP="00B33542">
      <w:pPr>
        <w:pStyle w:val="subsection"/>
      </w:pPr>
      <w:r w:rsidRPr="005071A1">
        <w:tab/>
        <w:t>(10)</w:t>
      </w:r>
      <w:r w:rsidRPr="005071A1">
        <w:tab/>
      </w:r>
      <w:r w:rsidR="008B2950" w:rsidRPr="005071A1">
        <w:t>Subsections (</w:t>
      </w:r>
      <w:r w:rsidRPr="005071A1">
        <w:t>4), (5) and (6) do not apply to a contributor who so revokes an election, but such a contributor shall, from and including the date of the revocation:</w:t>
      </w:r>
    </w:p>
    <w:p w14:paraId="6A8197C3" w14:textId="77777777" w:rsidR="00B33542" w:rsidRPr="005071A1" w:rsidRDefault="00B33542" w:rsidP="00B33542">
      <w:pPr>
        <w:pStyle w:val="paragraph"/>
      </w:pPr>
      <w:r w:rsidRPr="005071A1">
        <w:tab/>
        <w:t>(a)</w:t>
      </w:r>
      <w:r w:rsidRPr="005071A1">
        <w:tab/>
        <w:t>in respect of each unit of pension (if any) for which he is contributing at that date, make to the Fund:</w:t>
      </w:r>
    </w:p>
    <w:p w14:paraId="08A80177" w14:textId="77777777" w:rsidR="00B33542" w:rsidRPr="005071A1" w:rsidRDefault="00B33542" w:rsidP="00B33542">
      <w:pPr>
        <w:pStyle w:val="paragraphsub"/>
      </w:pPr>
      <w:r w:rsidRPr="005071A1">
        <w:tab/>
        <w:t>(i)</w:t>
      </w:r>
      <w:r w:rsidRPr="005071A1">
        <w:tab/>
        <w:t>the contributions that he would, but for the revocation, be liable to make; and</w:t>
      </w:r>
    </w:p>
    <w:p w14:paraId="304CDBBE" w14:textId="77777777" w:rsidR="00B33542" w:rsidRPr="005071A1" w:rsidRDefault="00B33542" w:rsidP="00B33542">
      <w:pPr>
        <w:pStyle w:val="paragraphsub"/>
      </w:pPr>
      <w:r w:rsidRPr="005071A1">
        <w:tab/>
        <w:t>(ii)</w:t>
      </w:r>
      <w:r w:rsidRPr="005071A1">
        <w:tab/>
        <w:t>such additional contributions as the Board determines; and</w:t>
      </w:r>
    </w:p>
    <w:p w14:paraId="0F96D3A1" w14:textId="77777777" w:rsidR="00B33542" w:rsidRPr="005071A1" w:rsidRDefault="00B33542" w:rsidP="00B33542">
      <w:pPr>
        <w:pStyle w:val="paragraph"/>
        <w:keepNext/>
      </w:pPr>
      <w:r w:rsidRPr="005071A1">
        <w:tab/>
        <w:t>(b)</w:t>
      </w:r>
      <w:r w:rsidRPr="005071A1">
        <w:tab/>
        <w:t>in respect of:</w:t>
      </w:r>
    </w:p>
    <w:p w14:paraId="28418588" w14:textId="77777777" w:rsidR="00B33542" w:rsidRPr="005071A1" w:rsidRDefault="00B33542" w:rsidP="00B33542">
      <w:pPr>
        <w:pStyle w:val="paragraphsub"/>
      </w:pPr>
      <w:r w:rsidRPr="005071A1">
        <w:tab/>
        <w:t>(i)</w:t>
      </w:r>
      <w:r w:rsidRPr="005071A1">
        <w:tab/>
        <w:t>each unit of pension (if any) in respect of which he has completed his contributions not later than that date; and</w:t>
      </w:r>
    </w:p>
    <w:p w14:paraId="74AC752A" w14:textId="77777777" w:rsidR="00B33542" w:rsidRPr="005071A1" w:rsidRDefault="00B33542" w:rsidP="00B33542">
      <w:pPr>
        <w:pStyle w:val="paragraphsub"/>
        <w:keepNext/>
      </w:pPr>
      <w:r w:rsidRPr="005071A1">
        <w:tab/>
        <w:t>(ii)</w:t>
      </w:r>
      <w:r w:rsidRPr="005071A1">
        <w:tab/>
        <w:t>each fully paid unit of pension (if any) that has been credited to him as from a date not later than that date;</w:t>
      </w:r>
    </w:p>
    <w:p w14:paraId="1717C665" w14:textId="77777777" w:rsidR="00B33542" w:rsidRPr="005071A1" w:rsidRDefault="00B33542" w:rsidP="00B33542">
      <w:pPr>
        <w:pStyle w:val="paragraph"/>
      </w:pPr>
      <w:r w:rsidRPr="005071A1">
        <w:tab/>
      </w:r>
      <w:r w:rsidRPr="005071A1">
        <w:tab/>
        <w:t>make such contributions as the Board determines.</w:t>
      </w:r>
    </w:p>
    <w:p w14:paraId="0622C72B" w14:textId="77777777" w:rsidR="00B33542" w:rsidRPr="005071A1" w:rsidRDefault="00B33542" w:rsidP="00B33542">
      <w:pPr>
        <w:pStyle w:val="subsection"/>
      </w:pPr>
      <w:r w:rsidRPr="005071A1">
        <w:tab/>
        <w:t>(11)</w:t>
      </w:r>
      <w:r w:rsidRPr="005071A1">
        <w:tab/>
        <w:t>The amount of contribution to be paid by a contributor who so revokes an election is, in respect of:</w:t>
      </w:r>
    </w:p>
    <w:p w14:paraId="7F3F721E" w14:textId="77777777" w:rsidR="00B33542" w:rsidRPr="005071A1" w:rsidRDefault="00B33542" w:rsidP="00B33542">
      <w:pPr>
        <w:pStyle w:val="paragraph"/>
      </w:pPr>
      <w:r w:rsidRPr="005071A1">
        <w:tab/>
        <w:t>(a)</w:t>
      </w:r>
      <w:r w:rsidRPr="005071A1">
        <w:tab/>
        <w:t>units of pension in respect of which the obligation to contribute comes into existence on or after the date of the revocation; or</w:t>
      </w:r>
    </w:p>
    <w:p w14:paraId="4009DD43" w14:textId="77777777" w:rsidR="00B33542" w:rsidRPr="005071A1" w:rsidRDefault="00B33542" w:rsidP="00B33542">
      <w:pPr>
        <w:pStyle w:val="paragraph"/>
        <w:keepNext/>
      </w:pPr>
      <w:r w:rsidRPr="005071A1">
        <w:lastRenderedPageBreak/>
        <w:tab/>
        <w:t>(b)</w:t>
      </w:r>
      <w:r w:rsidRPr="005071A1">
        <w:tab/>
        <w:t>reserve units of pension for which such a contributor commences to contribute on or after that date;</w:t>
      </w:r>
    </w:p>
    <w:p w14:paraId="557A30A0" w14:textId="77777777" w:rsidR="00B33542" w:rsidRPr="005071A1" w:rsidRDefault="00B33542" w:rsidP="00B33542">
      <w:pPr>
        <w:pStyle w:val="subsection2"/>
      </w:pPr>
      <w:r w:rsidRPr="005071A1">
        <w:t>an amount ascertained in accordance with the rates of contribution specified in Table XIII or Table XVI in the Third Schedule, as the case requires.</w:t>
      </w:r>
    </w:p>
    <w:p w14:paraId="4BA8496F" w14:textId="77777777" w:rsidR="00B33542" w:rsidRPr="005071A1" w:rsidRDefault="00B33542" w:rsidP="00B33542">
      <w:pPr>
        <w:pStyle w:val="ActHead5"/>
      </w:pPr>
      <w:bookmarkStart w:id="41" w:name="_Toc185577423"/>
      <w:r w:rsidRPr="004510F0">
        <w:rPr>
          <w:rStyle w:val="CharSectno"/>
        </w:rPr>
        <w:t>27</w:t>
      </w:r>
      <w:r w:rsidRPr="005071A1">
        <w:t xml:space="preserve">  Additional contributions by certain pensioners who become re</w:t>
      </w:r>
      <w:r w:rsidR="004510F0">
        <w:noBreakHyphen/>
      </w:r>
      <w:r w:rsidRPr="005071A1">
        <w:t>employed</w:t>
      </w:r>
      <w:bookmarkEnd w:id="41"/>
    </w:p>
    <w:p w14:paraId="121602F7" w14:textId="77777777" w:rsidR="00B33542" w:rsidRPr="005071A1" w:rsidRDefault="00B33542" w:rsidP="00B33542">
      <w:pPr>
        <w:pStyle w:val="subsection"/>
      </w:pPr>
      <w:r w:rsidRPr="005071A1">
        <w:tab/>
        <w:t>(1)</w:t>
      </w:r>
      <w:r w:rsidRPr="005071A1">
        <w:tab/>
        <w:t>If a male person:</w:t>
      </w:r>
    </w:p>
    <w:p w14:paraId="717C76D3" w14:textId="77777777" w:rsidR="00B33542" w:rsidRPr="005071A1" w:rsidRDefault="00B33542" w:rsidP="00B33542">
      <w:pPr>
        <w:pStyle w:val="paragraph"/>
      </w:pPr>
      <w:r w:rsidRPr="005071A1">
        <w:tab/>
        <w:t>(a)</w:t>
      </w:r>
      <w:r w:rsidRPr="005071A1">
        <w:tab/>
        <w:t>who is, on 14</w:t>
      </w:r>
      <w:r w:rsidR="008B2950" w:rsidRPr="005071A1">
        <w:t> </w:t>
      </w:r>
      <w:r w:rsidRPr="005071A1">
        <w:t>December 1959, in receipt of a pension under section</w:t>
      </w:r>
      <w:r w:rsidR="008B2950" w:rsidRPr="005071A1">
        <w:t> </w:t>
      </w:r>
      <w:r w:rsidRPr="005071A1">
        <w:t>45; or</w:t>
      </w:r>
    </w:p>
    <w:p w14:paraId="4EE7663A" w14:textId="77777777" w:rsidR="00B33542" w:rsidRPr="005071A1" w:rsidRDefault="00B33542" w:rsidP="00B33542">
      <w:pPr>
        <w:pStyle w:val="paragraph"/>
        <w:keepNext/>
      </w:pPr>
      <w:r w:rsidRPr="005071A1">
        <w:tab/>
        <w:t>(b)</w:t>
      </w:r>
      <w:r w:rsidRPr="005071A1">
        <w:tab/>
        <w:t>whose pension under that section is not, by reason of any provision of this Act, being paid to him on that date;</w:t>
      </w:r>
    </w:p>
    <w:p w14:paraId="1E49965D" w14:textId="77777777" w:rsidR="00B33542" w:rsidRPr="005071A1" w:rsidRDefault="00B33542" w:rsidP="00B33542">
      <w:pPr>
        <w:pStyle w:val="subsection2"/>
      </w:pPr>
      <w:r w:rsidRPr="005071A1">
        <w:t>again becomes an employee after that date, section</w:t>
      </w:r>
      <w:r w:rsidR="008B2950" w:rsidRPr="005071A1">
        <w:t> </w:t>
      </w:r>
      <w:r w:rsidRPr="005071A1">
        <w:t xml:space="preserve">26 applies to him, subject to </w:t>
      </w:r>
      <w:r w:rsidR="008B2950" w:rsidRPr="005071A1">
        <w:t>subsection (</w:t>
      </w:r>
      <w:r w:rsidRPr="005071A1">
        <w:t>2) of this section, as it applies to a contributor who has not elected under that section.</w:t>
      </w:r>
    </w:p>
    <w:p w14:paraId="081A38B8" w14:textId="77777777" w:rsidR="00B33542" w:rsidRPr="005071A1" w:rsidRDefault="00B33542" w:rsidP="00B33542">
      <w:pPr>
        <w:pStyle w:val="subsection"/>
      </w:pPr>
      <w:r w:rsidRPr="005071A1">
        <w:tab/>
        <w:t>(2)</w:t>
      </w:r>
      <w:r w:rsidRPr="005071A1">
        <w:tab/>
        <w:t>In the application of section</w:t>
      </w:r>
      <w:r w:rsidR="008B2950" w:rsidRPr="005071A1">
        <w:t> </w:t>
      </w:r>
      <w:r w:rsidRPr="005071A1">
        <w:t xml:space="preserve">26 to a person by virtue of </w:t>
      </w:r>
      <w:r w:rsidR="008B2950" w:rsidRPr="005071A1">
        <w:t>subsection (</w:t>
      </w:r>
      <w:r w:rsidRPr="005071A1">
        <w:t>1) of this section:</w:t>
      </w:r>
    </w:p>
    <w:p w14:paraId="70FE9088" w14:textId="77777777" w:rsidR="00B33542" w:rsidRPr="005071A1" w:rsidRDefault="00B33542" w:rsidP="00B33542">
      <w:pPr>
        <w:pStyle w:val="paragraph"/>
      </w:pPr>
      <w:r w:rsidRPr="005071A1">
        <w:tab/>
        <w:t>(a)</w:t>
      </w:r>
      <w:r w:rsidRPr="005071A1">
        <w:tab/>
        <w:t>the date from and including which that person shall contribute to the Fund in accordance with the Fifth Schedule is the day on which he again becomes an employee, or, if that day is not a pay</w:t>
      </w:r>
      <w:r w:rsidR="004510F0">
        <w:noBreakHyphen/>
      </w:r>
      <w:r w:rsidRPr="005071A1">
        <w:t>day, the next following pay</w:t>
      </w:r>
      <w:r w:rsidR="004510F0">
        <w:noBreakHyphen/>
      </w:r>
      <w:r w:rsidRPr="005071A1">
        <w:t>day; and</w:t>
      </w:r>
    </w:p>
    <w:p w14:paraId="70FB9941" w14:textId="77777777" w:rsidR="00B33542" w:rsidRPr="005071A1" w:rsidRDefault="00B33542" w:rsidP="00B33542">
      <w:pPr>
        <w:pStyle w:val="paragraph"/>
      </w:pPr>
      <w:r w:rsidRPr="005071A1">
        <w:tab/>
        <w:t>(b)</w:t>
      </w:r>
      <w:r w:rsidRPr="005071A1">
        <w:tab/>
        <w:t>the age of that person next birthday shall be deemed to be his age at his birthday next after 17</w:t>
      </w:r>
      <w:r w:rsidR="008B2950" w:rsidRPr="005071A1">
        <w:t> </w:t>
      </w:r>
      <w:r w:rsidRPr="005071A1">
        <w:t>December 1959.</w:t>
      </w:r>
    </w:p>
    <w:p w14:paraId="7F334985" w14:textId="77777777" w:rsidR="00B33542" w:rsidRPr="005071A1" w:rsidRDefault="00B33542" w:rsidP="00B33542">
      <w:pPr>
        <w:pStyle w:val="ActHead5"/>
      </w:pPr>
      <w:bookmarkStart w:id="42" w:name="_Toc185577424"/>
      <w:r w:rsidRPr="004510F0">
        <w:rPr>
          <w:rStyle w:val="CharSectno"/>
        </w:rPr>
        <w:t>28</w:t>
      </w:r>
      <w:r w:rsidRPr="005071A1">
        <w:t xml:space="preserve">  Cessation of additional contributions</w:t>
      </w:r>
      <w:bookmarkEnd w:id="42"/>
    </w:p>
    <w:p w14:paraId="6D987DB5" w14:textId="77777777" w:rsidR="00B33542" w:rsidRPr="005071A1" w:rsidRDefault="00B33542" w:rsidP="00B33542">
      <w:pPr>
        <w:pStyle w:val="subsection"/>
      </w:pPr>
      <w:r w:rsidRPr="005071A1">
        <w:tab/>
        <w:t>(1)</w:t>
      </w:r>
      <w:r w:rsidRPr="005071A1">
        <w:tab/>
      </w:r>
      <w:r w:rsidR="008B2950" w:rsidRPr="005071A1">
        <w:t>Subsections (</w:t>
      </w:r>
      <w:r w:rsidRPr="005071A1">
        <w:t>2) and (3) of this section have effect in respect of:</w:t>
      </w:r>
    </w:p>
    <w:p w14:paraId="0E1B757A" w14:textId="77777777" w:rsidR="00B33542" w:rsidRPr="005071A1" w:rsidRDefault="00B33542" w:rsidP="00B33542">
      <w:pPr>
        <w:pStyle w:val="paragraph"/>
      </w:pPr>
      <w:r w:rsidRPr="005071A1">
        <w:tab/>
        <w:t>(a)</w:t>
      </w:r>
      <w:r w:rsidRPr="005071A1">
        <w:tab/>
        <w:t xml:space="preserve">contributions under </w:t>
      </w:r>
      <w:r w:rsidR="008B2950" w:rsidRPr="005071A1">
        <w:t>subsection (</w:t>
      </w:r>
      <w:r w:rsidRPr="005071A1">
        <w:t>4) of section</w:t>
      </w:r>
      <w:r w:rsidR="008B2950" w:rsidRPr="005071A1">
        <w:t> </w:t>
      </w:r>
      <w:r w:rsidRPr="005071A1">
        <w:t>26 or under that subsection as applied by section</w:t>
      </w:r>
      <w:r w:rsidR="008B2950" w:rsidRPr="005071A1">
        <w:t> </w:t>
      </w:r>
      <w:r w:rsidRPr="005071A1">
        <w:t>27; and</w:t>
      </w:r>
    </w:p>
    <w:p w14:paraId="4E769260" w14:textId="77777777" w:rsidR="00B33542" w:rsidRPr="005071A1" w:rsidRDefault="00B33542" w:rsidP="00B33542">
      <w:pPr>
        <w:pStyle w:val="paragraph"/>
      </w:pPr>
      <w:r w:rsidRPr="005071A1">
        <w:lastRenderedPageBreak/>
        <w:tab/>
        <w:t>(b)</w:t>
      </w:r>
      <w:r w:rsidRPr="005071A1">
        <w:tab/>
        <w:t xml:space="preserve">contributions under </w:t>
      </w:r>
      <w:r w:rsidR="008B2950" w:rsidRPr="005071A1">
        <w:t>subparagraph (</w:t>
      </w:r>
      <w:r w:rsidRPr="005071A1">
        <w:t xml:space="preserve">ii) of </w:t>
      </w:r>
      <w:r w:rsidR="008B2950" w:rsidRPr="005071A1">
        <w:t>paragraph (</w:t>
      </w:r>
      <w:r w:rsidRPr="005071A1">
        <w:t xml:space="preserve">a), or </w:t>
      </w:r>
      <w:r w:rsidR="008B2950" w:rsidRPr="005071A1">
        <w:t>paragraph (</w:t>
      </w:r>
      <w:r w:rsidRPr="005071A1">
        <w:t xml:space="preserve">b), of </w:t>
      </w:r>
      <w:r w:rsidR="008B2950" w:rsidRPr="005071A1">
        <w:t>subsection (</w:t>
      </w:r>
      <w:r w:rsidRPr="005071A1">
        <w:t>10) of section</w:t>
      </w:r>
      <w:r w:rsidR="008B2950" w:rsidRPr="005071A1">
        <w:t> </w:t>
      </w:r>
      <w:r w:rsidRPr="005071A1">
        <w:t>26.</w:t>
      </w:r>
    </w:p>
    <w:p w14:paraId="35DA4A89" w14:textId="77777777" w:rsidR="00B33542" w:rsidRPr="005071A1" w:rsidRDefault="00B33542" w:rsidP="00B33542">
      <w:pPr>
        <w:pStyle w:val="subsection"/>
      </w:pPr>
      <w:r w:rsidRPr="005071A1">
        <w:tab/>
        <w:t>(2)</w:t>
      </w:r>
      <w:r w:rsidRPr="005071A1">
        <w:tab/>
        <w:t xml:space="preserve">The contributor is, subject to </w:t>
      </w:r>
      <w:r w:rsidR="008B2950" w:rsidRPr="005071A1">
        <w:t>subsection (</w:t>
      </w:r>
      <w:r w:rsidRPr="005071A1">
        <w:t>3), liable to pay the contributions in respect of each unit of pension until immediately after the last fortnightly payment before he ceases to be an employee or:</w:t>
      </w:r>
    </w:p>
    <w:p w14:paraId="126A458F" w14:textId="77777777" w:rsidR="00B33542" w:rsidRPr="005071A1" w:rsidRDefault="00B33542" w:rsidP="00B33542">
      <w:pPr>
        <w:pStyle w:val="paragraph"/>
      </w:pPr>
      <w:r w:rsidRPr="005071A1">
        <w:tab/>
        <w:t>(a)</w:t>
      </w:r>
      <w:r w:rsidRPr="005071A1">
        <w:tab/>
        <w:t xml:space="preserve">in the case of contributions referred to in </w:t>
      </w:r>
      <w:r w:rsidR="008B2950" w:rsidRPr="005071A1">
        <w:t>paragraph (</w:t>
      </w:r>
      <w:r w:rsidRPr="005071A1">
        <w:t xml:space="preserve">a) of </w:t>
      </w:r>
      <w:r w:rsidR="008B2950" w:rsidRPr="005071A1">
        <w:t>subsection (</w:t>
      </w:r>
      <w:r w:rsidRPr="005071A1">
        <w:t>1)—17</w:t>
      </w:r>
      <w:r w:rsidR="008B2950" w:rsidRPr="005071A1">
        <w:t> </w:t>
      </w:r>
      <w:r w:rsidRPr="005071A1">
        <w:t>December next preceding the attainment by him of the maximum age for retirement; or</w:t>
      </w:r>
    </w:p>
    <w:p w14:paraId="11FB45FC" w14:textId="77777777" w:rsidR="00B33542" w:rsidRPr="005071A1" w:rsidRDefault="00B33542" w:rsidP="00B33542">
      <w:pPr>
        <w:pStyle w:val="paragraph"/>
        <w:keepNext/>
      </w:pPr>
      <w:r w:rsidRPr="005071A1">
        <w:tab/>
        <w:t>(b)</w:t>
      </w:r>
      <w:r w:rsidRPr="005071A1">
        <w:tab/>
        <w:t xml:space="preserve">in the case of contributions referred to in </w:t>
      </w:r>
      <w:r w:rsidR="008B2950" w:rsidRPr="005071A1">
        <w:t>paragraph (</w:t>
      </w:r>
      <w:r w:rsidRPr="005071A1">
        <w:t>b) of that subsection—the anniversary of his initial contribution to which that subsection applies next preceding the attainment by him of the maximum age for retirement;</w:t>
      </w:r>
    </w:p>
    <w:p w14:paraId="6FB88F83" w14:textId="77777777" w:rsidR="00B33542" w:rsidRPr="005071A1" w:rsidRDefault="00B33542" w:rsidP="00B33542">
      <w:pPr>
        <w:pStyle w:val="subsection2"/>
      </w:pPr>
      <w:r w:rsidRPr="005071A1">
        <w:t>whichever first happens.</w:t>
      </w:r>
    </w:p>
    <w:p w14:paraId="166692EC" w14:textId="77777777" w:rsidR="00B33542" w:rsidRPr="005071A1" w:rsidRDefault="00B33542" w:rsidP="00B33542">
      <w:pPr>
        <w:pStyle w:val="subsection"/>
      </w:pPr>
      <w:r w:rsidRPr="005071A1">
        <w:tab/>
        <w:t>(3)</w:t>
      </w:r>
      <w:r w:rsidRPr="005071A1">
        <w:tab/>
        <w:t>In the case of a contributor whose initial payment in respect of the contributions in respect of a unit of pension is made within twelve months before, or at any time after, he attains the maximum age for retirement, he shall pay those contributions until he ceases to be an employee by reason of his death or retirement on the ground of invalidity or physical or mental incapacity to perform his duties, or until he has paid twenty</w:t>
      </w:r>
      <w:r w:rsidR="004510F0">
        <w:noBreakHyphen/>
      </w:r>
      <w:r w:rsidRPr="005071A1">
        <w:t>six contributions, whichever first happens.</w:t>
      </w:r>
    </w:p>
    <w:p w14:paraId="781F24CC" w14:textId="77777777" w:rsidR="00B33542" w:rsidRPr="005071A1" w:rsidRDefault="00B33542" w:rsidP="002477D1">
      <w:pPr>
        <w:pStyle w:val="ActHead3"/>
        <w:pageBreakBefore/>
      </w:pPr>
      <w:bookmarkStart w:id="43" w:name="_Toc185577425"/>
      <w:r w:rsidRPr="004510F0">
        <w:rPr>
          <w:rStyle w:val="CharDivNo"/>
        </w:rPr>
        <w:lastRenderedPageBreak/>
        <w:t>Division</w:t>
      </w:r>
      <w:r w:rsidR="008B2950" w:rsidRPr="004510F0">
        <w:rPr>
          <w:rStyle w:val="CharDivNo"/>
        </w:rPr>
        <w:t> </w:t>
      </w:r>
      <w:r w:rsidRPr="004510F0">
        <w:rPr>
          <w:rStyle w:val="CharDivNo"/>
        </w:rPr>
        <w:t>5</w:t>
      </w:r>
      <w:r w:rsidRPr="005071A1">
        <w:t>—</w:t>
      </w:r>
      <w:r w:rsidRPr="004510F0">
        <w:rPr>
          <w:rStyle w:val="CharDivText"/>
        </w:rPr>
        <w:t>Reserve units of pension</w:t>
      </w:r>
      <w:bookmarkEnd w:id="43"/>
    </w:p>
    <w:p w14:paraId="5DD3A7BC" w14:textId="77777777" w:rsidR="00B33542" w:rsidRPr="005071A1" w:rsidRDefault="00B33542" w:rsidP="00B33542">
      <w:pPr>
        <w:pStyle w:val="ActHead5"/>
      </w:pPr>
      <w:bookmarkStart w:id="44" w:name="_Toc185577426"/>
      <w:r w:rsidRPr="004510F0">
        <w:rPr>
          <w:rStyle w:val="CharSectno"/>
        </w:rPr>
        <w:t>29</w:t>
      </w:r>
      <w:r w:rsidRPr="005071A1">
        <w:t xml:space="preserve">  Reserve Units of Pension Account</w:t>
      </w:r>
      <w:bookmarkEnd w:id="44"/>
    </w:p>
    <w:p w14:paraId="1BD6BA6E" w14:textId="77777777" w:rsidR="00B33542" w:rsidRPr="005071A1" w:rsidRDefault="00B33542" w:rsidP="00B33542">
      <w:pPr>
        <w:pStyle w:val="subsection"/>
      </w:pPr>
      <w:r w:rsidRPr="005071A1">
        <w:tab/>
      </w:r>
      <w:r w:rsidRPr="005071A1">
        <w:tab/>
        <w:t xml:space="preserve">There shall be a Reserve Units of Pension Account (in this Division referred to as </w:t>
      </w:r>
      <w:r w:rsidRPr="005071A1">
        <w:rPr>
          <w:b/>
          <w:i/>
        </w:rPr>
        <w:t>the Account</w:t>
      </w:r>
      <w:r w:rsidRPr="005071A1">
        <w:t>), which shall form part of the Fund and into which shall be paid all contributions made by contributors for or in respect of reserve units of pension.</w:t>
      </w:r>
    </w:p>
    <w:p w14:paraId="17BACD5A" w14:textId="77777777" w:rsidR="00B33542" w:rsidRPr="005071A1" w:rsidRDefault="00B33542" w:rsidP="00B33542">
      <w:pPr>
        <w:pStyle w:val="ActHead5"/>
      </w:pPr>
      <w:bookmarkStart w:id="45" w:name="_Toc185577427"/>
      <w:r w:rsidRPr="004510F0">
        <w:rPr>
          <w:rStyle w:val="CharSectno"/>
        </w:rPr>
        <w:t>30</w:t>
      </w:r>
      <w:r w:rsidRPr="005071A1">
        <w:t xml:space="preserve">  Contributions for reserve units of pension</w:t>
      </w:r>
      <w:bookmarkEnd w:id="45"/>
    </w:p>
    <w:p w14:paraId="7464C2CB" w14:textId="77777777" w:rsidR="00B33542" w:rsidRPr="005071A1" w:rsidRDefault="00B33542" w:rsidP="00B33542">
      <w:pPr>
        <w:pStyle w:val="subsection"/>
      </w:pPr>
      <w:r w:rsidRPr="005071A1">
        <w:tab/>
        <w:t>(1)</w:t>
      </w:r>
      <w:r w:rsidRPr="005071A1">
        <w:tab/>
        <w:t xml:space="preserve">A contributor who is contributing for the number of units of pension ascertained in accordance with </w:t>
      </w:r>
      <w:r w:rsidR="008B2950" w:rsidRPr="005071A1">
        <w:t>subsection (</w:t>
      </w:r>
      <w:r w:rsidRPr="005071A1">
        <w:t>2) of section</w:t>
      </w:r>
      <w:r w:rsidR="008B2950" w:rsidRPr="005071A1">
        <w:t> </w:t>
      </w:r>
      <w:r w:rsidRPr="005071A1">
        <w:t>20 having regard to his salary may, from time to time, elect to contribute for one or more reserve units of pension in accordance with this Division.</w:t>
      </w:r>
    </w:p>
    <w:p w14:paraId="5891E26D" w14:textId="77777777" w:rsidR="00B33542" w:rsidRPr="005071A1" w:rsidRDefault="00B33542" w:rsidP="00B33542">
      <w:pPr>
        <w:pStyle w:val="subsection"/>
      </w:pPr>
      <w:r w:rsidRPr="005071A1">
        <w:tab/>
        <w:t>(2)</w:t>
      </w:r>
      <w:r w:rsidRPr="005071A1">
        <w:tab/>
        <w:t xml:space="preserve">Subject to </w:t>
      </w:r>
      <w:r w:rsidR="008B2950" w:rsidRPr="005071A1">
        <w:t>subsection (</w:t>
      </w:r>
      <w:r w:rsidRPr="005071A1">
        <w:t>4) of section</w:t>
      </w:r>
      <w:r w:rsidR="008B2950" w:rsidRPr="005071A1">
        <w:t> </w:t>
      </w:r>
      <w:r w:rsidRPr="005071A1">
        <w:t>32, the number of reserve units of pension for which a contributor may contribute, together with the number of any reserve units in respect of which he has made an election under section</w:t>
      </w:r>
      <w:r w:rsidR="008B2950" w:rsidRPr="005071A1">
        <w:t> </w:t>
      </w:r>
      <w:r w:rsidRPr="005071A1">
        <w:t>31 or section</w:t>
      </w:r>
      <w:r w:rsidR="008B2950" w:rsidRPr="005071A1">
        <w:t> </w:t>
      </w:r>
      <w:r w:rsidRPr="005071A1">
        <w:t>32, shall not exceed twelve.</w:t>
      </w:r>
    </w:p>
    <w:p w14:paraId="6FA85306" w14:textId="77777777" w:rsidR="00B33542" w:rsidRPr="005071A1" w:rsidRDefault="00B33542" w:rsidP="00B33542">
      <w:pPr>
        <w:pStyle w:val="subsection"/>
      </w:pPr>
      <w:r w:rsidRPr="005071A1">
        <w:tab/>
        <w:t>(3)</w:t>
      </w:r>
      <w:r w:rsidRPr="005071A1">
        <w:tab/>
        <w:t>Contributions for a reserve unit of pension:</w:t>
      </w:r>
    </w:p>
    <w:p w14:paraId="27860ECF" w14:textId="77777777" w:rsidR="00B33542" w:rsidRPr="005071A1" w:rsidRDefault="00B33542" w:rsidP="00B33542">
      <w:pPr>
        <w:pStyle w:val="paragraph"/>
      </w:pPr>
      <w:r w:rsidRPr="005071A1">
        <w:tab/>
        <w:t>(a)</w:t>
      </w:r>
      <w:r w:rsidRPr="005071A1">
        <w:tab/>
        <w:t>shall be in accordance with the Third or Fourth Schedule, whichever is appropriate, reduced by amounts, if any, ascertained in accordance with the tables of reductions of contributions set out in the Sixth Schedule; and</w:t>
      </w:r>
    </w:p>
    <w:p w14:paraId="5CF2D7F7" w14:textId="77777777" w:rsidR="00B33542" w:rsidRPr="005071A1" w:rsidRDefault="00B33542" w:rsidP="00B33542">
      <w:pPr>
        <w:pStyle w:val="paragraph"/>
      </w:pPr>
      <w:r w:rsidRPr="005071A1">
        <w:tab/>
        <w:t>(b)</w:t>
      </w:r>
      <w:r w:rsidRPr="005071A1">
        <w:tab/>
        <w:t>shall be payable as from the date on which the contributor elects to contribute for that reserve unit of pension.</w:t>
      </w:r>
    </w:p>
    <w:p w14:paraId="6B54047B" w14:textId="77777777" w:rsidR="00B33542" w:rsidRPr="005071A1" w:rsidRDefault="00B33542" w:rsidP="00B33542">
      <w:pPr>
        <w:pStyle w:val="subsection"/>
      </w:pPr>
      <w:r w:rsidRPr="005071A1">
        <w:tab/>
        <w:t>(4)</w:t>
      </w:r>
      <w:r w:rsidRPr="005071A1">
        <w:tab/>
        <w:t>A person is not entitled to make an election under this section after 30</w:t>
      </w:r>
      <w:r w:rsidR="008B2950" w:rsidRPr="005071A1">
        <w:t> </w:t>
      </w:r>
      <w:r w:rsidRPr="005071A1">
        <w:t xml:space="preserve">June 1976, and a person shall not make contributions to the </w:t>
      </w:r>
      <w:r w:rsidRPr="005071A1">
        <w:lastRenderedPageBreak/>
        <w:t>Fund for a reserve unit of pension on or after 1</w:t>
      </w:r>
      <w:r w:rsidR="008B2950" w:rsidRPr="005071A1">
        <w:t> </w:t>
      </w:r>
      <w:r w:rsidRPr="005071A1">
        <w:t>July 1976 except contributions the obligation for the payment of which came into existence before 1</w:t>
      </w:r>
      <w:r w:rsidR="008B2950" w:rsidRPr="005071A1">
        <w:t> </w:t>
      </w:r>
      <w:r w:rsidRPr="005071A1">
        <w:t>July 1976.</w:t>
      </w:r>
    </w:p>
    <w:p w14:paraId="113CD627" w14:textId="77777777" w:rsidR="00B33542" w:rsidRPr="005071A1" w:rsidRDefault="00B33542" w:rsidP="00B33542">
      <w:pPr>
        <w:pStyle w:val="ActHead5"/>
      </w:pPr>
      <w:bookmarkStart w:id="46" w:name="_Toc185577428"/>
      <w:r w:rsidRPr="004510F0">
        <w:rPr>
          <w:rStyle w:val="CharSectno"/>
        </w:rPr>
        <w:t>30A</w:t>
      </w:r>
      <w:r w:rsidRPr="005071A1">
        <w:t xml:space="preserve">  Completion of contributions for reserve unit</w:t>
      </w:r>
      <w:bookmarkEnd w:id="46"/>
    </w:p>
    <w:p w14:paraId="65F04632" w14:textId="77777777" w:rsidR="00B33542" w:rsidRPr="005071A1" w:rsidRDefault="00B33542" w:rsidP="00B33542">
      <w:pPr>
        <w:pStyle w:val="subsection"/>
      </w:pPr>
      <w:r w:rsidRPr="005071A1">
        <w:tab/>
      </w:r>
      <w:r w:rsidRPr="005071A1">
        <w:tab/>
        <w:t>For the purposes of sections</w:t>
      </w:r>
      <w:r w:rsidR="008B2950" w:rsidRPr="005071A1">
        <w:t> </w:t>
      </w:r>
      <w:r w:rsidRPr="005071A1">
        <w:t>31 and 32, a contributor who has completed payment of contributions for a reserve unit of pension shall be deemed to be contributing for that reserve unit.</w:t>
      </w:r>
    </w:p>
    <w:p w14:paraId="4DC1D690" w14:textId="77777777" w:rsidR="00B33542" w:rsidRPr="005071A1" w:rsidRDefault="00B33542" w:rsidP="00B33542">
      <w:pPr>
        <w:pStyle w:val="ActHead5"/>
      </w:pPr>
      <w:bookmarkStart w:id="47" w:name="_Toc185577429"/>
      <w:r w:rsidRPr="004510F0">
        <w:rPr>
          <w:rStyle w:val="CharSectno"/>
        </w:rPr>
        <w:t>31</w:t>
      </w:r>
      <w:r w:rsidRPr="005071A1">
        <w:t xml:space="preserve">  Transfer of contributions to Superannuation Fund</w:t>
      </w:r>
      <w:bookmarkEnd w:id="47"/>
    </w:p>
    <w:p w14:paraId="20512975" w14:textId="77777777" w:rsidR="00B33542" w:rsidRPr="005071A1" w:rsidRDefault="00B33542" w:rsidP="00B33542">
      <w:pPr>
        <w:pStyle w:val="subsection"/>
      </w:pPr>
      <w:r w:rsidRPr="005071A1">
        <w:tab/>
        <w:t>(1)</w:t>
      </w:r>
      <w:r w:rsidRPr="005071A1">
        <w:tab/>
        <w:t>Where a contributor who is contributing for one or more reserve units of pension becomes eligible or required to contribute for one or more additional units of pension in pursuance of the provisions of this Act, he may elect to transfer to the Fund the contributions paid by him to the Account in respect of a number of reserve units of pension not exceeding the number of those additional units of pension.</w:t>
      </w:r>
    </w:p>
    <w:p w14:paraId="64B02A7E" w14:textId="77777777" w:rsidR="00B33542" w:rsidRPr="005071A1" w:rsidRDefault="00B33542" w:rsidP="00B33542">
      <w:pPr>
        <w:pStyle w:val="subsection"/>
      </w:pPr>
      <w:r w:rsidRPr="005071A1">
        <w:tab/>
        <w:t>(2)</w:t>
      </w:r>
      <w:r w:rsidRPr="005071A1">
        <w:tab/>
        <w:t>Where a contributor so elects, no further contributions shall be paid into the Account in respect of the reserve units of pension to which the election applies and the contributions payable by the contributor in respect of so many of the additional units of pension as is equal to the number of those reserve units of pension shall be at the same rate as the contributions paid into the Account in respect of those reserve units of pension.</w:t>
      </w:r>
    </w:p>
    <w:p w14:paraId="555B1E6E" w14:textId="77777777" w:rsidR="00B33542" w:rsidRPr="005071A1" w:rsidRDefault="00B33542" w:rsidP="00B33542">
      <w:pPr>
        <w:pStyle w:val="subsection"/>
      </w:pPr>
      <w:r w:rsidRPr="005071A1">
        <w:tab/>
        <w:t>(3)</w:t>
      </w:r>
      <w:r w:rsidRPr="005071A1">
        <w:tab/>
        <w:t>An election by a contributor under this section does not have any effect in relation to a reserve unit of pension where:</w:t>
      </w:r>
    </w:p>
    <w:p w14:paraId="23AB4910" w14:textId="77777777" w:rsidR="00B33542" w:rsidRPr="005071A1" w:rsidRDefault="00B33542" w:rsidP="00B33542">
      <w:pPr>
        <w:pStyle w:val="paragraph"/>
      </w:pPr>
      <w:r w:rsidRPr="005071A1">
        <w:tab/>
        <w:t>(a)</w:t>
      </w:r>
      <w:r w:rsidRPr="005071A1">
        <w:tab/>
        <w:t>at the time when the election is made, a non</w:t>
      </w:r>
      <w:r w:rsidR="004510F0">
        <w:noBreakHyphen/>
      </w:r>
      <w:r w:rsidRPr="005071A1">
        <w:t>contributory unit of pension is applicable in relation to the contributor; and</w:t>
      </w:r>
    </w:p>
    <w:p w14:paraId="7D1EC240" w14:textId="77777777" w:rsidR="00B33542" w:rsidRPr="005071A1" w:rsidRDefault="00B33542" w:rsidP="00B33542">
      <w:pPr>
        <w:pStyle w:val="paragraph"/>
      </w:pPr>
      <w:r w:rsidRPr="005071A1">
        <w:tab/>
        <w:t>(b)</w:t>
      </w:r>
      <w:r w:rsidRPr="005071A1">
        <w:tab/>
        <w:t>if the election had been made before the date as from which the non</w:t>
      </w:r>
      <w:r w:rsidR="004510F0">
        <w:noBreakHyphen/>
      </w:r>
      <w:r w:rsidRPr="005071A1">
        <w:t>contributory unit became applicable in relation to the contributor, the non</w:t>
      </w:r>
      <w:r w:rsidR="004510F0">
        <w:noBreakHyphen/>
      </w:r>
      <w:r w:rsidRPr="005071A1">
        <w:t xml:space="preserve">contributory unit would not have </w:t>
      </w:r>
      <w:r w:rsidRPr="005071A1">
        <w:lastRenderedPageBreak/>
        <w:t xml:space="preserve">become so applicable by reason of the operation of </w:t>
      </w:r>
      <w:r w:rsidR="008B2950" w:rsidRPr="005071A1">
        <w:t>subsection (</w:t>
      </w:r>
      <w:r w:rsidRPr="005071A1">
        <w:t>2) of section</w:t>
      </w:r>
      <w:r w:rsidR="008B2950" w:rsidRPr="005071A1">
        <w:t> </w:t>
      </w:r>
      <w:r w:rsidRPr="005071A1">
        <w:t xml:space="preserve">22A, </w:t>
      </w:r>
      <w:r w:rsidR="008B2950" w:rsidRPr="005071A1">
        <w:t>subsection (</w:t>
      </w:r>
      <w:r w:rsidRPr="005071A1">
        <w:t xml:space="preserve">3) or </w:t>
      </w:r>
      <w:r w:rsidR="008B2950" w:rsidRPr="005071A1">
        <w:t>subsection (</w:t>
      </w:r>
      <w:r w:rsidRPr="005071A1">
        <w:t>4) of section</w:t>
      </w:r>
      <w:r w:rsidR="008B2950" w:rsidRPr="005071A1">
        <w:t> </w:t>
      </w:r>
      <w:r w:rsidRPr="005071A1">
        <w:t xml:space="preserve">22B, or </w:t>
      </w:r>
      <w:r w:rsidR="008B2950" w:rsidRPr="005071A1">
        <w:t>subsection (</w:t>
      </w:r>
      <w:r w:rsidRPr="005071A1">
        <w:t>3) of section</w:t>
      </w:r>
      <w:r w:rsidR="008B2950" w:rsidRPr="005071A1">
        <w:t> </w:t>
      </w:r>
      <w:r w:rsidRPr="005071A1">
        <w:t xml:space="preserve">22C of this Act or </w:t>
      </w:r>
      <w:r w:rsidR="008B2950" w:rsidRPr="005071A1">
        <w:t>subsection (</w:t>
      </w:r>
      <w:r w:rsidRPr="005071A1">
        <w:t>7) of section</w:t>
      </w:r>
      <w:r w:rsidR="008B2950" w:rsidRPr="005071A1">
        <w:t> </w:t>
      </w:r>
      <w:r w:rsidRPr="005071A1">
        <w:t xml:space="preserve">31 of the </w:t>
      </w:r>
      <w:r w:rsidRPr="005071A1">
        <w:rPr>
          <w:i/>
        </w:rPr>
        <w:t>Superannuation Act (No.</w:t>
      </w:r>
      <w:r w:rsidR="008B2950" w:rsidRPr="005071A1">
        <w:rPr>
          <w:i/>
        </w:rPr>
        <w:t> </w:t>
      </w:r>
      <w:r w:rsidRPr="005071A1">
        <w:rPr>
          <w:i/>
        </w:rPr>
        <w:t>2) 1969</w:t>
      </w:r>
      <w:r w:rsidRPr="005071A1">
        <w:t>.</w:t>
      </w:r>
    </w:p>
    <w:p w14:paraId="200F107B" w14:textId="77777777" w:rsidR="00B33542" w:rsidRPr="005071A1" w:rsidRDefault="00B33542" w:rsidP="00B33542">
      <w:pPr>
        <w:pStyle w:val="subsection"/>
      </w:pPr>
      <w:r w:rsidRPr="005071A1">
        <w:tab/>
        <w:t>(4)</w:t>
      </w:r>
      <w:r w:rsidRPr="005071A1">
        <w:tab/>
        <w:t>Where the rate of the contributions payable for a unit of pension is, by reason of an election under this section, the same as the rate of the contributions paid into the Account in respect of a reserve unit of pension, the contributions so paid into the Account in respect of that reserve unit of pension shall be deemed to be contributions paid in respect of the first</w:t>
      </w:r>
      <w:r w:rsidR="004510F0">
        <w:noBreakHyphen/>
      </w:r>
      <w:r w:rsidRPr="005071A1">
        <w:t>mentioned unit of pension.</w:t>
      </w:r>
    </w:p>
    <w:p w14:paraId="7CF802A4" w14:textId="77777777" w:rsidR="00B33542" w:rsidRPr="005071A1" w:rsidRDefault="00B33542" w:rsidP="00B33542">
      <w:pPr>
        <w:pStyle w:val="subsection"/>
      </w:pPr>
      <w:r w:rsidRPr="005071A1">
        <w:tab/>
        <w:t>(5)</w:t>
      </w:r>
      <w:r w:rsidRPr="005071A1">
        <w:tab/>
        <w:t>A person is not entitled to make an election under this section after 30</w:t>
      </w:r>
      <w:r w:rsidR="008B2950" w:rsidRPr="005071A1">
        <w:t> </w:t>
      </w:r>
      <w:r w:rsidRPr="005071A1">
        <w:t>June 1976.</w:t>
      </w:r>
    </w:p>
    <w:p w14:paraId="518A441D" w14:textId="77777777" w:rsidR="00B33542" w:rsidRPr="005071A1" w:rsidRDefault="00B33542" w:rsidP="00B33542">
      <w:pPr>
        <w:pStyle w:val="ActHead5"/>
      </w:pPr>
      <w:bookmarkStart w:id="48" w:name="_Toc185577430"/>
      <w:r w:rsidRPr="004510F0">
        <w:rPr>
          <w:rStyle w:val="CharSectno"/>
        </w:rPr>
        <w:t>32</w:t>
      </w:r>
      <w:r w:rsidRPr="005071A1">
        <w:t xml:space="preserve">  Discontinuance of contributions for reserve units</w:t>
      </w:r>
      <w:bookmarkEnd w:id="48"/>
    </w:p>
    <w:p w14:paraId="4063F429" w14:textId="77777777" w:rsidR="00B33542" w:rsidRPr="005071A1" w:rsidRDefault="00B33542" w:rsidP="00B33542">
      <w:pPr>
        <w:pStyle w:val="subsection"/>
      </w:pPr>
      <w:r w:rsidRPr="005071A1">
        <w:tab/>
        <w:t>(1)</w:t>
      </w:r>
      <w:r w:rsidRPr="005071A1">
        <w:tab/>
        <w:t>A contributor who is contributing for one or more reserve units of pension may elect to discontinue his contributions in respect of any or all of those units, in which case he shall be paid from the Account the amount of the contributions already made by him in respect of those reserve units of pension, together with compound interest on those contributions at the specified rate from the respective dates of payment.</w:t>
      </w:r>
    </w:p>
    <w:p w14:paraId="559AAAC0" w14:textId="77777777" w:rsidR="00B33542" w:rsidRPr="005071A1" w:rsidRDefault="00B33542" w:rsidP="00B33542">
      <w:pPr>
        <w:pStyle w:val="subsection"/>
      </w:pPr>
      <w:r w:rsidRPr="005071A1">
        <w:tab/>
        <w:t>(2)</w:t>
      </w:r>
      <w:r w:rsidRPr="005071A1">
        <w:tab/>
        <w:t>Where a contributor who is contributing for one or more reserve units of pension ceases to be an employee, there shall be paid to him or to his personal representatives, from the Account, the amount of his contributions to the Account, together with compound interest on those contributions at the specified rate from the respective dates of payment.</w:t>
      </w:r>
    </w:p>
    <w:p w14:paraId="29956A22" w14:textId="77777777" w:rsidR="00B33542" w:rsidRPr="005071A1" w:rsidRDefault="00B33542" w:rsidP="00B33542">
      <w:pPr>
        <w:pStyle w:val="subsection"/>
      </w:pPr>
      <w:r w:rsidRPr="005071A1">
        <w:lastRenderedPageBreak/>
        <w:tab/>
        <w:t>(3)</w:t>
      </w:r>
      <w:r w:rsidRPr="005071A1">
        <w:tab/>
        <w:t xml:space="preserve">For the purposes of </w:t>
      </w:r>
      <w:r w:rsidR="008B2950" w:rsidRPr="005071A1">
        <w:t>subsections (</w:t>
      </w:r>
      <w:r w:rsidRPr="005071A1">
        <w:t xml:space="preserve">1) and (2), </w:t>
      </w:r>
      <w:r w:rsidRPr="005071A1">
        <w:rPr>
          <w:b/>
          <w:i/>
        </w:rPr>
        <w:t>the specified rate</w:t>
      </w:r>
      <w:r w:rsidRPr="005071A1">
        <w:t xml:space="preserve"> means, in relation to any period, a rate determined by the Board in respect of that period.</w:t>
      </w:r>
    </w:p>
    <w:p w14:paraId="641560C8" w14:textId="77777777" w:rsidR="00B33542" w:rsidRPr="005071A1" w:rsidRDefault="00B33542" w:rsidP="00B33542">
      <w:pPr>
        <w:pStyle w:val="subsection"/>
      </w:pPr>
      <w:r w:rsidRPr="005071A1">
        <w:tab/>
        <w:t>(4)</w:t>
      </w:r>
      <w:r w:rsidRPr="005071A1">
        <w:tab/>
        <w:t>Where a contributor who:</w:t>
      </w:r>
    </w:p>
    <w:p w14:paraId="232ECEF8" w14:textId="77777777" w:rsidR="00B33542" w:rsidRPr="005071A1" w:rsidRDefault="00B33542" w:rsidP="00B33542">
      <w:pPr>
        <w:pStyle w:val="paragraph"/>
      </w:pPr>
      <w:r w:rsidRPr="005071A1">
        <w:tab/>
        <w:t>(a)</w:t>
      </w:r>
      <w:r w:rsidRPr="005071A1">
        <w:tab/>
        <w:t>is contributing for at least one unit of pension at the appropriate rate based on a retiring age of sixty</w:t>
      </w:r>
      <w:r w:rsidR="004510F0">
        <w:noBreakHyphen/>
      </w:r>
      <w:r w:rsidRPr="005071A1">
        <w:t>five years; or</w:t>
      </w:r>
    </w:p>
    <w:p w14:paraId="55C6D2AA" w14:textId="77777777" w:rsidR="00B33542" w:rsidRPr="005071A1" w:rsidRDefault="00B33542" w:rsidP="00B33542">
      <w:pPr>
        <w:pStyle w:val="paragraph"/>
        <w:keepNext/>
      </w:pPr>
      <w:r w:rsidRPr="005071A1">
        <w:tab/>
        <w:t>(b)</w:t>
      </w:r>
      <w:r w:rsidRPr="005071A1">
        <w:tab/>
        <w:t xml:space="preserve">not being a person to whom </w:t>
      </w:r>
      <w:r w:rsidR="008B2950" w:rsidRPr="005071A1">
        <w:t>paragraph (</w:t>
      </w:r>
      <w:r w:rsidRPr="005071A1">
        <w:t>a) applies, has made an election under Division</w:t>
      </w:r>
      <w:r w:rsidR="008B2950" w:rsidRPr="005071A1">
        <w:t> </w:t>
      </w:r>
      <w:r w:rsidRPr="005071A1">
        <w:t>2A;</w:t>
      </w:r>
    </w:p>
    <w:p w14:paraId="478CA40A" w14:textId="77777777" w:rsidR="00B33542" w:rsidRPr="005071A1" w:rsidRDefault="00B33542" w:rsidP="00B33542">
      <w:pPr>
        <w:pStyle w:val="subsection2"/>
      </w:pPr>
      <w:r w:rsidRPr="005071A1">
        <w:t xml:space="preserve">and is contributing for one or more reserve units of pension at the appropriate rate based on a retiring age of sixty years makes an election under </w:t>
      </w:r>
      <w:r w:rsidR="008B2950" w:rsidRPr="005071A1">
        <w:t>subsection (</w:t>
      </w:r>
      <w:r w:rsidRPr="005071A1">
        <w:t xml:space="preserve">1) to discontinue his contributions in respect of those reserve units of pension (in this subsection referred to as </w:t>
      </w:r>
      <w:r w:rsidRPr="005071A1">
        <w:rPr>
          <w:b/>
          <w:i/>
        </w:rPr>
        <w:t>the discontinued units</w:t>
      </w:r>
      <w:r w:rsidRPr="005071A1">
        <w:t>):</w:t>
      </w:r>
    </w:p>
    <w:p w14:paraId="797DFD21" w14:textId="77777777" w:rsidR="00B33542" w:rsidRPr="005071A1" w:rsidRDefault="00B33542" w:rsidP="00B33542">
      <w:pPr>
        <w:pStyle w:val="paragraph"/>
      </w:pPr>
      <w:r w:rsidRPr="005071A1">
        <w:tab/>
        <w:t>(c)</w:t>
      </w:r>
      <w:r w:rsidRPr="005071A1">
        <w:tab/>
        <w:t xml:space="preserve">nothing in this Division prevents him from making an election at the same time under </w:t>
      </w:r>
      <w:r w:rsidR="008B2950" w:rsidRPr="005071A1">
        <w:t>subsection (</w:t>
      </w:r>
      <w:r w:rsidRPr="005071A1">
        <w:t>1) of section</w:t>
      </w:r>
      <w:r w:rsidR="008B2950" w:rsidRPr="005071A1">
        <w:t> </w:t>
      </w:r>
      <w:r w:rsidRPr="005071A1">
        <w:t xml:space="preserve">30 to contribute for a number of reserve units of pension (in this subsection referred to as </w:t>
      </w:r>
      <w:r w:rsidRPr="005071A1">
        <w:rPr>
          <w:b/>
          <w:i/>
        </w:rPr>
        <w:t>the new units</w:t>
      </w:r>
      <w:r w:rsidRPr="005071A1">
        <w:t>) not exceeding the number of the discontinued units at the appropriate rate based on a retiring age of sixty</w:t>
      </w:r>
      <w:r w:rsidR="004510F0">
        <w:noBreakHyphen/>
      </w:r>
      <w:r w:rsidRPr="005071A1">
        <w:t>five years; and</w:t>
      </w:r>
    </w:p>
    <w:p w14:paraId="7164D199" w14:textId="77777777" w:rsidR="00B33542" w:rsidRPr="005071A1" w:rsidRDefault="00B33542" w:rsidP="00B33542">
      <w:pPr>
        <w:pStyle w:val="paragraph"/>
      </w:pPr>
      <w:r w:rsidRPr="005071A1">
        <w:tab/>
        <w:t>(d)</w:t>
      </w:r>
      <w:r w:rsidRPr="005071A1">
        <w:tab/>
        <w:t xml:space="preserve">in the application of </w:t>
      </w:r>
      <w:r w:rsidR="008B2950" w:rsidRPr="005071A1">
        <w:t>subsection (</w:t>
      </w:r>
      <w:r w:rsidRPr="005071A1">
        <w:t>2) of section</w:t>
      </w:r>
      <w:r w:rsidR="008B2950" w:rsidRPr="005071A1">
        <w:t> </w:t>
      </w:r>
      <w:r w:rsidRPr="005071A1">
        <w:t>30 in relation to the contributor, such number of the discontinued units as does not exceed the number of the new units shall be disregarded.</w:t>
      </w:r>
    </w:p>
    <w:p w14:paraId="43C9C91A" w14:textId="77777777" w:rsidR="00B33542" w:rsidRPr="005071A1" w:rsidRDefault="00B33542" w:rsidP="00B33542">
      <w:pPr>
        <w:pStyle w:val="subsection"/>
      </w:pPr>
      <w:r w:rsidRPr="005071A1">
        <w:tab/>
        <w:t>(5)</w:t>
      </w:r>
      <w:r w:rsidRPr="005071A1">
        <w:tab/>
        <w:t>A person is not entitled to make an election under this section after 30</w:t>
      </w:r>
      <w:r w:rsidR="008B2950" w:rsidRPr="005071A1">
        <w:t> </w:t>
      </w:r>
      <w:r w:rsidRPr="005071A1">
        <w:t>June 1976.</w:t>
      </w:r>
    </w:p>
    <w:p w14:paraId="2F34C14A" w14:textId="77777777" w:rsidR="00B33542" w:rsidRPr="005071A1" w:rsidRDefault="00B33542" w:rsidP="002477D1">
      <w:pPr>
        <w:pStyle w:val="ActHead3"/>
        <w:pageBreakBefore/>
      </w:pPr>
      <w:bookmarkStart w:id="49" w:name="_Toc185577431"/>
      <w:r w:rsidRPr="004510F0">
        <w:rPr>
          <w:rStyle w:val="CharDivNo"/>
        </w:rPr>
        <w:lastRenderedPageBreak/>
        <w:t>Division</w:t>
      </w:r>
      <w:r w:rsidR="008B2950" w:rsidRPr="004510F0">
        <w:rPr>
          <w:rStyle w:val="CharDivNo"/>
        </w:rPr>
        <w:t> </w:t>
      </w:r>
      <w:r w:rsidRPr="004510F0">
        <w:rPr>
          <w:rStyle w:val="CharDivNo"/>
        </w:rPr>
        <w:t>6</w:t>
      </w:r>
      <w:r w:rsidRPr="005071A1">
        <w:t>—</w:t>
      </w:r>
      <w:r w:rsidRPr="004510F0">
        <w:rPr>
          <w:rStyle w:val="CharDivText"/>
        </w:rPr>
        <w:t>Contributions by the Commonwealth</w:t>
      </w:r>
      <w:bookmarkEnd w:id="49"/>
    </w:p>
    <w:p w14:paraId="15E7FB5E" w14:textId="77777777" w:rsidR="00B33542" w:rsidRPr="005071A1" w:rsidRDefault="00B33542" w:rsidP="00B33542">
      <w:pPr>
        <w:pStyle w:val="ActHead5"/>
      </w:pPr>
      <w:bookmarkStart w:id="50" w:name="_Toc185577432"/>
      <w:r w:rsidRPr="004510F0">
        <w:rPr>
          <w:rStyle w:val="CharSectno"/>
        </w:rPr>
        <w:t>33</w:t>
      </w:r>
      <w:r w:rsidRPr="005071A1">
        <w:t xml:space="preserve">  Payments out of Consolidated Revenue Fund</w:t>
      </w:r>
      <w:bookmarkEnd w:id="50"/>
    </w:p>
    <w:p w14:paraId="7FA3038F" w14:textId="77777777" w:rsidR="00B33542" w:rsidRPr="005071A1" w:rsidRDefault="00B33542" w:rsidP="00B33542">
      <w:pPr>
        <w:pStyle w:val="subsection"/>
      </w:pPr>
      <w:r w:rsidRPr="005071A1">
        <w:tab/>
        <w:t>(1)</w:t>
      </w:r>
      <w:r w:rsidRPr="005071A1">
        <w:tab/>
        <w:t xml:space="preserve">This section has effect except as otherwise provided by this Act, the </w:t>
      </w:r>
      <w:r w:rsidRPr="005071A1">
        <w:rPr>
          <w:i/>
        </w:rPr>
        <w:t>Superannuation Act 1959</w:t>
      </w:r>
      <w:r w:rsidRPr="005071A1">
        <w:t xml:space="preserve"> or the </w:t>
      </w:r>
      <w:r w:rsidRPr="005071A1">
        <w:rPr>
          <w:i/>
        </w:rPr>
        <w:t>Superannuation Act 1963</w:t>
      </w:r>
      <w:r w:rsidRPr="005071A1">
        <w:t>.</w:t>
      </w:r>
    </w:p>
    <w:p w14:paraId="2BCC90EB" w14:textId="77777777" w:rsidR="00B33542" w:rsidRPr="005071A1" w:rsidRDefault="00B33542" w:rsidP="00B33542">
      <w:pPr>
        <w:pStyle w:val="subsection"/>
      </w:pPr>
      <w:r w:rsidRPr="005071A1">
        <w:tab/>
        <w:t>(2)</w:t>
      </w:r>
      <w:r w:rsidRPr="005071A1">
        <w:tab/>
        <w:t xml:space="preserve">Subject to </w:t>
      </w:r>
      <w:r w:rsidR="008B2950" w:rsidRPr="005071A1">
        <w:t>subsections (</w:t>
      </w:r>
      <w:r w:rsidRPr="005071A1">
        <w:t>2A), (3), (4) and (5), the Commonwealth shall pay to the Fund an amount equal to five</w:t>
      </w:r>
      <w:r w:rsidR="004510F0">
        <w:noBreakHyphen/>
      </w:r>
      <w:r w:rsidRPr="005071A1">
        <w:t>sevenths of each payment of pension.</w:t>
      </w:r>
    </w:p>
    <w:p w14:paraId="61E04689" w14:textId="77777777" w:rsidR="00B33542" w:rsidRPr="005071A1" w:rsidRDefault="00B33542" w:rsidP="00B33542">
      <w:pPr>
        <w:pStyle w:val="subsection"/>
      </w:pPr>
      <w:r w:rsidRPr="005071A1">
        <w:tab/>
        <w:t>(2A)</w:t>
      </w:r>
      <w:r w:rsidRPr="005071A1">
        <w:tab/>
        <w:t>The Commonwealth shall pay to the Fund an amount equal to each payment of pension that is made in respect of non</w:t>
      </w:r>
      <w:r w:rsidR="004510F0">
        <w:noBreakHyphen/>
      </w:r>
      <w:r w:rsidRPr="005071A1">
        <w:t>contributory units of pension.</w:t>
      </w:r>
    </w:p>
    <w:p w14:paraId="73FED454" w14:textId="77777777" w:rsidR="00B33542" w:rsidRPr="005071A1" w:rsidRDefault="00B33542" w:rsidP="00B33542">
      <w:pPr>
        <w:pStyle w:val="subsection"/>
        <w:spacing w:after="120"/>
      </w:pPr>
      <w:r w:rsidRPr="005071A1">
        <w:tab/>
        <w:t>(3)</w:t>
      </w:r>
      <w:r w:rsidRPr="005071A1">
        <w:tab/>
        <w:t xml:space="preserve">Subject to </w:t>
      </w:r>
      <w:r w:rsidR="008B2950" w:rsidRPr="005071A1">
        <w:t>subsections (</w:t>
      </w:r>
      <w:r w:rsidRPr="005071A1">
        <w:t>4) and (5), in the case of a unit of pension for which contributions were made at a rate applicable to an age younger than the contributor’s age at the date on which he commenced to make those contributions, the Commonwealth shall pay to the Fund an amount equal to the following proportion of each payment of pension in respect of that unit, that is to say,</w:t>
      </w:r>
    </w:p>
    <w:p w14:paraId="12247D33" w14:textId="77777777" w:rsidR="00B33542" w:rsidRPr="005071A1" w:rsidRDefault="009B7AF5" w:rsidP="009B7AF5">
      <w:pPr>
        <w:pStyle w:val="subsection"/>
        <w:spacing w:before="120" w:after="120"/>
      </w:pPr>
      <w:r w:rsidRPr="005071A1">
        <w:tab/>
      </w:r>
      <w:r w:rsidRPr="005071A1">
        <w:tab/>
      </w:r>
      <w:r w:rsidR="00E02FDA" w:rsidRPr="005071A1">
        <w:rPr>
          <w:noProof/>
        </w:rPr>
        <w:drawing>
          <wp:inline distT="0" distB="0" distL="0" distR="0" wp14:anchorId="67BC287F" wp14:editId="386A7EA8">
            <wp:extent cx="655320" cy="354965"/>
            <wp:effectExtent l="0" t="0" r="0" b="0"/>
            <wp:docPr id="5" name="Picture 5" descr="Start formula start fraction 7A minus 2B over 7A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5320" cy="354965"/>
                    </a:xfrm>
                    <a:prstGeom prst="rect">
                      <a:avLst/>
                    </a:prstGeom>
                    <a:noFill/>
                    <a:ln>
                      <a:noFill/>
                    </a:ln>
                  </pic:spPr>
                </pic:pic>
              </a:graphicData>
            </a:graphic>
          </wp:inline>
        </w:drawing>
      </w:r>
    </w:p>
    <w:p w14:paraId="1CE3C98C" w14:textId="77777777" w:rsidR="00B33542" w:rsidRPr="005071A1" w:rsidRDefault="00B33542" w:rsidP="00B33542">
      <w:pPr>
        <w:pStyle w:val="subsection2"/>
        <w:spacing w:before="180"/>
      </w:pPr>
      <w:r w:rsidRPr="005071A1">
        <w:t>where:</w:t>
      </w:r>
    </w:p>
    <w:p w14:paraId="69B7C64A" w14:textId="77777777" w:rsidR="00B33542" w:rsidRPr="005071A1" w:rsidRDefault="00B33542" w:rsidP="00B33542">
      <w:pPr>
        <w:pStyle w:val="Definition"/>
      </w:pPr>
      <w:r w:rsidRPr="005071A1">
        <w:rPr>
          <w:b/>
          <w:i/>
        </w:rPr>
        <w:t>A</w:t>
      </w:r>
      <w:r w:rsidRPr="005071A1">
        <w:t xml:space="preserve"> is the rate of contributions applicable to the age of the contributor at the date upon which he commenced to pay contributions; and</w:t>
      </w:r>
    </w:p>
    <w:p w14:paraId="4A3EFB32" w14:textId="77777777" w:rsidR="00B33542" w:rsidRPr="005071A1" w:rsidRDefault="00B33542" w:rsidP="00B33542">
      <w:pPr>
        <w:pStyle w:val="Definition"/>
      </w:pPr>
      <w:r w:rsidRPr="005071A1">
        <w:rPr>
          <w:b/>
          <w:i/>
        </w:rPr>
        <w:t xml:space="preserve">B </w:t>
      </w:r>
      <w:r w:rsidRPr="005071A1">
        <w:t>is the rate of contributions at which contributions were actually made.</w:t>
      </w:r>
    </w:p>
    <w:p w14:paraId="6D377FBC" w14:textId="77777777" w:rsidR="00B33542" w:rsidRPr="005071A1" w:rsidRDefault="00B33542" w:rsidP="00B33542">
      <w:pPr>
        <w:pStyle w:val="subsection"/>
      </w:pPr>
      <w:r w:rsidRPr="005071A1">
        <w:lastRenderedPageBreak/>
        <w:tab/>
        <w:t>(4)</w:t>
      </w:r>
      <w:r w:rsidRPr="005071A1">
        <w:tab/>
        <w:t>Where:</w:t>
      </w:r>
    </w:p>
    <w:p w14:paraId="052C2F95" w14:textId="77777777" w:rsidR="00B33542" w:rsidRPr="005071A1" w:rsidRDefault="00B33542" w:rsidP="00B33542">
      <w:pPr>
        <w:pStyle w:val="paragraph"/>
      </w:pPr>
      <w:r w:rsidRPr="005071A1">
        <w:tab/>
        <w:t>(a)</w:t>
      </w:r>
      <w:r w:rsidRPr="005071A1">
        <w:tab/>
        <w:t xml:space="preserve">a contributor referred to in </w:t>
      </w:r>
      <w:r w:rsidR="008B2950" w:rsidRPr="005071A1">
        <w:t>subsection (</w:t>
      </w:r>
      <w:r w:rsidRPr="005071A1">
        <w:t>1) of section</w:t>
      </w:r>
      <w:r w:rsidR="008B2950" w:rsidRPr="005071A1">
        <w:t> </w:t>
      </w:r>
      <w:r w:rsidRPr="005071A1">
        <w:t>46; or</w:t>
      </w:r>
    </w:p>
    <w:p w14:paraId="0B2A2A58" w14:textId="77777777" w:rsidR="00B33542" w:rsidRPr="005071A1" w:rsidRDefault="00B33542" w:rsidP="00B33542">
      <w:pPr>
        <w:pStyle w:val="paragraph"/>
        <w:keepNext/>
      </w:pPr>
      <w:r w:rsidRPr="005071A1">
        <w:tab/>
        <w:t>(b)</w:t>
      </w:r>
      <w:r w:rsidRPr="005071A1">
        <w:tab/>
        <w:t xml:space="preserve">a pensioner referred to in </w:t>
      </w:r>
      <w:r w:rsidR="008B2950" w:rsidRPr="005071A1">
        <w:t>subsection (</w:t>
      </w:r>
      <w:r w:rsidRPr="005071A1">
        <w:t>1) of section</w:t>
      </w:r>
      <w:r w:rsidR="008B2950" w:rsidRPr="005071A1">
        <w:t> </w:t>
      </w:r>
      <w:r w:rsidRPr="005071A1">
        <w:t>47;</w:t>
      </w:r>
    </w:p>
    <w:p w14:paraId="6BA722D2" w14:textId="77777777" w:rsidR="00B33542" w:rsidRPr="005071A1" w:rsidRDefault="00B33542" w:rsidP="00B33542">
      <w:pPr>
        <w:pStyle w:val="subsection2"/>
      </w:pPr>
      <w:r w:rsidRPr="005071A1">
        <w:t>was entitled to make an election under section</w:t>
      </w:r>
      <w:r w:rsidR="008B2950" w:rsidRPr="005071A1">
        <w:t> </w:t>
      </w:r>
      <w:r w:rsidRPr="005071A1">
        <w:t>26 but did not make such an election, the Commonwealth shall pay to the Fund, in respect of each payment of pension to his widow in respect of each unit of pension for which he was contributing immediately before 14</w:t>
      </w:r>
      <w:r w:rsidR="008B2950" w:rsidRPr="005071A1">
        <w:t> </w:t>
      </w:r>
      <w:r w:rsidRPr="005071A1">
        <w:t>December 1959, the sum of:</w:t>
      </w:r>
    </w:p>
    <w:p w14:paraId="05EFBC9E" w14:textId="77777777" w:rsidR="00B33542" w:rsidRPr="005071A1" w:rsidRDefault="00B33542" w:rsidP="00B33542">
      <w:pPr>
        <w:pStyle w:val="paragraph"/>
      </w:pPr>
      <w:r w:rsidRPr="005071A1">
        <w:tab/>
        <w:t>(c)</w:t>
      </w:r>
      <w:r w:rsidRPr="005071A1">
        <w:tab/>
        <w:t>the amount that the Commonwealth would have paid if the contributor had made an election under section</w:t>
      </w:r>
      <w:r w:rsidR="008B2950" w:rsidRPr="005071A1">
        <w:t> </w:t>
      </w:r>
      <w:r w:rsidRPr="005071A1">
        <w:t>26; and</w:t>
      </w:r>
    </w:p>
    <w:p w14:paraId="5923A348" w14:textId="77777777" w:rsidR="00B33542" w:rsidRPr="005071A1" w:rsidRDefault="00B33542" w:rsidP="00B33542">
      <w:pPr>
        <w:pStyle w:val="paragraph"/>
      </w:pPr>
      <w:r w:rsidRPr="005071A1">
        <w:tab/>
        <w:t>(d)</w:t>
      </w:r>
      <w:r w:rsidRPr="005071A1">
        <w:tab/>
        <w:t>an amount equal to five</w:t>
      </w:r>
      <w:r w:rsidR="004510F0">
        <w:noBreakHyphen/>
      </w:r>
      <w:r w:rsidRPr="005071A1">
        <w:t>sevenths of the amount by which the pension payable to the widow in respect of each of those units is increased by reason of the contributor not having made such an election.</w:t>
      </w:r>
    </w:p>
    <w:p w14:paraId="473BEF9A" w14:textId="77777777" w:rsidR="00B33542" w:rsidRPr="005071A1" w:rsidRDefault="00B33542" w:rsidP="00B33542">
      <w:pPr>
        <w:pStyle w:val="subsection"/>
      </w:pPr>
      <w:r w:rsidRPr="005071A1">
        <w:tab/>
        <w:t>(5)</w:t>
      </w:r>
      <w:r w:rsidRPr="005071A1">
        <w:tab/>
        <w:t>Where a pension becomes payable under section</w:t>
      </w:r>
      <w:r w:rsidR="008B2950" w:rsidRPr="005071A1">
        <w:t> </w:t>
      </w:r>
      <w:r w:rsidRPr="005071A1">
        <w:t>47 to the widow of a pensioner who became entitled to a pension on or before 14</w:t>
      </w:r>
      <w:r w:rsidR="008B2950" w:rsidRPr="005071A1">
        <w:t> </w:t>
      </w:r>
      <w:r w:rsidRPr="005071A1">
        <w:t>December 1959, the Commonwealth shall pay to the Fund an amount equal to the sum of:</w:t>
      </w:r>
    </w:p>
    <w:p w14:paraId="6163B6BE" w14:textId="77777777" w:rsidR="00B33542" w:rsidRPr="005071A1" w:rsidRDefault="00B33542" w:rsidP="00B33542">
      <w:pPr>
        <w:pStyle w:val="paragraph"/>
      </w:pPr>
      <w:r w:rsidRPr="005071A1">
        <w:tab/>
        <w:t>(a)</w:t>
      </w:r>
      <w:r w:rsidRPr="005071A1">
        <w:tab/>
        <w:t xml:space="preserve">the amount that would have been payable by the Commonwealth to the Fund in respect of each payment of pension to the widow if the </w:t>
      </w:r>
      <w:r w:rsidRPr="005071A1">
        <w:rPr>
          <w:i/>
        </w:rPr>
        <w:t>Superannuation Act 1959</w:t>
      </w:r>
      <w:r w:rsidRPr="005071A1">
        <w:t xml:space="preserve"> had not been enacted; and</w:t>
      </w:r>
    </w:p>
    <w:p w14:paraId="49668205" w14:textId="77777777" w:rsidR="00B33542" w:rsidRPr="005071A1" w:rsidRDefault="00B33542" w:rsidP="00B33542">
      <w:pPr>
        <w:pStyle w:val="paragraph"/>
      </w:pPr>
      <w:r w:rsidRPr="005071A1">
        <w:tab/>
        <w:t>(b)</w:t>
      </w:r>
      <w:r w:rsidRPr="005071A1">
        <w:tab/>
        <w:t>the amount by which each payment of pension to the widow is increased by reason of the enactment of that Act.</w:t>
      </w:r>
    </w:p>
    <w:p w14:paraId="7C96E257" w14:textId="77777777" w:rsidR="00B33542" w:rsidRPr="005071A1" w:rsidRDefault="00B33542" w:rsidP="00B33542">
      <w:pPr>
        <w:pStyle w:val="subsection"/>
      </w:pPr>
      <w:r w:rsidRPr="005071A1">
        <w:tab/>
        <w:t>(6)</w:t>
      </w:r>
      <w:r w:rsidRPr="005071A1">
        <w:tab/>
      </w:r>
      <w:r w:rsidR="008B2950" w:rsidRPr="005071A1">
        <w:t>Subsections (</w:t>
      </w:r>
      <w:r w:rsidRPr="005071A1">
        <w:t>2A), (3), (4) and (5) do not apply in respect of a payment of pension in respect of a child.</w:t>
      </w:r>
    </w:p>
    <w:p w14:paraId="43760C5B" w14:textId="77777777" w:rsidR="00B33542" w:rsidRPr="005071A1" w:rsidRDefault="00B33542" w:rsidP="00B33542">
      <w:pPr>
        <w:pStyle w:val="subsection"/>
        <w:keepNext/>
        <w:spacing w:after="120"/>
      </w:pPr>
      <w:r w:rsidRPr="005071A1">
        <w:tab/>
        <w:t>(7)</w:t>
      </w:r>
      <w:r w:rsidRPr="005071A1">
        <w:tab/>
        <w:t xml:space="preserve">Where a payment of pension is made in respect of a child and the rate of the pension is, in accordance with </w:t>
      </w:r>
      <w:r w:rsidR="008B2950" w:rsidRPr="005071A1">
        <w:t>subsection (</w:t>
      </w:r>
      <w:r w:rsidRPr="005071A1">
        <w:t>5) of section</w:t>
      </w:r>
      <w:r w:rsidR="008B2950" w:rsidRPr="005071A1">
        <w:t> </w:t>
      </w:r>
      <w:r w:rsidRPr="005071A1">
        <w:t xml:space="preserve">46, </w:t>
      </w:r>
      <w:r w:rsidR="008B2950" w:rsidRPr="005071A1">
        <w:t>subsection (</w:t>
      </w:r>
      <w:r w:rsidRPr="005071A1">
        <w:t>5) of section</w:t>
      </w:r>
      <w:r w:rsidR="008B2950" w:rsidRPr="005071A1">
        <w:t> </w:t>
      </w:r>
      <w:r w:rsidRPr="005071A1">
        <w:t xml:space="preserve">47, or </w:t>
      </w:r>
      <w:r w:rsidR="008B2950" w:rsidRPr="005071A1">
        <w:t>subsection (</w:t>
      </w:r>
      <w:r w:rsidRPr="005071A1">
        <w:t>2) of section</w:t>
      </w:r>
      <w:r w:rsidR="008B2950" w:rsidRPr="005071A1">
        <w:t> </w:t>
      </w:r>
      <w:r w:rsidRPr="005071A1">
        <w:t xml:space="preserve">48, determined in whole or in part by reference to the pension that would, but for her death or divorce, have been payable to the widow or wife referred to in whichever of those subsections </w:t>
      </w:r>
      <w:r w:rsidRPr="005071A1">
        <w:lastRenderedPageBreak/>
        <w:t xml:space="preserve">is applicable, the Commonwealth shall, in lieu of any other amount payable by the Commonwealth to the Fund under </w:t>
      </w:r>
      <w:r w:rsidR="008B2950" w:rsidRPr="005071A1">
        <w:t>subsection (</w:t>
      </w:r>
      <w:r w:rsidRPr="005071A1">
        <w:t>2) of this section in respect of the payment of pension, pay to the Fund, in respect of the payment of pension, an amount determined in accordance with the formula:</w:t>
      </w:r>
    </w:p>
    <w:p w14:paraId="22C4D681" w14:textId="77777777" w:rsidR="00B33542" w:rsidRPr="005071A1" w:rsidRDefault="009B7AF5" w:rsidP="009B7AF5">
      <w:pPr>
        <w:pStyle w:val="subsection"/>
        <w:spacing w:before="120" w:after="120"/>
      </w:pPr>
      <w:r w:rsidRPr="005071A1">
        <w:tab/>
      </w:r>
      <w:r w:rsidRPr="005071A1">
        <w:tab/>
      </w:r>
      <w:r w:rsidR="00E02FDA" w:rsidRPr="005071A1">
        <w:rPr>
          <w:noProof/>
        </w:rPr>
        <w:drawing>
          <wp:inline distT="0" distB="0" distL="0" distR="0" wp14:anchorId="6889C9CC" wp14:editId="090F7DFD">
            <wp:extent cx="504825" cy="354965"/>
            <wp:effectExtent l="0" t="0" r="0" b="0"/>
            <wp:docPr id="6" name="Picture 6" descr="Start formula A plus start fraction 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825" cy="354965"/>
                    </a:xfrm>
                    <a:prstGeom prst="rect">
                      <a:avLst/>
                    </a:prstGeom>
                    <a:noFill/>
                    <a:ln>
                      <a:noFill/>
                    </a:ln>
                  </pic:spPr>
                </pic:pic>
              </a:graphicData>
            </a:graphic>
          </wp:inline>
        </w:drawing>
      </w:r>
    </w:p>
    <w:p w14:paraId="7465C55D" w14:textId="77777777" w:rsidR="00B33542" w:rsidRPr="005071A1" w:rsidRDefault="00B33542" w:rsidP="00B33542">
      <w:pPr>
        <w:pStyle w:val="subsection2"/>
        <w:spacing w:before="180"/>
      </w:pPr>
      <w:r w:rsidRPr="005071A1">
        <w:t>where:</w:t>
      </w:r>
    </w:p>
    <w:p w14:paraId="7F516AF4" w14:textId="77777777" w:rsidR="00B33542" w:rsidRPr="005071A1" w:rsidRDefault="00B33542" w:rsidP="00B33542">
      <w:pPr>
        <w:pStyle w:val="Definition"/>
      </w:pPr>
      <w:r w:rsidRPr="005071A1">
        <w:rPr>
          <w:b/>
          <w:i/>
        </w:rPr>
        <w:t xml:space="preserve">A </w:t>
      </w:r>
      <w:r w:rsidRPr="005071A1">
        <w:t>is five</w:t>
      </w:r>
      <w:r w:rsidR="004510F0">
        <w:noBreakHyphen/>
      </w:r>
      <w:r w:rsidRPr="005071A1">
        <w:t>sevenths of the amount that would have been the amount of that payment of pension if the pension had been payable at the rate of $208 per annum.</w:t>
      </w:r>
    </w:p>
    <w:p w14:paraId="718121AD" w14:textId="77777777" w:rsidR="00B33542" w:rsidRPr="005071A1" w:rsidRDefault="00B33542" w:rsidP="00B33542">
      <w:pPr>
        <w:pStyle w:val="Definition"/>
      </w:pPr>
      <w:r w:rsidRPr="005071A1">
        <w:rPr>
          <w:b/>
          <w:i/>
        </w:rPr>
        <w:t xml:space="preserve">B </w:t>
      </w:r>
      <w:r w:rsidRPr="005071A1">
        <w:t xml:space="preserve">is the amount that, if the widow or the wife had survived or had not been divorced and a payment of pension had been made to her by virtue of </w:t>
      </w:r>
      <w:r w:rsidR="008B2950" w:rsidRPr="005071A1">
        <w:t>subsection (</w:t>
      </w:r>
      <w:r w:rsidRPr="005071A1">
        <w:t>1) of section</w:t>
      </w:r>
      <w:r w:rsidR="008B2950" w:rsidRPr="005071A1">
        <w:t> </w:t>
      </w:r>
      <w:r w:rsidRPr="005071A1">
        <w:t xml:space="preserve">46 or </w:t>
      </w:r>
      <w:r w:rsidR="008B2950" w:rsidRPr="005071A1">
        <w:t>subsection (</w:t>
      </w:r>
      <w:r w:rsidRPr="005071A1">
        <w:t>1) of section</w:t>
      </w:r>
      <w:r w:rsidR="008B2950" w:rsidRPr="005071A1">
        <w:t> </w:t>
      </w:r>
      <w:r w:rsidRPr="005071A1">
        <w:t>47, as the case may be, for the same period as the period for which the payment of pension in respect of the child was made, would have been payable by the Commonwealth to the Fund in respect of the payment of pension to the widow or wife; and</w:t>
      </w:r>
    </w:p>
    <w:p w14:paraId="01F5E09D" w14:textId="77777777" w:rsidR="00B33542" w:rsidRPr="005071A1" w:rsidRDefault="00B33542" w:rsidP="00B33542">
      <w:pPr>
        <w:pStyle w:val="Definition"/>
      </w:pPr>
      <w:r w:rsidRPr="005071A1">
        <w:rPr>
          <w:b/>
          <w:i/>
        </w:rPr>
        <w:t xml:space="preserve">C </w:t>
      </w:r>
      <w:r w:rsidRPr="005071A1">
        <w:t xml:space="preserve">is the number that, in relation to the pension payable in respect of the child, is the divisor for the purposes of </w:t>
      </w:r>
      <w:r w:rsidR="008B2950" w:rsidRPr="005071A1">
        <w:t>subsection (</w:t>
      </w:r>
      <w:r w:rsidRPr="005071A1">
        <w:t>5) of section</w:t>
      </w:r>
      <w:r w:rsidR="008B2950" w:rsidRPr="005071A1">
        <w:t> </w:t>
      </w:r>
      <w:r w:rsidRPr="005071A1">
        <w:t xml:space="preserve">46, </w:t>
      </w:r>
      <w:r w:rsidR="008B2950" w:rsidRPr="005071A1">
        <w:t>subsection (</w:t>
      </w:r>
      <w:r w:rsidRPr="005071A1">
        <w:t>5) of section</w:t>
      </w:r>
      <w:r w:rsidR="008B2950" w:rsidRPr="005071A1">
        <w:t> </w:t>
      </w:r>
      <w:r w:rsidRPr="005071A1">
        <w:t xml:space="preserve">47, or </w:t>
      </w:r>
      <w:r w:rsidR="008B2950" w:rsidRPr="005071A1">
        <w:t>subsection (</w:t>
      </w:r>
      <w:r w:rsidRPr="005071A1">
        <w:t>2) of section</w:t>
      </w:r>
      <w:r w:rsidR="008B2950" w:rsidRPr="005071A1">
        <w:t> </w:t>
      </w:r>
      <w:r w:rsidRPr="005071A1">
        <w:t>48, whichever subsection is applicable.</w:t>
      </w:r>
    </w:p>
    <w:p w14:paraId="50B696C4" w14:textId="77777777" w:rsidR="00B33542" w:rsidRPr="005071A1" w:rsidRDefault="00B33542" w:rsidP="00B33542">
      <w:pPr>
        <w:pStyle w:val="subsection"/>
      </w:pPr>
      <w:r w:rsidRPr="005071A1">
        <w:tab/>
        <w:t>(8)</w:t>
      </w:r>
      <w:r w:rsidRPr="005071A1">
        <w:tab/>
        <w:t>The preceding provisions of this section do not have effect on and after 1</w:t>
      </w:r>
      <w:r w:rsidR="008B2950" w:rsidRPr="005071A1">
        <w:t> </w:t>
      </w:r>
      <w:r w:rsidRPr="005071A1">
        <w:t>July 1976.</w:t>
      </w:r>
    </w:p>
    <w:p w14:paraId="07C2ABBC" w14:textId="77777777" w:rsidR="00B33542" w:rsidRPr="005071A1" w:rsidRDefault="00B33542" w:rsidP="002477D1">
      <w:pPr>
        <w:pStyle w:val="ActHead3"/>
        <w:pageBreakBefore/>
      </w:pPr>
      <w:bookmarkStart w:id="51" w:name="_Toc185577433"/>
      <w:r w:rsidRPr="004510F0">
        <w:rPr>
          <w:rStyle w:val="CharDivNo"/>
        </w:rPr>
        <w:lastRenderedPageBreak/>
        <w:t>Division</w:t>
      </w:r>
      <w:r w:rsidR="008B2950" w:rsidRPr="004510F0">
        <w:rPr>
          <w:rStyle w:val="CharDivNo"/>
        </w:rPr>
        <w:t> </w:t>
      </w:r>
      <w:r w:rsidRPr="004510F0">
        <w:rPr>
          <w:rStyle w:val="CharDivNo"/>
        </w:rPr>
        <w:t>7</w:t>
      </w:r>
      <w:r w:rsidRPr="005071A1">
        <w:t>—</w:t>
      </w:r>
      <w:r w:rsidRPr="004510F0">
        <w:rPr>
          <w:rStyle w:val="CharDivText"/>
        </w:rPr>
        <w:t>General provisions as to contributions</w:t>
      </w:r>
      <w:bookmarkEnd w:id="51"/>
    </w:p>
    <w:p w14:paraId="5242FD33" w14:textId="77777777" w:rsidR="00B33542" w:rsidRPr="005071A1" w:rsidRDefault="00B33542" w:rsidP="00B33542">
      <w:pPr>
        <w:pStyle w:val="ActHead5"/>
      </w:pPr>
      <w:bookmarkStart w:id="52" w:name="_Toc185577434"/>
      <w:r w:rsidRPr="004510F0">
        <w:rPr>
          <w:rStyle w:val="CharSectno"/>
        </w:rPr>
        <w:t>34</w:t>
      </w:r>
      <w:r w:rsidRPr="005071A1">
        <w:t xml:space="preserve">  Employees on leave of absence</w:t>
      </w:r>
      <w:bookmarkEnd w:id="52"/>
    </w:p>
    <w:p w14:paraId="6EF86651" w14:textId="77777777" w:rsidR="00B33542" w:rsidRPr="005071A1" w:rsidRDefault="00B33542" w:rsidP="00B33542">
      <w:pPr>
        <w:pStyle w:val="subsection"/>
      </w:pPr>
      <w:r w:rsidRPr="005071A1">
        <w:tab/>
      </w:r>
      <w:r w:rsidRPr="005071A1">
        <w:tab/>
        <w:t>A contributor who is on leave of absence, either with or without pay, shall, subject to section</w:t>
      </w:r>
      <w:r w:rsidR="008B2950" w:rsidRPr="005071A1">
        <w:t> </w:t>
      </w:r>
      <w:r w:rsidRPr="005071A1">
        <w:t>35A, pay his contributions during or in respect of the period of leave, as for a period of service, without reduction.</w:t>
      </w:r>
    </w:p>
    <w:p w14:paraId="4A7A14A1" w14:textId="77777777" w:rsidR="00B33542" w:rsidRPr="005071A1" w:rsidRDefault="00B33542" w:rsidP="00B33542">
      <w:pPr>
        <w:pStyle w:val="ActHead5"/>
      </w:pPr>
      <w:bookmarkStart w:id="53" w:name="_Toc185577435"/>
      <w:r w:rsidRPr="004510F0">
        <w:rPr>
          <w:rStyle w:val="CharSectno"/>
        </w:rPr>
        <w:t>35</w:t>
      </w:r>
      <w:r w:rsidRPr="005071A1">
        <w:t xml:space="preserve">  Manner of payment—deduction from wages or salaries</w:t>
      </w:r>
      <w:bookmarkEnd w:id="53"/>
    </w:p>
    <w:p w14:paraId="48765136" w14:textId="77777777" w:rsidR="00B33542" w:rsidRPr="005071A1" w:rsidRDefault="00B33542" w:rsidP="00B33542">
      <w:pPr>
        <w:pStyle w:val="subsection"/>
      </w:pPr>
      <w:r w:rsidRPr="005071A1">
        <w:tab/>
      </w:r>
      <w:r w:rsidRPr="005071A1">
        <w:tab/>
        <w:t>The contributions of contributors shall, subject to section</w:t>
      </w:r>
      <w:r w:rsidR="008B2950" w:rsidRPr="005071A1">
        <w:t> </w:t>
      </w:r>
      <w:r w:rsidRPr="005071A1">
        <w:t>35A, be deducted from their salaries at each payment of salaries, and shall be paid, without deduction for postage, forwarding, or exchange, to the Board:</w:t>
      </w:r>
    </w:p>
    <w:p w14:paraId="7E164D98" w14:textId="77777777" w:rsidR="00B33542" w:rsidRPr="005071A1" w:rsidRDefault="00B33542" w:rsidP="00B33542">
      <w:pPr>
        <w:pStyle w:val="subsection2"/>
      </w:pPr>
      <w:r w:rsidRPr="005071A1">
        <w:t>Provided that where a contributor is on leave of absence through illness, either without pay or at less than full pay, the Board may, upon his application, permit the contributions falling due during his absence to be paid by him in such smaller sums, and at such periods, as the Board approves.</w:t>
      </w:r>
    </w:p>
    <w:p w14:paraId="38ABBD46" w14:textId="77777777" w:rsidR="00B33542" w:rsidRPr="005071A1" w:rsidRDefault="00B33542" w:rsidP="00B33542">
      <w:pPr>
        <w:pStyle w:val="ActHead5"/>
      </w:pPr>
      <w:bookmarkStart w:id="54" w:name="_Toc185577436"/>
      <w:r w:rsidRPr="004510F0">
        <w:rPr>
          <w:rStyle w:val="CharSectno"/>
        </w:rPr>
        <w:t>35A</w:t>
      </w:r>
      <w:r w:rsidRPr="005071A1">
        <w:t xml:space="preserve">  Deferment of contributions of contributors under Defence Force Retirement and Death Benefits Act</w:t>
      </w:r>
      <w:bookmarkEnd w:id="54"/>
    </w:p>
    <w:p w14:paraId="2F89066A" w14:textId="77777777" w:rsidR="00B33542" w:rsidRPr="005071A1" w:rsidRDefault="00B33542" w:rsidP="00B33542">
      <w:pPr>
        <w:pStyle w:val="subsection"/>
      </w:pPr>
      <w:r w:rsidRPr="005071A1">
        <w:tab/>
      </w:r>
      <w:r w:rsidRPr="005071A1">
        <w:tab/>
        <w:t xml:space="preserve">Where an employee becomes liable to contribute to the Commonwealth under the </w:t>
      </w:r>
      <w:r w:rsidRPr="005071A1">
        <w:rPr>
          <w:i/>
        </w:rPr>
        <w:t>Defence Force Retirement and Death Benefits Act 1973</w:t>
      </w:r>
      <w:r w:rsidRPr="005071A1">
        <w:t>, his liability to make contributions to the Superannuation Fund is deferred until, for any reason (including death):</w:t>
      </w:r>
    </w:p>
    <w:p w14:paraId="36C7DE22" w14:textId="77777777" w:rsidR="00B33542" w:rsidRPr="005071A1" w:rsidRDefault="00B33542" w:rsidP="00B33542">
      <w:pPr>
        <w:pStyle w:val="paragraph"/>
      </w:pPr>
      <w:r w:rsidRPr="005071A1">
        <w:tab/>
        <w:t>(a)</w:t>
      </w:r>
      <w:r w:rsidRPr="005071A1">
        <w:tab/>
        <w:t xml:space="preserve">he ceases (otherwise than by reason of the operation of </w:t>
      </w:r>
      <w:r w:rsidR="004510F0">
        <w:t>section 1</w:t>
      </w:r>
      <w:r w:rsidRPr="005071A1">
        <w:t xml:space="preserve">8 of the </w:t>
      </w:r>
      <w:r w:rsidRPr="005071A1">
        <w:rPr>
          <w:i/>
        </w:rPr>
        <w:t>Defence Force Retirement and Death Benefits Act 1973</w:t>
      </w:r>
      <w:r w:rsidRPr="005071A1">
        <w:t>) to be liable to contribute to the Commonwealth under that Act; or</w:t>
      </w:r>
    </w:p>
    <w:p w14:paraId="2CA19F16" w14:textId="77777777" w:rsidR="00B33542" w:rsidRPr="005071A1" w:rsidRDefault="00B33542" w:rsidP="00B33542">
      <w:pPr>
        <w:pStyle w:val="paragraph"/>
        <w:keepNext/>
      </w:pPr>
      <w:r w:rsidRPr="005071A1">
        <w:lastRenderedPageBreak/>
        <w:tab/>
        <w:t>(b)</w:t>
      </w:r>
      <w:r w:rsidRPr="005071A1">
        <w:tab/>
        <w:t>he ceases to be an employee;</w:t>
      </w:r>
    </w:p>
    <w:p w14:paraId="4F60D593" w14:textId="77777777" w:rsidR="00B33542" w:rsidRPr="005071A1" w:rsidRDefault="00B33542" w:rsidP="00B33542">
      <w:pPr>
        <w:pStyle w:val="subsection2"/>
      </w:pPr>
      <w:r w:rsidRPr="005071A1">
        <w:t>whichever first occurs, but, upon his so ceasing to be liable or so ceasing to be an employee, the amount of the deferred contributions shall be paid to the Superannuation Fund or, if he so ceases to be liable or so ceases to be an employee on or after 1</w:t>
      </w:r>
      <w:r w:rsidR="008B2950" w:rsidRPr="005071A1">
        <w:t> </w:t>
      </w:r>
      <w:r w:rsidRPr="005071A1">
        <w:t>July 1976, the amount of the deferred contributions in respect of which he has become liable to contribute before that date shall be paid to the Commissioner for Superannuation and shall be paid by the Commissioner into the new Superannuation Fund.</w:t>
      </w:r>
    </w:p>
    <w:p w14:paraId="50EE4649" w14:textId="77777777" w:rsidR="00B33542" w:rsidRPr="005071A1" w:rsidRDefault="00B33542" w:rsidP="00B33542">
      <w:pPr>
        <w:pStyle w:val="ActHead5"/>
      </w:pPr>
      <w:bookmarkStart w:id="55" w:name="_Toc185577437"/>
      <w:r w:rsidRPr="004510F0">
        <w:rPr>
          <w:rStyle w:val="CharSectno"/>
        </w:rPr>
        <w:t>35B</w:t>
      </w:r>
      <w:r w:rsidRPr="005071A1">
        <w:t xml:space="preserve">  Order in which reduction of contributory units to take effect</w:t>
      </w:r>
      <w:bookmarkEnd w:id="55"/>
    </w:p>
    <w:p w14:paraId="600B4F36" w14:textId="77777777" w:rsidR="00B33542" w:rsidRPr="005071A1" w:rsidRDefault="00B33542" w:rsidP="00B33542">
      <w:pPr>
        <w:pStyle w:val="subsection"/>
      </w:pPr>
      <w:r w:rsidRPr="005071A1">
        <w:tab/>
      </w:r>
      <w:r w:rsidRPr="005071A1">
        <w:tab/>
        <w:t xml:space="preserve">Where, by reason of the operation of </w:t>
      </w:r>
      <w:r w:rsidR="008B2950" w:rsidRPr="005071A1">
        <w:t>subsection (</w:t>
      </w:r>
      <w:r w:rsidRPr="005071A1">
        <w:t xml:space="preserve">8A), or </w:t>
      </w:r>
      <w:r w:rsidR="008B2950" w:rsidRPr="005071A1">
        <w:t>paragraph (</w:t>
      </w:r>
      <w:r w:rsidRPr="005071A1">
        <w:t xml:space="preserve">c) of </w:t>
      </w:r>
      <w:r w:rsidR="008B2950" w:rsidRPr="005071A1">
        <w:t>subsection (</w:t>
      </w:r>
      <w:r w:rsidRPr="005071A1">
        <w:t>9), of section</w:t>
      </w:r>
      <w:r w:rsidR="008B2950" w:rsidRPr="005071A1">
        <w:t> </w:t>
      </w:r>
      <w:r w:rsidRPr="005071A1">
        <w:t>20, or section</w:t>
      </w:r>
      <w:r w:rsidR="008B2950" w:rsidRPr="005071A1">
        <w:t> </w:t>
      </w:r>
      <w:r w:rsidRPr="005071A1">
        <w:t xml:space="preserve">21, or of the making of an election under </w:t>
      </w:r>
      <w:r w:rsidR="008B2950" w:rsidRPr="005071A1">
        <w:t>subsection (</w:t>
      </w:r>
      <w:r w:rsidRPr="005071A1">
        <w:t>2) of section</w:t>
      </w:r>
      <w:r w:rsidR="008B2950" w:rsidRPr="005071A1">
        <w:t> </w:t>
      </w:r>
      <w:r w:rsidRPr="005071A1">
        <w:t>20B, the number of units of pension for or in respect of which a contributor is required to contribute is reduced, any reduction that is required to be made in the number of units for which he is a contributor shall be effected by reducing those units in the reverse of the order in which he became liable to contribute for those units.</w:t>
      </w:r>
    </w:p>
    <w:p w14:paraId="2CEAABA7" w14:textId="77777777" w:rsidR="00B33542" w:rsidRPr="005071A1" w:rsidRDefault="00B33542" w:rsidP="00B33542">
      <w:pPr>
        <w:pStyle w:val="ActHead5"/>
      </w:pPr>
      <w:bookmarkStart w:id="56" w:name="_Toc185577438"/>
      <w:r w:rsidRPr="004510F0">
        <w:rPr>
          <w:rStyle w:val="CharSectno"/>
        </w:rPr>
        <w:t>36</w:t>
      </w:r>
      <w:r w:rsidRPr="005071A1">
        <w:t xml:space="preserve">  Salary</w:t>
      </w:r>
      <w:bookmarkEnd w:id="56"/>
    </w:p>
    <w:p w14:paraId="41C7E1C3" w14:textId="77777777" w:rsidR="00B33542" w:rsidRPr="005071A1" w:rsidRDefault="00B33542" w:rsidP="00B33542">
      <w:pPr>
        <w:pStyle w:val="subsection"/>
      </w:pPr>
      <w:r w:rsidRPr="005071A1">
        <w:tab/>
        <w:t>(1)</w:t>
      </w:r>
      <w:r w:rsidRPr="005071A1">
        <w:tab/>
        <w:t>For the purposes of this Part, other than section</w:t>
      </w:r>
      <w:r w:rsidR="008B2950" w:rsidRPr="005071A1">
        <w:t> </w:t>
      </w:r>
      <w:r w:rsidRPr="005071A1">
        <w:t>35:</w:t>
      </w:r>
    </w:p>
    <w:p w14:paraId="2C2CC33E" w14:textId="77777777" w:rsidR="00B33542" w:rsidRPr="005071A1" w:rsidRDefault="00B33542" w:rsidP="00B33542">
      <w:pPr>
        <w:pStyle w:val="paragraph"/>
      </w:pPr>
      <w:r w:rsidRPr="005071A1">
        <w:tab/>
        <w:t>(a)</w:t>
      </w:r>
      <w:r w:rsidRPr="005071A1">
        <w:tab/>
        <w:t>the salary of an employee or contributor shall be taken to be his annual salary;</w:t>
      </w:r>
    </w:p>
    <w:p w14:paraId="4C4AED5A" w14:textId="77777777" w:rsidR="00B33542" w:rsidRPr="005071A1" w:rsidRDefault="00B33542" w:rsidP="00B33542">
      <w:pPr>
        <w:pStyle w:val="paragraph"/>
      </w:pPr>
      <w:r w:rsidRPr="005071A1">
        <w:tab/>
        <w:t>(b)</w:t>
      </w:r>
      <w:r w:rsidRPr="005071A1">
        <w:tab/>
        <w:t>the salary of an employee or contributor who is paid salary at a rate other than an annual rate of salary shall be ascertained as prescribed; and</w:t>
      </w:r>
    </w:p>
    <w:p w14:paraId="718068A3" w14:textId="77777777" w:rsidR="00B33542" w:rsidRPr="005071A1" w:rsidRDefault="00B33542" w:rsidP="00B33542">
      <w:pPr>
        <w:pStyle w:val="paragraph"/>
      </w:pPr>
      <w:r w:rsidRPr="005071A1">
        <w:tab/>
        <w:t>(c)</w:t>
      </w:r>
      <w:r w:rsidRPr="005071A1">
        <w:tab/>
        <w:t xml:space="preserve">where the salary of an employee or contributor is increased or decreased by reason of an award, order or determination made by the Public Service Arbitrator or by the Australian </w:t>
      </w:r>
      <w:r w:rsidRPr="005071A1">
        <w:lastRenderedPageBreak/>
        <w:t>Conciliation and Arbitration Commission, the date on which the award, order or determination is made shall be deemed to be the date on which the salary of the employee or contributor is increased or decreased, as the case may be.</w:t>
      </w:r>
    </w:p>
    <w:p w14:paraId="663B3856" w14:textId="77777777" w:rsidR="00B33542" w:rsidRPr="005071A1" w:rsidRDefault="00B33542" w:rsidP="00B33542">
      <w:pPr>
        <w:pStyle w:val="subsection"/>
      </w:pPr>
      <w:r w:rsidRPr="005071A1">
        <w:tab/>
        <w:t>(2)</w:t>
      </w:r>
      <w:r w:rsidRPr="005071A1">
        <w:tab/>
        <w:t>In ascertaining the annual salary of an employee or contributor for the purposes of this section:</w:t>
      </w:r>
    </w:p>
    <w:p w14:paraId="08ED36A7" w14:textId="77777777" w:rsidR="00B33542" w:rsidRPr="005071A1" w:rsidRDefault="00B33542" w:rsidP="00B33542">
      <w:pPr>
        <w:pStyle w:val="paragraph"/>
      </w:pPr>
      <w:r w:rsidRPr="005071A1">
        <w:tab/>
        <w:t>(a)</w:t>
      </w:r>
      <w:r w:rsidRPr="005071A1">
        <w:tab/>
        <w:t xml:space="preserve">subject to </w:t>
      </w:r>
      <w:r w:rsidR="008B2950" w:rsidRPr="005071A1">
        <w:t>paragraph (</w:t>
      </w:r>
      <w:r w:rsidRPr="005071A1">
        <w:t>b), if the employee or contributor is not receiving remuneration at the maximum rate applicable to his office or position, he shall be deemed to be receiving remuneration at that maximum rate; and</w:t>
      </w:r>
    </w:p>
    <w:p w14:paraId="0F565E5E" w14:textId="77777777" w:rsidR="00B33542" w:rsidRPr="005071A1" w:rsidRDefault="00B33542" w:rsidP="00B33542">
      <w:pPr>
        <w:pStyle w:val="paragraph"/>
      </w:pPr>
      <w:r w:rsidRPr="005071A1">
        <w:tab/>
        <w:t>(b)</w:t>
      </w:r>
      <w:r w:rsidRPr="005071A1">
        <w:tab/>
        <w:t>if the employee or contributor has not attained the age of twenty</w:t>
      </w:r>
      <w:r w:rsidR="004510F0">
        <w:noBreakHyphen/>
      </w:r>
      <w:r w:rsidRPr="005071A1">
        <w:t xml:space="preserve">one years and occupies an office or position in respect of which the remuneration varies according to the age of the occupant, </w:t>
      </w:r>
      <w:r w:rsidR="008B2950" w:rsidRPr="005071A1">
        <w:t>paragraph (</w:t>
      </w:r>
      <w:r w:rsidRPr="005071A1">
        <w:t>a) does not apply, but, in the case of such an employee or contributor who has not attained the age of twenty years, he shall be deemed to be receiving remuneration at the rate that would be applicable to him if he had attained the age of twenty years.</w:t>
      </w:r>
    </w:p>
    <w:p w14:paraId="7F6EEA60" w14:textId="77777777" w:rsidR="00B33542" w:rsidRPr="005071A1" w:rsidRDefault="00B33542" w:rsidP="002477D1">
      <w:pPr>
        <w:pStyle w:val="ActHead2"/>
        <w:pageBreakBefore/>
      </w:pPr>
      <w:bookmarkStart w:id="57" w:name="_Toc185577439"/>
      <w:r w:rsidRPr="004510F0">
        <w:rPr>
          <w:rStyle w:val="CharPartNo"/>
        </w:rPr>
        <w:lastRenderedPageBreak/>
        <w:t>Part IV</w:t>
      </w:r>
      <w:r w:rsidRPr="005071A1">
        <w:t>—</w:t>
      </w:r>
      <w:r w:rsidRPr="004510F0">
        <w:rPr>
          <w:rStyle w:val="CharPartText"/>
        </w:rPr>
        <w:t>Pensions and benefits</w:t>
      </w:r>
      <w:bookmarkEnd w:id="57"/>
    </w:p>
    <w:p w14:paraId="5D2267D9" w14:textId="77777777" w:rsidR="00B33542" w:rsidRPr="005071A1" w:rsidRDefault="00B33542" w:rsidP="00B33542">
      <w:pPr>
        <w:pStyle w:val="ActHead3"/>
      </w:pPr>
      <w:bookmarkStart w:id="58" w:name="_Toc185577440"/>
      <w:r w:rsidRPr="004510F0">
        <w:rPr>
          <w:rStyle w:val="CharDivNo"/>
        </w:rPr>
        <w:t>Division</w:t>
      </w:r>
      <w:r w:rsidR="008B2950" w:rsidRPr="004510F0">
        <w:rPr>
          <w:rStyle w:val="CharDivNo"/>
        </w:rPr>
        <w:t> </w:t>
      </w:r>
      <w:r w:rsidRPr="004510F0">
        <w:rPr>
          <w:rStyle w:val="CharDivNo"/>
        </w:rPr>
        <w:t>1</w:t>
      </w:r>
      <w:r w:rsidRPr="005071A1">
        <w:t>—</w:t>
      </w:r>
      <w:r w:rsidRPr="004510F0">
        <w:rPr>
          <w:rStyle w:val="CharDivText"/>
        </w:rPr>
        <w:t>Retirement on pension</w:t>
      </w:r>
      <w:bookmarkEnd w:id="58"/>
    </w:p>
    <w:p w14:paraId="0BF6DD28" w14:textId="77777777" w:rsidR="00B33542" w:rsidRPr="005071A1" w:rsidRDefault="00B33542" w:rsidP="00B33542">
      <w:pPr>
        <w:pStyle w:val="ActHead5"/>
      </w:pPr>
      <w:bookmarkStart w:id="59" w:name="_Toc185577441"/>
      <w:r w:rsidRPr="004510F0">
        <w:rPr>
          <w:rStyle w:val="CharSectno"/>
        </w:rPr>
        <w:t>37</w:t>
      </w:r>
      <w:r w:rsidRPr="005071A1">
        <w:t xml:space="preserve">  Age of compulsory retirement</w:t>
      </w:r>
      <w:bookmarkEnd w:id="59"/>
    </w:p>
    <w:p w14:paraId="188EFB89" w14:textId="77777777" w:rsidR="00B33542" w:rsidRPr="005071A1" w:rsidRDefault="00B33542" w:rsidP="00B33542">
      <w:pPr>
        <w:pStyle w:val="subsection"/>
      </w:pPr>
      <w:r w:rsidRPr="005071A1">
        <w:tab/>
        <w:t>(1)</w:t>
      </w:r>
      <w:r w:rsidRPr="005071A1">
        <w:tab/>
        <w:t>Every contributor shall be entitled to a pension on his retirement on or after attaining the maximum age for retirement.</w:t>
      </w:r>
    </w:p>
    <w:p w14:paraId="40546C7E" w14:textId="77777777" w:rsidR="00B33542" w:rsidRPr="005071A1" w:rsidRDefault="00B33542" w:rsidP="00B33542">
      <w:pPr>
        <w:pStyle w:val="subsection"/>
      </w:pPr>
      <w:r w:rsidRPr="005071A1">
        <w:tab/>
        <w:t>(2)</w:t>
      </w:r>
      <w:r w:rsidRPr="005071A1">
        <w:tab/>
        <w:t>This section does not apply to a contributor who retires on or after 1</w:t>
      </w:r>
      <w:r w:rsidR="008B2950" w:rsidRPr="005071A1">
        <w:t> </w:t>
      </w:r>
      <w:r w:rsidRPr="005071A1">
        <w:t>July 1976.</w:t>
      </w:r>
    </w:p>
    <w:p w14:paraId="01D300AF" w14:textId="77777777" w:rsidR="00B33542" w:rsidRPr="005071A1" w:rsidRDefault="00B33542" w:rsidP="00B33542">
      <w:pPr>
        <w:pStyle w:val="ActHead5"/>
      </w:pPr>
      <w:bookmarkStart w:id="60" w:name="_Toc185577442"/>
      <w:r w:rsidRPr="004510F0">
        <w:rPr>
          <w:rStyle w:val="CharSectno"/>
        </w:rPr>
        <w:t>38</w:t>
      </w:r>
      <w:r w:rsidRPr="005071A1">
        <w:t xml:space="preserve">  Breakdown, retirement</w:t>
      </w:r>
      <w:bookmarkEnd w:id="60"/>
    </w:p>
    <w:p w14:paraId="16CDE410" w14:textId="77777777" w:rsidR="00B33542" w:rsidRPr="005071A1" w:rsidRDefault="00B33542" w:rsidP="00B33542">
      <w:pPr>
        <w:pStyle w:val="subsection"/>
      </w:pPr>
      <w:r w:rsidRPr="005071A1">
        <w:tab/>
        <w:t>(1)</w:t>
      </w:r>
      <w:r w:rsidRPr="005071A1">
        <w:tab/>
        <w:t>A contributor who is retired on the ground of invalidity or of physical or mental incapacity to perform his duties shall be entitled to a pension.</w:t>
      </w:r>
    </w:p>
    <w:p w14:paraId="73B2ECEA" w14:textId="77777777" w:rsidR="00B33542" w:rsidRPr="005071A1" w:rsidRDefault="00B33542" w:rsidP="00B33542">
      <w:pPr>
        <w:pStyle w:val="subsection"/>
      </w:pPr>
      <w:r w:rsidRPr="005071A1">
        <w:tab/>
        <w:t>(2)</w:t>
      </w:r>
      <w:r w:rsidRPr="005071A1">
        <w:tab/>
        <w:t>The compulsory termination (however expressed) of the service of a contributor in respect of whom an age for retirement is not fixed by law on the ground of invalidity or of physical or mental incapacity to perform his duties shall, for the purposes of this Act, be deemed to be the retirement of the contributor on that ground.</w:t>
      </w:r>
    </w:p>
    <w:p w14:paraId="3237B935" w14:textId="77777777" w:rsidR="00B33542" w:rsidRPr="005071A1" w:rsidRDefault="00B33542" w:rsidP="00B33542">
      <w:pPr>
        <w:pStyle w:val="subsection"/>
      </w:pPr>
      <w:r w:rsidRPr="005071A1">
        <w:tab/>
        <w:t>(3)</w:t>
      </w:r>
      <w:r w:rsidRPr="005071A1">
        <w:tab/>
        <w:t>This section does not apply to a contributor who is retired on or after 1</w:t>
      </w:r>
      <w:r w:rsidR="008B2950" w:rsidRPr="005071A1">
        <w:t> </w:t>
      </w:r>
      <w:r w:rsidRPr="005071A1">
        <w:t>July 1976.</w:t>
      </w:r>
    </w:p>
    <w:p w14:paraId="1EC8E4D2" w14:textId="77777777" w:rsidR="00B33542" w:rsidRPr="005071A1" w:rsidRDefault="00B33542" w:rsidP="00B33542">
      <w:pPr>
        <w:pStyle w:val="ActHead5"/>
      </w:pPr>
      <w:bookmarkStart w:id="61" w:name="_Toc185577443"/>
      <w:r w:rsidRPr="004510F0">
        <w:rPr>
          <w:rStyle w:val="CharSectno"/>
        </w:rPr>
        <w:t>39</w:t>
      </w:r>
      <w:r w:rsidRPr="005071A1">
        <w:t xml:space="preserve">  Retrenchment</w:t>
      </w:r>
      <w:bookmarkEnd w:id="61"/>
    </w:p>
    <w:p w14:paraId="1BFF1978" w14:textId="77777777" w:rsidR="00B33542" w:rsidRPr="005071A1" w:rsidRDefault="00B33542" w:rsidP="00B33542">
      <w:pPr>
        <w:pStyle w:val="subsection"/>
      </w:pPr>
      <w:r w:rsidRPr="005071A1">
        <w:tab/>
      </w:r>
      <w:r w:rsidRPr="005071A1">
        <w:tab/>
        <w:t>Subject to section</w:t>
      </w:r>
      <w:r w:rsidR="008B2950" w:rsidRPr="005071A1">
        <w:t> </w:t>
      </w:r>
      <w:r w:rsidRPr="005071A1">
        <w:t xml:space="preserve">41, the compulsory termination of the service of a contributor for the reason that his service or position is not </w:t>
      </w:r>
      <w:r w:rsidRPr="005071A1">
        <w:lastRenderedPageBreak/>
        <w:t>necessary shall, for the purposes of this Act, be deemed to be retrenchment.</w:t>
      </w:r>
    </w:p>
    <w:p w14:paraId="2480C785" w14:textId="77777777" w:rsidR="00B33542" w:rsidRPr="005071A1" w:rsidRDefault="00B33542" w:rsidP="00B33542">
      <w:pPr>
        <w:pStyle w:val="ActHead5"/>
      </w:pPr>
      <w:bookmarkStart w:id="62" w:name="_Toc185577444"/>
      <w:r w:rsidRPr="004510F0">
        <w:rPr>
          <w:rStyle w:val="CharSectno"/>
        </w:rPr>
        <w:t>40</w:t>
      </w:r>
      <w:r w:rsidRPr="005071A1">
        <w:t xml:space="preserve">  Dismissal</w:t>
      </w:r>
      <w:bookmarkEnd w:id="62"/>
    </w:p>
    <w:p w14:paraId="7B72F242" w14:textId="77777777" w:rsidR="00B33542" w:rsidRPr="005071A1" w:rsidRDefault="00B33542" w:rsidP="00B33542">
      <w:pPr>
        <w:pStyle w:val="subsection"/>
      </w:pPr>
      <w:r w:rsidRPr="005071A1">
        <w:tab/>
      </w:r>
      <w:r w:rsidRPr="005071A1">
        <w:tab/>
        <w:t>Subject to section</w:t>
      </w:r>
      <w:r w:rsidR="008B2950" w:rsidRPr="005071A1">
        <w:t> </w:t>
      </w:r>
      <w:r w:rsidRPr="005071A1">
        <w:t>41, the compulsory termination (however expressed) of the service of a contributor, other than:</w:t>
      </w:r>
    </w:p>
    <w:p w14:paraId="03C4CFFB" w14:textId="77777777" w:rsidR="00B33542" w:rsidRPr="005071A1" w:rsidRDefault="00B33542" w:rsidP="00B33542">
      <w:pPr>
        <w:pStyle w:val="paragraph"/>
      </w:pPr>
      <w:r w:rsidRPr="005071A1">
        <w:tab/>
        <w:t>(a)</w:t>
      </w:r>
      <w:r w:rsidRPr="005071A1">
        <w:tab/>
        <w:t>retirement on pension as provided by this Act; or</w:t>
      </w:r>
    </w:p>
    <w:p w14:paraId="306B895B" w14:textId="77777777" w:rsidR="00B33542" w:rsidRPr="005071A1" w:rsidRDefault="00B33542" w:rsidP="00B33542">
      <w:pPr>
        <w:pStyle w:val="paragraph"/>
        <w:keepNext/>
      </w:pPr>
      <w:r w:rsidRPr="005071A1">
        <w:tab/>
        <w:t>(b)</w:t>
      </w:r>
      <w:r w:rsidRPr="005071A1">
        <w:tab/>
        <w:t>retrenchment;</w:t>
      </w:r>
    </w:p>
    <w:p w14:paraId="2881323D" w14:textId="77777777" w:rsidR="00B33542" w:rsidRPr="005071A1" w:rsidRDefault="00B33542" w:rsidP="00B33542">
      <w:pPr>
        <w:pStyle w:val="subsection2"/>
      </w:pPr>
      <w:r w:rsidRPr="005071A1">
        <w:t>shall, for the purposes of this Act, be deemed to be dismissal.</w:t>
      </w:r>
    </w:p>
    <w:p w14:paraId="7F712141" w14:textId="77777777" w:rsidR="00B33542" w:rsidRPr="005071A1" w:rsidRDefault="00B33542" w:rsidP="00B33542">
      <w:pPr>
        <w:pStyle w:val="ActHead5"/>
      </w:pPr>
      <w:bookmarkStart w:id="63" w:name="_Toc185577445"/>
      <w:r w:rsidRPr="004510F0">
        <w:rPr>
          <w:rStyle w:val="CharSectno"/>
        </w:rPr>
        <w:t>41</w:t>
      </w:r>
      <w:r w:rsidRPr="005071A1">
        <w:t xml:space="preserve">  Compulsory termination of service of certain contributors for whom no retiring age is fixed by law</w:t>
      </w:r>
      <w:bookmarkEnd w:id="63"/>
    </w:p>
    <w:p w14:paraId="3215A550" w14:textId="77777777" w:rsidR="00B33542" w:rsidRPr="005071A1" w:rsidRDefault="00B33542" w:rsidP="00B33542">
      <w:pPr>
        <w:pStyle w:val="subsection"/>
      </w:pPr>
      <w:r w:rsidRPr="005071A1">
        <w:tab/>
        <w:t>(1)</w:t>
      </w:r>
      <w:r w:rsidRPr="005071A1">
        <w:tab/>
        <w:t xml:space="preserve">Subject to this section and to </w:t>
      </w:r>
      <w:r w:rsidR="008B2950" w:rsidRPr="005071A1">
        <w:t>subsection (</w:t>
      </w:r>
      <w:r w:rsidRPr="005071A1">
        <w:t>2) of section</w:t>
      </w:r>
      <w:r w:rsidR="008B2950" w:rsidRPr="005071A1">
        <w:t> </w:t>
      </w:r>
      <w:r w:rsidRPr="005071A1">
        <w:t>38, the compulsory termination (however expressed) of the service of a contributor who has attained the age of sixty years and in respect of whom an age for retirement is not fixed by law shall, for the purposes of this Act:</w:t>
      </w:r>
    </w:p>
    <w:p w14:paraId="0373BAB8" w14:textId="77777777" w:rsidR="00B33542" w:rsidRPr="005071A1" w:rsidRDefault="00B33542" w:rsidP="00B33542">
      <w:pPr>
        <w:pStyle w:val="paragraph"/>
      </w:pPr>
      <w:r w:rsidRPr="005071A1">
        <w:tab/>
        <w:t>(a)</w:t>
      </w:r>
      <w:r w:rsidRPr="005071A1">
        <w:tab/>
        <w:t>in the case of a contributor who has not attained the age of sixty</w:t>
      </w:r>
      <w:r w:rsidR="004510F0">
        <w:noBreakHyphen/>
      </w:r>
      <w:r w:rsidRPr="005071A1">
        <w:t>five years and elects to treat the termination as discharge—be deemed to be discharge; and</w:t>
      </w:r>
    </w:p>
    <w:p w14:paraId="09CED15B" w14:textId="77777777" w:rsidR="00B33542" w:rsidRPr="005071A1" w:rsidRDefault="00B33542" w:rsidP="00B33542">
      <w:pPr>
        <w:pStyle w:val="paragraph"/>
      </w:pPr>
      <w:r w:rsidRPr="005071A1">
        <w:tab/>
        <w:t>(b)</w:t>
      </w:r>
      <w:r w:rsidRPr="005071A1">
        <w:tab/>
        <w:t>in any other case—be deemed to be retirement and, if the contributor has not attained the age of sixty</w:t>
      </w:r>
      <w:r w:rsidR="004510F0">
        <w:noBreakHyphen/>
      </w:r>
      <w:r w:rsidRPr="005071A1">
        <w:t>five years, be deemed to be the retirement of a contributor the age for whose retirement is fixed by law at an earlier age than sixty</w:t>
      </w:r>
      <w:r w:rsidR="004510F0">
        <w:noBreakHyphen/>
      </w:r>
      <w:r w:rsidRPr="005071A1">
        <w:t>five years.</w:t>
      </w:r>
    </w:p>
    <w:p w14:paraId="5E423F7D" w14:textId="77777777" w:rsidR="00B33542" w:rsidRPr="005071A1" w:rsidRDefault="00B33542" w:rsidP="00B33542">
      <w:pPr>
        <w:pStyle w:val="subsection"/>
      </w:pPr>
      <w:r w:rsidRPr="005071A1">
        <w:tab/>
        <w:t>(2)</w:t>
      </w:r>
      <w:r w:rsidRPr="005071A1">
        <w:tab/>
      </w:r>
      <w:r w:rsidR="008B2950" w:rsidRPr="005071A1">
        <w:t>Subsection (</w:t>
      </w:r>
      <w:r w:rsidRPr="005071A1">
        <w:t>1) does not apply where the Board is satisfied that the service of the contributor was compulsorily terminated by reason of his having been guilty of misconduct or by reason of his having been convicted of an offence against a law of the Commonwealth or of a State or Territory.</w:t>
      </w:r>
    </w:p>
    <w:p w14:paraId="2E8A776D" w14:textId="77777777" w:rsidR="00B33542" w:rsidRPr="005071A1" w:rsidRDefault="00B33542" w:rsidP="00B33542">
      <w:pPr>
        <w:pStyle w:val="subsection"/>
      </w:pPr>
      <w:r w:rsidRPr="005071A1">
        <w:lastRenderedPageBreak/>
        <w:tab/>
        <w:t>(3)</w:t>
      </w:r>
      <w:r w:rsidRPr="005071A1">
        <w:tab/>
        <w:t xml:space="preserve">For the purposes of </w:t>
      </w:r>
      <w:r w:rsidR="008B2950" w:rsidRPr="005071A1">
        <w:t>subsection (</w:t>
      </w:r>
      <w:r w:rsidRPr="005071A1">
        <w:t>2), the service of a contributor who was employed in a temporary capacity under section</w:t>
      </w:r>
      <w:r w:rsidR="008B2950" w:rsidRPr="005071A1">
        <w:t> </w:t>
      </w:r>
      <w:r w:rsidRPr="005071A1">
        <w:t xml:space="preserve">82 of the </w:t>
      </w:r>
      <w:r w:rsidRPr="005071A1">
        <w:rPr>
          <w:i/>
        </w:rPr>
        <w:t>Public Service Act 1922</w:t>
      </w:r>
      <w:r w:rsidR="004510F0">
        <w:rPr>
          <w:i/>
        </w:rPr>
        <w:noBreakHyphen/>
      </w:r>
      <w:r w:rsidRPr="005071A1">
        <w:rPr>
          <w:i/>
        </w:rPr>
        <w:t xml:space="preserve">1964 </w:t>
      </w:r>
      <w:r w:rsidRPr="005071A1">
        <w:t xml:space="preserve">shall be deemed to have been compulsorily terminated by reason of his having been guilty of misconduct if his services were dispensed with under that Act on the ground that he has been guilty of conduct that, if he were an officer of the Public Service of the Commonwealth, would have constituted an offence specified in </w:t>
      </w:r>
      <w:r w:rsidR="008B2950" w:rsidRPr="005071A1">
        <w:t>subsection (</w:t>
      </w:r>
      <w:r w:rsidRPr="005071A1">
        <w:t>1) of section fifty</w:t>
      </w:r>
      <w:r w:rsidR="004510F0">
        <w:noBreakHyphen/>
      </w:r>
      <w:r w:rsidRPr="005071A1">
        <w:t>five of that Act.</w:t>
      </w:r>
    </w:p>
    <w:p w14:paraId="11146259" w14:textId="77777777" w:rsidR="00B33542" w:rsidRPr="005071A1" w:rsidRDefault="00B33542" w:rsidP="00B33542">
      <w:pPr>
        <w:pStyle w:val="subsection"/>
      </w:pPr>
      <w:r w:rsidRPr="005071A1">
        <w:tab/>
        <w:t>(4)</w:t>
      </w:r>
      <w:r w:rsidRPr="005071A1">
        <w:tab/>
        <w:t>On and after 1</w:t>
      </w:r>
      <w:r w:rsidR="008B2950" w:rsidRPr="005071A1">
        <w:t> </w:t>
      </w:r>
      <w:r w:rsidRPr="005071A1">
        <w:t xml:space="preserve">July 1976, the reference in </w:t>
      </w:r>
      <w:r w:rsidR="008B2950" w:rsidRPr="005071A1">
        <w:t>subsection (</w:t>
      </w:r>
      <w:r w:rsidRPr="005071A1">
        <w:t>2) to the Board shall be read as including a reference to the Commissioner for Superannuation.</w:t>
      </w:r>
    </w:p>
    <w:p w14:paraId="560DAA53" w14:textId="77777777" w:rsidR="00B33542" w:rsidRPr="005071A1" w:rsidRDefault="00B33542" w:rsidP="00B33542">
      <w:pPr>
        <w:pStyle w:val="ActHead5"/>
      </w:pPr>
      <w:bookmarkStart w:id="64" w:name="_Toc185577446"/>
      <w:r w:rsidRPr="004510F0">
        <w:rPr>
          <w:rStyle w:val="CharSectno"/>
        </w:rPr>
        <w:t>41A</w:t>
      </w:r>
      <w:r w:rsidRPr="005071A1">
        <w:t xml:space="preserve">  Voluntary termination of service</w:t>
      </w:r>
      <w:bookmarkEnd w:id="64"/>
    </w:p>
    <w:p w14:paraId="654C229E" w14:textId="77777777" w:rsidR="00B33542" w:rsidRPr="005071A1" w:rsidRDefault="00B33542" w:rsidP="00B33542">
      <w:pPr>
        <w:pStyle w:val="subsection"/>
      </w:pPr>
      <w:r w:rsidRPr="005071A1">
        <w:tab/>
        <w:t>(1)</w:t>
      </w:r>
      <w:r w:rsidRPr="005071A1">
        <w:tab/>
        <w:t>Voluntary termination (however expressed) of service by a contributor who, being entitled to retire on pension, elects not to do so shall, for the purposes of this Act, be deemed to be resignation.</w:t>
      </w:r>
    </w:p>
    <w:p w14:paraId="34D8F9E4" w14:textId="77777777" w:rsidR="00B33542" w:rsidRPr="005071A1" w:rsidRDefault="00B33542" w:rsidP="00B33542">
      <w:pPr>
        <w:pStyle w:val="subsection"/>
        <w:keepNext/>
      </w:pPr>
      <w:r w:rsidRPr="005071A1">
        <w:tab/>
        <w:t>(2)</w:t>
      </w:r>
      <w:r w:rsidRPr="005071A1">
        <w:tab/>
        <w:t>Voluntary termination (however expressed) of service by a contributor who is not entitled to retire on pension shall, for the purposes of this Act:</w:t>
      </w:r>
    </w:p>
    <w:p w14:paraId="02F7684A" w14:textId="77777777" w:rsidR="00B33542" w:rsidRPr="005071A1" w:rsidRDefault="00B33542" w:rsidP="00B33542">
      <w:pPr>
        <w:pStyle w:val="paragraph"/>
      </w:pPr>
      <w:r w:rsidRPr="005071A1">
        <w:tab/>
        <w:t>(a)</w:t>
      </w:r>
      <w:r w:rsidRPr="005071A1">
        <w:tab/>
        <w:t>in the case of a contributor who has not attained the age of sixty years or, having attained that age, elects to treat the termination as resignation—be deemed to be resignation; and</w:t>
      </w:r>
    </w:p>
    <w:p w14:paraId="686884CB" w14:textId="77777777" w:rsidR="00B33542" w:rsidRPr="005071A1" w:rsidRDefault="00B33542" w:rsidP="00B33542">
      <w:pPr>
        <w:pStyle w:val="paragraph"/>
      </w:pPr>
      <w:r w:rsidRPr="005071A1">
        <w:tab/>
        <w:t>(b)</w:t>
      </w:r>
      <w:r w:rsidRPr="005071A1">
        <w:tab/>
        <w:t>in any other case—be deemed to be retirement and, if the contributor has not attained the age of sixty</w:t>
      </w:r>
      <w:r w:rsidR="004510F0">
        <w:noBreakHyphen/>
      </w:r>
      <w:r w:rsidRPr="005071A1">
        <w:t>five years, be deemed to be the retirement of a contributor the age for whose retirement is fixed by law at an earlier age than sixty</w:t>
      </w:r>
      <w:r w:rsidR="004510F0">
        <w:noBreakHyphen/>
      </w:r>
      <w:r w:rsidRPr="005071A1">
        <w:t>five years.</w:t>
      </w:r>
    </w:p>
    <w:p w14:paraId="0CBB5C82" w14:textId="77777777" w:rsidR="00B33542" w:rsidRPr="005071A1" w:rsidRDefault="00B33542" w:rsidP="00B33542">
      <w:pPr>
        <w:pStyle w:val="ActHead5"/>
      </w:pPr>
      <w:bookmarkStart w:id="65" w:name="_Toc185577447"/>
      <w:r w:rsidRPr="004510F0">
        <w:rPr>
          <w:rStyle w:val="CharSectno"/>
        </w:rPr>
        <w:lastRenderedPageBreak/>
        <w:t>41B</w:t>
      </w:r>
      <w:r w:rsidRPr="005071A1">
        <w:t xml:space="preserve">  Holders of statutory offices</w:t>
      </w:r>
      <w:bookmarkEnd w:id="65"/>
    </w:p>
    <w:p w14:paraId="0AD89BE8" w14:textId="77777777" w:rsidR="00B33542" w:rsidRPr="005071A1" w:rsidRDefault="00B33542" w:rsidP="00B33542">
      <w:pPr>
        <w:pStyle w:val="subsection"/>
      </w:pPr>
      <w:r w:rsidRPr="005071A1">
        <w:tab/>
      </w:r>
      <w:r w:rsidRPr="005071A1">
        <w:tab/>
        <w:t>The cessation of the employment of a contributor by the Commonwealth, being a contributor who is the holder of a statutory office under the Commonwealth, by reason of the expiration of the term of his appointment to that office shall, for the purposes of this Act:</w:t>
      </w:r>
    </w:p>
    <w:p w14:paraId="32E1BAFF" w14:textId="77777777" w:rsidR="00B33542" w:rsidRPr="005071A1" w:rsidRDefault="00B33542" w:rsidP="00B33542">
      <w:pPr>
        <w:pStyle w:val="paragraph"/>
      </w:pPr>
      <w:r w:rsidRPr="005071A1">
        <w:tab/>
        <w:t>(a)</w:t>
      </w:r>
      <w:r w:rsidRPr="005071A1">
        <w:tab/>
        <w:t>in the case of a contributor who has not attained the age of sixty years and does not desire to be re</w:t>
      </w:r>
      <w:r w:rsidR="004510F0">
        <w:noBreakHyphen/>
      </w:r>
      <w:r w:rsidRPr="005071A1">
        <w:t>appointed to that office—be deemed to be discharge;</w:t>
      </w:r>
    </w:p>
    <w:p w14:paraId="18CF8675" w14:textId="77777777" w:rsidR="00B33542" w:rsidRPr="005071A1" w:rsidRDefault="00B33542" w:rsidP="00B33542">
      <w:pPr>
        <w:pStyle w:val="paragraph"/>
      </w:pPr>
      <w:r w:rsidRPr="005071A1">
        <w:tab/>
        <w:t>(b)</w:t>
      </w:r>
      <w:r w:rsidRPr="005071A1">
        <w:tab/>
        <w:t>in the case of any other contributor who has not attained the age of sixty years—be deemed to be retrenchment; and</w:t>
      </w:r>
    </w:p>
    <w:p w14:paraId="6C65E45C" w14:textId="77777777" w:rsidR="00B33542" w:rsidRPr="005071A1" w:rsidRDefault="00B33542" w:rsidP="00B33542">
      <w:pPr>
        <w:pStyle w:val="paragraph"/>
      </w:pPr>
      <w:r w:rsidRPr="005071A1">
        <w:tab/>
        <w:t>(c)</w:t>
      </w:r>
      <w:r w:rsidRPr="005071A1">
        <w:tab/>
        <w:t>in the case of a contributor who has attained the age of sixty years—be deemed to be retirement and, if the contributor has not attained the age of sixty</w:t>
      </w:r>
      <w:r w:rsidR="004510F0">
        <w:noBreakHyphen/>
      </w:r>
      <w:r w:rsidRPr="005071A1">
        <w:t>five years, be deemed to be the retirement of a contributor the age for whose retirement is fixed by law at an earlier age than sixty</w:t>
      </w:r>
      <w:r w:rsidR="004510F0">
        <w:noBreakHyphen/>
      </w:r>
      <w:r w:rsidRPr="005071A1">
        <w:t>five years.</w:t>
      </w:r>
    </w:p>
    <w:p w14:paraId="1BF67D8F" w14:textId="77777777" w:rsidR="00B33542" w:rsidRPr="005071A1" w:rsidRDefault="00B33542" w:rsidP="002477D1">
      <w:pPr>
        <w:pStyle w:val="ActHead3"/>
        <w:pageBreakBefore/>
      </w:pPr>
      <w:bookmarkStart w:id="66" w:name="_Toc185577448"/>
      <w:r w:rsidRPr="004510F0">
        <w:rPr>
          <w:rStyle w:val="CharDivNo"/>
        </w:rPr>
        <w:lastRenderedPageBreak/>
        <w:t>Division</w:t>
      </w:r>
      <w:r w:rsidR="008B2950" w:rsidRPr="004510F0">
        <w:rPr>
          <w:rStyle w:val="CharDivNo"/>
        </w:rPr>
        <w:t> </w:t>
      </w:r>
      <w:r w:rsidRPr="004510F0">
        <w:rPr>
          <w:rStyle w:val="CharDivNo"/>
        </w:rPr>
        <w:t>2</w:t>
      </w:r>
      <w:r w:rsidRPr="005071A1">
        <w:t>—</w:t>
      </w:r>
      <w:r w:rsidRPr="004510F0">
        <w:rPr>
          <w:rStyle w:val="CharDivText"/>
        </w:rPr>
        <w:t>Grant of pensions and benefits</w:t>
      </w:r>
      <w:bookmarkEnd w:id="66"/>
    </w:p>
    <w:p w14:paraId="5A3B8C39" w14:textId="77777777" w:rsidR="00B33542" w:rsidRPr="005071A1" w:rsidRDefault="00B33542" w:rsidP="00B33542">
      <w:pPr>
        <w:pStyle w:val="ActHead5"/>
      </w:pPr>
      <w:bookmarkStart w:id="67" w:name="_Toc185577449"/>
      <w:r w:rsidRPr="004510F0">
        <w:rPr>
          <w:rStyle w:val="CharSectno"/>
        </w:rPr>
        <w:t>42</w:t>
      </w:r>
      <w:r w:rsidRPr="005071A1">
        <w:t xml:space="preserve">  Value of units of pension</w:t>
      </w:r>
      <w:bookmarkEnd w:id="67"/>
    </w:p>
    <w:p w14:paraId="397F462B" w14:textId="77777777" w:rsidR="00B33542" w:rsidRPr="005071A1" w:rsidRDefault="00B33542" w:rsidP="00B33542">
      <w:pPr>
        <w:pStyle w:val="subsection"/>
      </w:pPr>
      <w:r w:rsidRPr="005071A1">
        <w:tab/>
        <w:t>(1)</w:t>
      </w:r>
      <w:r w:rsidRPr="005071A1">
        <w:tab/>
        <w:t xml:space="preserve">Subject to </w:t>
      </w:r>
      <w:r w:rsidR="008B2950" w:rsidRPr="005071A1">
        <w:t>subsection (</w:t>
      </w:r>
      <w:r w:rsidRPr="005071A1">
        <w:t>2), a unit of pension is $91 per annum.</w:t>
      </w:r>
    </w:p>
    <w:p w14:paraId="62B3A2D4" w14:textId="77777777" w:rsidR="00B33542" w:rsidRPr="005071A1" w:rsidRDefault="00B33542" w:rsidP="00B33542">
      <w:pPr>
        <w:pStyle w:val="subsection"/>
      </w:pPr>
      <w:r w:rsidRPr="005071A1">
        <w:tab/>
        <w:t>(2)</w:t>
      </w:r>
      <w:r w:rsidRPr="005071A1">
        <w:tab/>
        <w:t>A non</w:t>
      </w:r>
      <w:r w:rsidR="004510F0">
        <w:noBreakHyphen/>
      </w:r>
      <w:r w:rsidRPr="005071A1">
        <w:t>contributory unit of pension is $65 per annum.</w:t>
      </w:r>
    </w:p>
    <w:p w14:paraId="207A9C99" w14:textId="77777777" w:rsidR="00B33542" w:rsidRPr="005071A1" w:rsidRDefault="00B33542" w:rsidP="00B33542">
      <w:pPr>
        <w:pStyle w:val="ActHead5"/>
      </w:pPr>
      <w:bookmarkStart w:id="68" w:name="_Toc185577450"/>
      <w:r w:rsidRPr="004510F0">
        <w:rPr>
          <w:rStyle w:val="CharSectno"/>
        </w:rPr>
        <w:t>43</w:t>
      </w:r>
      <w:r w:rsidRPr="005071A1">
        <w:t xml:space="preserve">  Amount of pension on retirement in respect of units other than non</w:t>
      </w:r>
      <w:r w:rsidR="004510F0">
        <w:noBreakHyphen/>
      </w:r>
      <w:r w:rsidRPr="005071A1">
        <w:t>contributory units</w:t>
      </w:r>
      <w:bookmarkEnd w:id="68"/>
    </w:p>
    <w:p w14:paraId="1AD65D8B" w14:textId="77777777" w:rsidR="00B33542" w:rsidRPr="005071A1" w:rsidRDefault="00B33542" w:rsidP="00B33542">
      <w:pPr>
        <w:pStyle w:val="subsection"/>
      </w:pPr>
      <w:r w:rsidRPr="005071A1">
        <w:tab/>
        <w:t>(1)</w:t>
      </w:r>
      <w:r w:rsidRPr="005071A1">
        <w:tab/>
        <w:t xml:space="preserve">Subject to this Act, a contributor shall, upon retirement, be entitled to receive a pension according to the number of units for which he was contributing at the time of his retirement: </w:t>
      </w:r>
    </w:p>
    <w:p w14:paraId="2CCF6DAC" w14:textId="77777777" w:rsidR="00B33542" w:rsidRPr="005071A1" w:rsidRDefault="00B33542" w:rsidP="00B33542">
      <w:pPr>
        <w:pStyle w:val="subsection2"/>
      </w:pPr>
      <w:r w:rsidRPr="005071A1">
        <w:t>Provided that any contributor:</w:t>
      </w:r>
    </w:p>
    <w:p w14:paraId="2CAF2099" w14:textId="77777777" w:rsidR="00B33542" w:rsidRPr="005071A1" w:rsidRDefault="00B33542" w:rsidP="00B33542">
      <w:pPr>
        <w:pStyle w:val="paragraph"/>
      </w:pPr>
      <w:r w:rsidRPr="005071A1">
        <w:tab/>
        <w:t>(a)</w:t>
      </w:r>
      <w:r w:rsidRPr="005071A1">
        <w:tab/>
        <w:t>who has attained the age of sixty years and elects, or is called upon to retire before attaining the maximum age for retirement; or</w:t>
      </w:r>
    </w:p>
    <w:p w14:paraId="55826180" w14:textId="77777777" w:rsidR="00B33542" w:rsidRPr="005071A1" w:rsidRDefault="00B33542" w:rsidP="00B33542">
      <w:pPr>
        <w:pStyle w:val="paragraph"/>
        <w:keepNext/>
      </w:pPr>
      <w:r w:rsidRPr="005071A1">
        <w:tab/>
        <w:t>(b)</w:t>
      </w:r>
      <w:r w:rsidRPr="005071A1">
        <w:tab/>
        <w:t>the age for whose retirement is fixed by law at an earlier age than sixty</w:t>
      </w:r>
      <w:r w:rsidR="004510F0">
        <w:noBreakHyphen/>
      </w:r>
      <w:r w:rsidRPr="005071A1">
        <w:t>five years, who retires on attaining the age so fixed;</w:t>
      </w:r>
    </w:p>
    <w:p w14:paraId="05E35620" w14:textId="77777777" w:rsidR="00B33542" w:rsidRPr="005071A1" w:rsidRDefault="00B33542" w:rsidP="00B33542">
      <w:pPr>
        <w:pStyle w:val="subsection2"/>
      </w:pPr>
      <w:r w:rsidRPr="005071A1">
        <w:t>shall as from the date of his retirement be entitled, in respect of units for which he was contributing at the time of his retirement, to a pension which is the actuarial equivalent of the contributions made or to be made by him and of the share of pension payable by the Commonwealth and accruing to him under this Act.</w:t>
      </w:r>
    </w:p>
    <w:p w14:paraId="7D6BCF4E" w14:textId="77777777" w:rsidR="00B33542" w:rsidRPr="005071A1" w:rsidRDefault="00B33542" w:rsidP="00B33542">
      <w:pPr>
        <w:pStyle w:val="subsection"/>
      </w:pPr>
      <w:r w:rsidRPr="005071A1">
        <w:tab/>
        <w:t>(2)</w:t>
      </w:r>
      <w:r w:rsidRPr="005071A1">
        <w:tab/>
        <w:t>This section does not apply to a contributor who retires on or after 1</w:t>
      </w:r>
      <w:r w:rsidR="008B2950" w:rsidRPr="005071A1">
        <w:t> </w:t>
      </w:r>
      <w:r w:rsidRPr="005071A1">
        <w:t>July 1976.</w:t>
      </w:r>
    </w:p>
    <w:p w14:paraId="2BFCE0B1" w14:textId="77777777" w:rsidR="00B33542" w:rsidRPr="005071A1" w:rsidRDefault="00B33542" w:rsidP="00B33542">
      <w:pPr>
        <w:pStyle w:val="ActHead5"/>
      </w:pPr>
      <w:bookmarkStart w:id="69" w:name="_Toc185577451"/>
      <w:r w:rsidRPr="004510F0">
        <w:rPr>
          <w:rStyle w:val="CharSectno"/>
        </w:rPr>
        <w:lastRenderedPageBreak/>
        <w:t>43A</w:t>
      </w:r>
      <w:r w:rsidRPr="005071A1">
        <w:t xml:space="preserve">  Additional pension in respect of non</w:t>
      </w:r>
      <w:r w:rsidR="004510F0">
        <w:noBreakHyphen/>
      </w:r>
      <w:r w:rsidRPr="005071A1">
        <w:t>contributory units</w:t>
      </w:r>
      <w:bookmarkEnd w:id="69"/>
    </w:p>
    <w:p w14:paraId="1F44BBCC" w14:textId="77777777" w:rsidR="00B33542" w:rsidRPr="005071A1" w:rsidRDefault="00B33542" w:rsidP="00B33542">
      <w:pPr>
        <w:pStyle w:val="subsection"/>
      </w:pPr>
      <w:r w:rsidRPr="005071A1">
        <w:tab/>
        <w:t>(1)</w:t>
      </w:r>
      <w:r w:rsidRPr="005071A1">
        <w:tab/>
        <w:t>Where one or more non</w:t>
      </w:r>
      <w:r w:rsidR="004510F0">
        <w:noBreakHyphen/>
      </w:r>
      <w:r w:rsidRPr="005071A1">
        <w:t>contributory units of pension are applicable in relation to a contributor at the time of his retirement, the contributor is, subject to this Act, upon retirement, entitled to receive, in addition to a pension under section</w:t>
      </w:r>
      <w:r w:rsidR="008B2950" w:rsidRPr="005071A1">
        <w:t> </w:t>
      </w:r>
      <w:r w:rsidRPr="005071A1">
        <w:t>43:</w:t>
      </w:r>
    </w:p>
    <w:p w14:paraId="2AE53E41" w14:textId="77777777" w:rsidR="00B33542" w:rsidRPr="005071A1" w:rsidRDefault="00B33542" w:rsidP="00B33542">
      <w:pPr>
        <w:pStyle w:val="paragraph"/>
      </w:pPr>
      <w:r w:rsidRPr="005071A1">
        <w:tab/>
        <w:t>(a)</w:t>
      </w:r>
      <w:r w:rsidRPr="005071A1">
        <w:tab/>
        <w:t>if he retires on or after attaining the age of sixty</w:t>
      </w:r>
      <w:r w:rsidR="004510F0">
        <w:noBreakHyphen/>
      </w:r>
      <w:r w:rsidRPr="005071A1">
        <w:t>five years—a pension according to the number of non</w:t>
      </w:r>
      <w:r w:rsidR="004510F0">
        <w:noBreakHyphen/>
      </w:r>
      <w:r w:rsidRPr="005071A1">
        <w:t>contributory units of pension that were applicable in relation to him at the time of his retirement; or</w:t>
      </w:r>
    </w:p>
    <w:p w14:paraId="3791FF7B" w14:textId="77777777" w:rsidR="00B33542" w:rsidRPr="005071A1" w:rsidRDefault="00B33542" w:rsidP="00B33542">
      <w:pPr>
        <w:pStyle w:val="paragraph"/>
      </w:pPr>
      <w:r w:rsidRPr="005071A1">
        <w:tab/>
        <w:t>(b)</w:t>
      </w:r>
      <w:r w:rsidRPr="005071A1">
        <w:tab/>
        <w:t>if he retires before attaining that age—a pension equal to five</w:t>
      </w:r>
      <w:r w:rsidR="004510F0">
        <w:noBreakHyphen/>
      </w:r>
      <w:r w:rsidRPr="005071A1">
        <w:t>sevenths of the pension that he would, upon retirement, have been entitled to receive in respect of the non</w:t>
      </w:r>
      <w:r w:rsidR="004510F0">
        <w:noBreakHyphen/>
      </w:r>
      <w:r w:rsidRPr="005071A1">
        <w:t>contributory units of pension that were applicable in relation to him at the time of his retirement if he had been a contributor for those units from the respective dates as from which those units became applicable in relation to him as non</w:t>
      </w:r>
      <w:r w:rsidR="004510F0">
        <w:noBreakHyphen/>
      </w:r>
      <w:r w:rsidRPr="005071A1">
        <w:t>contributory units and he had contributed at the appropriate rates based on a retiring age of sixty</w:t>
      </w:r>
      <w:r w:rsidR="004510F0">
        <w:noBreakHyphen/>
      </w:r>
      <w:r w:rsidRPr="005071A1">
        <w:t>five years.</w:t>
      </w:r>
    </w:p>
    <w:p w14:paraId="7702F08A" w14:textId="77777777" w:rsidR="00B33542" w:rsidRPr="005071A1" w:rsidRDefault="00B33542" w:rsidP="00B33542">
      <w:pPr>
        <w:pStyle w:val="subsection"/>
      </w:pPr>
      <w:r w:rsidRPr="005071A1">
        <w:tab/>
        <w:t>(2)</w:t>
      </w:r>
      <w:r w:rsidRPr="005071A1">
        <w:tab/>
        <w:t>This section does not apply to a contributor who retires on or after 1</w:t>
      </w:r>
      <w:r w:rsidR="008B2950" w:rsidRPr="005071A1">
        <w:t> </w:t>
      </w:r>
      <w:r w:rsidRPr="005071A1">
        <w:t>July 1976.</w:t>
      </w:r>
    </w:p>
    <w:p w14:paraId="46D2DCB0" w14:textId="77777777" w:rsidR="00B33542" w:rsidRPr="005071A1" w:rsidRDefault="00B33542" w:rsidP="00B33542">
      <w:pPr>
        <w:pStyle w:val="ActHead5"/>
      </w:pPr>
      <w:bookmarkStart w:id="70" w:name="_Toc185577452"/>
      <w:r w:rsidRPr="004510F0">
        <w:rPr>
          <w:rStyle w:val="CharSectno"/>
        </w:rPr>
        <w:t>44</w:t>
      </w:r>
      <w:r w:rsidRPr="005071A1">
        <w:t xml:space="preserve">  Contributor remaining in Service after attaining maximum age for retirement</w:t>
      </w:r>
      <w:bookmarkEnd w:id="70"/>
    </w:p>
    <w:p w14:paraId="22691DD6" w14:textId="77777777" w:rsidR="00B33542" w:rsidRPr="005071A1" w:rsidRDefault="00B33542" w:rsidP="00B33542">
      <w:pPr>
        <w:pStyle w:val="subsection"/>
      </w:pPr>
      <w:r w:rsidRPr="005071A1">
        <w:tab/>
        <w:t>(1)</w:t>
      </w:r>
      <w:r w:rsidRPr="005071A1">
        <w:tab/>
        <w:t>Where a contributor retires not less than one month after attaining the maximum age for retirement, the pension that would be payable to him under the provisions of this Act other than this section or section</w:t>
      </w:r>
      <w:r w:rsidR="008B2950" w:rsidRPr="005071A1">
        <w:t> </w:t>
      </w:r>
      <w:r w:rsidRPr="005071A1">
        <w:t>43A shall be increased by an amount ascertained by multiplying the portion of the pension equivalent to the contributions made by him by a multiplier that is:</w:t>
      </w:r>
    </w:p>
    <w:p w14:paraId="35AA62AD" w14:textId="77777777" w:rsidR="00B33542" w:rsidRPr="005071A1" w:rsidRDefault="00B33542" w:rsidP="00B33542">
      <w:pPr>
        <w:pStyle w:val="paragraph"/>
      </w:pPr>
      <w:r w:rsidRPr="005071A1">
        <w:tab/>
        <w:t>(a)</w:t>
      </w:r>
      <w:r w:rsidRPr="005071A1">
        <w:tab/>
        <w:t>if the maximum age for retirement in his case was sixty years, the sum of:</w:t>
      </w:r>
    </w:p>
    <w:p w14:paraId="649848B5" w14:textId="77777777" w:rsidR="00B33542" w:rsidRPr="005071A1" w:rsidRDefault="00B33542" w:rsidP="00B33542">
      <w:pPr>
        <w:pStyle w:val="paragraphsub"/>
      </w:pPr>
      <w:r w:rsidRPr="005071A1">
        <w:lastRenderedPageBreak/>
        <w:tab/>
        <w:t>(i)</w:t>
      </w:r>
      <w:r w:rsidRPr="005071A1">
        <w:tab/>
        <w:t>the factor specified in column 2 of Table I in the Seventh Schedule opposite to the age specified in column 1 of that Table that was his age on retirement; and</w:t>
      </w:r>
    </w:p>
    <w:p w14:paraId="412A3AFE" w14:textId="77777777" w:rsidR="00B33542" w:rsidRPr="005071A1" w:rsidRDefault="00B33542" w:rsidP="00B33542">
      <w:pPr>
        <w:pStyle w:val="paragraphsub"/>
      </w:pPr>
      <w:r w:rsidRPr="005071A1">
        <w:tab/>
        <w:t>(ii)</w:t>
      </w:r>
      <w:r w:rsidRPr="005071A1">
        <w:tab/>
        <w:t>the product of the number of whole months included in the period that commenced on the date on which he attained the age in years that was his age on retirement and ended on the date of his retirement and the factor specified in column 3 of that Table opposite to the age specified in column 1 of that Table that was his age on retirement; or</w:t>
      </w:r>
    </w:p>
    <w:p w14:paraId="0C260A0D" w14:textId="77777777" w:rsidR="00B33542" w:rsidRPr="005071A1" w:rsidRDefault="00B33542" w:rsidP="00B33542">
      <w:pPr>
        <w:pStyle w:val="paragraph"/>
      </w:pPr>
      <w:r w:rsidRPr="005071A1">
        <w:tab/>
        <w:t>(b)</w:t>
      </w:r>
      <w:r w:rsidRPr="005071A1">
        <w:tab/>
        <w:t>if the maximum age for retirement in his case was sixty</w:t>
      </w:r>
      <w:r w:rsidR="004510F0">
        <w:noBreakHyphen/>
      </w:r>
      <w:r w:rsidRPr="005071A1">
        <w:t>five years, the sum of:</w:t>
      </w:r>
    </w:p>
    <w:p w14:paraId="2A5C5E27" w14:textId="77777777" w:rsidR="00B33542" w:rsidRPr="005071A1" w:rsidRDefault="00B33542" w:rsidP="00B33542">
      <w:pPr>
        <w:pStyle w:val="paragraphsub"/>
      </w:pPr>
      <w:r w:rsidRPr="005071A1">
        <w:tab/>
        <w:t>(i)</w:t>
      </w:r>
      <w:r w:rsidRPr="005071A1">
        <w:tab/>
        <w:t>the factor specified in column 2 of Table II in the Seventh Schedule opposite to the age specified in column 1 of that Table that was his age on retirement; and</w:t>
      </w:r>
    </w:p>
    <w:p w14:paraId="3494D84F" w14:textId="77777777" w:rsidR="00B33542" w:rsidRPr="005071A1" w:rsidRDefault="00B33542" w:rsidP="00B33542">
      <w:pPr>
        <w:pStyle w:val="paragraphsub"/>
      </w:pPr>
      <w:r w:rsidRPr="005071A1">
        <w:tab/>
        <w:t>(ii)</w:t>
      </w:r>
      <w:r w:rsidRPr="005071A1">
        <w:tab/>
        <w:t>the product of the number of whole months included in the period that commenced on the date on which he attained the age in years that was his age on retirement and ended on the date of his retirement and the factor specified in column 3 of that Table opposite to the age specified in column 1 of that Table that was his age on retirement.</w:t>
      </w:r>
    </w:p>
    <w:p w14:paraId="4D3B15E1" w14:textId="77777777" w:rsidR="00B33542" w:rsidRPr="005071A1" w:rsidRDefault="00B33542" w:rsidP="00B33542">
      <w:pPr>
        <w:pStyle w:val="subsection"/>
        <w:keepNext/>
      </w:pPr>
      <w:r w:rsidRPr="005071A1">
        <w:tab/>
        <w:t>(2)</w:t>
      </w:r>
      <w:r w:rsidRPr="005071A1">
        <w:tab/>
        <w:t>Where:</w:t>
      </w:r>
    </w:p>
    <w:p w14:paraId="6EC34801" w14:textId="77777777" w:rsidR="00B33542" w:rsidRPr="005071A1" w:rsidRDefault="00B33542" w:rsidP="00B33542">
      <w:pPr>
        <w:pStyle w:val="paragraph"/>
      </w:pPr>
      <w:r w:rsidRPr="005071A1">
        <w:tab/>
        <w:t>(a)</w:t>
      </w:r>
      <w:r w:rsidRPr="005071A1">
        <w:tab/>
        <w:t>a male contributor who has attained the maximum age for retirement dies before retirement and is survived by a widow; or</w:t>
      </w:r>
    </w:p>
    <w:p w14:paraId="54AE4473" w14:textId="77777777" w:rsidR="00B33542" w:rsidRPr="005071A1" w:rsidRDefault="00B33542" w:rsidP="00B33542">
      <w:pPr>
        <w:pStyle w:val="paragraph"/>
      </w:pPr>
      <w:r w:rsidRPr="005071A1">
        <w:tab/>
        <w:t>(b)</w:t>
      </w:r>
      <w:r w:rsidRPr="005071A1">
        <w:tab/>
        <w:t>the widow of:</w:t>
      </w:r>
    </w:p>
    <w:p w14:paraId="3C84D3CF" w14:textId="77777777" w:rsidR="00B33542" w:rsidRPr="005071A1" w:rsidRDefault="00B33542" w:rsidP="00B33542">
      <w:pPr>
        <w:pStyle w:val="paragraphsub"/>
      </w:pPr>
      <w:r w:rsidRPr="005071A1">
        <w:tab/>
        <w:t>(i)</w:t>
      </w:r>
      <w:r w:rsidRPr="005071A1">
        <w:tab/>
        <w:t>a male contributor who, having attained the maximum age for retirement, died before retirement; or</w:t>
      </w:r>
    </w:p>
    <w:p w14:paraId="4EBE727B" w14:textId="77777777" w:rsidR="00B33542" w:rsidRPr="005071A1" w:rsidRDefault="00B33542" w:rsidP="00B33542">
      <w:pPr>
        <w:pStyle w:val="paragraphsub"/>
        <w:keepNext/>
      </w:pPr>
      <w:r w:rsidRPr="005071A1">
        <w:lastRenderedPageBreak/>
        <w:tab/>
        <w:t>(ii)</w:t>
      </w:r>
      <w:r w:rsidRPr="005071A1">
        <w:tab/>
        <w:t>a male pensioner who retired after attaining the maximum age for retirement;</w:t>
      </w:r>
    </w:p>
    <w:p w14:paraId="7B3AC10E" w14:textId="77777777" w:rsidR="00B33542" w:rsidRPr="005071A1" w:rsidRDefault="00B33542" w:rsidP="00B33542">
      <w:pPr>
        <w:pStyle w:val="paragraph"/>
        <w:keepNext/>
      </w:pPr>
      <w:r w:rsidRPr="005071A1">
        <w:tab/>
      </w:r>
      <w:r w:rsidRPr="005071A1">
        <w:tab/>
        <w:t>is in receipt of, or entitled to, a pension at the commencement of this section;</w:t>
      </w:r>
    </w:p>
    <w:p w14:paraId="180D3744" w14:textId="77777777" w:rsidR="00B33542" w:rsidRPr="005071A1" w:rsidRDefault="00B33542" w:rsidP="00B33542">
      <w:pPr>
        <w:pStyle w:val="subsection2"/>
      </w:pPr>
      <w:r w:rsidRPr="005071A1">
        <w:t>the pension that would be payable to the widow under the provisions of this Act other than this section or section</w:t>
      </w:r>
      <w:r w:rsidR="008B2950" w:rsidRPr="005071A1">
        <w:t> </w:t>
      </w:r>
      <w:r w:rsidRPr="005071A1">
        <w:t>43A shall be increased by an amount ascertained by multiplying that portion of the pension that is equivalent to the contributions made by her husband by the multiplier that would have been applicable under the last preceding subsection in relation to his pension if:</w:t>
      </w:r>
    </w:p>
    <w:p w14:paraId="4E0DE4DF" w14:textId="77777777" w:rsidR="00B33542" w:rsidRPr="005071A1" w:rsidRDefault="00B33542" w:rsidP="00B33542">
      <w:pPr>
        <w:pStyle w:val="paragraph"/>
      </w:pPr>
      <w:r w:rsidRPr="005071A1">
        <w:tab/>
        <w:t>(c)</w:t>
      </w:r>
      <w:r w:rsidRPr="005071A1">
        <w:tab/>
        <w:t xml:space="preserve">in the case of a contributor referred to in </w:t>
      </w:r>
      <w:r w:rsidR="008B2950" w:rsidRPr="005071A1">
        <w:t>paragraph (</w:t>
      </w:r>
      <w:r w:rsidRPr="005071A1">
        <w:t>a), he had retired immediately before his death;</w:t>
      </w:r>
    </w:p>
    <w:p w14:paraId="06122F8F" w14:textId="77777777" w:rsidR="00B33542" w:rsidRPr="005071A1" w:rsidRDefault="00B33542" w:rsidP="00B33542">
      <w:pPr>
        <w:pStyle w:val="paragraph"/>
      </w:pPr>
      <w:r w:rsidRPr="005071A1">
        <w:tab/>
        <w:t>(d)</w:t>
      </w:r>
      <w:r w:rsidRPr="005071A1">
        <w:tab/>
        <w:t xml:space="preserve">in the case of a contributor referred to in </w:t>
      </w:r>
      <w:r w:rsidR="008B2950" w:rsidRPr="005071A1">
        <w:t>subparagraph (</w:t>
      </w:r>
      <w:r w:rsidRPr="005071A1">
        <w:t xml:space="preserve">i) of </w:t>
      </w:r>
      <w:r w:rsidR="008B2950" w:rsidRPr="005071A1">
        <w:t>paragraph (</w:t>
      </w:r>
      <w:r w:rsidRPr="005071A1">
        <w:t>b), he had retired after the commencement of this section at the age at which he in fact died; or</w:t>
      </w:r>
    </w:p>
    <w:p w14:paraId="02B72DAF" w14:textId="77777777" w:rsidR="00B33542" w:rsidRPr="005071A1" w:rsidRDefault="00B33542" w:rsidP="00B33542">
      <w:pPr>
        <w:pStyle w:val="paragraph"/>
      </w:pPr>
      <w:r w:rsidRPr="005071A1">
        <w:tab/>
        <w:t>(e)</w:t>
      </w:r>
      <w:r w:rsidRPr="005071A1">
        <w:tab/>
        <w:t xml:space="preserve">in the case of a pensioner referred to in </w:t>
      </w:r>
      <w:r w:rsidR="008B2950" w:rsidRPr="005071A1">
        <w:t>subparagraph (</w:t>
      </w:r>
      <w:r w:rsidRPr="005071A1">
        <w:t xml:space="preserve">ii) of </w:t>
      </w:r>
      <w:r w:rsidR="008B2950" w:rsidRPr="005071A1">
        <w:t>paragraph (</w:t>
      </w:r>
      <w:r w:rsidRPr="005071A1">
        <w:t>b), he had not died before the commencement of this section.</w:t>
      </w:r>
    </w:p>
    <w:p w14:paraId="486056E9" w14:textId="77777777" w:rsidR="00B33542" w:rsidRPr="005071A1" w:rsidRDefault="00B33542" w:rsidP="00B33542">
      <w:pPr>
        <w:pStyle w:val="subsection"/>
      </w:pPr>
      <w:r w:rsidRPr="005071A1">
        <w:tab/>
        <w:t>(2A)</w:t>
      </w:r>
      <w:r w:rsidRPr="005071A1">
        <w:tab/>
        <w:t>Where a female contributor who has attained the maximum age for retirement dies before retirement and is survived by a widower, the pension that would be payable to the widower under the provisions of this Act other than this section or section</w:t>
      </w:r>
      <w:r w:rsidR="008B2950" w:rsidRPr="005071A1">
        <w:t> </w:t>
      </w:r>
      <w:r w:rsidRPr="005071A1">
        <w:t xml:space="preserve">43A shall be increased by an amount ascertained by multiplying that portion of the pension that is equivalent to the contributions made by his wife by the multiplier that would have been applicable under </w:t>
      </w:r>
      <w:r w:rsidR="008B2950" w:rsidRPr="005071A1">
        <w:t>subsection (</w:t>
      </w:r>
      <w:r w:rsidRPr="005071A1">
        <w:t>1) in relation to her pension if she had retired immediately before her death.</w:t>
      </w:r>
    </w:p>
    <w:p w14:paraId="32F2F54D" w14:textId="77777777" w:rsidR="00B33542" w:rsidRPr="005071A1" w:rsidRDefault="00B33542" w:rsidP="00B33542">
      <w:pPr>
        <w:pStyle w:val="subsection"/>
      </w:pPr>
      <w:r w:rsidRPr="005071A1">
        <w:tab/>
        <w:t>(3)</w:t>
      </w:r>
      <w:r w:rsidRPr="005071A1">
        <w:tab/>
        <w:t xml:space="preserve">The amount by which a pension is increased in pursuance of </w:t>
      </w:r>
      <w:r w:rsidR="008B2950" w:rsidRPr="005071A1">
        <w:t>subsection (</w:t>
      </w:r>
      <w:r w:rsidRPr="005071A1">
        <w:t>1), (2) or (2A) is payable from the Fund without contribution by the Commonwealth.</w:t>
      </w:r>
    </w:p>
    <w:p w14:paraId="2DB94E7C" w14:textId="77777777" w:rsidR="00B33542" w:rsidRPr="005071A1" w:rsidRDefault="00B33542" w:rsidP="00B33542">
      <w:pPr>
        <w:pStyle w:val="subsection"/>
      </w:pPr>
      <w:r w:rsidRPr="005071A1">
        <w:tab/>
        <w:t>(4)</w:t>
      </w:r>
      <w:r w:rsidRPr="005071A1">
        <w:tab/>
        <w:t>Where:</w:t>
      </w:r>
    </w:p>
    <w:p w14:paraId="3904B7C6" w14:textId="77777777" w:rsidR="00B33542" w:rsidRPr="005071A1" w:rsidRDefault="00B33542" w:rsidP="00B33542">
      <w:pPr>
        <w:pStyle w:val="paragraph"/>
      </w:pPr>
      <w:r w:rsidRPr="005071A1">
        <w:lastRenderedPageBreak/>
        <w:tab/>
        <w:t>(a)</w:t>
      </w:r>
      <w:r w:rsidRPr="005071A1">
        <w:tab/>
        <w:t>this section applies to the pension of a contributor or of the widow or widower of a contributor; and</w:t>
      </w:r>
    </w:p>
    <w:p w14:paraId="050B00C6" w14:textId="77777777" w:rsidR="00B33542" w:rsidRPr="005071A1" w:rsidRDefault="00B33542" w:rsidP="00B33542">
      <w:pPr>
        <w:pStyle w:val="paragraph"/>
        <w:keepNext/>
      </w:pPr>
      <w:r w:rsidRPr="005071A1">
        <w:tab/>
        <w:t>(b)</w:t>
      </w:r>
      <w:r w:rsidRPr="005071A1">
        <w:tab/>
        <w:t>the contributor was, immediately before his retirement or death, contributing for some units of pension at a rate based on a retiring age of sixty years and other units of pension at a rate based on a retiring age of sixty</w:t>
      </w:r>
      <w:r w:rsidR="004510F0">
        <w:noBreakHyphen/>
      </w:r>
      <w:r w:rsidRPr="005071A1">
        <w:t>five years;</w:t>
      </w:r>
    </w:p>
    <w:p w14:paraId="1229573E" w14:textId="77777777" w:rsidR="00B33542" w:rsidRPr="005071A1" w:rsidRDefault="00B33542" w:rsidP="00B33542">
      <w:pPr>
        <w:pStyle w:val="subsection2"/>
      </w:pPr>
      <w:r w:rsidRPr="005071A1">
        <w:t>this section applies to and in relation to the pension as if it consisted of two pensions, one such pension being attributable to the first</w:t>
      </w:r>
      <w:r w:rsidR="004510F0">
        <w:noBreakHyphen/>
      </w:r>
      <w:r w:rsidRPr="005071A1">
        <w:t>mentioned units and the other such pension being attributable to the second</w:t>
      </w:r>
      <w:r w:rsidR="004510F0">
        <w:noBreakHyphen/>
      </w:r>
      <w:r w:rsidRPr="005071A1">
        <w:t>mentioned units.</w:t>
      </w:r>
    </w:p>
    <w:p w14:paraId="5704988C" w14:textId="77777777" w:rsidR="00B33542" w:rsidRPr="005071A1" w:rsidRDefault="00B33542" w:rsidP="00B33542">
      <w:pPr>
        <w:pStyle w:val="ActHead5"/>
      </w:pPr>
      <w:bookmarkStart w:id="71" w:name="_Toc185577453"/>
      <w:r w:rsidRPr="004510F0">
        <w:rPr>
          <w:rStyle w:val="CharSectno"/>
        </w:rPr>
        <w:t>45</w:t>
      </w:r>
      <w:r w:rsidRPr="005071A1">
        <w:t xml:space="preserve">  Retirement through invalidity—amount of pension</w:t>
      </w:r>
      <w:bookmarkEnd w:id="71"/>
    </w:p>
    <w:p w14:paraId="665D2772" w14:textId="77777777" w:rsidR="00B33542" w:rsidRPr="005071A1" w:rsidRDefault="00B33542" w:rsidP="00B33542">
      <w:pPr>
        <w:pStyle w:val="subsection"/>
      </w:pPr>
      <w:r w:rsidRPr="005071A1">
        <w:tab/>
        <w:t>(1)</w:t>
      </w:r>
      <w:r w:rsidRPr="005071A1">
        <w:tab/>
        <w:t>Where a contributor is retired on the ground of invalidity or physical or mental incapacity to perform his duties, he shall:</w:t>
      </w:r>
    </w:p>
    <w:p w14:paraId="1EBF3288" w14:textId="77777777" w:rsidR="00B33542" w:rsidRPr="005071A1" w:rsidRDefault="00B33542" w:rsidP="00B33542">
      <w:pPr>
        <w:pStyle w:val="paragraph"/>
      </w:pPr>
      <w:r w:rsidRPr="005071A1">
        <w:tab/>
        <w:t>(a)</w:t>
      </w:r>
      <w:r w:rsidRPr="005071A1">
        <w:tab/>
        <w:t>if the invalidity or incapacity is not due to wilful action on his part for the purpose of obtaining pension—be entitled to the full pension for which he was contributing at the time of his retirement and to the pension (if any) that would have been payable to him in respect of non</w:t>
      </w:r>
      <w:r w:rsidR="004510F0">
        <w:noBreakHyphen/>
      </w:r>
      <w:r w:rsidRPr="005071A1">
        <w:t>contributory units of pension if he had attained the age of sixty</w:t>
      </w:r>
      <w:r w:rsidR="004510F0">
        <w:noBreakHyphen/>
      </w:r>
      <w:r w:rsidRPr="005071A1">
        <w:t>five years at that time; and</w:t>
      </w:r>
    </w:p>
    <w:p w14:paraId="28025763" w14:textId="77777777" w:rsidR="00B33542" w:rsidRPr="005071A1" w:rsidRDefault="00B33542" w:rsidP="00B33542">
      <w:pPr>
        <w:pStyle w:val="paragraph"/>
      </w:pPr>
      <w:r w:rsidRPr="005071A1">
        <w:tab/>
        <w:t>(b)</w:t>
      </w:r>
      <w:r w:rsidRPr="005071A1">
        <w:tab/>
        <w:t>if the invalidity or incapacity is due to wilful action on his part for the purpose of obtaining pension—be entitled to a refund of the contributions paid by him to the Fund.</w:t>
      </w:r>
    </w:p>
    <w:p w14:paraId="7CDF2B7B" w14:textId="77777777" w:rsidR="00B33542" w:rsidRPr="005071A1" w:rsidRDefault="00B33542" w:rsidP="00B33542">
      <w:pPr>
        <w:pStyle w:val="subsection"/>
      </w:pPr>
      <w:r w:rsidRPr="005071A1">
        <w:tab/>
        <w:t>(2)</w:t>
      </w:r>
      <w:r w:rsidRPr="005071A1">
        <w:tab/>
        <w:t>Where a person:</w:t>
      </w:r>
    </w:p>
    <w:p w14:paraId="18940892" w14:textId="77777777" w:rsidR="00B33542" w:rsidRPr="005071A1" w:rsidRDefault="00B33542" w:rsidP="00B33542">
      <w:pPr>
        <w:pStyle w:val="paragraph"/>
      </w:pPr>
      <w:r w:rsidRPr="005071A1">
        <w:tab/>
        <w:t>(a)</w:t>
      </w:r>
      <w:r w:rsidRPr="005071A1">
        <w:tab/>
        <w:t xml:space="preserve">appointed prior to the commencement of the </w:t>
      </w:r>
      <w:r w:rsidRPr="005071A1">
        <w:rPr>
          <w:i/>
        </w:rPr>
        <w:t xml:space="preserve">Superannuation Act 1937 </w:t>
      </w:r>
      <w:r w:rsidRPr="005071A1">
        <w:t>as an officer under section</w:t>
      </w:r>
      <w:r w:rsidR="008B2950" w:rsidRPr="005071A1">
        <w:t> </w:t>
      </w:r>
      <w:r w:rsidRPr="005071A1">
        <w:t xml:space="preserve">21 of the </w:t>
      </w:r>
      <w:r w:rsidRPr="005071A1">
        <w:rPr>
          <w:i/>
        </w:rPr>
        <w:t>Australian Soldiers’ Repatriation Act 1920</w:t>
      </w:r>
      <w:r w:rsidRPr="005071A1">
        <w:t xml:space="preserve">, </w:t>
      </w:r>
      <w:r w:rsidR="004510F0">
        <w:t>section 1</w:t>
      </w:r>
      <w:r w:rsidRPr="005071A1">
        <w:t xml:space="preserve">5 of the </w:t>
      </w:r>
      <w:r w:rsidRPr="005071A1">
        <w:rPr>
          <w:i/>
        </w:rPr>
        <w:t>War Service Homes Act 1918</w:t>
      </w:r>
      <w:r w:rsidRPr="005071A1">
        <w:t xml:space="preserve">, </w:t>
      </w:r>
      <w:r w:rsidR="004510F0">
        <w:t>section 1</w:t>
      </w:r>
      <w:r w:rsidRPr="005071A1">
        <w:t xml:space="preserve">4A of the </w:t>
      </w:r>
      <w:r w:rsidRPr="005071A1">
        <w:rPr>
          <w:i/>
        </w:rPr>
        <w:t xml:space="preserve">Science and </w:t>
      </w:r>
      <w:r w:rsidRPr="005071A1">
        <w:rPr>
          <w:i/>
        </w:rPr>
        <w:lastRenderedPageBreak/>
        <w:t>Industry Research Act 1920</w:t>
      </w:r>
      <w:r w:rsidR="004510F0">
        <w:rPr>
          <w:i/>
        </w:rPr>
        <w:noBreakHyphen/>
      </w:r>
      <w:r w:rsidRPr="005071A1">
        <w:rPr>
          <w:i/>
        </w:rPr>
        <w:t xml:space="preserve">1926 </w:t>
      </w:r>
      <w:r w:rsidRPr="005071A1">
        <w:t>or section</w:t>
      </w:r>
      <w:r w:rsidR="008B2950" w:rsidRPr="005071A1">
        <w:t> </w:t>
      </w:r>
      <w:r w:rsidRPr="005071A1">
        <w:t xml:space="preserve">9 of the </w:t>
      </w:r>
      <w:r w:rsidRPr="005071A1">
        <w:rPr>
          <w:i/>
        </w:rPr>
        <w:t>High Commissioner Act 1909</w:t>
      </w:r>
      <w:r w:rsidRPr="005071A1">
        <w:t>; or</w:t>
      </w:r>
    </w:p>
    <w:p w14:paraId="02197853" w14:textId="77777777" w:rsidR="00B33542" w:rsidRPr="005071A1" w:rsidRDefault="00B33542" w:rsidP="00B33542">
      <w:pPr>
        <w:pStyle w:val="paragraph"/>
        <w:keepNext/>
      </w:pPr>
      <w:r w:rsidRPr="005071A1">
        <w:tab/>
        <w:t>(b)</w:t>
      </w:r>
      <w:r w:rsidRPr="005071A1">
        <w:tab/>
        <w:t xml:space="preserve">in respect of whom a notice was published in pursuance of </w:t>
      </w:r>
      <w:r w:rsidR="008B2950" w:rsidRPr="005071A1">
        <w:t>subsection (</w:t>
      </w:r>
      <w:r w:rsidRPr="005071A1">
        <w:t>4) of section</w:t>
      </w:r>
      <w:r w:rsidR="008B2950" w:rsidRPr="005071A1">
        <w:t> </w:t>
      </w:r>
      <w:r w:rsidRPr="005071A1">
        <w:t xml:space="preserve">4 of the </w:t>
      </w:r>
      <w:r w:rsidRPr="005071A1">
        <w:rPr>
          <w:i/>
        </w:rPr>
        <w:t>Superannuation Act 1922</w:t>
      </w:r>
      <w:r w:rsidR="004510F0">
        <w:rPr>
          <w:i/>
        </w:rPr>
        <w:noBreakHyphen/>
      </w:r>
      <w:r w:rsidRPr="005071A1">
        <w:rPr>
          <w:i/>
        </w:rPr>
        <w:t xml:space="preserve">1942 </w:t>
      </w:r>
      <w:r w:rsidRPr="005071A1">
        <w:t xml:space="preserve">or of that Act as amended by an Act or Acts passed prior to the </w:t>
      </w:r>
      <w:r w:rsidRPr="005071A1">
        <w:rPr>
          <w:i/>
        </w:rPr>
        <w:t xml:space="preserve">Superannuation Act 1954 </w:t>
      </w:r>
      <w:r w:rsidRPr="005071A1">
        <w:t xml:space="preserve">and whose appointment to the statutory office was made prior to the commencement of the </w:t>
      </w:r>
      <w:r w:rsidRPr="005071A1">
        <w:rPr>
          <w:i/>
        </w:rPr>
        <w:t>Superannuation Act 1942</w:t>
      </w:r>
      <w:r w:rsidRPr="005071A1">
        <w:t>;</w:t>
      </w:r>
    </w:p>
    <w:p w14:paraId="2629ACDE" w14:textId="77777777" w:rsidR="00B33542" w:rsidRPr="005071A1" w:rsidRDefault="00B33542" w:rsidP="00B33542">
      <w:pPr>
        <w:pStyle w:val="subsection2"/>
      </w:pPr>
      <w:r w:rsidRPr="005071A1">
        <w:t>became or becomes a contributor and, within seven years after becoming a contributor, was or is retired on the ground of invalidity or physical or mental incapacity to perform his duties, or has died or dies, any pension payable under this Act shall be paid from the Fund and the Commonwealth shall pay to the Fund the amount of pension so paid.</w:t>
      </w:r>
    </w:p>
    <w:p w14:paraId="27D99AA4" w14:textId="77777777" w:rsidR="00B33542" w:rsidRPr="005071A1" w:rsidRDefault="00B33542" w:rsidP="00B33542">
      <w:pPr>
        <w:pStyle w:val="subsection"/>
      </w:pPr>
      <w:r w:rsidRPr="005071A1">
        <w:tab/>
        <w:t>(3)</w:t>
      </w:r>
      <w:r w:rsidRPr="005071A1">
        <w:tab/>
        <w:t>Where a person referred to in the second proviso to section</w:t>
      </w:r>
      <w:r w:rsidR="008B2950" w:rsidRPr="005071A1">
        <w:t> </w:t>
      </w:r>
      <w:r w:rsidRPr="005071A1">
        <w:t xml:space="preserve">4B of the </w:t>
      </w:r>
      <w:r w:rsidRPr="005071A1">
        <w:rPr>
          <w:i/>
        </w:rPr>
        <w:t>Superannuation Act 1922</w:t>
      </w:r>
      <w:r w:rsidR="004510F0">
        <w:rPr>
          <w:i/>
        </w:rPr>
        <w:noBreakHyphen/>
      </w:r>
      <w:r w:rsidRPr="005071A1">
        <w:rPr>
          <w:i/>
        </w:rPr>
        <w:t xml:space="preserve">1952 </w:t>
      </w:r>
      <w:r w:rsidRPr="005071A1">
        <w:t>has retired or retires, within three years after the date on which he commenced to contribute to the Fund, on the ground of invalidity or of physical or mental incapacity to perform his duties, or has died or dies within that period:</w:t>
      </w:r>
    </w:p>
    <w:p w14:paraId="620E55D3" w14:textId="77777777" w:rsidR="00B33542" w:rsidRPr="005071A1" w:rsidRDefault="00B33542" w:rsidP="00B33542">
      <w:pPr>
        <w:pStyle w:val="paragraph"/>
      </w:pPr>
      <w:r w:rsidRPr="005071A1">
        <w:tab/>
        <w:t>(a)</w:t>
      </w:r>
      <w:r w:rsidRPr="005071A1">
        <w:tab/>
        <w:t>any pension payable under this Act shall be paid from the Fund;</w:t>
      </w:r>
    </w:p>
    <w:p w14:paraId="5AFF6E18" w14:textId="77777777" w:rsidR="00B33542" w:rsidRPr="005071A1" w:rsidRDefault="00B33542" w:rsidP="00B33542">
      <w:pPr>
        <w:pStyle w:val="paragraph"/>
      </w:pPr>
      <w:r w:rsidRPr="005071A1">
        <w:tab/>
        <w:t>(b)</w:t>
      </w:r>
      <w:r w:rsidRPr="005071A1">
        <w:tab/>
        <w:t>the Commonwealth shall pay to the Fund the amount of pension so paid; and</w:t>
      </w:r>
    </w:p>
    <w:p w14:paraId="142F84E2" w14:textId="77777777" w:rsidR="00B33542" w:rsidRPr="005071A1" w:rsidRDefault="00B33542" w:rsidP="00B33542">
      <w:pPr>
        <w:pStyle w:val="paragraph"/>
      </w:pPr>
      <w:r w:rsidRPr="005071A1">
        <w:tab/>
        <w:t>(c)</w:t>
      </w:r>
      <w:r w:rsidRPr="005071A1">
        <w:tab/>
        <w:t>the approved authority shall pay to the Commonwealth the amount paid by the Commonwealth to the Fund and may apply for that purpose any moneys under the control of the approved authority.</w:t>
      </w:r>
    </w:p>
    <w:p w14:paraId="7E0996BB" w14:textId="77777777" w:rsidR="00B33542" w:rsidRPr="005071A1" w:rsidRDefault="00B33542" w:rsidP="00B33542">
      <w:pPr>
        <w:pStyle w:val="subsection"/>
      </w:pPr>
      <w:r w:rsidRPr="005071A1">
        <w:tab/>
        <w:t>(4)</w:t>
      </w:r>
      <w:r w:rsidRPr="005071A1">
        <w:tab/>
        <w:t>This section does not apply to a contributor who is retired on or after 1</w:t>
      </w:r>
      <w:r w:rsidR="008B2950" w:rsidRPr="005071A1">
        <w:t> </w:t>
      </w:r>
      <w:r w:rsidRPr="005071A1">
        <w:t>July 1976.</w:t>
      </w:r>
    </w:p>
    <w:p w14:paraId="50E892D2" w14:textId="77777777" w:rsidR="00B33542" w:rsidRPr="005071A1" w:rsidRDefault="00B33542" w:rsidP="00B33542">
      <w:pPr>
        <w:pStyle w:val="ActHead5"/>
      </w:pPr>
      <w:bookmarkStart w:id="72" w:name="_Toc185577454"/>
      <w:r w:rsidRPr="004510F0">
        <w:rPr>
          <w:rStyle w:val="CharSectno"/>
        </w:rPr>
        <w:lastRenderedPageBreak/>
        <w:t>46</w:t>
      </w:r>
      <w:r w:rsidRPr="005071A1">
        <w:t xml:space="preserve">  Pension to spouse and children on death of contributor</w:t>
      </w:r>
      <w:bookmarkEnd w:id="72"/>
    </w:p>
    <w:p w14:paraId="05556B1E" w14:textId="77777777" w:rsidR="00B33542" w:rsidRPr="005071A1" w:rsidRDefault="00B33542" w:rsidP="00B33542">
      <w:pPr>
        <w:pStyle w:val="subsection"/>
      </w:pPr>
      <w:r w:rsidRPr="005071A1">
        <w:tab/>
        <w:t>(1)</w:t>
      </w:r>
      <w:r w:rsidRPr="005071A1">
        <w:tab/>
        <w:t xml:space="preserve">Where a contributor dies before retirement leaving a widow or widower, there shall, subject to </w:t>
      </w:r>
      <w:r w:rsidR="008B2950" w:rsidRPr="005071A1">
        <w:t>subsection (</w:t>
      </w:r>
      <w:r w:rsidRPr="005071A1">
        <w:t>2), be paid to the widow or widower pension equal to five</w:t>
      </w:r>
      <w:r w:rsidR="004510F0">
        <w:noBreakHyphen/>
      </w:r>
      <w:r w:rsidRPr="005071A1">
        <w:t>eighths (or, if the contributor elected that section</w:t>
      </w:r>
      <w:r w:rsidR="008B2950" w:rsidRPr="005071A1">
        <w:t> </w:t>
      </w:r>
      <w:r w:rsidRPr="005071A1">
        <w:t>26 should not apply to him—one</w:t>
      </w:r>
      <w:r w:rsidR="004510F0">
        <w:noBreakHyphen/>
      </w:r>
      <w:r w:rsidRPr="005071A1">
        <w:t>half) of the sum of:</w:t>
      </w:r>
    </w:p>
    <w:p w14:paraId="38FB15CC" w14:textId="77777777" w:rsidR="00B33542" w:rsidRPr="005071A1" w:rsidRDefault="00B33542" w:rsidP="00B33542">
      <w:pPr>
        <w:pStyle w:val="paragraph"/>
      </w:pPr>
      <w:r w:rsidRPr="005071A1">
        <w:tab/>
        <w:t>(a)</w:t>
      </w:r>
      <w:r w:rsidRPr="005071A1">
        <w:tab/>
        <w:t>the pension for which the contributor was contributing at the time of his or her death; and</w:t>
      </w:r>
    </w:p>
    <w:p w14:paraId="137FF9EB" w14:textId="77777777" w:rsidR="00B33542" w:rsidRPr="005071A1" w:rsidRDefault="00B33542" w:rsidP="00B33542">
      <w:pPr>
        <w:pStyle w:val="paragraph"/>
      </w:pPr>
      <w:r w:rsidRPr="005071A1">
        <w:tab/>
        <w:t>(b)</w:t>
      </w:r>
      <w:r w:rsidRPr="005071A1">
        <w:tab/>
        <w:t>the pension (if any) that would have been payable to the contributor in respect of non</w:t>
      </w:r>
      <w:r w:rsidR="004510F0">
        <w:noBreakHyphen/>
      </w:r>
      <w:r w:rsidRPr="005071A1">
        <w:t>contributory units of pension if he or she had attained the age of sixty</w:t>
      </w:r>
      <w:r w:rsidR="004510F0">
        <w:noBreakHyphen/>
      </w:r>
      <w:r w:rsidRPr="005071A1">
        <w:t>five years at that time.</w:t>
      </w:r>
    </w:p>
    <w:p w14:paraId="2FA378CD" w14:textId="77777777" w:rsidR="00B33542" w:rsidRPr="005071A1" w:rsidRDefault="00B33542" w:rsidP="00B33542">
      <w:pPr>
        <w:pStyle w:val="subsection"/>
      </w:pPr>
      <w:r w:rsidRPr="005071A1">
        <w:tab/>
        <w:t>(2)</w:t>
      </w:r>
      <w:r w:rsidRPr="005071A1">
        <w:tab/>
        <w:t xml:space="preserve">Pension shall not be paid to the widower of a female contributor under </w:t>
      </w:r>
      <w:r w:rsidR="008B2950" w:rsidRPr="005071A1">
        <w:t>subsection (</w:t>
      </w:r>
      <w:r w:rsidRPr="005071A1">
        <w:t xml:space="preserve">1) unless, in the opinion of the Board, he was wholly or substantially dependent upon her immediately before her death, and pension under </w:t>
      </w:r>
      <w:r w:rsidR="008B2950" w:rsidRPr="005071A1">
        <w:t>subsection (</w:t>
      </w:r>
      <w:r w:rsidRPr="005071A1">
        <w:t>1) shall not continue to be paid to the widower of a female contributor in respect of any period during which, in the opinion of the Board, the circumstances of the widower are such that, if those circumstances had existed immediately before the death of the contributor, the widower would not have been wholly or substantially dependent upon the contributor at that time.</w:t>
      </w:r>
    </w:p>
    <w:p w14:paraId="2D5E0E71" w14:textId="77777777" w:rsidR="00B33542" w:rsidRPr="005071A1" w:rsidRDefault="00B33542" w:rsidP="00B33542">
      <w:pPr>
        <w:pStyle w:val="subsection"/>
      </w:pPr>
      <w:r w:rsidRPr="005071A1">
        <w:tab/>
        <w:t>(3)</w:t>
      </w:r>
      <w:r w:rsidRPr="005071A1">
        <w:tab/>
        <w:t xml:space="preserve">Where a contributor dies before retirement leaving a widow or widower, there shall, in addition to any pension that may be payable to her or him under </w:t>
      </w:r>
      <w:r w:rsidR="008B2950" w:rsidRPr="005071A1">
        <w:t>subsection (</w:t>
      </w:r>
      <w:r w:rsidRPr="005071A1">
        <w:t>1), be paid to the widow or widower, in respect of each eligible child of the contributor and each eligible child of the widow or widower (other than a child of any remarriage of the widow or widower), a pension at the rate of $208 per annum.</w:t>
      </w:r>
    </w:p>
    <w:p w14:paraId="0C5CC0D9" w14:textId="77777777" w:rsidR="00B33542" w:rsidRPr="005071A1" w:rsidRDefault="00B33542" w:rsidP="00B33542">
      <w:pPr>
        <w:pStyle w:val="subsection"/>
      </w:pPr>
      <w:r w:rsidRPr="005071A1">
        <w:tab/>
        <w:t>(4)</w:t>
      </w:r>
      <w:r w:rsidRPr="005071A1">
        <w:tab/>
        <w:t xml:space="preserve">On the death of the widow or widower of a contributor who died before retirement, there shall be paid in respect of each eligible </w:t>
      </w:r>
      <w:r w:rsidRPr="005071A1">
        <w:lastRenderedPageBreak/>
        <w:t xml:space="preserve">child of the contributor and each eligible child of the widow or widower (other than a child of any remarriage of the widow or widower) a pension at the rate of $520 per annum or at a rate of such amount per annum as is determined in accordance with </w:t>
      </w:r>
      <w:r w:rsidR="008B2950" w:rsidRPr="005071A1">
        <w:t>subsection (</w:t>
      </w:r>
      <w:r w:rsidRPr="005071A1">
        <w:t>5), whichever rate is the higher.</w:t>
      </w:r>
    </w:p>
    <w:p w14:paraId="5D5EF65C" w14:textId="77777777" w:rsidR="00B33542" w:rsidRPr="005071A1" w:rsidRDefault="00B33542" w:rsidP="00B33542">
      <w:pPr>
        <w:pStyle w:val="subsection"/>
      </w:pPr>
      <w:r w:rsidRPr="005071A1">
        <w:tab/>
        <w:t>(5)</w:t>
      </w:r>
      <w:r w:rsidRPr="005071A1">
        <w:tab/>
        <w:t xml:space="preserve">The amount to be determined for the purposes of </w:t>
      </w:r>
      <w:r w:rsidR="008B2950" w:rsidRPr="005071A1">
        <w:t>subsection (</w:t>
      </w:r>
      <w:r w:rsidRPr="005071A1">
        <w:t xml:space="preserve">4) is the sum of $208 and an amount ascertained by dividing by four (or, if the number of eligible children of the contributor and of the widow or widower in respect of whom pension is payable under </w:t>
      </w:r>
      <w:r w:rsidR="008B2950" w:rsidRPr="005071A1">
        <w:t>subsection (</w:t>
      </w:r>
      <w:r w:rsidRPr="005071A1">
        <w:t xml:space="preserve">4) is greater than four, by the number of those children) the amount of the annual rate of the pension that, but for the death of the widow or widower, would, by virtue of </w:t>
      </w:r>
      <w:r w:rsidR="008B2950" w:rsidRPr="005071A1">
        <w:t>subsection (</w:t>
      </w:r>
      <w:r w:rsidRPr="005071A1">
        <w:t xml:space="preserve">1), have been payable to the widow or widower or have been so payable but for </w:t>
      </w:r>
      <w:r w:rsidR="008B2950" w:rsidRPr="005071A1">
        <w:t>subsection (</w:t>
      </w:r>
      <w:r w:rsidRPr="005071A1">
        <w:t>2).</w:t>
      </w:r>
    </w:p>
    <w:p w14:paraId="1F1E03BC" w14:textId="77777777" w:rsidR="00B33542" w:rsidRPr="005071A1" w:rsidRDefault="00B33542" w:rsidP="002028EB">
      <w:pPr>
        <w:pStyle w:val="subsection"/>
        <w:keepNext/>
      </w:pPr>
      <w:r w:rsidRPr="005071A1">
        <w:tab/>
        <w:t>(6)</w:t>
      </w:r>
      <w:r w:rsidRPr="005071A1">
        <w:tab/>
        <w:t>Where:</w:t>
      </w:r>
    </w:p>
    <w:p w14:paraId="5D8214BE" w14:textId="77777777" w:rsidR="00B33542" w:rsidRPr="005071A1" w:rsidRDefault="00B33542" w:rsidP="002028EB">
      <w:pPr>
        <w:pStyle w:val="paragraph"/>
        <w:keepNext/>
      </w:pPr>
      <w:r w:rsidRPr="005071A1">
        <w:tab/>
        <w:t>(a)</w:t>
      </w:r>
      <w:r w:rsidRPr="005071A1">
        <w:tab/>
        <w:t>a female contributor dies before retirement leaving a widower who, in the opinion of the Board, was not wholly or substantially dependent upon the contributor immediately before her death; and</w:t>
      </w:r>
    </w:p>
    <w:p w14:paraId="6262A7DF" w14:textId="77777777" w:rsidR="00B33542" w:rsidRPr="005071A1" w:rsidRDefault="00B33542" w:rsidP="00B33542">
      <w:pPr>
        <w:pStyle w:val="paragraph"/>
        <w:keepNext/>
      </w:pPr>
      <w:r w:rsidRPr="005071A1">
        <w:tab/>
        <w:t>(b)</w:t>
      </w:r>
      <w:r w:rsidRPr="005071A1">
        <w:tab/>
        <w:t xml:space="preserve">the present value, as determined by the Board, of any pension or pensions payable under </w:t>
      </w:r>
      <w:r w:rsidR="008B2950" w:rsidRPr="005071A1">
        <w:t>subsection (</w:t>
      </w:r>
      <w:r w:rsidRPr="005071A1">
        <w:t xml:space="preserve">3) on the death of the contributor in respect of any child or children, together with the value, as determined by the Board, of any pension or pensions that may, in the opinion of the Board, become payable in respect of that child or those children under </w:t>
      </w:r>
      <w:r w:rsidR="008B2950" w:rsidRPr="005071A1">
        <w:t>subsection (</w:t>
      </w:r>
      <w:r w:rsidRPr="005071A1">
        <w:t>4) on the death of the widower, is less than the contributions made by the contributor;</w:t>
      </w:r>
    </w:p>
    <w:p w14:paraId="7DCEF099" w14:textId="77777777" w:rsidR="00B33542" w:rsidRPr="005071A1" w:rsidRDefault="00B33542" w:rsidP="00B33542">
      <w:pPr>
        <w:pStyle w:val="subsection2"/>
      </w:pPr>
      <w:r w:rsidRPr="005071A1">
        <w:t>the amount of the difference shall be paid to the personal representatives of the contributor, or, if there are no such personal representatives, to such persons, if any, as the Board determines.</w:t>
      </w:r>
    </w:p>
    <w:p w14:paraId="06F10E94" w14:textId="77777777" w:rsidR="00B33542" w:rsidRPr="005071A1" w:rsidRDefault="00B33542" w:rsidP="00B33542">
      <w:pPr>
        <w:pStyle w:val="subsection"/>
      </w:pPr>
      <w:r w:rsidRPr="005071A1">
        <w:tab/>
        <w:t>(7)</w:t>
      </w:r>
      <w:r w:rsidRPr="005071A1">
        <w:tab/>
        <w:t>This section does not apply in respect of a contributor who, on or after 1</w:t>
      </w:r>
      <w:r w:rsidR="008B2950" w:rsidRPr="005071A1">
        <w:t> </w:t>
      </w:r>
      <w:r w:rsidRPr="005071A1">
        <w:t>July 1976, dies before retirement.</w:t>
      </w:r>
    </w:p>
    <w:p w14:paraId="68C8F3F1" w14:textId="77777777" w:rsidR="00B33542" w:rsidRPr="005071A1" w:rsidRDefault="00B33542" w:rsidP="00B33542">
      <w:pPr>
        <w:pStyle w:val="ActHead5"/>
      </w:pPr>
      <w:bookmarkStart w:id="73" w:name="_Toc185577455"/>
      <w:r w:rsidRPr="004510F0">
        <w:rPr>
          <w:rStyle w:val="CharSectno"/>
        </w:rPr>
        <w:lastRenderedPageBreak/>
        <w:t>47</w:t>
      </w:r>
      <w:r w:rsidRPr="005071A1">
        <w:t xml:space="preserve">  Pension to spouse and children on death of pensioner</w:t>
      </w:r>
      <w:bookmarkEnd w:id="73"/>
    </w:p>
    <w:p w14:paraId="00435CE4" w14:textId="77777777" w:rsidR="00B33542" w:rsidRPr="005071A1" w:rsidRDefault="00B33542" w:rsidP="00B33542">
      <w:pPr>
        <w:pStyle w:val="subsection"/>
        <w:keepNext/>
      </w:pPr>
      <w:r w:rsidRPr="005071A1">
        <w:tab/>
        <w:t>(1)</w:t>
      </w:r>
      <w:r w:rsidRPr="005071A1">
        <w:tab/>
        <w:t xml:space="preserve">Where a pensioner dies leaving a widow or widower, there shall, subject to </w:t>
      </w:r>
      <w:r w:rsidR="008B2950" w:rsidRPr="005071A1">
        <w:t>subsection (</w:t>
      </w:r>
      <w:r w:rsidRPr="005071A1">
        <w:t>2), be paid to the widow or widower pension equal to five</w:t>
      </w:r>
      <w:r w:rsidR="004510F0">
        <w:noBreakHyphen/>
      </w:r>
      <w:r w:rsidRPr="005071A1">
        <w:t>eighths (or, if the pensioner elected that section</w:t>
      </w:r>
      <w:r w:rsidR="008B2950" w:rsidRPr="005071A1">
        <w:t> </w:t>
      </w:r>
      <w:r w:rsidRPr="005071A1">
        <w:t>26 should not apply to him—one</w:t>
      </w:r>
      <w:r w:rsidR="004510F0">
        <w:noBreakHyphen/>
      </w:r>
      <w:r w:rsidRPr="005071A1">
        <w:t>half) of the pension that was payable to the deceased pensioner at the time of his or her death.</w:t>
      </w:r>
    </w:p>
    <w:p w14:paraId="334F3F5E" w14:textId="77777777" w:rsidR="00B33542" w:rsidRPr="005071A1" w:rsidRDefault="00B33542" w:rsidP="00B33542">
      <w:pPr>
        <w:pStyle w:val="subsection"/>
      </w:pPr>
      <w:r w:rsidRPr="005071A1">
        <w:tab/>
        <w:t>(1A)</w:t>
      </w:r>
      <w:r w:rsidRPr="005071A1">
        <w:tab/>
        <w:t xml:space="preserve">This section does not apply to an associate pension under </w:t>
      </w:r>
      <w:smartTag w:uri="urn:schemas-microsoft-com:office:smarttags" w:element="place">
        <w:smartTag w:uri="urn:schemas-microsoft-com:office:smarttags" w:element="City">
          <w:r w:rsidRPr="005071A1">
            <w:t>Part</w:t>
          </w:r>
        </w:smartTag>
        <w:r w:rsidRPr="005071A1">
          <w:t> </w:t>
        </w:r>
        <w:smartTag w:uri="urn:schemas-microsoft-com:office:smarttags" w:element="State">
          <w:r w:rsidRPr="005071A1">
            <w:t>VA</w:t>
          </w:r>
        </w:smartTag>
      </w:smartTag>
      <w:r w:rsidRPr="005071A1">
        <w:t xml:space="preserve"> that a deceased pensioner was receiving at the time of his or her death.</w:t>
      </w:r>
    </w:p>
    <w:p w14:paraId="023EB6E5" w14:textId="77777777" w:rsidR="00B33542" w:rsidRPr="005071A1" w:rsidRDefault="00B33542" w:rsidP="00B33542">
      <w:pPr>
        <w:pStyle w:val="subsection"/>
      </w:pPr>
      <w:r w:rsidRPr="005071A1">
        <w:tab/>
        <w:t>(2)</w:t>
      </w:r>
      <w:r w:rsidRPr="005071A1">
        <w:tab/>
        <w:t xml:space="preserve">Pension shall not be paid to the widower of a female pensioner under </w:t>
      </w:r>
      <w:r w:rsidR="008B2950" w:rsidRPr="005071A1">
        <w:t>subsection (</w:t>
      </w:r>
      <w:r w:rsidRPr="005071A1">
        <w:t xml:space="preserve">1) unless, in the opinion of the Board, he was wholly or substantially dependent upon her immediately before her death, and pension under </w:t>
      </w:r>
      <w:r w:rsidR="008B2950" w:rsidRPr="005071A1">
        <w:t>subsection (</w:t>
      </w:r>
      <w:r w:rsidRPr="005071A1">
        <w:t>1) shall not continue to be paid to the widower of a female pensioner in respect of any period during which, in the opinion of the Board, the circumstances of the widower are such that, if those circumstances had existed immediately before the death of the female pensioner, the widower would not have been wholly or substantially dependent upon the female pensioner at that time.</w:t>
      </w:r>
    </w:p>
    <w:p w14:paraId="3AFB2477" w14:textId="77777777" w:rsidR="00B33542" w:rsidRPr="005071A1" w:rsidRDefault="00B33542" w:rsidP="00B33542">
      <w:pPr>
        <w:pStyle w:val="subsection"/>
      </w:pPr>
      <w:r w:rsidRPr="005071A1">
        <w:tab/>
        <w:t>(3)</w:t>
      </w:r>
      <w:r w:rsidRPr="005071A1">
        <w:tab/>
        <w:t xml:space="preserve">Where a pensioner dies leaving a widow or widower, there shall, in addition to any pension that may be payable to her or him under </w:t>
      </w:r>
      <w:r w:rsidR="008B2950" w:rsidRPr="005071A1">
        <w:t>subsection (</w:t>
      </w:r>
      <w:r w:rsidRPr="005071A1">
        <w:t>1), be paid to the widow or widower, in respect of each eligible child of the pensioner and each eligible child of the widow or widower (other than a child of any remarriage of the widow or widower), a pension at the rate of $208 per annum.</w:t>
      </w:r>
    </w:p>
    <w:p w14:paraId="4FB2C8B1" w14:textId="77777777" w:rsidR="00B33542" w:rsidRPr="005071A1" w:rsidRDefault="00B33542" w:rsidP="00B33542">
      <w:pPr>
        <w:pStyle w:val="subsection"/>
      </w:pPr>
      <w:r w:rsidRPr="005071A1">
        <w:tab/>
        <w:t>(4)</w:t>
      </w:r>
      <w:r w:rsidRPr="005071A1">
        <w:tab/>
        <w:t xml:space="preserve">On the death of the widow or widower of a pensioner, there shall be paid in respect of each eligible child of the pensioner and each eligible child of the widow or widower (other than a child of any remarriage of the widow or widower) a pension at the rate of $520 </w:t>
      </w:r>
      <w:r w:rsidRPr="005071A1">
        <w:lastRenderedPageBreak/>
        <w:t xml:space="preserve">per annum or at a rate of such amount per annum as is determined in accordance with </w:t>
      </w:r>
      <w:r w:rsidR="008B2950" w:rsidRPr="005071A1">
        <w:t>subsection (</w:t>
      </w:r>
      <w:r w:rsidRPr="005071A1">
        <w:t>5), whichever rate is the higher.</w:t>
      </w:r>
    </w:p>
    <w:p w14:paraId="18CA0884" w14:textId="77777777" w:rsidR="00B33542" w:rsidRPr="005071A1" w:rsidRDefault="00B33542" w:rsidP="00B33542">
      <w:pPr>
        <w:pStyle w:val="subsection"/>
      </w:pPr>
      <w:r w:rsidRPr="005071A1">
        <w:tab/>
        <w:t>(5)</w:t>
      </w:r>
      <w:r w:rsidRPr="005071A1">
        <w:tab/>
        <w:t xml:space="preserve">The amount to be determined for the purposes of </w:t>
      </w:r>
      <w:r w:rsidR="008B2950" w:rsidRPr="005071A1">
        <w:t>subsection (</w:t>
      </w:r>
      <w:r w:rsidRPr="005071A1">
        <w:t xml:space="preserve">4) is the sum of $208 and an amount ascertained by dividing by four (or, if the number of eligible children of the pensioner and of the widow or widower in respect of whom pension is payable under </w:t>
      </w:r>
      <w:r w:rsidR="008B2950" w:rsidRPr="005071A1">
        <w:t>subsection (</w:t>
      </w:r>
      <w:r w:rsidRPr="005071A1">
        <w:t xml:space="preserve">4) is greater than four, by the number of those children) the amount of the annual rate of pension that, but for the death of the widow or widower, would, by virtue of </w:t>
      </w:r>
      <w:r w:rsidR="008B2950" w:rsidRPr="005071A1">
        <w:t>subsection (</w:t>
      </w:r>
      <w:r w:rsidRPr="005071A1">
        <w:t xml:space="preserve">1), have been payable to the widow or widower or have been so payable but for </w:t>
      </w:r>
      <w:r w:rsidR="008B2950" w:rsidRPr="005071A1">
        <w:t>subsection (</w:t>
      </w:r>
      <w:r w:rsidRPr="005071A1">
        <w:t>2).</w:t>
      </w:r>
    </w:p>
    <w:p w14:paraId="19B57E1B" w14:textId="77777777" w:rsidR="00B33542" w:rsidRPr="005071A1" w:rsidRDefault="00B33542" w:rsidP="00B33542">
      <w:pPr>
        <w:pStyle w:val="subsection"/>
      </w:pPr>
      <w:r w:rsidRPr="005071A1">
        <w:tab/>
        <w:t>(6)</w:t>
      </w:r>
      <w:r w:rsidRPr="005071A1">
        <w:tab/>
        <w:t>Notwithstanding anything contained in this section, where a pensioner marries after retirement, pension is not, upon the death of the pensioner, payable under this section to the widow or widower of the pensioner or in respect of the children of that marriage.</w:t>
      </w:r>
    </w:p>
    <w:p w14:paraId="62B39697" w14:textId="77777777" w:rsidR="00B33542" w:rsidRPr="005071A1" w:rsidRDefault="00B33542" w:rsidP="00B33542">
      <w:pPr>
        <w:pStyle w:val="ActHead5"/>
      </w:pPr>
      <w:bookmarkStart w:id="74" w:name="_Toc185577456"/>
      <w:r w:rsidRPr="004510F0">
        <w:rPr>
          <w:rStyle w:val="CharSectno"/>
        </w:rPr>
        <w:t>48</w:t>
      </w:r>
      <w:r w:rsidRPr="005071A1">
        <w:t xml:space="preserve">  Pension to orphans on death of contributor or pensioner</w:t>
      </w:r>
      <w:bookmarkEnd w:id="74"/>
    </w:p>
    <w:p w14:paraId="1EA51552" w14:textId="77777777" w:rsidR="00B33542" w:rsidRPr="005071A1" w:rsidRDefault="00B33542" w:rsidP="00D11EDC">
      <w:pPr>
        <w:pStyle w:val="subsection"/>
      </w:pPr>
      <w:r w:rsidRPr="005071A1">
        <w:tab/>
        <w:t>(1)</w:t>
      </w:r>
      <w:r w:rsidRPr="005071A1">
        <w:tab/>
        <w:t>Where:</w:t>
      </w:r>
    </w:p>
    <w:p w14:paraId="3E2FA4EF" w14:textId="77777777" w:rsidR="00B33542" w:rsidRPr="005071A1" w:rsidRDefault="00B33542" w:rsidP="00B33542">
      <w:pPr>
        <w:pStyle w:val="paragraph"/>
      </w:pPr>
      <w:r w:rsidRPr="005071A1">
        <w:tab/>
        <w:t>(a)</w:t>
      </w:r>
      <w:r w:rsidRPr="005071A1">
        <w:tab/>
        <w:t>the wife or husband of a person who is a contributor, or is a pensioner by reason of having been a contributor, is dead or divorced; and</w:t>
      </w:r>
    </w:p>
    <w:p w14:paraId="44D73CDD" w14:textId="77777777" w:rsidR="00B33542" w:rsidRPr="005071A1" w:rsidRDefault="00B33542" w:rsidP="00D11EDC">
      <w:pPr>
        <w:pStyle w:val="paragraph"/>
      </w:pPr>
      <w:r w:rsidRPr="005071A1">
        <w:tab/>
        <w:t>(b)</w:t>
      </w:r>
      <w:r w:rsidRPr="005071A1">
        <w:tab/>
        <w:t>the contributor or pensioner dies;</w:t>
      </w:r>
    </w:p>
    <w:p w14:paraId="1046D489" w14:textId="77777777" w:rsidR="00B33542" w:rsidRPr="005071A1" w:rsidRDefault="00B33542" w:rsidP="00B33542">
      <w:pPr>
        <w:pStyle w:val="subsection2"/>
      </w:pPr>
      <w:r w:rsidRPr="005071A1">
        <w:t xml:space="preserve">there shall be paid in respect of each eligible child of the contributor or pensioner and each eligible child of the wife or husband of the contributor or pensioner, other than a child of any remarriage of the wife or husband, (in addition to any other pension that may be payable in respect of any such child under this Act) a pension at the rate of $520 per annum or at a rate of such amount per annum as is determined in accordance with </w:t>
      </w:r>
      <w:r w:rsidR="008B2950" w:rsidRPr="005071A1">
        <w:t>subsection (</w:t>
      </w:r>
      <w:r w:rsidRPr="005071A1">
        <w:t>2), whichever rate is the higher.</w:t>
      </w:r>
    </w:p>
    <w:p w14:paraId="085454FA" w14:textId="77777777" w:rsidR="00B33542" w:rsidRPr="005071A1" w:rsidRDefault="00B33542" w:rsidP="00B33542">
      <w:pPr>
        <w:pStyle w:val="subsection"/>
      </w:pPr>
      <w:r w:rsidRPr="005071A1">
        <w:lastRenderedPageBreak/>
        <w:tab/>
        <w:t>(2)</w:t>
      </w:r>
      <w:r w:rsidRPr="005071A1">
        <w:tab/>
        <w:t xml:space="preserve">The amount to be determined for the purposes of </w:t>
      </w:r>
      <w:r w:rsidR="008B2950" w:rsidRPr="005071A1">
        <w:t>subsection (</w:t>
      </w:r>
      <w:r w:rsidRPr="005071A1">
        <w:t xml:space="preserve">1) is the sum of $208 and an amount ascertained by dividing by four (or, if the number of eligible children of the contributor or pensioner and of his wife or of her husband in respect of whom pension is payable under this section is greater than four, by the number of those children) the amount of the annual rate of the pension that, but for the death or divorce of the wife or husband of the contributor or pensioner would, by virtue of </w:t>
      </w:r>
      <w:r w:rsidR="008B2950" w:rsidRPr="005071A1">
        <w:t>subsection (</w:t>
      </w:r>
      <w:r w:rsidRPr="005071A1">
        <w:t>1) of section</w:t>
      </w:r>
      <w:r w:rsidR="008B2950" w:rsidRPr="005071A1">
        <w:t> </w:t>
      </w:r>
      <w:r w:rsidRPr="005071A1">
        <w:t xml:space="preserve">46 or </w:t>
      </w:r>
      <w:r w:rsidR="008B2950" w:rsidRPr="005071A1">
        <w:t>subsection (</w:t>
      </w:r>
      <w:r w:rsidRPr="005071A1">
        <w:t>1) of section</w:t>
      </w:r>
      <w:r w:rsidR="008B2950" w:rsidRPr="005071A1">
        <w:t> </w:t>
      </w:r>
      <w:r w:rsidRPr="005071A1">
        <w:t xml:space="preserve">47, as the case may be, have been payable to the wife or husband or would have been so payable but for </w:t>
      </w:r>
      <w:r w:rsidR="008B2950" w:rsidRPr="005071A1">
        <w:t>subsection (</w:t>
      </w:r>
      <w:r w:rsidRPr="005071A1">
        <w:t>2) of section</w:t>
      </w:r>
      <w:r w:rsidR="008B2950" w:rsidRPr="005071A1">
        <w:t> </w:t>
      </w:r>
      <w:r w:rsidRPr="005071A1">
        <w:t xml:space="preserve">46 or </w:t>
      </w:r>
      <w:r w:rsidR="008B2950" w:rsidRPr="005071A1">
        <w:t>subsection (</w:t>
      </w:r>
      <w:r w:rsidRPr="005071A1">
        <w:t>2) of section</w:t>
      </w:r>
      <w:r w:rsidR="008B2950" w:rsidRPr="005071A1">
        <w:t> </w:t>
      </w:r>
      <w:r w:rsidRPr="005071A1">
        <w:t>47.</w:t>
      </w:r>
    </w:p>
    <w:p w14:paraId="264CC00E" w14:textId="77777777" w:rsidR="00B33542" w:rsidRPr="005071A1" w:rsidRDefault="00B33542" w:rsidP="00B33542">
      <w:pPr>
        <w:pStyle w:val="subsection"/>
      </w:pPr>
      <w:r w:rsidRPr="005071A1">
        <w:tab/>
        <w:t>(3)</w:t>
      </w:r>
      <w:r w:rsidRPr="005071A1">
        <w:tab/>
        <w:t xml:space="preserve">In the application of </w:t>
      </w:r>
      <w:r w:rsidR="008B2950" w:rsidRPr="005071A1">
        <w:t>subsection (</w:t>
      </w:r>
      <w:r w:rsidRPr="005071A1">
        <w:t>1) in relation to a deceased pensioner who remarried after he or she became a pensioner, the reference in that subsection to the wife or husband of a pensioner shall be read as not including a reference to the person who became the wife or husband of the pensioner on that remarriage.</w:t>
      </w:r>
    </w:p>
    <w:p w14:paraId="6970ACA1" w14:textId="77777777" w:rsidR="00B33542" w:rsidRPr="005071A1" w:rsidRDefault="00B33542" w:rsidP="00B33542">
      <w:pPr>
        <w:pStyle w:val="subsection"/>
      </w:pPr>
      <w:r w:rsidRPr="005071A1">
        <w:tab/>
        <w:t>(4)</w:t>
      </w:r>
      <w:r w:rsidRPr="005071A1">
        <w:tab/>
        <w:t xml:space="preserve">Where the present value, as determined by the Board, of a pension or pensions payable, on the death of a contributor, under </w:t>
      </w:r>
      <w:r w:rsidR="008B2950" w:rsidRPr="005071A1">
        <w:t>subsection (</w:t>
      </w:r>
      <w:r w:rsidRPr="005071A1">
        <w:t>1) is less than the contributions made by the contributor, the amount of the difference shall be paid to the personal representatives of the contributor or, if there are no such personal representatives, to such persons, if any, as the Board determines.</w:t>
      </w:r>
    </w:p>
    <w:p w14:paraId="229B8AA3" w14:textId="77777777" w:rsidR="00B33542" w:rsidRPr="005071A1" w:rsidRDefault="00B33542" w:rsidP="00B33542">
      <w:pPr>
        <w:pStyle w:val="subsection"/>
      </w:pPr>
      <w:r w:rsidRPr="005071A1">
        <w:tab/>
        <w:t>(5)</w:t>
      </w:r>
      <w:r w:rsidRPr="005071A1">
        <w:tab/>
        <w:t>This section does not apply in respect of a contributor who dies on or after 1</w:t>
      </w:r>
      <w:r w:rsidR="008B2950" w:rsidRPr="005071A1">
        <w:t> </w:t>
      </w:r>
      <w:r w:rsidRPr="005071A1">
        <w:t>July 1976.</w:t>
      </w:r>
    </w:p>
    <w:p w14:paraId="44224324" w14:textId="77777777" w:rsidR="00840BCA" w:rsidRPr="005071A1" w:rsidRDefault="00840BCA" w:rsidP="00840BCA">
      <w:pPr>
        <w:pStyle w:val="ActHead5"/>
      </w:pPr>
      <w:bookmarkStart w:id="75" w:name="_Toc185577457"/>
      <w:r w:rsidRPr="004510F0">
        <w:rPr>
          <w:rStyle w:val="CharSectno"/>
        </w:rPr>
        <w:lastRenderedPageBreak/>
        <w:t>48AA</w:t>
      </w:r>
      <w:r w:rsidRPr="005071A1">
        <w:t xml:space="preserve">  Restoration of widow’s or widower’s pension previously cancelled on remarriage</w:t>
      </w:r>
      <w:bookmarkEnd w:id="75"/>
    </w:p>
    <w:p w14:paraId="71769132" w14:textId="77777777" w:rsidR="00840BCA" w:rsidRPr="005071A1" w:rsidRDefault="00840BCA" w:rsidP="00840BCA">
      <w:pPr>
        <w:pStyle w:val="subsection"/>
      </w:pPr>
      <w:r w:rsidRPr="005071A1">
        <w:tab/>
        <w:t>(1)</w:t>
      </w:r>
      <w:r w:rsidRPr="005071A1">
        <w:tab/>
        <w:t>A widow or widower whose entitlement to a pension under subsection</w:t>
      </w:r>
      <w:r w:rsidR="008B2950" w:rsidRPr="005071A1">
        <w:t> </w:t>
      </w:r>
      <w:r w:rsidRPr="005071A1">
        <w:t>46(1) or 47(1) has ceased on his or her remarriage may apply to the Commissioner for:</w:t>
      </w:r>
    </w:p>
    <w:p w14:paraId="6CAD1230" w14:textId="77777777" w:rsidR="00840BCA" w:rsidRPr="005071A1" w:rsidRDefault="00840BCA" w:rsidP="00840BCA">
      <w:pPr>
        <w:pStyle w:val="paragraph"/>
      </w:pPr>
      <w:r w:rsidRPr="005071A1">
        <w:tab/>
        <w:t>(a)</w:t>
      </w:r>
      <w:r w:rsidRPr="005071A1">
        <w:tab/>
        <w:t>restoration of the pension; or</w:t>
      </w:r>
    </w:p>
    <w:p w14:paraId="469FB259" w14:textId="77777777" w:rsidR="00840BCA" w:rsidRPr="005071A1" w:rsidRDefault="00840BCA" w:rsidP="00840BCA">
      <w:pPr>
        <w:pStyle w:val="paragraph"/>
      </w:pPr>
      <w:r w:rsidRPr="005071A1">
        <w:tab/>
        <w:t>(b)</w:t>
      </w:r>
      <w:r w:rsidRPr="005071A1">
        <w:tab/>
        <w:t>restoration of the full rate of the pension.</w:t>
      </w:r>
    </w:p>
    <w:p w14:paraId="7789E45C" w14:textId="77777777" w:rsidR="00840BCA" w:rsidRPr="005071A1" w:rsidRDefault="00840BCA" w:rsidP="00840BCA">
      <w:pPr>
        <w:pStyle w:val="subsection"/>
      </w:pPr>
      <w:r w:rsidRPr="005071A1">
        <w:tab/>
        <w:t>(2)</w:t>
      </w:r>
      <w:r w:rsidRPr="005071A1">
        <w:tab/>
        <w:t>If the Commissioner is satisfied that the widow or widower’s entitlement to a pension ceased on his or her remarriage, the Commissioner must, in writing, grant the pension at the rate at which the pension would have been payable to the widow or widower if the pension had not ceased.</w:t>
      </w:r>
    </w:p>
    <w:p w14:paraId="000A8A12" w14:textId="77777777" w:rsidR="00840BCA" w:rsidRPr="005071A1" w:rsidRDefault="00840BCA" w:rsidP="00840BCA">
      <w:pPr>
        <w:pStyle w:val="subsection"/>
      </w:pPr>
      <w:r w:rsidRPr="005071A1">
        <w:tab/>
        <w:t>(3)</w:t>
      </w:r>
      <w:r w:rsidRPr="005071A1">
        <w:tab/>
        <w:t>The pension is payable to the widow or widower at that rate from the day on which the Commissioner receives the application.</w:t>
      </w:r>
    </w:p>
    <w:p w14:paraId="2F5F96B4" w14:textId="77777777" w:rsidR="00B33542" w:rsidRPr="005071A1" w:rsidRDefault="00B33542" w:rsidP="00B33542">
      <w:pPr>
        <w:pStyle w:val="ActHead5"/>
      </w:pPr>
      <w:bookmarkStart w:id="76" w:name="_Toc185577458"/>
      <w:r w:rsidRPr="004510F0">
        <w:rPr>
          <w:rStyle w:val="CharSectno"/>
        </w:rPr>
        <w:t>48AB</w:t>
      </w:r>
      <w:r w:rsidRPr="005071A1">
        <w:t xml:space="preserve">  Special grants of pension</w:t>
      </w:r>
      <w:bookmarkEnd w:id="76"/>
    </w:p>
    <w:p w14:paraId="012539C8" w14:textId="77777777" w:rsidR="00B33542" w:rsidRPr="005071A1" w:rsidRDefault="00B33542" w:rsidP="00B33542">
      <w:pPr>
        <w:pStyle w:val="subsection"/>
      </w:pPr>
      <w:r w:rsidRPr="005071A1">
        <w:tab/>
        <w:t>(1)</w:t>
      </w:r>
      <w:r w:rsidRPr="005071A1">
        <w:tab/>
        <w:t xml:space="preserve">If, at any time after the commencement of the </w:t>
      </w:r>
      <w:r w:rsidRPr="005071A1">
        <w:rPr>
          <w:i/>
        </w:rPr>
        <w:t>Superannuation Act 1976</w:t>
      </w:r>
      <w:r w:rsidRPr="005071A1">
        <w:t>, a pension is not payable under section</w:t>
      </w:r>
      <w:r w:rsidR="008B2950" w:rsidRPr="005071A1">
        <w:t> </w:t>
      </w:r>
      <w:r w:rsidRPr="005071A1">
        <w:t xml:space="preserve">47 or 48 of this Act to or in respect of a person to or in respect of whom pension would be payable at that time under Part VI of the </w:t>
      </w:r>
      <w:r w:rsidRPr="005071A1">
        <w:rPr>
          <w:i/>
        </w:rPr>
        <w:t xml:space="preserve">Superannuation Act 1976 </w:t>
      </w:r>
      <w:r w:rsidRPr="005071A1">
        <w:t xml:space="preserve">if a deceased pensioner (including a pensioner who died before the commencement of the </w:t>
      </w:r>
      <w:r w:rsidRPr="005071A1">
        <w:rPr>
          <w:i/>
        </w:rPr>
        <w:t>Superannuation Act 1976</w:t>
      </w:r>
      <w:r w:rsidRPr="005071A1">
        <w:t>) would have been in receipt of a pension at the time of his death under section</w:t>
      </w:r>
      <w:r w:rsidR="008B2950" w:rsidRPr="005071A1">
        <w:t> </w:t>
      </w:r>
      <w:r w:rsidRPr="005071A1">
        <w:t>55 or 66 of that Act if that Act had come into force before he ceased to be an employee, the Commissioner may grant, from such date as the Commissioner specifies, a pension to or in respect of the person under section</w:t>
      </w:r>
      <w:r w:rsidR="008B2950" w:rsidRPr="005071A1">
        <w:t> </w:t>
      </w:r>
      <w:r w:rsidRPr="005071A1">
        <w:t>47 or 48 of this Act at such rate and on such conditions as the Commissioner, having regard to such matters (if any) as are prescribed and such other matters as he considers relevant, determines.</w:t>
      </w:r>
    </w:p>
    <w:p w14:paraId="0C266C3A" w14:textId="77777777" w:rsidR="00B33542" w:rsidRPr="005071A1" w:rsidRDefault="00B33542" w:rsidP="00B33542">
      <w:pPr>
        <w:pStyle w:val="subsection"/>
      </w:pPr>
      <w:r w:rsidRPr="005071A1">
        <w:lastRenderedPageBreak/>
        <w:tab/>
        <w:t>(1A)</w:t>
      </w:r>
      <w:r w:rsidRPr="005071A1">
        <w:tab/>
        <w:t xml:space="preserve">If, at any time after the commencement of the </w:t>
      </w:r>
      <w:r w:rsidRPr="005071A1">
        <w:rPr>
          <w:i/>
        </w:rPr>
        <w:t>Superannuation Act 1976</w:t>
      </w:r>
      <w:r w:rsidRPr="005071A1">
        <w:t>, a pension is not payable under section</w:t>
      </w:r>
      <w:r w:rsidR="008B2950" w:rsidRPr="005071A1">
        <w:t> </w:t>
      </w:r>
      <w:r w:rsidRPr="005071A1">
        <w:t xml:space="preserve">46 or 48 of this Act in respect of a person in respect of whom pension would be payable at that time under Part VI of the </w:t>
      </w:r>
      <w:r w:rsidRPr="005071A1">
        <w:rPr>
          <w:i/>
        </w:rPr>
        <w:t xml:space="preserve">Superannuation Act 1976 </w:t>
      </w:r>
      <w:r w:rsidRPr="005071A1">
        <w:t>if that Act had come into force before the death of a deceased contributor (not being a person who, if that Act had come into force before the deceased contributor had died, would, at the time of the deceased contributor’s death, have been a spouse of the deceased contributor for the purposes of that Act), the Commissioner may grant, from such date as the Commissioner specifies, a pension in respect of the person under section</w:t>
      </w:r>
      <w:r w:rsidR="008B2950" w:rsidRPr="005071A1">
        <w:t> </w:t>
      </w:r>
      <w:r w:rsidRPr="005071A1">
        <w:t>46 or 48 of this Act at such rate and on such conditions as the Commissioner, having regard to such matters (if any) as are prescribed and such other matters as he considers relevant, determines.</w:t>
      </w:r>
    </w:p>
    <w:p w14:paraId="391293E3" w14:textId="77777777" w:rsidR="00B33542" w:rsidRPr="005071A1" w:rsidRDefault="00B33542" w:rsidP="00B33542">
      <w:pPr>
        <w:pStyle w:val="subsection"/>
      </w:pPr>
      <w:r w:rsidRPr="005071A1">
        <w:tab/>
        <w:t>(1B)</w:t>
      </w:r>
      <w:r w:rsidRPr="005071A1">
        <w:tab/>
        <w:t xml:space="preserve">The date specified by the Commissioner under </w:t>
      </w:r>
      <w:r w:rsidR="008B2950" w:rsidRPr="005071A1">
        <w:t>subsection (</w:t>
      </w:r>
      <w:r w:rsidRPr="005071A1">
        <w:t>1) or (1A) in relation to the granting of an entitlement to pension shall not, unless the Commissioner is satisfied that special circumstances exist that justify an earlier date being so specified, be a date earlier than the date of the direction, and shall not, in any event, be a date earlier than 1</w:t>
      </w:r>
      <w:r w:rsidR="008B2950" w:rsidRPr="005071A1">
        <w:t> </w:t>
      </w:r>
      <w:r w:rsidRPr="005071A1">
        <w:t>July 1976.</w:t>
      </w:r>
    </w:p>
    <w:p w14:paraId="18C02DE4" w14:textId="77777777" w:rsidR="00B33542" w:rsidRPr="005071A1" w:rsidRDefault="00B33542" w:rsidP="00B33542">
      <w:pPr>
        <w:pStyle w:val="subsection"/>
      </w:pPr>
      <w:r w:rsidRPr="005071A1">
        <w:tab/>
        <w:t>(1C)</w:t>
      </w:r>
      <w:r w:rsidRPr="005071A1">
        <w:tab/>
        <w:t xml:space="preserve">A determination by the Commissioner for the purposes of </w:t>
      </w:r>
      <w:r w:rsidR="008B2950" w:rsidRPr="005071A1">
        <w:t>subsection (</w:t>
      </w:r>
      <w:r w:rsidRPr="005071A1">
        <w:t>1) or (1A) shall be in writing.</w:t>
      </w:r>
    </w:p>
    <w:p w14:paraId="1FAD4B76" w14:textId="77777777" w:rsidR="00B33542" w:rsidRPr="005071A1" w:rsidRDefault="00B33542" w:rsidP="00B33542">
      <w:pPr>
        <w:pStyle w:val="subsection"/>
      </w:pPr>
      <w:r w:rsidRPr="005071A1">
        <w:tab/>
        <w:t>(2)</w:t>
      </w:r>
      <w:r w:rsidRPr="005071A1">
        <w:tab/>
        <w:t xml:space="preserve">Where, at any time before the commencement of the </w:t>
      </w:r>
      <w:r w:rsidRPr="005071A1">
        <w:rPr>
          <w:i/>
        </w:rPr>
        <w:t>Superannuation Act 1976</w:t>
      </w:r>
      <w:r w:rsidRPr="005071A1">
        <w:t xml:space="preserve">, pension has been payable under </w:t>
      </w:r>
      <w:r w:rsidR="008B2950" w:rsidRPr="005071A1">
        <w:t>subsection (</w:t>
      </w:r>
      <w:r w:rsidRPr="005071A1">
        <w:t>1) of section</w:t>
      </w:r>
      <w:r w:rsidR="008B2950" w:rsidRPr="005071A1">
        <w:t> </w:t>
      </w:r>
      <w:r w:rsidRPr="005071A1">
        <w:t xml:space="preserve">47 of this Act to the widow or widower of a deceased pensioner, the Commissioner for Superannuation shall not, by virtue of </w:t>
      </w:r>
      <w:r w:rsidR="008B2950" w:rsidRPr="005071A1">
        <w:t>subsection (</w:t>
      </w:r>
      <w:r w:rsidRPr="005071A1">
        <w:t xml:space="preserve">1) of this section, grant a pension under </w:t>
      </w:r>
      <w:r w:rsidR="008B2950" w:rsidRPr="005071A1">
        <w:t>subsection (</w:t>
      </w:r>
      <w:r w:rsidRPr="005071A1">
        <w:t>1) of section</w:t>
      </w:r>
      <w:r w:rsidR="008B2950" w:rsidRPr="005071A1">
        <w:t> </w:t>
      </w:r>
      <w:r w:rsidRPr="005071A1">
        <w:t>47 of this Act to any other person.</w:t>
      </w:r>
    </w:p>
    <w:p w14:paraId="5634BA38" w14:textId="77777777" w:rsidR="00B33542" w:rsidRPr="005071A1" w:rsidRDefault="00B33542" w:rsidP="00B33542">
      <w:pPr>
        <w:pStyle w:val="subsection"/>
      </w:pPr>
      <w:r w:rsidRPr="005071A1">
        <w:tab/>
        <w:t>(3)</w:t>
      </w:r>
      <w:r w:rsidRPr="005071A1">
        <w:tab/>
        <w:t xml:space="preserve">Where the deceased pensioner referred to in </w:t>
      </w:r>
      <w:r w:rsidR="008B2950" w:rsidRPr="005071A1">
        <w:t>subsection (</w:t>
      </w:r>
      <w:r w:rsidRPr="005071A1">
        <w:t>1) died before 1</w:t>
      </w:r>
      <w:r w:rsidR="008B2950" w:rsidRPr="005071A1">
        <w:t> </w:t>
      </w:r>
      <w:r w:rsidRPr="005071A1">
        <w:t xml:space="preserve">July 1976, the Commissioner shall not grant a pension </w:t>
      </w:r>
      <w:r w:rsidRPr="005071A1">
        <w:lastRenderedPageBreak/>
        <w:t xml:space="preserve">under </w:t>
      </w:r>
      <w:r w:rsidR="008B2950" w:rsidRPr="005071A1">
        <w:t>subsection (</w:t>
      </w:r>
      <w:r w:rsidRPr="005071A1">
        <w:t xml:space="preserve">1) of this section to a person who, if the </w:t>
      </w:r>
      <w:r w:rsidRPr="005071A1">
        <w:rPr>
          <w:i/>
        </w:rPr>
        <w:t>Superannuation Act 1976</w:t>
      </w:r>
      <w:r w:rsidRPr="005071A1">
        <w:t xml:space="preserve"> had come into force before that deceased pensioner had died, would, at the time of the deceased pensioner’s death, have been a spouse of the deceased pensioner for the purposes of that Act, unless the Commissioner, having regard to such matters (if any) as are prescribed and such other matters as the Commissioner considers relevant, is satisfied that the person is in necessitous circumstances or that the granting of the pension is otherwise warranted.</w:t>
      </w:r>
    </w:p>
    <w:p w14:paraId="3FD8D3B4" w14:textId="77777777" w:rsidR="00B33542" w:rsidRPr="005071A1" w:rsidRDefault="00B33542" w:rsidP="00B33542">
      <w:pPr>
        <w:pStyle w:val="subsection"/>
      </w:pPr>
      <w:r w:rsidRPr="005071A1">
        <w:tab/>
        <w:t>(3AA)</w:t>
      </w:r>
      <w:r w:rsidRPr="005071A1">
        <w:tab/>
        <w:t>If a pensioner or contributor died before 25</w:t>
      </w:r>
      <w:r w:rsidR="008B2950" w:rsidRPr="005071A1">
        <w:t> </w:t>
      </w:r>
      <w:r w:rsidRPr="005071A1">
        <w:t>June 1993:</w:t>
      </w:r>
    </w:p>
    <w:p w14:paraId="7C3E86AA" w14:textId="77777777" w:rsidR="00B33542" w:rsidRPr="005071A1" w:rsidRDefault="00B33542" w:rsidP="00B33542">
      <w:pPr>
        <w:pStyle w:val="paragraph"/>
      </w:pPr>
      <w:r w:rsidRPr="005071A1">
        <w:tab/>
        <w:t>(a)</w:t>
      </w:r>
      <w:r w:rsidRPr="005071A1">
        <w:tab/>
        <w:t xml:space="preserve">the amendments of the </w:t>
      </w:r>
      <w:r w:rsidRPr="005071A1">
        <w:rPr>
          <w:i/>
        </w:rPr>
        <w:t xml:space="preserve">Superannuation Act 1976 </w:t>
      </w:r>
      <w:r w:rsidRPr="005071A1">
        <w:t>(</w:t>
      </w:r>
      <w:r w:rsidRPr="005071A1">
        <w:rPr>
          <w:b/>
          <w:i/>
        </w:rPr>
        <w:t>the 1976 Act</w:t>
      </w:r>
      <w:r w:rsidRPr="005071A1">
        <w:t>) and this Act made by the</w:t>
      </w:r>
      <w:r w:rsidRPr="005071A1">
        <w:rPr>
          <w:i/>
        </w:rPr>
        <w:t xml:space="preserve"> Commonwealth Superannuation Schemes Amendment Act 1992 </w:t>
      </w:r>
      <w:r w:rsidRPr="005071A1">
        <w:t>do not apply in relation to any pension that may be granted, apart from this subsection, under this section in respect of the deceased pensioner or contributor; and</w:t>
      </w:r>
    </w:p>
    <w:p w14:paraId="05C125A4" w14:textId="77777777" w:rsidR="00B33542" w:rsidRPr="005071A1" w:rsidRDefault="00B33542" w:rsidP="00B33542">
      <w:pPr>
        <w:pStyle w:val="paragraph"/>
      </w:pPr>
      <w:r w:rsidRPr="005071A1">
        <w:tab/>
        <w:t>(b)</w:t>
      </w:r>
      <w:r w:rsidRPr="005071A1">
        <w:tab/>
        <w:t>the 1976 Act and this Act, as in force immediately before 25</w:t>
      </w:r>
      <w:r w:rsidR="008B2950" w:rsidRPr="005071A1">
        <w:t> </w:t>
      </w:r>
      <w:r w:rsidRPr="005071A1">
        <w:t>June 1993, continue to apply in relation to any pension granted or that may be granted under this section in respect of the deceased pensioner or contributor.</w:t>
      </w:r>
    </w:p>
    <w:p w14:paraId="5DCDBE0C" w14:textId="77777777" w:rsidR="00B33542" w:rsidRPr="005071A1" w:rsidRDefault="00B33542" w:rsidP="00B33542">
      <w:pPr>
        <w:pStyle w:val="subsection"/>
      </w:pPr>
      <w:r w:rsidRPr="005071A1">
        <w:tab/>
        <w:t>(3A)</w:t>
      </w:r>
      <w:r w:rsidRPr="005071A1">
        <w:tab/>
        <w:t xml:space="preserve">The Commissioner shall not grant a pension under </w:t>
      </w:r>
      <w:r w:rsidR="008B2950" w:rsidRPr="005071A1">
        <w:t>subsection (</w:t>
      </w:r>
      <w:r w:rsidRPr="005071A1">
        <w:t>1) in relation to a deceased pensioner if the granting of that pension, or the granting of that pension at the rate that the Commissioner proposes to determine, would result in the aggregate of the rates of pension payable under this Act at that time in relation to the deceased pensioner exceeding the rate of pension to which the deceased pensioner would have been entitled under this Act at that time if he had not died.</w:t>
      </w:r>
    </w:p>
    <w:p w14:paraId="3900B86A" w14:textId="77777777" w:rsidR="00B33542" w:rsidRPr="005071A1" w:rsidRDefault="00B33542" w:rsidP="00B33542">
      <w:pPr>
        <w:pStyle w:val="subsection"/>
      </w:pPr>
      <w:r w:rsidRPr="005071A1">
        <w:tab/>
        <w:t>(3B)</w:t>
      </w:r>
      <w:r w:rsidRPr="005071A1">
        <w:tab/>
        <w:t xml:space="preserve">The Commissioner shall not grant a pension under </w:t>
      </w:r>
      <w:r w:rsidR="008B2950" w:rsidRPr="005071A1">
        <w:t>subsection (</w:t>
      </w:r>
      <w:r w:rsidRPr="005071A1">
        <w:t xml:space="preserve">1A) in relation to a deceased contributor if the granting of that pension, or the granting of that pension at the rate that the Commissioner proposes to determine, would result in the aggregate of the rates of </w:t>
      </w:r>
      <w:r w:rsidRPr="005071A1">
        <w:lastRenderedPageBreak/>
        <w:t>pension payable under this Act at that time in relation to the deceased contributor exceeding the rate of pension to which the deceased contributor would have been entitled under this Act at that time if he had not died but had, on the day immediately following the date of his death, become entitled to pension under section</w:t>
      </w:r>
      <w:r w:rsidR="008B2950" w:rsidRPr="005071A1">
        <w:t> </w:t>
      </w:r>
      <w:r w:rsidRPr="005071A1">
        <w:t>38.</w:t>
      </w:r>
    </w:p>
    <w:p w14:paraId="6BAF7D1E" w14:textId="77777777" w:rsidR="00B33542" w:rsidRPr="005071A1" w:rsidRDefault="00B33542" w:rsidP="00B33542">
      <w:pPr>
        <w:pStyle w:val="subsection"/>
      </w:pPr>
      <w:r w:rsidRPr="005071A1">
        <w:tab/>
        <w:t>(4)</w:t>
      </w:r>
      <w:r w:rsidRPr="005071A1">
        <w:tab/>
        <w:t>If a deceased pensioner died before 25</w:t>
      </w:r>
      <w:r w:rsidR="008B2950" w:rsidRPr="005071A1">
        <w:t> </w:t>
      </w:r>
      <w:r w:rsidRPr="005071A1">
        <w:t xml:space="preserve">June 1993, the grant by the Commissioner, by virtue of </w:t>
      </w:r>
      <w:r w:rsidR="008B2950" w:rsidRPr="005071A1">
        <w:t>subsection (</w:t>
      </w:r>
      <w:r w:rsidRPr="005071A1">
        <w:t xml:space="preserve">1) or (1A), of a pension to or in respect of a person, in relation to that deceased pensioner, does not affect the entitlement of any other person to a pension under this Act that is payable otherwise than by virtue of grant of pension by virtue of </w:t>
      </w:r>
      <w:r w:rsidR="008B2950" w:rsidRPr="005071A1">
        <w:t>subsection (</w:t>
      </w:r>
      <w:r w:rsidRPr="005071A1">
        <w:t>1) or (1A), or the rate of such a pension.</w:t>
      </w:r>
    </w:p>
    <w:p w14:paraId="465FD418" w14:textId="77777777" w:rsidR="00FA041F" w:rsidRPr="005071A1" w:rsidRDefault="00FA041F" w:rsidP="00FA041F">
      <w:pPr>
        <w:pStyle w:val="subsection"/>
      </w:pPr>
      <w:r w:rsidRPr="005071A1">
        <w:tab/>
        <w:t>(4A)</w:t>
      </w:r>
      <w:r w:rsidRPr="005071A1">
        <w:tab/>
        <w:t>If a pensioner or contributor died before the day on which Schedule</w:t>
      </w:r>
      <w:r w:rsidR="008B2950" w:rsidRPr="005071A1">
        <w:t> </w:t>
      </w:r>
      <w:r w:rsidRPr="005071A1">
        <w:t xml:space="preserve">1 to the </w:t>
      </w:r>
      <w:r w:rsidRPr="005071A1">
        <w:rPr>
          <w:i/>
        </w:rPr>
        <w:t>Same</w:t>
      </w:r>
      <w:r w:rsidR="004510F0">
        <w:rPr>
          <w:i/>
        </w:rPr>
        <w:noBreakHyphen/>
      </w:r>
      <w:r w:rsidRPr="005071A1">
        <w:rPr>
          <w:i/>
        </w:rPr>
        <w:t>Sex Relationships (Equal Treatment in Commonwealth Laws—Superannuation) Act 2008</w:t>
      </w:r>
      <w:r w:rsidRPr="005071A1">
        <w:t xml:space="preserve"> commenced:</w:t>
      </w:r>
    </w:p>
    <w:p w14:paraId="655881A5" w14:textId="77777777" w:rsidR="00FA041F" w:rsidRPr="005071A1" w:rsidRDefault="00FA041F" w:rsidP="00FA041F">
      <w:pPr>
        <w:pStyle w:val="paragraph"/>
      </w:pPr>
      <w:r w:rsidRPr="005071A1">
        <w:tab/>
        <w:t>(a)</w:t>
      </w:r>
      <w:r w:rsidRPr="005071A1">
        <w:tab/>
        <w:t xml:space="preserve">the amendments of the </w:t>
      </w:r>
      <w:r w:rsidRPr="005071A1">
        <w:rPr>
          <w:i/>
        </w:rPr>
        <w:t>Superannuation Act 1976</w:t>
      </w:r>
      <w:r w:rsidRPr="005071A1">
        <w:t xml:space="preserve"> made by that Schedule do not apply in relation to any pension that, apart from this subsection, may be granted under this section in respect of the deceased pensioner or contributor; and</w:t>
      </w:r>
    </w:p>
    <w:p w14:paraId="0F728A7C" w14:textId="77777777" w:rsidR="00FA041F" w:rsidRPr="005071A1" w:rsidRDefault="00FA041F" w:rsidP="00FA041F">
      <w:pPr>
        <w:pStyle w:val="paragraph"/>
      </w:pPr>
      <w:r w:rsidRPr="005071A1">
        <w:tab/>
        <w:t>(b)</w:t>
      </w:r>
      <w:r w:rsidRPr="005071A1">
        <w:tab/>
        <w:t xml:space="preserve">the </w:t>
      </w:r>
      <w:r w:rsidRPr="005071A1">
        <w:rPr>
          <w:i/>
        </w:rPr>
        <w:t xml:space="preserve">Superannuation Act 1976 </w:t>
      </w:r>
      <w:r w:rsidRPr="005071A1">
        <w:t>as in force immediately before the commencement of Schedule</w:t>
      </w:r>
      <w:r w:rsidR="008B2950" w:rsidRPr="005071A1">
        <w:t> </w:t>
      </w:r>
      <w:r w:rsidRPr="005071A1">
        <w:t>1 continues to apply in relation to any pension granted or that may be granted under this section in respect of the deceased pensioner or contributor.</w:t>
      </w:r>
    </w:p>
    <w:p w14:paraId="38376DF8" w14:textId="77777777" w:rsidR="00B33542" w:rsidRPr="005071A1" w:rsidRDefault="00B33542" w:rsidP="00B33542">
      <w:pPr>
        <w:pStyle w:val="subsection"/>
      </w:pPr>
      <w:r w:rsidRPr="005071A1">
        <w:tab/>
        <w:t>(5)</w:t>
      </w:r>
      <w:r w:rsidRPr="005071A1">
        <w:tab/>
        <w:t xml:space="preserve">In this section, </w:t>
      </w:r>
      <w:r w:rsidRPr="005071A1">
        <w:rPr>
          <w:b/>
          <w:i/>
        </w:rPr>
        <w:t>deceased pensioner</w:t>
      </w:r>
      <w:r w:rsidRPr="005071A1">
        <w:t xml:space="preserve"> means a person who at the time of his death was in receipt of a pension under section</w:t>
      </w:r>
      <w:r w:rsidR="008B2950" w:rsidRPr="005071A1">
        <w:t> </w:t>
      </w:r>
      <w:r w:rsidRPr="005071A1">
        <w:t>43 or 45 or would have been in receipt of such a pension but for its suspension under section</w:t>
      </w:r>
      <w:r w:rsidR="008B2950" w:rsidRPr="005071A1">
        <w:t> </w:t>
      </w:r>
      <w:r w:rsidRPr="005071A1">
        <w:t>64A or 65.</w:t>
      </w:r>
    </w:p>
    <w:p w14:paraId="4182A267" w14:textId="77777777" w:rsidR="00B33542" w:rsidRPr="005071A1" w:rsidRDefault="00B33542" w:rsidP="00B33542">
      <w:pPr>
        <w:pStyle w:val="ActHead5"/>
      </w:pPr>
      <w:bookmarkStart w:id="77" w:name="_Toc185577459"/>
      <w:r w:rsidRPr="004510F0">
        <w:rPr>
          <w:rStyle w:val="CharSectno"/>
        </w:rPr>
        <w:lastRenderedPageBreak/>
        <w:t>48ABA</w:t>
      </w:r>
      <w:r w:rsidRPr="005071A1">
        <w:t xml:space="preserve">  Deceased pensioner survived by more than one spouse</w:t>
      </w:r>
      <w:bookmarkEnd w:id="77"/>
    </w:p>
    <w:p w14:paraId="4B9D250E" w14:textId="77777777" w:rsidR="00B33542" w:rsidRPr="005071A1" w:rsidRDefault="00B33542" w:rsidP="00B33542">
      <w:pPr>
        <w:pStyle w:val="subsection"/>
      </w:pPr>
      <w:r w:rsidRPr="005071A1">
        <w:tab/>
        <w:t>(1)</w:t>
      </w:r>
      <w:r w:rsidRPr="005071A1">
        <w:tab/>
        <w:t>In this section:</w:t>
      </w:r>
    </w:p>
    <w:p w14:paraId="66A3698B" w14:textId="77777777" w:rsidR="00B33542" w:rsidRPr="005071A1" w:rsidRDefault="00B33542" w:rsidP="00B33542">
      <w:pPr>
        <w:pStyle w:val="Definition"/>
      </w:pPr>
      <w:r w:rsidRPr="005071A1">
        <w:rPr>
          <w:b/>
          <w:i/>
        </w:rPr>
        <w:t>eligible child</w:t>
      </w:r>
      <w:r w:rsidRPr="005071A1">
        <w:t xml:space="preserve">, in relation to a deceased pensioner, includes a person who would, if the deceased pensioner had been a retirement pensioner for the purposes of the </w:t>
      </w:r>
      <w:r w:rsidRPr="005071A1">
        <w:rPr>
          <w:i/>
        </w:rPr>
        <w:t xml:space="preserve">Superannuation Act 1976 </w:t>
      </w:r>
      <w:r w:rsidRPr="005071A1">
        <w:t>immediately before his or her death, be an eligible child in relation to that retirement pensioner within the meaning of that Act.</w:t>
      </w:r>
    </w:p>
    <w:p w14:paraId="2614E312" w14:textId="77777777" w:rsidR="00B33542" w:rsidRPr="005071A1" w:rsidRDefault="00B33542" w:rsidP="00B33542">
      <w:pPr>
        <w:pStyle w:val="Definition"/>
      </w:pPr>
      <w:r w:rsidRPr="005071A1">
        <w:rPr>
          <w:b/>
          <w:i/>
        </w:rPr>
        <w:t>spouse</w:t>
      </w:r>
      <w:r w:rsidRPr="005071A1">
        <w:t>, in relation to a deceased pensioner, means:</w:t>
      </w:r>
    </w:p>
    <w:p w14:paraId="0A5800C2" w14:textId="77777777" w:rsidR="00B33542" w:rsidRPr="005071A1" w:rsidRDefault="00B33542" w:rsidP="00B33542">
      <w:pPr>
        <w:pStyle w:val="paragraph"/>
      </w:pPr>
      <w:r w:rsidRPr="005071A1">
        <w:tab/>
        <w:t>(a)</w:t>
      </w:r>
      <w:r w:rsidRPr="005071A1">
        <w:tab/>
        <w:t>a person who:</w:t>
      </w:r>
    </w:p>
    <w:p w14:paraId="6D21D66F" w14:textId="77777777" w:rsidR="00B33542" w:rsidRPr="005071A1" w:rsidRDefault="00B33542" w:rsidP="00B33542">
      <w:pPr>
        <w:pStyle w:val="paragraphsub"/>
      </w:pPr>
      <w:r w:rsidRPr="005071A1">
        <w:tab/>
        <w:t>(i)</w:t>
      </w:r>
      <w:r w:rsidRPr="005071A1">
        <w:tab/>
        <w:t>survives the deceased pensioner; and</w:t>
      </w:r>
    </w:p>
    <w:p w14:paraId="462C56DC" w14:textId="77777777" w:rsidR="00B33542" w:rsidRPr="005071A1" w:rsidRDefault="00B33542" w:rsidP="00B33542">
      <w:pPr>
        <w:pStyle w:val="paragraphsub"/>
      </w:pPr>
      <w:r w:rsidRPr="005071A1">
        <w:tab/>
        <w:t>(ii)</w:t>
      </w:r>
      <w:r w:rsidRPr="005071A1">
        <w:tab/>
        <w:t xml:space="preserve">would, if the deceased pensioner had been a retirement pensioner for the purposes of the </w:t>
      </w:r>
      <w:r w:rsidRPr="005071A1">
        <w:rPr>
          <w:i/>
        </w:rPr>
        <w:t xml:space="preserve">Superannuation Act 1976 </w:t>
      </w:r>
      <w:r w:rsidRPr="005071A1">
        <w:t>immediately before his or her death, be a spouse in relation to that person within the meaning of that Act; or</w:t>
      </w:r>
    </w:p>
    <w:p w14:paraId="2E0D1D8D" w14:textId="77777777" w:rsidR="00B33542" w:rsidRPr="005071A1" w:rsidRDefault="00B33542" w:rsidP="00B33542">
      <w:pPr>
        <w:pStyle w:val="paragraph"/>
      </w:pPr>
      <w:r w:rsidRPr="005071A1">
        <w:tab/>
        <w:t>(b)</w:t>
      </w:r>
      <w:r w:rsidRPr="005071A1">
        <w:tab/>
        <w:t>a widow or widower of the deceased pensioner who is entitled to a pension under section</w:t>
      </w:r>
      <w:r w:rsidR="008B2950" w:rsidRPr="005071A1">
        <w:t> </w:t>
      </w:r>
      <w:r w:rsidRPr="005071A1">
        <w:t>47.</w:t>
      </w:r>
    </w:p>
    <w:p w14:paraId="483365B7" w14:textId="77777777" w:rsidR="00B33542" w:rsidRPr="005071A1" w:rsidRDefault="00B33542" w:rsidP="00B33542">
      <w:pPr>
        <w:pStyle w:val="subsection"/>
      </w:pPr>
      <w:r w:rsidRPr="005071A1">
        <w:tab/>
        <w:t>(2)</w:t>
      </w:r>
      <w:r w:rsidRPr="005071A1">
        <w:tab/>
        <w:t>If a deceased pensioner is survived by more than one spouse, a pension is only payable under section</w:t>
      </w:r>
      <w:r w:rsidR="008B2950" w:rsidRPr="005071A1">
        <w:t> </w:t>
      </w:r>
      <w:r w:rsidRPr="005071A1">
        <w:t>47 or 48 (including under the section because of section</w:t>
      </w:r>
      <w:r w:rsidR="008B2950" w:rsidRPr="005071A1">
        <w:t> </w:t>
      </w:r>
      <w:r w:rsidRPr="005071A1">
        <w:t xml:space="preserve">48AB) to a person in accordance with an allocation made under </w:t>
      </w:r>
      <w:r w:rsidR="008B2950" w:rsidRPr="005071A1">
        <w:t>subsection (</w:t>
      </w:r>
      <w:r w:rsidRPr="005071A1">
        <w:t>3).</w:t>
      </w:r>
    </w:p>
    <w:p w14:paraId="76D1FFDC" w14:textId="77777777" w:rsidR="00B33542" w:rsidRPr="005071A1" w:rsidRDefault="00B33542" w:rsidP="00B33542">
      <w:pPr>
        <w:pStyle w:val="subsection"/>
      </w:pPr>
      <w:r w:rsidRPr="005071A1">
        <w:tab/>
        <w:t>(3)</w:t>
      </w:r>
      <w:r w:rsidRPr="005071A1">
        <w:tab/>
        <w:t xml:space="preserve">The Commissioner must, subject to </w:t>
      </w:r>
      <w:r w:rsidR="008B2950" w:rsidRPr="005071A1">
        <w:t>subsections (</w:t>
      </w:r>
      <w:r w:rsidRPr="005071A1">
        <w:t>4), (5) and (6) of this section and subsection</w:t>
      </w:r>
      <w:r w:rsidR="008B2950" w:rsidRPr="005071A1">
        <w:t> </w:t>
      </w:r>
      <w:r w:rsidRPr="005071A1">
        <w:t>48AB (3A), and having regard to:</w:t>
      </w:r>
    </w:p>
    <w:p w14:paraId="715187B7" w14:textId="77777777" w:rsidR="00B33542" w:rsidRPr="005071A1" w:rsidRDefault="00B33542" w:rsidP="00B33542">
      <w:pPr>
        <w:pStyle w:val="paragraph"/>
      </w:pPr>
      <w:r w:rsidRPr="005071A1">
        <w:tab/>
        <w:t>(a)</w:t>
      </w:r>
      <w:r w:rsidRPr="005071A1">
        <w:tab/>
        <w:t>the respective needs of the surviving spouses; and</w:t>
      </w:r>
    </w:p>
    <w:p w14:paraId="5FD06DCA" w14:textId="77777777" w:rsidR="00B33542" w:rsidRPr="005071A1" w:rsidRDefault="00B33542" w:rsidP="00B33542">
      <w:pPr>
        <w:pStyle w:val="paragraph"/>
      </w:pPr>
      <w:r w:rsidRPr="005071A1">
        <w:tab/>
        <w:t>(b)</w:t>
      </w:r>
      <w:r w:rsidRPr="005071A1">
        <w:tab/>
        <w:t>the respective needs of any eligible child or eligible children of the deceased pensioner; and</w:t>
      </w:r>
    </w:p>
    <w:p w14:paraId="5A10D764" w14:textId="77777777" w:rsidR="00B33542" w:rsidRPr="005071A1" w:rsidRDefault="00B33542" w:rsidP="00B33542">
      <w:pPr>
        <w:pStyle w:val="paragraph"/>
        <w:keepNext/>
      </w:pPr>
      <w:r w:rsidRPr="005071A1">
        <w:tab/>
        <w:t>(c)</w:t>
      </w:r>
      <w:r w:rsidRPr="005071A1">
        <w:tab/>
        <w:t>such other matters as the Commissioner considers relevant;</w:t>
      </w:r>
    </w:p>
    <w:p w14:paraId="5323FE94" w14:textId="77777777" w:rsidR="00B33542" w:rsidRPr="005071A1" w:rsidRDefault="00B33542" w:rsidP="00B33542">
      <w:pPr>
        <w:pStyle w:val="subsection2"/>
      </w:pPr>
      <w:r w:rsidRPr="005071A1">
        <w:t>allocate any pension payable under section</w:t>
      </w:r>
      <w:r w:rsidR="008B2950" w:rsidRPr="005071A1">
        <w:t> </w:t>
      </w:r>
      <w:r w:rsidRPr="005071A1">
        <w:t>47 or 48 (including under the section because of section</w:t>
      </w:r>
      <w:r w:rsidR="008B2950" w:rsidRPr="005071A1">
        <w:t> </w:t>
      </w:r>
      <w:r w:rsidRPr="005071A1">
        <w:t>48AB) among all the persons who are entitled to such a pension.</w:t>
      </w:r>
    </w:p>
    <w:p w14:paraId="26EA5925" w14:textId="77777777" w:rsidR="00B33542" w:rsidRPr="005071A1" w:rsidRDefault="00B33542" w:rsidP="00B33542">
      <w:pPr>
        <w:pStyle w:val="subsection"/>
      </w:pPr>
      <w:r w:rsidRPr="005071A1">
        <w:lastRenderedPageBreak/>
        <w:tab/>
        <w:t>(4)</w:t>
      </w:r>
      <w:r w:rsidRPr="005071A1">
        <w:tab/>
        <w:t>The amount of pension payable to each person must not exceed the applicable percentage of the annual rate of pension payable to the pensioner at the time of the pensioner’s death.</w:t>
      </w:r>
    </w:p>
    <w:p w14:paraId="076AB111" w14:textId="77777777" w:rsidR="00B33542" w:rsidRPr="005071A1" w:rsidRDefault="00B33542" w:rsidP="00B33542">
      <w:pPr>
        <w:pStyle w:val="subsection"/>
      </w:pPr>
      <w:r w:rsidRPr="005071A1">
        <w:tab/>
        <w:t>(5)</w:t>
      </w:r>
      <w:r w:rsidRPr="005071A1">
        <w:tab/>
        <w:t xml:space="preserve">For the purpose of </w:t>
      </w:r>
      <w:r w:rsidR="008B2950" w:rsidRPr="005071A1">
        <w:t>subsection (</w:t>
      </w:r>
      <w:r w:rsidRPr="005071A1">
        <w:t>4), the applicable percentage in relation to a pension payable to a spouse of the deceased pensioner, is:</w:t>
      </w:r>
    </w:p>
    <w:p w14:paraId="23179DBD" w14:textId="77777777" w:rsidR="00B33542" w:rsidRPr="005071A1" w:rsidRDefault="00B33542" w:rsidP="00B33542">
      <w:pPr>
        <w:pStyle w:val="paragraph"/>
      </w:pPr>
      <w:r w:rsidRPr="005071A1">
        <w:tab/>
        <w:t>(a)</w:t>
      </w:r>
      <w:r w:rsidRPr="005071A1">
        <w:tab/>
        <w:t xml:space="preserve">if </w:t>
      </w:r>
      <w:r w:rsidR="008B2950" w:rsidRPr="005071A1">
        <w:t>paragraph (</w:t>
      </w:r>
      <w:r w:rsidRPr="005071A1">
        <w:t>b) does not apply:</w:t>
      </w:r>
    </w:p>
    <w:p w14:paraId="5C0B16DA" w14:textId="77777777" w:rsidR="00B33542" w:rsidRPr="005071A1" w:rsidRDefault="00B33542" w:rsidP="00B33542">
      <w:pPr>
        <w:pStyle w:val="paragraphsub"/>
      </w:pPr>
      <w:r w:rsidRPr="005071A1">
        <w:tab/>
        <w:t>(i)</w:t>
      </w:r>
      <w:r w:rsidRPr="005071A1">
        <w:tab/>
        <w:t>if there are no eligible children of the deceased pensioner or the spouse who are in the custody, care and control of the spouse—67%; or</w:t>
      </w:r>
    </w:p>
    <w:p w14:paraId="30789611" w14:textId="77777777" w:rsidR="00B33542" w:rsidRPr="005071A1" w:rsidRDefault="00B33542" w:rsidP="00B33542">
      <w:pPr>
        <w:pStyle w:val="paragraphsub"/>
      </w:pPr>
      <w:r w:rsidRPr="005071A1">
        <w:tab/>
        <w:t>(ii)</w:t>
      </w:r>
      <w:r w:rsidRPr="005071A1">
        <w:tab/>
        <w:t>if there is one such eligible child—78%; or</w:t>
      </w:r>
    </w:p>
    <w:p w14:paraId="1D21E118" w14:textId="77777777" w:rsidR="00B33542" w:rsidRPr="005071A1" w:rsidRDefault="00B33542" w:rsidP="00B33542">
      <w:pPr>
        <w:pStyle w:val="paragraphsub"/>
      </w:pPr>
      <w:r w:rsidRPr="005071A1">
        <w:tab/>
        <w:t>(iii)</w:t>
      </w:r>
      <w:r w:rsidRPr="005071A1">
        <w:tab/>
        <w:t>if there are 2 such eligible children—89%; or</w:t>
      </w:r>
    </w:p>
    <w:p w14:paraId="37C5242B" w14:textId="77777777" w:rsidR="00B33542" w:rsidRPr="005071A1" w:rsidRDefault="00B33542" w:rsidP="00B33542">
      <w:pPr>
        <w:pStyle w:val="paragraphsub"/>
      </w:pPr>
      <w:r w:rsidRPr="005071A1">
        <w:tab/>
        <w:t>(iv)</w:t>
      </w:r>
      <w:r w:rsidRPr="005071A1">
        <w:tab/>
        <w:t>if there are 3 or more such eligible children—100%; or</w:t>
      </w:r>
    </w:p>
    <w:p w14:paraId="21096648" w14:textId="77777777" w:rsidR="00B33542" w:rsidRPr="005071A1" w:rsidRDefault="00B33542" w:rsidP="00B33542">
      <w:pPr>
        <w:pStyle w:val="paragraph"/>
      </w:pPr>
      <w:r w:rsidRPr="005071A1">
        <w:tab/>
        <w:t>(b)</w:t>
      </w:r>
      <w:r w:rsidRPr="005071A1">
        <w:tab/>
        <w:t>if the pensioner elected that section</w:t>
      </w:r>
      <w:r w:rsidR="008B2950" w:rsidRPr="005071A1">
        <w:t> </w:t>
      </w:r>
      <w:r w:rsidRPr="005071A1">
        <w:t>26 should not apply to the pensioner:</w:t>
      </w:r>
    </w:p>
    <w:p w14:paraId="00A597C6" w14:textId="77777777" w:rsidR="00B33542" w:rsidRPr="005071A1" w:rsidRDefault="00B33542" w:rsidP="00B33542">
      <w:pPr>
        <w:pStyle w:val="paragraphsub"/>
      </w:pPr>
      <w:r w:rsidRPr="005071A1">
        <w:tab/>
        <w:t>(i)</w:t>
      </w:r>
      <w:r w:rsidRPr="005071A1">
        <w:tab/>
        <w:t>if there are no eligible children of the deceased pensioner or the spouse who are in the custody, care and control of the spouse—54%; or</w:t>
      </w:r>
    </w:p>
    <w:p w14:paraId="6BBC4292" w14:textId="77777777" w:rsidR="00B33542" w:rsidRPr="005071A1" w:rsidRDefault="00B33542" w:rsidP="00B33542">
      <w:pPr>
        <w:pStyle w:val="paragraphsub"/>
      </w:pPr>
      <w:r w:rsidRPr="005071A1">
        <w:tab/>
        <w:t>(ii)</w:t>
      </w:r>
      <w:r w:rsidRPr="005071A1">
        <w:tab/>
        <w:t>if there is one such eligible child—65%; or</w:t>
      </w:r>
    </w:p>
    <w:p w14:paraId="3052CB5C" w14:textId="77777777" w:rsidR="00B33542" w:rsidRPr="005071A1" w:rsidRDefault="00B33542" w:rsidP="00B33542">
      <w:pPr>
        <w:pStyle w:val="paragraphsub"/>
      </w:pPr>
      <w:r w:rsidRPr="005071A1">
        <w:tab/>
        <w:t>(iii)</w:t>
      </w:r>
      <w:r w:rsidRPr="005071A1">
        <w:tab/>
        <w:t>if there are 2 such eligible children—76%; or</w:t>
      </w:r>
    </w:p>
    <w:p w14:paraId="73505239" w14:textId="77777777" w:rsidR="00B33542" w:rsidRPr="005071A1" w:rsidRDefault="00B33542" w:rsidP="00B33542">
      <w:pPr>
        <w:pStyle w:val="paragraphsub"/>
      </w:pPr>
      <w:r w:rsidRPr="005071A1">
        <w:tab/>
        <w:t>(iv)</w:t>
      </w:r>
      <w:r w:rsidRPr="005071A1">
        <w:tab/>
        <w:t>if there are 3 or more such eligible children—87%.</w:t>
      </w:r>
    </w:p>
    <w:p w14:paraId="6B6F51AF" w14:textId="77777777" w:rsidR="00B33542" w:rsidRPr="005071A1" w:rsidRDefault="00B33542" w:rsidP="00B33542">
      <w:pPr>
        <w:pStyle w:val="subsection"/>
      </w:pPr>
      <w:r w:rsidRPr="005071A1">
        <w:tab/>
        <w:t>(6)</w:t>
      </w:r>
      <w:r w:rsidRPr="005071A1">
        <w:tab/>
        <w:t xml:space="preserve">For the purpose of </w:t>
      </w:r>
      <w:r w:rsidR="008B2950" w:rsidRPr="005071A1">
        <w:t>subsection (</w:t>
      </w:r>
      <w:r w:rsidRPr="005071A1">
        <w:t>4), the applicable percentage in relation to a pension payable to each eligible child of the deceased pensioner who is not in the custody, care and control of a spouse of the deceased pensioner is:</w:t>
      </w:r>
    </w:p>
    <w:p w14:paraId="289DA5E1" w14:textId="77777777" w:rsidR="00B33542" w:rsidRPr="005071A1" w:rsidRDefault="00B33542" w:rsidP="00B33542">
      <w:pPr>
        <w:pStyle w:val="paragraph"/>
      </w:pPr>
      <w:r w:rsidRPr="005071A1">
        <w:tab/>
        <w:t>(a)</w:t>
      </w:r>
      <w:r w:rsidRPr="005071A1">
        <w:tab/>
        <w:t>if there is only one such eligible child—45%; or</w:t>
      </w:r>
    </w:p>
    <w:p w14:paraId="42F17397" w14:textId="77777777" w:rsidR="00B33542" w:rsidRPr="005071A1" w:rsidRDefault="00B33542" w:rsidP="00B33542">
      <w:pPr>
        <w:pStyle w:val="paragraph"/>
      </w:pPr>
      <w:r w:rsidRPr="005071A1">
        <w:tab/>
        <w:t>(b)</w:t>
      </w:r>
      <w:r w:rsidRPr="005071A1">
        <w:tab/>
        <w:t>if there are 2 such eligible children—40%; or</w:t>
      </w:r>
    </w:p>
    <w:p w14:paraId="43EC534D" w14:textId="77777777" w:rsidR="00B33542" w:rsidRPr="005071A1" w:rsidRDefault="00B33542" w:rsidP="00B33542">
      <w:pPr>
        <w:pStyle w:val="paragraph"/>
      </w:pPr>
      <w:r w:rsidRPr="005071A1">
        <w:tab/>
        <w:t>(c)</w:t>
      </w:r>
      <w:r w:rsidRPr="005071A1">
        <w:tab/>
        <w:t>if there are 3 such eligible children—30%; or</w:t>
      </w:r>
    </w:p>
    <w:p w14:paraId="5C449CF1" w14:textId="77777777" w:rsidR="00B33542" w:rsidRPr="005071A1" w:rsidRDefault="00B33542" w:rsidP="00B33542">
      <w:pPr>
        <w:pStyle w:val="paragraph"/>
      </w:pPr>
      <w:r w:rsidRPr="005071A1">
        <w:lastRenderedPageBreak/>
        <w:tab/>
        <w:t>(d)</w:t>
      </w:r>
      <w:r w:rsidRPr="005071A1">
        <w:tab/>
        <w:t>if there are 4 or more such eligible children—100% divided by the number of the children.</w:t>
      </w:r>
    </w:p>
    <w:p w14:paraId="4F45BFF0" w14:textId="77777777" w:rsidR="00B33542" w:rsidRPr="005071A1" w:rsidRDefault="00B33542" w:rsidP="00B33542">
      <w:pPr>
        <w:pStyle w:val="subsection"/>
      </w:pPr>
      <w:r w:rsidRPr="005071A1">
        <w:tab/>
        <w:t>(7)</w:t>
      </w:r>
      <w:r w:rsidRPr="005071A1">
        <w:tab/>
        <w:t>If:</w:t>
      </w:r>
    </w:p>
    <w:p w14:paraId="41E133BA" w14:textId="77777777" w:rsidR="00B33542" w:rsidRPr="005071A1" w:rsidRDefault="00B33542" w:rsidP="00B33542">
      <w:pPr>
        <w:pStyle w:val="paragraph"/>
      </w:pPr>
      <w:r w:rsidRPr="005071A1">
        <w:tab/>
        <w:t>(a)</w:t>
      </w:r>
      <w:r w:rsidRPr="005071A1">
        <w:tab/>
        <w:t xml:space="preserve">the Commissioner allocates pensions payable in respect of a deceased pensioner under </w:t>
      </w:r>
      <w:r w:rsidR="008B2950" w:rsidRPr="005071A1">
        <w:t>subsection (</w:t>
      </w:r>
      <w:r w:rsidRPr="005071A1">
        <w:t>3); and</w:t>
      </w:r>
    </w:p>
    <w:p w14:paraId="778A42BB" w14:textId="77777777" w:rsidR="00B33542" w:rsidRPr="005071A1" w:rsidRDefault="00B33542" w:rsidP="00B33542">
      <w:pPr>
        <w:pStyle w:val="paragraph"/>
        <w:keepNext/>
      </w:pPr>
      <w:r w:rsidRPr="005071A1">
        <w:tab/>
        <w:t>(b)</w:t>
      </w:r>
      <w:r w:rsidRPr="005071A1">
        <w:tab/>
        <w:t>there is an eligible child or there are eligible children of the deceased pensioner (whether or not in the custody, care and control of any of the surviving spouses);</w:t>
      </w:r>
    </w:p>
    <w:p w14:paraId="0E2EE9D0" w14:textId="77777777" w:rsidR="00B33542" w:rsidRPr="005071A1" w:rsidRDefault="00B33542" w:rsidP="00B33542">
      <w:pPr>
        <w:pStyle w:val="subsection2"/>
      </w:pPr>
      <w:r w:rsidRPr="005071A1">
        <w:t>the Commissioner must determine the part of the pensions that is attributable to each eligible child.</w:t>
      </w:r>
    </w:p>
    <w:p w14:paraId="38CC7700" w14:textId="77777777" w:rsidR="00B33542" w:rsidRPr="005071A1" w:rsidRDefault="00B33542" w:rsidP="00B33542">
      <w:pPr>
        <w:pStyle w:val="subsection"/>
      </w:pPr>
      <w:r w:rsidRPr="005071A1">
        <w:tab/>
        <w:t>(8)</w:t>
      </w:r>
      <w:r w:rsidRPr="005071A1">
        <w:tab/>
        <w:t>If a pension is payable in accordance with an allocation under this section, the Commissioner may, having regard to:</w:t>
      </w:r>
    </w:p>
    <w:p w14:paraId="16FE1BCF" w14:textId="77777777" w:rsidR="00B33542" w:rsidRPr="005071A1" w:rsidRDefault="00B33542" w:rsidP="00B33542">
      <w:pPr>
        <w:pStyle w:val="paragraph"/>
      </w:pPr>
      <w:r w:rsidRPr="005071A1">
        <w:tab/>
        <w:t>(a)</w:t>
      </w:r>
      <w:r w:rsidRPr="005071A1">
        <w:tab/>
        <w:t>the respective needs of each person to whom the allocation relates; and</w:t>
      </w:r>
    </w:p>
    <w:p w14:paraId="2D7DA1C0" w14:textId="77777777" w:rsidR="00B33542" w:rsidRPr="005071A1" w:rsidRDefault="00B33542" w:rsidP="00B33542">
      <w:pPr>
        <w:pStyle w:val="paragraph"/>
        <w:keepNext/>
      </w:pPr>
      <w:r w:rsidRPr="005071A1">
        <w:tab/>
        <w:t>(b)</w:t>
      </w:r>
      <w:r w:rsidRPr="005071A1">
        <w:tab/>
        <w:t>such other matters as the Commissioner considers relevant;</w:t>
      </w:r>
    </w:p>
    <w:p w14:paraId="47B31C84" w14:textId="77777777" w:rsidR="00B33542" w:rsidRPr="005071A1" w:rsidRDefault="00B33542" w:rsidP="00B33542">
      <w:pPr>
        <w:pStyle w:val="subsection2"/>
      </w:pPr>
      <w:r w:rsidRPr="005071A1">
        <w:t>vary that allocation from time to time.</w:t>
      </w:r>
    </w:p>
    <w:p w14:paraId="3D59BEA8" w14:textId="77777777" w:rsidR="00FA041F" w:rsidRPr="005071A1" w:rsidRDefault="00FA041F" w:rsidP="00FA041F">
      <w:pPr>
        <w:pStyle w:val="subsection"/>
      </w:pPr>
      <w:r w:rsidRPr="005071A1">
        <w:tab/>
        <w:t>(9)</w:t>
      </w:r>
      <w:r w:rsidRPr="005071A1">
        <w:tab/>
        <w:t xml:space="preserve">For the purposes of applying the definitions of </w:t>
      </w:r>
      <w:r w:rsidRPr="005071A1">
        <w:rPr>
          <w:b/>
          <w:i/>
        </w:rPr>
        <w:t xml:space="preserve">eligible child </w:t>
      </w:r>
      <w:r w:rsidRPr="005071A1">
        <w:t xml:space="preserve">and </w:t>
      </w:r>
      <w:r w:rsidRPr="005071A1">
        <w:rPr>
          <w:b/>
          <w:i/>
        </w:rPr>
        <w:t xml:space="preserve">spouse </w:t>
      </w:r>
      <w:r w:rsidRPr="005071A1">
        <w:t xml:space="preserve">in </w:t>
      </w:r>
      <w:r w:rsidR="008B2950" w:rsidRPr="005071A1">
        <w:t>subsection (</w:t>
      </w:r>
      <w:r w:rsidRPr="005071A1">
        <w:t>1) in relation to a deceased pensioner who died before the day on which Schedule</w:t>
      </w:r>
      <w:r w:rsidR="008B2950" w:rsidRPr="005071A1">
        <w:t> </w:t>
      </w:r>
      <w:r w:rsidRPr="005071A1">
        <w:t xml:space="preserve">1 to the </w:t>
      </w:r>
      <w:r w:rsidRPr="005071A1">
        <w:rPr>
          <w:i/>
        </w:rPr>
        <w:t>Same</w:t>
      </w:r>
      <w:r w:rsidR="004510F0">
        <w:rPr>
          <w:i/>
        </w:rPr>
        <w:noBreakHyphen/>
      </w:r>
      <w:r w:rsidRPr="005071A1">
        <w:rPr>
          <w:i/>
        </w:rPr>
        <w:t xml:space="preserve">Sex Relationships (Equal Treatment in Commonwealth Laws—Superannuation) Act 2008 </w:t>
      </w:r>
      <w:r w:rsidRPr="005071A1">
        <w:t>commenced:</w:t>
      </w:r>
    </w:p>
    <w:p w14:paraId="36F4108B" w14:textId="77777777" w:rsidR="00FA041F" w:rsidRPr="005071A1" w:rsidRDefault="00FA041F" w:rsidP="00FA041F">
      <w:pPr>
        <w:pStyle w:val="paragraph"/>
      </w:pPr>
      <w:r w:rsidRPr="005071A1">
        <w:tab/>
        <w:t>(a)</w:t>
      </w:r>
      <w:r w:rsidRPr="005071A1">
        <w:tab/>
        <w:t xml:space="preserve">the amendments of the </w:t>
      </w:r>
      <w:r w:rsidRPr="005071A1">
        <w:rPr>
          <w:i/>
        </w:rPr>
        <w:t xml:space="preserve">Superannuation Act 1976 </w:t>
      </w:r>
      <w:r w:rsidRPr="005071A1">
        <w:t>made by that Schedule do not apply; and</w:t>
      </w:r>
    </w:p>
    <w:p w14:paraId="4C2B7259" w14:textId="77777777" w:rsidR="00FA041F" w:rsidRPr="005071A1" w:rsidRDefault="00FA041F" w:rsidP="00FA041F">
      <w:pPr>
        <w:pStyle w:val="paragraph"/>
      </w:pPr>
      <w:r w:rsidRPr="005071A1">
        <w:tab/>
        <w:t>(b)</w:t>
      </w:r>
      <w:r w:rsidRPr="005071A1">
        <w:tab/>
        <w:t xml:space="preserve">the </w:t>
      </w:r>
      <w:r w:rsidRPr="005071A1">
        <w:rPr>
          <w:i/>
        </w:rPr>
        <w:t>Superannuation Act 1976</w:t>
      </w:r>
      <w:r w:rsidRPr="005071A1">
        <w:t xml:space="preserve"> as in force immediately before the commencement of that Schedule continues to apply.</w:t>
      </w:r>
    </w:p>
    <w:p w14:paraId="39CE8F9B" w14:textId="77777777" w:rsidR="00B33542" w:rsidRPr="005071A1" w:rsidRDefault="00B33542" w:rsidP="00B33542">
      <w:pPr>
        <w:pStyle w:val="ActHead5"/>
      </w:pPr>
      <w:bookmarkStart w:id="78" w:name="_Toc185577460"/>
      <w:r w:rsidRPr="004510F0">
        <w:rPr>
          <w:rStyle w:val="CharSectno"/>
        </w:rPr>
        <w:t>48AC</w:t>
      </w:r>
      <w:r w:rsidRPr="005071A1">
        <w:t xml:space="preserve">  Minimum pension rates payable in respect of children</w:t>
      </w:r>
      <w:bookmarkEnd w:id="78"/>
    </w:p>
    <w:p w14:paraId="44680DE4" w14:textId="77777777" w:rsidR="00B33542" w:rsidRPr="005071A1" w:rsidRDefault="00B33542" w:rsidP="00B33542">
      <w:pPr>
        <w:pStyle w:val="subsection"/>
      </w:pPr>
      <w:r w:rsidRPr="005071A1">
        <w:tab/>
        <w:t>(1)</w:t>
      </w:r>
      <w:r w:rsidRPr="005071A1">
        <w:tab/>
        <w:t>In this section:</w:t>
      </w:r>
    </w:p>
    <w:p w14:paraId="66E9C2D6" w14:textId="77777777" w:rsidR="00B33542" w:rsidRPr="005071A1" w:rsidRDefault="00B33542" w:rsidP="00B33542">
      <w:pPr>
        <w:pStyle w:val="Definition"/>
      </w:pPr>
      <w:r w:rsidRPr="005071A1">
        <w:rPr>
          <w:b/>
          <w:i/>
        </w:rPr>
        <w:lastRenderedPageBreak/>
        <w:t>child’s pension</w:t>
      </w:r>
      <w:r w:rsidRPr="005071A1">
        <w:t xml:space="preserve"> means pension payable in respect of an eligible child under </w:t>
      </w:r>
      <w:r w:rsidR="008B2950" w:rsidRPr="005071A1">
        <w:t>subsection (</w:t>
      </w:r>
      <w:r w:rsidRPr="005071A1">
        <w:t>3) or (4) of section</w:t>
      </w:r>
      <w:r w:rsidR="008B2950" w:rsidRPr="005071A1">
        <w:t> </w:t>
      </w:r>
      <w:r w:rsidRPr="005071A1">
        <w:t xml:space="preserve">46, </w:t>
      </w:r>
      <w:r w:rsidR="008B2950" w:rsidRPr="005071A1">
        <w:t>subsection (</w:t>
      </w:r>
      <w:r w:rsidRPr="005071A1">
        <w:t>3) or (4) of section</w:t>
      </w:r>
      <w:r w:rsidR="008B2950" w:rsidRPr="005071A1">
        <w:t> </w:t>
      </w:r>
      <w:r w:rsidRPr="005071A1">
        <w:t xml:space="preserve">47 or </w:t>
      </w:r>
      <w:r w:rsidR="008B2950" w:rsidRPr="005071A1">
        <w:t>subsection (</w:t>
      </w:r>
      <w:r w:rsidRPr="005071A1">
        <w:t>1) of section</w:t>
      </w:r>
      <w:r w:rsidR="008B2950" w:rsidRPr="005071A1">
        <w:t> </w:t>
      </w:r>
      <w:r w:rsidRPr="005071A1">
        <w:t>48.</w:t>
      </w:r>
    </w:p>
    <w:p w14:paraId="30E471DF" w14:textId="77777777" w:rsidR="00B33542" w:rsidRPr="005071A1" w:rsidRDefault="00B33542" w:rsidP="002028EB">
      <w:pPr>
        <w:pStyle w:val="Definition"/>
        <w:keepNext/>
      </w:pPr>
      <w:r w:rsidRPr="005071A1">
        <w:rPr>
          <w:b/>
          <w:i/>
        </w:rPr>
        <w:t>relevant percentage</w:t>
      </w:r>
      <w:r w:rsidRPr="005071A1">
        <w:t>, in relation to a child’s pension payable in respect of an eligible child at any time means:</w:t>
      </w:r>
    </w:p>
    <w:p w14:paraId="46F14197" w14:textId="77777777" w:rsidR="00B33542" w:rsidRPr="005071A1" w:rsidRDefault="00B33542" w:rsidP="002028EB">
      <w:pPr>
        <w:pStyle w:val="paragraph"/>
        <w:keepNext/>
      </w:pPr>
      <w:r w:rsidRPr="005071A1">
        <w:tab/>
        <w:t>(a)</w:t>
      </w:r>
      <w:r w:rsidRPr="005071A1">
        <w:tab/>
        <w:t xml:space="preserve">if the pension is payable under </w:t>
      </w:r>
      <w:r w:rsidR="008B2950" w:rsidRPr="005071A1">
        <w:t>subsection (</w:t>
      </w:r>
      <w:r w:rsidRPr="005071A1">
        <w:t>3) of section</w:t>
      </w:r>
      <w:r w:rsidR="008B2950" w:rsidRPr="005071A1">
        <w:t> </w:t>
      </w:r>
      <w:r w:rsidRPr="005071A1">
        <w:t xml:space="preserve">46 or </w:t>
      </w:r>
      <w:r w:rsidR="008B2950" w:rsidRPr="005071A1">
        <w:t>subsection (</w:t>
      </w:r>
      <w:r w:rsidRPr="005071A1">
        <w:t>3) of section</w:t>
      </w:r>
      <w:r w:rsidR="008B2950" w:rsidRPr="005071A1">
        <w:t> </w:t>
      </w:r>
      <w:r w:rsidRPr="005071A1">
        <w:t>47:</w:t>
      </w:r>
    </w:p>
    <w:p w14:paraId="306E25EF" w14:textId="77777777" w:rsidR="00B33542" w:rsidRPr="005071A1" w:rsidRDefault="00B33542" w:rsidP="00B33542">
      <w:pPr>
        <w:pStyle w:val="paragraphsub"/>
      </w:pPr>
      <w:r w:rsidRPr="005071A1">
        <w:tab/>
        <w:t>(i)</w:t>
      </w:r>
      <w:r w:rsidRPr="005071A1">
        <w:tab/>
        <w:t>in a case where the eligible child is, at that time, the only eligible child, or is one of 2 eligible children, of the deceased contributor or pensioner—11 per centum; or</w:t>
      </w:r>
    </w:p>
    <w:p w14:paraId="0CB200C4" w14:textId="77777777" w:rsidR="00B33542" w:rsidRPr="005071A1" w:rsidRDefault="00B33542" w:rsidP="00B33542">
      <w:pPr>
        <w:pStyle w:val="paragraphsub"/>
      </w:pPr>
      <w:r w:rsidRPr="005071A1">
        <w:tab/>
        <w:t>(ii)</w:t>
      </w:r>
      <w:r w:rsidRPr="005071A1">
        <w:tab/>
        <w:t>in a case where the eligible child is, at that time, one of 3 or more eligible children of the deceased contributor or pensioner—33 per centum divided by the number of those eligible children; or</w:t>
      </w:r>
    </w:p>
    <w:p w14:paraId="23D428DC" w14:textId="77777777" w:rsidR="00B33542" w:rsidRPr="005071A1" w:rsidRDefault="00B33542" w:rsidP="00B33542">
      <w:pPr>
        <w:pStyle w:val="paragraph"/>
      </w:pPr>
      <w:r w:rsidRPr="005071A1">
        <w:tab/>
        <w:t>(b)</w:t>
      </w:r>
      <w:r w:rsidRPr="005071A1">
        <w:tab/>
        <w:t xml:space="preserve">if the pension is payable under </w:t>
      </w:r>
      <w:r w:rsidR="008B2950" w:rsidRPr="005071A1">
        <w:t>subsection (</w:t>
      </w:r>
      <w:r w:rsidRPr="005071A1">
        <w:t>4) of section</w:t>
      </w:r>
      <w:r w:rsidR="008B2950" w:rsidRPr="005071A1">
        <w:t> </w:t>
      </w:r>
      <w:r w:rsidRPr="005071A1">
        <w:t xml:space="preserve">46, </w:t>
      </w:r>
      <w:r w:rsidR="008B2950" w:rsidRPr="005071A1">
        <w:t>subsection (</w:t>
      </w:r>
      <w:r w:rsidRPr="005071A1">
        <w:t>4) of section</w:t>
      </w:r>
      <w:r w:rsidR="008B2950" w:rsidRPr="005071A1">
        <w:t> </w:t>
      </w:r>
      <w:r w:rsidRPr="005071A1">
        <w:t xml:space="preserve">47 or </w:t>
      </w:r>
      <w:r w:rsidR="008B2950" w:rsidRPr="005071A1">
        <w:t>subsection (</w:t>
      </w:r>
      <w:r w:rsidRPr="005071A1">
        <w:t>1) of section</w:t>
      </w:r>
      <w:r w:rsidR="008B2950" w:rsidRPr="005071A1">
        <w:t> </w:t>
      </w:r>
      <w:r w:rsidRPr="005071A1">
        <w:t>48:</w:t>
      </w:r>
    </w:p>
    <w:p w14:paraId="1D30489B" w14:textId="77777777" w:rsidR="00B33542" w:rsidRPr="005071A1" w:rsidRDefault="00B33542" w:rsidP="00B33542">
      <w:pPr>
        <w:pStyle w:val="paragraphsub"/>
      </w:pPr>
      <w:r w:rsidRPr="005071A1">
        <w:tab/>
        <w:t>(i)</w:t>
      </w:r>
      <w:r w:rsidRPr="005071A1">
        <w:tab/>
        <w:t>in a case where the eligible child is, at that time, the only eligible child of the deceased contributor or pensioner—45 per centum;</w:t>
      </w:r>
    </w:p>
    <w:p w14:paraId="605E1D20" w14:textId="77777777" w:rsidR="00B33542" w:rsidRPr="005071A1" w:rsidRDefault="00B33542" w:rsidP="00B33542">
      <w:pPr>
        <w:pStyle w:val="paragraphsub"/>
      </w:pPr>
      <w:r w:rsidRPr="005071A1">
        <w:tab/>
        <w:t>(ii)</w:t>
      </w:r>
      <w:r w:rsidRPr="005071A1">
        <w:tab/>
        <w:t>in a case where the eligible child is, at that time, one of 2 eligible children of the deceased contributor or pensioner—40 per centum;</w:t>
      </w:r>
    </w:p>
    <w:p w14:paraId="15904505" w14:textId="77777777" w:rsidR="00B33542" w:rsidRPr="005071A1" w:rsidRDefault="00B33542" w:rsidP="00B33542">
      <w:pPr>
        <w:pStyle w:val="paragraphsub"/>
      </w:pPr>
      <w:r w:rsidRPr="005071A1">
        <w:tab/>
        <w:t>(iii)</w:t>
      </w:r>
      <w:r w:rsidRPr="005071A1">
        <w:tab/>
        <w:t>in a case where the eligible child is, at that time, one of 3 eligible children of the deceased contributor or pensioner—30 per centum; or</w:t>
      </w:r>
    </w:p>
    <w:p w14:paraId="5AB495F9" w14:textId="77777777" w:rsidR="00B33542" w:rsidRPr="005071A1" w:rsidRDefault="00B33542" w:rsidP="00B33542">
      <w:pPr>
        <w:pStyle w:val="paragraphsub"/>
      </w:pPr>
      <w:r w:rsidRPr="005071A1">
        <w:tab/>
        <w:t>(iv)</w:t>
      </w:r>
      <w:r w:rsidRPr="005071A1">
        <w:tab/>
        <w:t>in a case where the eligible child is, at that time, one of 4 or more eligible children of the deceased contributor or pensioner—100 per centum divided by the number of those eligible children.</w:t>
      </w:r>
    </w:p>
    <w:p w14:paraId="5CEA6465" w14:textId="77777777" w:rsidR="00B33542" w:rsidRPr="005071A1" w:rsidRDefault="00B33542" w:rsidP="00B33542">
      <w:pPr>
        <w:pStyle w:val="subsection"/>
      </w:pPr>
      <w:r w:rsidRPr="005071A1">
        <w:lastRenderedPageBreak/>
        <w:tab/>
        <w:t>(2)</w:t>
      </w:r>
      <w:r w:rsidRPr="005071A1">
        <w:tab/>
        <w:t xml:space="preserve">Where, but for this section, the rate of a child’s pension would at any time be less than the rate ascertained in accordance with </w:t>
      </w:r>
      <w:r w:rsidR="008B2950" w:rsidRPr="005071A1">
        <w:t>subsection (</w:t>
      </w:r>
      <w:r w:rsidRPr="005071A1">
        <w:t>3), pension shall be payable at that time at the rate so ascertained.</w:t>
      </w:r>
    </w:p>
    <w:p w14:paraId="271A68F5" w14:textId="77777777" w:rsidR="00B33542" w:rsidRPr="005071A1" w:rsidRDefault="00B33542" w:rsidP="00B33542">
      <w:pPr>
        <w:pStyle w:val="subsection"/>
      </w:pPr>
      <w:r w:rsidRPr="005071A1">
        <w:tab/>
        <w:t>(3)</w:t>
      </w:r>
      <w:r w:rsidRPr="005071A1">
        <w:tab/>
        <w:t>The rate applicable to a child’s pension payable in respect of an eligible child at any time is:</w:t>
      </w:r>
    </w:p>
    <w:p w14:paraId="3B3958EB" w14:textId="77777777" w:rsidR="00B33542" w:rsidRPr="005071A1" w:rsidRDefault="00B33542" w:rsidP="00B33542">
      <w:pPr>
        <w:pStyle w:val="paragraph"/>
      </w:pPr>
      <w:r w:rsidRPr="005071A1">
        <w:tab/>
        <w:t>(a)</w:t>
      </w:r>
      <w:r w:rsidRPr="005071A1">
        <w:tab/>
        <w:t xml:space="preserve">where the pension is payable under </w:t>
      </w:r>
      <w:r w:rsidR="008B2950" w:rsidRPr="005071A1">
        <w:t>subsection (</w:t>
      </w:r>
      <w:r w:rsidRPr="005071A1">
        <w:t>3) or (4) of section</w:t>
      </w:r>
      <w:r w:rsidR="008B2950" w:rsidRPr="005071A1">
        <w:t> </w:t>
      </w:r>
      <w:r w:rsidRPr="005071A1">
        <w:t>46—the relevant percentage of the rate of pension that would have been payable under section</w:t>
      </w:r>
      <w:r w:rsidR="008B2950" w:rsidRPr="005071A1">
        <w:t> </w:t>
      </w:r>
      <w:r w:rsidRPr="005071A1">
        <w:t>45 to the deceased contributor at that time if he had not died but had, on the day of his death, retired on the ground of invalidity;</w:t>
      </w:r>
    </w:p>
    <w:p w14:paraId="22150803" w14:textId="77777777" w:rsidR="00B33542" w:rsidRPr="005071A1" w:rsidRDefault="00B33542" w:rsidP="00B33542">
      <w:pPr>
        <w:pStyle w:val="paragraph"/>
      </w:pPr>
      <w:r w:rsidRPr="005071A1">
        <w:tab/>
        <w:t>(b)</w:t>
      </w:r>
      <w:r w:rsidRPr="005071A1">
        <w:tab/>
        <w:t xml:space="preserve">where the pension is payable under </w:t>
      </w:r>
      <w:r w:rsidR="008B2950" w:rsidRPr="005071A1">
        <w:t>subsection (</w:t>
      </w:r>
      <w:r w:rsidRPr="005071A1">
        <w:t>3) or (4) of section</w:t>
      </w:r>
      <w:r w:rsidR="008B2950" w:rsidRPr="005071A1">
        <w:t> </w:t>
      </w:r>
      <w:r w:rsidRPr="005071A1">
        <w:t>47—the relevant percentage of the rate of pension that would have been payable under section</w:t>
      </w:r>
      <w:r w:rsidR="008B2950" w:rsidRPr="005071A1">
        <w:t> </w:t>
      </w:r>
      <w:r w:rsidRPr="005071A1">
        <w:t>43, 43A, 44 or 45 to the deceased pensioner at that time if he had not died; or</w:t>
      </w:r>
    </w:p>
    <w:p w14:paraId="1BE1305C" w14:textId="77777777" w:rsidR="00B33542" w:rsidRPr="005071A1" w:rsidRDefault="00B33542" w:rsidP="00B33542">
      <w:pPr>
        <w:pStyle w:val="paragraph"/>
        <w:keepNext/>
      </w:pPr>
      <w:r w:rsidRPr="005071A1">
        <w:tab/>
        <w:t>(c)</w:t>
      </w:r>
      <w:r w:rsidRPr="005071A1">
        <w:tab/>
        <w:t xml:space="preserve">where the pension is payable under </w:t>
      </w:r>
      <w:r w:rsidR="008B2950" w:rsidRPr="005071A1">
        <w:t>subsection (</w:t>
      </w:r>
      <w:r w:rsidRPr="005071A1">
        <w:t>1) of section</w:t>
      </w:r>
      <w:r w:rsidR="008B2950" w:rsidRPr="005071A1">
        <w:t> </w:t>
      </w:r>
      <w:r w:rsidRPr="005071A1">
        <w:t>48—the relevant percentage of:</w:t>
      </w:r>
    </w:p>
    <w:p w14:paraId="29090806" w14:textId="77777777" w:rsidR="00B33542" w:rsidRPr="005071A1" w:rsidRDefault="00B33542" w:rsidP="00B33542">
      <w:pPr>
        <w:pStyle w:val="paragraphsub"/>
      </w:pPr>
      <w:r w:rsidRPr="005071A1">
        <w:tab/>
        <w:t>(i)</w:t>
      </w:r>
      <w:r w:rsidRPr="005071A1">
        <w:tab/>
        <w:t>in a case where the eligible child is the child of a deceased contributor—the rate of pension that would have been payable under section</w:t>
      </w:r>
      <w:r w:rsidR="008B2950" w:rsidRPr="005071A1">
        <w:t> </w:t>
      </w:r>
      <w:r w:rsidRPr="005071A1">
        <w:t>45 to the deceased contributor at that time if he had not died but had, on the day of his death, retired on the ground of invalidity; or</w:t>
      </w:r>
    </w:p>
    <w:p w14:paraId="5A859669" w14:textId="77777777" w:rsidR="00B33542" w:rsidRPr="005071A1" w:rsidRDefault="00B33542" w:rsidP="00B33542">
      <w:pPr>
        <w:pStyle w:val="paragraphsub"/>
      </w:pPr>
      <w:r w:rsidRPr="005071A1">
        <w:tab/>
        <w:t>(ii)</w:t>
      </w:r>
      <w:r w:rsidRPr="005071A1">
        <w:tab/>
        <w:t>in a case where the eligible child is the child of a deceased pensioner—the rate of pension that would have been payable under section</w:t>
      </w:r>
      <w:r w:rsidR="008B2950" w:rsidRPr="005071A1">
        <w:t> </w:t>
      </w:r>
      <w:r w:rsidRPr="005071A1">
        <w:t>43, 43A, 44 or 45 to the deceased pensioner at that time if he had not died.</w:t>
      </w:r>
    </w:p>
    <w:p w14:paraId="51E817E1" w14:textId="77777777" w:rsidR="00B33542" w:rsidRPr="005071A1" w:rsidRDefault="00B33542" w:rsidP="00B33542">
      <w:pPr>
        <w:pStyle w:val="ActHead5"/>
      </w:pPr>
      <w:bookmarkStart w:id="79" w:name="_Toc185577461"/>
      <w:r w:rsidRPr="004510F0">
        <w:rPr>
          <w:rStyle w:val="CharSectno"/>
        </w:rPr>
        <w:t>48AD</w:t>
      </w:r>
      <w:r w:rsidRPr="005071A1">
        <w:t xml:space="preserve">  Application of section</w:t>
      </w:r>
      <w:r w:rsidR="008B2950" w:rsidRPr="005071A1">
        <w:t> </w:t>
      </w:r>
      <w:r w:rsidRPr="005071A1">
        <w:t>47 on and after 1</w:t>
      </w:r>
      <w:r w:rsidR="008B2950" w:rsidRPr="005071A1">
        <w:t> </w:t>
      </w:r>
      <w:r w:rsidRPr="005071A1">
        <w:t>July 1976</w:t>
      </w:r>
      <w:bookmarkEnd w:id="79"/>
    </w:p>
    <w:p w14:paraId="4FE8F57E" w14:textId="77777777" w:rsidR="00B33542" w:rsidRPr="005071A1" w:rsidRDefault="00B33542" w:rsidP="00B33542">
      <w:pPr>
        <w:pStyle w:val="subsection"/>
      </w:pPr>
      <w:r w:rsidRPr="005071A1">
        <w:tab/>
      </w:r>
      <w:r w:rsidRPr="005071A1">
        <w:tab/>
        <w:t>In the application of section</w:t>
      </w:r>
      <w:r w:rsidR="008B2950" w:rsidRPr="005071A1">
        <w:t> </w:t>
      </w:r>
      <w:r w:rsidRPr="005071A1">
        <w:t>47 in respect of a pensioner who dies on or after 1</w:t>
      </w:r>
      <w:r w:rsidR="008B2950" w:rsidRPr="005071A1">
        <w:t> </w:t>
      </w:r>
      <w:r w:rsidRPr="005071A1">
        <w:t>July 1976 leaving a widow or widower:</w:t>
      </w:r>
    </w:p>
    <w:p w14:paraId="371ECC0C" w14:textId="77777777" w:rsidR="00B33542" w:rsidRPr="005071A1" w:rsidRDefault="00B33542" w:rsidP="00B33542">
      <w:pPr>
        <w:pStyle w:val="paragraph"/>
      </w:pPr>
      <w:r w:rsidRPr="005071A1">
        <w:lastRenderedPageBreak/>
        <w:tab/>
        <w:t>(a)</w:t>
      </w:r>
      <w:r w:rsidRPr="005071A1">
        <w:tab/>
        <w:t xml:space="preserve">the reference in </w:t>
      </w:r>
      <w:r w:rsidR="008B2950" w:rsidRPr="005071A1">
        <w:t>subsection (</w:t>
      </w:r>
      <w:r w:rsidRPr="005071A1">
        <w:t>1) to the fraction of five</w:t>
      </w:r>
      <w:r w:rsidR="004510F0">
        <w:noBreakHyphen/>
      </w:r>
      <w:r w:rsidRPr="005071A1">
        <w:t>eighths shall be read as a reference to 67 per centum; and</w:t>
      </w:r>
    </w:p>
    <w:p w14:paraId="3386CA11" w14:textId="77777777" w:rsidR="00B33542" w:rsidRPr="005071A1" w:rsidRDefault="00B33542" w:rsidP="00B33542">
      <w:pPr>
        <w:pStyle w:val="paragraph"/>
      </w:pPr>
      <w:r w:rsidRPr="005071A1">
        <w:tab/>
        <w:t>(b)</w:t>
      </w:r>
      <w:r w:rsidRPr="005071A1">
        <w:tab/>
        <w:t>the reference in that subsection to the fraction of one</w:t>
      </w:r>
      <w:r w:rsidR="004510F0">
        <w:noBreakHyphen/>
      </w:r>
      <w:r w:rsidRPr="005071A1">
        <w:t>half shall be read as a reference to 54 per centum.</w:t>
      </w:r>
    </w:p>
    <w:p w14:paraId="5502C29E" w14:textId="77777777" w:rsidR="00B33542" w:rsidRPr="005071A1" w:rsidRDefault="00B33542" w:rsidP="00B33542">
      <w:pPr>
        <w:pStyle w:val="ActHead5"/>
      </w:pPr>
      <w:bookmarkStart w:id="80" w:name="_Toc185577462"/>
      <w:r w:rsidRPr="004510F0">
        <w:rPr>
          <w:rStyle w:val="CharSectno"/>
        </w:rPr>
        <w:t>48A</w:t>
      </w:r>
      <w:r w:rsidRPr="005071A1">
        <w:t xml:space="preserve">  Pension not payable in respect of children in certain circumstances</w:t>
      </w:r>
      <w:bookmarkEnd w:id="80"/>
    </w:p>
    <w:p w14:paraId="65F11C6F" w14:textId="77777777" w:rsidR="00B33542" w:rsidRPr="005071A1" w:rsidRDefault="00B33542" w:rsidP="00B33542">
      <w:pPr>
        <w:pStyle w:val="subsection"/>
        <w:keepNext/>
        <w:keepLines/>
      </w:pPr>
      <w:r w:rsidRPr="005071A1">
        <w:tab/>
        <w:t>(1)</w:t>
      </w:r>
      <w:r w:rsidRPr="005071A1">
        <w:tab/>
        <w:t>Where:</w:t>
      </w:r>
    </w:p>
    <w:p w14:paraId="6DDCC3E2" w14:textId="77777777" w:rsidR="00B33542" w:rsidRPr="005071A1" w:rsidRDefault="00B33542" w:rsidP="00B33542">
      <w:pPr>
        <w:pStyle w:val="paragraph"/>
      </w:pPr>
      <w:r w:rsidRPr="005071A1">
        <w:tab/>
        <w:t>(a)</w:t>
      </w:r>
      <w:r w:rsidRPr="005071A1">
        <w:tab/>
        <w:t xml:space="preserve">a male person to whom pension was payable under the </w:t>
      </w:r>
      <w:r w:rsidRPr="005071A1">
        <w:rPr>
          <w:i/>
        </w:rPr>
        <w:t xml:space="preserve">Defence Forces Retirement Benefits Act 1948 </w:t>
      </w:r>
      <w:r w:rsidRPr="005071A1">
        <w:t>or under that Act as amended has, whether before or after the commencement of this section, become a contributor;</w:t>
      </w:r>
    </w:p>
    <w:p w14:paraId="4953B514" w14:textId="77777777" w:rsidR="00B33542" w:rsidRPr="005071A1" w:rsidRDefault="00B33542" w:rsidP="00B33542">
      <w:pPr>
        <w:pStyle w:val="paragraph"/>
      </w:pPr>
      <w:r w:rsidRPr="005071A1">
        <w:tab/>
        <w:t>(b)</w:t>
      </w:r>
      <w:r w:rsidRPr="005071A1">
        <w:tab/>
        <w:t xml:space="preserve">the person has died since he became a contributor and pension is payable under the </w:t>
      </w:r>
      <w:r w:rsidRPr="005071A1">
        <w:rPr>
          <w:i/>
        </w:rPr>
        <w:t>Defence Forces Retirement Benefits Act 1948</w:t>
      </w:r>
      <w:r w:rsidR="004510F0">
        <w:rPr>
          <w:i/>
        </w:rPr>
        <w:noBreakHyphen/>
      </w:r>
      <w:r w:rsidRPr="005071A1">
        <w:rPr>
          <w:i/>
        </w:rPr>
        <w:t xml:space="preserve">1965 </w:t>
      </w:r>
      <w:r w:rsidRPr="005071A1">
        <w:t>in respect of a child of the person or of his wife; and</w:t>
      </w:r>
    </w:p>
    <w:p w14:paraId="2B56A366" w14:textId="77777777" w:rsidR="00B33542" w:rsidRPr="005071A1" w:rsidRDefault="00B33542" w:rsidP="00B33542">
      <w:pPr>
        <w:pStyle w:val="paragraph"/>
        <w:keepNext/>
      </w:pPr>
      <w:r w:rsidRPr="005071A1">
        <w:tab/>
        <w:t>(c)</w:t>
      </w:r>
      <w:r w:rsidRPr="005071A1">
        <w:tab/>
        <w:t>pension would, but for this section, be payable under this Act in respect of the child by reason of the person’s having been a contributor;</w:t>
      </w:r>
    </w:p>
    <w:p w14:paraId="35C73F72" w14:textId="77777777" w:rsidR="00B33542" w:rsidRPr="005071A1" w:rsidRDefault="00B33542" w:rsidP="00B33542">
      <w:pPr>
        <w:pStyle w:val="subsection2"/>
      </w:pPr>
      <w:r w:rsidRPr="005071A1">
        <w:t>the last</w:t>
      </w:r>
      <w:r w:rsidR="004510F0">
        <w:noBreakHyphen/>
      </w:r>
      <w:r w:rsidRPr="005071A1">
        <w:t>mentioned pension is not payable.</w:t>
      </w:r>
    </w:p>
    <w:p w14:paraId="37D9C584" w14:textId="77777777" w:rsidR="00B33542" w:rsidRPr="005071A1" w:rsidRDefault="00B33542" w:rsidP="00B33542">
      <w:pPr>
        <w:pStyle w:val="subsection"/>
      </w:pPr>
      <w:r w:rsidRPr="005071A1">
        <w:tab/>
        <w:t>(2)</w:t>
      </w:r>
      <w:r w:rsidRPr="005071A1">
        <w:tab/>
        <w:t>Where:</w:t>
      </w:r>
    </w:p>
    <w:p w14:paraId="387B2F45" w14:textId="77777777" w:rsidR="00B33542" w:rsidRPr="005071A1" w:rsidRDefault="00B33542" w:rsidP="00B33542">
      <w:pPr>
        <w:pStyle w:val="paragraph"/>
      </w:pPr>
      <w:r w:rsidRPr="005071A1">
        <w:tab/>
        <w:t>(a)</w:t>
      </w:r>
      <w:r w:rsidRPr="005071A1">
        <w:tab/>
        <w:t xml:space="preserve">a person (in this subsection referred to as </w:t>
      </w:r>
      <w:r w:rsidRPr="005071A1">
        <w:rPr>
          <w:b/>
          <w:i/>
        </w:rPr>
        <w:t>the contributor</w:t>
      </w:r>
      <w:r w:rsidRPr="005071A1">
        <w:t xml:space="preserve">) to whom retirement pay or invalidity pay was payable under the </w:t>
      </w:r>
      <w:r w:rsidRPr="005071A1">
        <w:rPr>
          <w:i/>
        </w:rPr>
        <w:t xml:space="preserve">Defence Force Retirement and Death Benefits Act 1973 </w:t>
      </w:r>
      <w:r w:rsidRPr="005071A1">
        <w:t>has become a contributor;</w:t>
      </w:r>
    </w:p>
    <w:p w14:paraId="68D14D7E" w14:textId="77777777" w:rsidR="00B33542" w:rsidRPr="005071A1" w:rsidRDefault="00B33542" w:rsidP="00B33542">
      <w:pPr>
        <w:pStyle w:val="paragraph"/>
      </w:pPr>
      <w:r w:rsidRPr="005071A1">
        <w:tab/>
        <w:t>(b)</w:t>
      </w:r>
      <w:r w:rsidRPr="005071A1">
        <w:tab/>
        <w:t xml:space="preserve">the person has died since he became a contributor and child’s pension is payable under the </w:t>
      </w:r>
      <w:r w:rsidRPr="005071A1">
        <w:rPr>
          <w:i/>
        </w:rPr>
        <w:t xml:space="preserve">Defence Force Retirement and Death Benefits Act 1973 </w:t>
      </w:r>
      <w:r w:rsidRPr="005071A1">
        <w:t>to a person by virtue of the contributor having been a person to whom retirement pay or invalidity pay was so payable; and</w:t>
      </w:r>
    </w:p>
    <w:p w14:paraId="4096DC66" w14:textId="77777777" w:rsidR="00B33542" w:rsidRPr="005071A1" w:rsidRDefault="00B33542" w:rsidP="00B33542">
      <w:pPr>
        <w:pStyle w:val="paragraph"/>
        <w:keepNext/>
      </w:pPr>
      <w:r w:rsidRPr="005071A1">
        <w:lastRenderedPageBreak/>
        <w:tab/>
        <w:t>(c)</w:t>
      </w:r>
      <w:r w:rsidRPr="005071A1">
        <w:tab/>
        <w:t>pension would, but for this section, be payable under this Act in respect of the person to whom the child’s pension is payable by reason of the contributor’s having been a contributor;</w:t>
      </w:r>
    </w:p>
    <w:p w14:paraId="76921808" w14:textId="77777777" w:rsidR="00B33542" w:rsidRPr="005071A1" w:rsidRDefault="00B33542" w:rsidP="00B33542">
      <w:pPr>
        <w:pStyle w:val="subsection2"/>
      </w:pPr>
      <w:r w:rsidRPr="005071A1">
        <w:t>the last</w:t>
      </w:r>
      <w:r w:rsidR="004510F0">
        <w:noBreakHyphen/>
      </w:r>
      <w:r w:rsidRPr="005071A1">
        <w:t>mentioned pension is not payable.</w:t>
      </w:r>
    </w:p>
    <w:p w14:paraId="5DB0E916" w14:textId="77777777" w:rsidR="00B33542" w:rsidRPr="005071A1" w:rsidRDefault="00B33542" w:rsidP="00B33542">
      <w:pPr>
        <w:pStyle w:val="ActHead5"/>
      </w:pPr>
      <w:bookmarkStart w:id="81" w:name="_Toc185577463"/>
      <w:r w:rsidRPr="004510F0">
        <w:rPr>
          <w:rStyle w:val="CharSectno"/>
        </w:rPr>
        <w:t>48B</w:t>
      </w:r>
      <w:r w:rsidRPr="005071A1">
        <w:t xml:space="preserve">  Pension not payable in certain circumstances</w:t>
      </w:r>
      <w:bookmarkEnd w:id="81"/>
    </w:p>
    <w:p w14:paraId="66EAC655" w14:textId="77777777" w:rsidR="00B33542" w:rsidRPr="005071A1" w:rsidRDefault="00B33542" w:rsidP="00B33542">
      <w:pPr>
        <w:pStyle w:val="subsection"/>
      </w:pPr>
      <w:r w:rsidRPr="005071A1">
        <w:tab/>
        <w:t>(1)</w:t>
      </w:r>
      <w:r w:rsidRPr="005071A1">
        <w:tab/>
        <w:t>Where:</w:t>
      </w:r>
    </w:p>
    <w:p w14:paraId="57C7A6CF" w14:textId="77777777" w:rsidR="00B33542" w:rsidRPr="005071A1" w:rsidRDefault="00B33542" w:rsidP="00B33542">
      <w:pPr>
        <w:pStyle w:val="paragraph"/>
      </w:pPr>
      <w:r w:rsidRPr="005071A1">
        <w:tab/>
        <w:t>(a)</w:t>
      </w:r>
      <w:r w:rsidRPr="005071A1">
        <w:tab/>
        <w:t>within three years after the obligation of a contributor to contribute to the Fund under Part III came into existence, the contributor dies or is retired on the ground of invalidity or physical or mental incapacity to perform his duties;</w:t>
      </w:r>
    </w:p>
    <w:p w14:paraId="21573DAD" w14:textId="77777777" w:rsidR="00B33542" w:rsidRPr="005071A1" w:rsidRDefault="00B33542" w:rsidP="00B33542">
      <w:pPr>
        <w:pStyle w:val="paragraph"/>
      </w:pPr>
      <w:r w:rsidRPr="005071A1">
        <w:tab/>
        <w:t>(b)</w:t>
      </w:r>
      <w:r w:rsidRPr="005071A1">
        <w:tab/>
        <w:t xml:space="preserve">the Board is satisfied that the death, invalidity or incapacity was caused, or substantially contributed to, by a physical or mental condition that, to the knowledge of the contributor, existed at the time when he underwent the medical examination referred to in </w:t>
      </w:r>
      <w:r w:rsidR="008B2950" w:rsidRPr="005071A1">
        <w:t>subsection (</w:t>
      </w:r>
      <w:r w:rsidRPr="005071A1">
        <w:t xml:space="preserve">1) or </w:t>
      </w:r>
      <w:r w:rsidR="008B2950" w:rsidRPr="005071A1">
        <w:t>subsection (</w:t>
      </w:r>
      <w:r w:rsidRPr="005071A1">
        <w:t>2) of section</w:t>
      </w:r>
      <w:r w:rsidR="008B2950" w:rsidRPr="005071A1">
        <w:t> </w:t>
      </w:r>
      <w:r w:rsidRPr="005071A1">
        <w:t xml:space="preserve">5 or </w:t>
      </w:r>
      <w:r w:rsidR="008B2950" w:rsidRPr="005071A1">
        <w:t>subsection (</w:t>
      </w:r>
      <w:r w:rsidRPr="005071A1">
        <w:t>2) of section</w:t>
      </w:r>
      <w:r w:rsidR="008B2950" w:rsidRPr="005071A1">
        <w:t> </w:t>
      </w:r>
      <w:r w:rsidRPr="005071A1">
        <w:t>79; and</w:t>
      </w:r>
    </w:p>
    <w:p w14:paraId="2AE5CD99" w14:textId="77777777" w:rsidR="00B33542" w:rsidRPr="005071A1" w:rsidRDefault="00B33542" w:rsidP="00B33542">
      <w:pPr>
        <w:pStyle w:val="paragraph"/>
        <w:keepNext/>
      </w:pPr>
      <w:r w:rsidRPr="005071A1">
        <w:tab/>
        <w:t>(c)</w:t>
      </w:r>
      <w:r w:rsidRPr="005071A1">
        <w:tab/>
        <w:t>the contributor did not disclose the existence of the condition to the person who made the examination or made or furnished a false or misleading statement to that person in respect of the condition;</w:t>
      </w:r>
    </w:p>
    <w:p w14:paraId="4D0D1F74" w14:textId="77777777" w:rsidR="00B33542" w:rsidRPr="005071A1" w:rsidRDefault="00B33542" w:rsidP="00B33542">
      <w:pPr>
        <w:pStyle w:val="subsection2"/>
      </w:pPr>
      <w:r w:rsidRPr="005071A1">
        <w:t>pension is not payable to or in respect of the contributor but there is payable to him or to his personal representatives, as the case may be, an amount equal to the amount of the contributions paid by him under this Act.</w:t>
      </w:r>
    </w:p>
    <w:p w14:paraId="0B7C79D0" w14:textId="77777777" w:rsidR="00B33542" w:rsidRPr="005071A1" w:rsidRDefault="00B33542" w:rsidP="00B33542">
      <w:pPr>
        <w:pStyle w:val="subsection"/>
      </w:pPr>
      <w:r w:rsidRPr="005071A1">
        <w:tab/>
        <w:t>(2)</w:t>
      </w:r>
      <w:r w:rsidRPr="005071A1">
        <w:tab/>
        <w:t xml:space="preserve">Where a contributor is a prescribed employee within the meaning of Part VIIA, </w:t>
      </w:r>
      <w:r w:rsidR="008B2950" w:rsidRPr="005071A1">
        <w:t>subsection (</w:t>
      </w:r>
      <w:r w:rsidRPr="005071A1">
        <w:t>1) applies to and in relation to the contributor as if:</w:t>
      </w:r>
    </w:p>
    <w:p w14:paraId="4159DDC7" w14:textId="77777777" w:rsidR="00B33542" w:rsidRPr="005071A1" w:rsidRDefault="00B33542" w:rsidP="00B33542">
      <w:pPr>
        <w:pStyle w:val="paragraph"/>
      </w:pPr>
      <w:r w:rsidRPr="005071A1">
        <w:tab/>
        <w:t>(a)</w:t>
      </w:r>
      <w:r w:rsidRPr="005071A1">
        <w:tab/>
        <w:t xml:space="preserve">the reference in </w:t>
      </w:r>
      <w:r w:rsidR="008B2950" w:rsidRPr="005071A1">
        <w:t>paragraph (</w:t>
      </w:r>
      <w:r w:rsidRPr="005071A1">
        <w:t xml:space="preserve">a) of </w:t>
      </w:r>
      <w:r w:rsidR="008B2950" w:rsidRPr="005071A1">
        <w:t>subsection (</w:t>
      </w:r>
      <w:r w:rsidRPr="005071A1">
        <w:t xml:space="preserve">1) to the period of 3 years after the obligation of a contributor to contribute to the Fund under Part III came into existence were a reference </w:t>
      </w:r>
      <w:r w:rsidRPr="005071A1">
        <w:lastRenderedPageBreak/>
        <w:t>to a period of 3 years after the employee’s obligation to contribute to a State Fund within the meaning of Part VIIA came or last came into existence; and</w:t>
      </w:r>
    </w:p>
    <w:p w14:paraId="2F9E047E" w14:textId="77777777" w:rsidR="00B33542" w:rsidRPr="005071A1" w:rsidRDefault="00B33542" w:rsidP="00B33542">
      <w:pPr>
        <w:pStyle w:val="paragraph"/>
      </w:pPr>
      <w:r w:rsidRPr="005071A1">
        <w:tab/>
        <w:t>(b)</w:t>
      </w:r>
      <w:r w:rsidRPr="005071A1">
        <w:tab/>
        <w:t xml:space="preserve">the references in </w:t>
      </w:r>
      <w:r w:rsidR="008B2950" w:rsidRPr="005071A1">
        <w:t>paragraphs (</w:t>
      </w:r>
      <w:r w:rsidRPr="005071A1">
        <w:t xml:space="preserve">b) and (c) of </w:t>
      </w:r>
      <w:r w:rsidR="008B2950" w:rsidRPr="005071A1">
        <w:t>subsection (</w:t>
      </w:r>
      <w:r w:rsidRPr="005071A1">
        <w:t xml:space="preserve">1) to the medical examination referred to in </w:t>
      </w:r>
      <w:r w:rsidR="008B2950" w:rsidRPr="005071A1">
        <w:t>subsection (</w:t>
      </w:r>
      <w:r w:rsidRPr="005071A1">
        <w:t>1) or (2) of section</w:t>
      </w:r>
      <w:r w:rsidR="008B2950" w:rsidRPr="005071A1">
        <w:t> </w:t>
      </w:r>
      <w:r w:rsidRPr="005071A1">
        <w:t>5 were references to the medical examination by virtue of the results of which the employee became or last became a contributor to the State Fund.</w:t>
      </w:r>
    </w:p>
    <w:p w14:paraId="5C1F3083" w14:textId="77777777" w:rsidR="00B33542" w:rsidRPr="005071A1" w:rsidRDefault="00B33542" w:rsidP="00B33542">
      <w:pPr>
        <w:pStyle w:val="subsection"/>
      </w:pPr>
      <w:r w:rsidRPr="005071A1">
        <w:tab/>
        <w:t>(3)</w:t>
      </w:r>
      <w:r w:rsidRPr="005071A1">
        <w:tab/>
        <w:t>This section does not apply in respect of a contributor who dies or is retired on or after 1</w:t>
      </w:r>
      <w:r w:rsidR="008B2950" w:rsidRPr="005071A1">
        <w:t> </w:t>
      </w:r>
      <w:r w:rsidRPr="005071A1">
        <w:t>July 1976.</w:t>
      </w:r>
    </w:p>
    <w:p w14:paraId="3394EA28" w14:textId="77777777" w:rsidR="00B33542" w:rsidRPr="005071A1" w:rsidRDefault="00B33542" w:rsidP="00B33542">
      <w:pPr>
        <w:pStyle w:val="subsection"/>
      </w:pPr>
      <w:r w:rsidRPr="005071A1">
        <w:tab/>
        <w:t>(4)</w:t>
      </w:r>
      <w:r w:rsidRPr="005071A1">
        <w:tab/>
        <w:t>On and after 1</w:t>
      </w:r>
      <w:r w:rsidR="008B2950" w:rsidRPr="005071A1">
        <w:t> </w:t>
      </w:r>
      <w:r w:rsidRPr="005071A1">
        <w:t xml:space="preserve">July 1976, the reference in </w:t>
      </w:r>
      <w:r w:rsidR="008B2950" w:rsidRPr="005071A1">
        <w:t>subsection (</w:t>
      </w:r>
      <w:r w:rsidRPr="005071A1">
        <w:t>1) to the Board shall be read as including a reference to the Commissioner for Superannuation.</w:t>
      </w:r>
    </w:p>
    <w:p w14:paraId="72E7CED4" w14:textId="77777777" w:rsidR="00B33542" w:rsidRPr="005071A1" w:rsidRDefault="00B33542" w:rsidP="00B33542">
      <w:pPr>
        <w:pStyle w:val="ActHead5"/>
      </w:pPr>
      <w:bookmarkStart w:id="82" w:name="_Toc185577464"/>
      <w:r w:rsidRPr="004510F0">
        <w:rPr>
          <w:rStyle w:val="CharSectno"/>
        </w:rPr>
        <w:t>48C</w:t>
      </w:r>
      <w:r w:rsidRPr="005071A1">
        <w:t xml:space="preserve">  Pension to or in respect of certain contributors under Defence Force Retirement and Death Benefits Act</w:t>
      </w:r>
      <w:bookmarkEnd w:id="82"/>
    </w:p>
    <w:p w14:paraId="41F6941A" w14:textId="77777777" w:rsidR="00B33542" w:rsidRPr="005071A1" w:rsidRDefault="00B33542" w:rsidP="00B33542">
      <w:pPr>
        <w:pStyle w:val="subsection"/>
      </w:pPr>
      <w:r w:rsidRPr="005071A1">
        <w:tab/>
        <w:t>(1)</w:t>
      </w:r>
      <w:r w:rsidRPr="005071A1">
        <w:tab/>
        <w:t>Where:</w:t>
      </w:r>
    </w:p>
    <w:p w14:paraId="2B9C714E" w14:textId="77777777" w:rsidR="00B33542" w:rsidRPr="005071A1" w:rsidRDefault="00B33542" w:rsidP="00B33542">
      <w:pPr>
        <w:pStyle w:val="paragraph"/>
      </w:pPr>
      <w:r w:rsidRPr="005071A1">
        <w:tab/>
        <w:t>(a)</w:t>
      </w:r>
      <w:r w:rsidRPr="005071A1">
        <w:tab/>
        <w:t>the liability of an employee to make contributions to the Superannuation Fund has been deferred by virtue of section</w:t>
      </w:r>
      <w:r w:rsidR="008B2950" w:rsidRPr="005071A1">
        <w:t> </w:t>
      </w:r>
      <w:r w:rsidRPr="005071A1">
        <w:t>35A; and</w:t>
      </w:r>
    </w:p>
    <w:p w14:paraId="2BB3783B" w14:textId="77777777" w:rsidR="00B33542" w:rsidRPr="005071A1" w:rsidRDefault="00B33542" w:rsidP="00B33542">
      <w:pPr>
        <w:pStyle w:val="paragraph"/>
        <w:keepNext/>
      </w:pPr>
      <w:r w:rsidRPr="005071A1">
        <w:tab/>
        <w:t>(b)</w:t>
      </w:r>
      <w:r w:rsidRPr="005071A1">
        <w:tab/>
        <w:t xml:space="preserve">before he has ceased to be liable to contribute to the Commonwealth under the </w:t>
      </w:r>
      <w:r w:rsidRPr="005071A1">
        <w:rPr>
          <w:i/>
        </w:rPr>
        <w:t>Defence Force Retirement and Death Benefits Act 1973</w:t>
      </w:r>
      <w:r w:rsidRPr="005071A1">
        <w:t xml:space="preserve"> he ceases to be an employee and becomes entitled to a pension under this Act by reason that he was retired on the ground of invalidity or of physical or mental incapacity to perform his duties;</w:t>
      </w:r>
    </w:p>
    <w:p w14:paraId="1F18406F" w14:textId="77777777" w:rsidR="00B33542" w:rsidRPr="005071A1" w:rsidRDefault="00B33542" w:rsidP="00B33542">
      <w:pPr>
        <w:pStyle w:val="subsection2"/>
      </w:pPr>
      <w:r w:rsidRPr="005071A1">
        <w:t xml:space="preserve">his entitlement to that pension is suspended until such time as he ceases to be liable to contribute to the Commonwealth under the </w:t>
      </w:r>
      <w:r w:rsidRPr="005071A1">
        <w:rPr>
          <w:i/>
        </w:rPr>
        <w:t>Defence Force Retirement and Death Benefits Act 1973</w:t>
      </w:r>
      <w:r w:rsidRPr="005071A1">
        <w:t xml:space="preserve">, but, if he dies before he so ceases to be liable to contribute to the </w:t>
      </w:r>
      <w:r w:rsidRPr="005071A1">
        <w:lastRenderedPageBreak/>
        <w:t>Commonwealth under that Act, he shall, for the purposes of sections</w:t>
      </w:r>
      <w:r w:rsidR="008B2950" w:rsidRPr="005071A1">
        <w:t> </w:t>
      </w:r>
      <w:r w:rsidRPr="005071A1">
        <w:t>47 and 48 of this Act, be deemed to have been a pensioner at the time of his death in receipt of pension at the rate at which pension would, but for this subsection, have been payable to him at that time.</w:t>
      </w:r>
    </w:p>
    <w:p w14:paraId="006CA35E" w14:textId="77777777" w:rsidR="00B33542" w:rsidRPr="005071A1" w:rsidRDefault="00B33542" w:rsidP="00B33542">
      <w:pPr>
        <w:pStyle w:val="subsection"/>
      </w:pPr>
      <w:r w:rsidRPr="005071A1">
        <w:tab/>
        <w:t>(2)</w:t>
      </w:r>
      <w:r w:rsidRPr="005071A1">
        <w:tab/>
        <w:t>Where:</w:t>
      </w:r>
    </w:p>
    <w:p w14:paraId="62C3F3BC" w14:textId="77777777" w:rsidR="00B33542" w:rsidRPr="005071A1" w:rsidRDefault="00B33542" w:rsidP="00B33542">
      <w:pPr>
        <w:pStyle w:val="paragraph"/>
      </w:pPr>
      <w:r w:rsidRPr="005071A1">
        <w:tab/>
        <w:t>(a)</w:t>
      </w:r>
      <w:r w:rsidRPr="005071A1">
        <w:tab/>
        <w:t>the liability of an employee to make contributions to the Superannuation Fund has been deferred by virtue of section</w:t>
      </w:r>
      <w:r w:rsidR="008B2950" w:rsidRPr="005071A1">
        <w:t> </w:t>
      </w:r>
      <w:r w:rsidRPr="005071A1">
        <w:t>35A and:</w:t>
      </w:r>
    </w:p>
    <w:p w14:paraId="126A620C" w14:textId="77777777" w:rsidR="00B33542" w:rsidRPr="005071A1" w:rsidRDefault="00B33542" w:rsidP="00B33542">
      <w:pPr>
        <w:pStyle w:val="paragraphsub"/>
      </w:pPr>
      <w:r w:rsidRPr="005071A1">
        <w:tab/>
        <w:t>(i)</w:t>
      </w:r>
      <w:r w:rsidRPr="005071A1">
        <w:tab/>
        <w:t>he ceases to be such an employee and, upon so ceasing, becomes entitled to a pension under this Act by reason that he was retired on the ground of invalidity or of physical or mental incapacity to perform his duties and:</w:t>
      </w:r>
    </w:p>
    <w:p w14:paraId="164010C6" w14:textId="77777777" w:rsidR="00B33542" w:rsidRPr="005071A1" w:rsidRDefault="00B33542" w:rsidP="00B33542">
      <w:pPr>
        <w:pStyle w:val="paragraphsub-sub"/>
      </w:pPr>
      <w:r w:rsidRPr="005071A1">
        <w:tab/>
        <w:t>(A)</w:t>
      </w:r>
      <w:r w:rsidRPr="005071A1">
        <w:tab/>
        <w:t>he has been or is discharged from the Defence Force on the ground of invalidity or of physical or mental incapacity to perform his duties, section</w:t>
      </w:r>
      <w:r w:rsidR="008B2950" w:rsidRPr="005071A1">
        <w:t> </w:t>
      </w:r>
      <w:r w:rsidRPr="005071A1">
        <w:t xml:space="preserve">36 of the </w:t>
      </w:r>
      <w:r w:rsidRPr="005071A1">
        <w:rPr>
          <w:i/>
        </w:rPr>
        <w:t>Defence Force Retirement and Death Benefits Act 1973</w:t>
      </w:r>
      <w:r w:rsidRPr="005071A1">
        <w:t xml:space="preserve"> applies to him and, in the opinion of the Board, the ground on which he was retired as an employee is related to the ground on which he was discharged from the Defence Force; or</w:t>
      </w:r>
    </w:p>
    <w:p w14:paraId="32D02810" w14:textId="77777777" w:rsidR="00B33542" w:rsidRPr="005071A1" w:rsidRDefault="00B33542" w:rsidP="00B33542">
      <w:pPr>
        <w:pStyle w:val="paragraphsub-sub"/>
      </w:pPr>
      <w:r w:rsidRPr="005071A1">
        <w:tab/>
        <w:t>(B)</w:t>
      </w:r>
      <w:r w:rsidRPr="005071A1">
        <w:tab/>
        <w:t>he dies after ceasing to be an employee but before being discharged from the Defence Force from causes that, in the opinion of the Board, are related to the ground on which he was retired as an employee; or</w:t>
      </w:r>
    </w:p>
    <w:p w14:paraId="769DC720" w14:textId="77777777" w:rsidR="00B33542" w:rsidRPr="005071A1" w:rsidRDefault="00B33542" w:rsidP="00B33542">
      <w:pPr>
        <w:pStyle w:val="paragraphsub"/>
      </w:pPr>
      <w:r w:rsidRPr="005071A1">
        <w:tab/>
        <w:t>(ii)</w:t>
      </w:r>
      <w:r w:rsidRPr="005071A1">
        <w:tab/>
        <w:t>he dies:</w:t>
      </w:r>
    </w:p>
    <w:p w14:paraId="1DED043F" w14:textId="77777777" w:rsidR="00B33542" w:rsidRPr="005071A1" w:rsidRDefault="00B33542" w:rsidP="00B33542">
      <w:pPr>
        <w:pStyle w:val="paragraphsub-sub"/>
      </w:pPr>
      <w:r w:rsidRPr="005071A1">
        <w:tab/>
        <w:t>(A)</w:t>
      </w:r>
      <w:r w:rsidRPr="005071A1">
        <w:tab/>
        <w:t>before being discharged from the Defence Force; or</w:t>
      </w:r>
    </w:p>
    <w:p w14:paraId="28C8B4D6" w14:textId="77777777" w:rsidR="00B33542" w:rsidRPr="005071A1" w:rsidRDefault="00B33542" w:rsidP="00B33542">
      <w:pPr>
        <w:pStyle w:val="paragraphsub-sub"/>
      </w:pPr>
      <w:r w:rsidRPr="005071A1">
        <w:tab/>
        <w:t>(B)</w:t>
      </w:r>
      <w:r w:rsidRPr="005071A1">
        <w:tab/>
        <w:t xml:space="preserve">after having been discharged from the Defence Force on the ground of invalidity or of physical or mental incapacity to perform his duties, from </w:t>
      </w:r>
      <w:r w:rsidRPr="005071A1">
        <w:lastRenderedPageBreak/>
        <w:t>causes that, in the opinion of the Board, are related to the ground on which he was discharged from the Defence Force; and</w:t>
      </w:r>
    </w:p>
    <w:p w14:paraId="36CE4850" w14:textId="77777777" w:rsidR="00B33542" w:rsidRPr="005071A1" w:rsidRDefault="00B33542" w:rsidP="00D11EDC">
      <w:pPr>
        <w:pStyle w:val="paragraph"/>
      </w:pPr>
      <w:r w:rsidRPr="005071A1">
        <w:tab/>
        <w:t>(b)</w:t>
      </w:r>
      <w:r w:rsidRPr="005071A1">
        <w:tab/>
        <w:t>the rate of any pension payable to or in respect of him under this Act (including pension that became payable before he was discharged from the Defence Force) is less than the rate of any corresponding benefit that, but for section</w:t>
      </w:r>
      <w:r w:rsidR="008B2950" w:rsidRPr="005071A1">
        <w:t> </w:t>
      </w:r>
      <w:r w:rsidRPr="005071A1">
        <w:t xml:space="preserve">36 or 46 of the </w:t>
      </w:r>
      <w:r w:rsidRPr="005071A1">
        <w:rPr>
          <w:i/>
        </w:rPr>
        <w:t>Defence Force Retirement and Death Benefits Act 1973</w:t>
      </w:r>
      <w:r w:rsidRPr="005071A1">
        <w:t>, would be payable to or in respect of him under that Act;</w:t>
      </w:r>
    </w:p>
    <w:p w14:paraId="22B90559" w14:textId="77777777" w:rsidR="00B33542" w:rsidRPr="005071A1" w:rsidRDefault="00B33542" w:rsidP="00B33542">
      <w:pPr>
        <w:pStyle w:val="subsection2"/>
      </w:pPr>
      <w:r w:rsidRPr="005071A1">
        <w:t>the Board may increase the rate of the pension payable under this Act to such extent as it considers appropriate in the circumstances.</w:t>
      </w:r>
    </w:p>
    <w:p w14:paraId="2F0EEA78" w14:textId="77777777" w:rsidR="00B33542" w:rsidRPr="005071A1" w:rsidRDefault="00B33542" w:rsidP="00D11EDC">
      <w:pPr>
        <w:pStyle w:val="subsection"/>
      </w:pPr>
      <w:r w:rsidRPr="005071A1">
        <w:tab/>
        <w:t>(3)</w:t>
      </w:r>
      <w:r w:rsidRPr="005071A1">
        <w:tab/>
        <w:t>Where:</w:t>
      </w:r>
    </w:p>
    <w:p w14:paraId="6A45CDD7" w14:textId="77777777" w:rsidR="00B33542" w:rsidRPr="005071A1" w:rsidRDefault="00B33542" w:rsidP="00D11EDC">
      <w:pPr>
        <w:pStyle w:val="paragraph"/>
      </w:pPr>
      <w:r w:rsidRPr="005071A1">
        <w:tab/>
        <w:t>(a)</w:t>
      </w:r>
      <w:r w:rsidRPr="005071A1">
        <w:tab/>
        <w:t>the liability of an employee to make contributions to the Superannuation Fund has been deferred by virtue of section</w:t>
      </w:r>
      <w:r w:rsidR="008B2950" w:rsidRPr="005071A1">
        <w:t> </w:t>
      </w:r>
      <w:r w:rsidRPr="005071A1">
        <w:t>35A; and</w:t>
      </w:r>
    </w:p>
    <w:p w14:paraId="12F69F8E" w14:textId="77777777" w:rsidR="00B33542" w:rsidRPr="005071A1" w:rsidRDefault="00B33542" w:rsidP="00D11EDC">
      <w:pPr>
        <w:pStyle w:val="paragraph"/>
      </w:pPr>
      <w:r w:rsidRPr="005071A1">
        <w:tab/>
        <w:t>(b)</w:t>
      </w:r>
      <w:r w:rsidRPr="005071A1">
        <w:tab/>
        <w:t xml:space="preserve">at any time after the death of the person benefit under the </w:t>
      </w:r>
      <w:r w:rsidRPr="005071A1">
        <w:rPr>
          <w:i/>
        </w:rPr>
        <w:t>Defence Force Retirement and Death Benefits Act 1973</w:t>
      </w:r>
      <w:r w:rsidRPr="005071A1">
        <w:t xml:space="preserve"> would, but for section</w:t>
      </w:r>
      <w:r w:rsidR="008B2950" w:rsidRPr="005071A1">
        <w:t> </w:t>
      </w:r>
      <w:r w:rsidRPr="005071A1">
        <w:t>36 or 46 of that Act, be payable in respect of him under that Act but no pension is payable in respect of him under this Act at that time;</w:t>
      </w:r>
    </w:p>
    <w:p w14:paraId="1A53B406" w14:textId="77777777" w:rsidR="00B33542" w:rsidRPr="005071A1" w:rsidRDefault="00B33542" w:rsidP="00B33542">
      <w:pPr>
        <w:pStyle w:val="subsection2"/>
      </w:pPr>
      <w:r w:rsidRPr="005071A1">
        <w:t>the Board may pay such benefit corresponding to the benefit under that Act as it considers appropriate in the circumstances.</w:t>
      </w:r>
    </w:p>
    <w:p w14:paraId="182E0ED1" w14:textId="77777777" w:rsidR="00B33542" w:rsidRPr="005071A1" w:rsidRDefault="00B33542" w:rsidP="00B33542">
      <w:pPr>
        <w:pStyle w:val="subsection"/>
      </w:pPr>
      <w:r w:rsidRPr="005071A1">
        <w:tab/>
        <w:t>(4)</w:t>
      </w:r>
      <w:r w:rsidRPr="005071A1">
        <w:tab/>
        <w:t xml:space="preserve">An employee who is liable to contribute to the Commonwealth under the </w:t>
      </w:r>
      <w:r w:rsidRPr="005071A1">
        <w:rPr>
          <w:i/>
        </w:rPr>
        <w:t>Defence Force Retirement and Death Benefits Act 1973</w:t>
      </w:r>
      <w:r w:rsidRPr="005071A1">
        <w:t xml:space="preserve"> shall, for the purposes of this section, be deemed not to have ceased to be liable to contribute to the Commonwealth by reason only of the operation of </w:t>
      </w:r>
      <w:r w:rsidR="004510F0">
        <w:t>section 1</w:t>
      </w:r>
      <w:r w:rsidRPr="005071A1">
        <w:t>8 of that Act in relation to him.</w:t>
      </w:r>
    </w:p>
    <w:p w14:paraId="39FB2A17" w14:textId="77777777" w:rsidR="00B33542" w:rsidRPr="005071A1" w:rsidRDefault="00B33542" w:rsidP="00B33542">
      <w:pPr>
        <w:pStyle w:val="ActHead5"/>
      </w:pPr>
      <w:bookmarkStart w:id="83" w:name="_Toc185577465"/>
      <w:r w:rsidRPr="004510F0">
        <w:rPr>
          <w:rStyle w:val="CharSectno"/>
        </w:rPr>
        <w:lastRenderedPageBreak/>
        <w:t>49</w:t>
      </w:r>
      <w:r w:rsidRPr="005071A1">
        <w:t xml:space="preserve">  Refund of contributions on death of contributor without dependants</w:t>
      </w:r>
      <w:bookmarkEnd w:id="83"/>
    </w:p>
    <w:p w14:paraId="738A76BD" w14:textId="77777777" w:rsidR="00B33542" w:rsidRPr="005071A1" w:rsidRDefault="00B33542" w:rsidP="00B33542">
      <w:pPr>
        <w:pStyle w:val="subsection"/>
      </w:pPr>
      <w:r w:rsidRPr="005071A1">
        <w:tab/>
        <w:t>(1)</w:t>
      </w:r>
      <w:r w:rsidRPr="005071A1">
        <w:tab/>
        <w:t>Where:</w:t>
      </w:r>
    </w:p>
    <w:p w14:paraId="21FA2E51" w14:textId="77777777" w:rsidR="00B33542" w:rsidRPr="005071A1" w:rsidRDefault="00B33542" w:rsidP="00B33542">
      <w:pPr>
        <w:pStyle w:val="paragraph"/>
      </w:pPr>
      <w:r w:rsidRPr="005071A1">
        <w:tab/>
        <w:t>(a)</w:t>
      </w:r>
      <w:r w:rsidRPr="005071A1">
        <w:tab/>
        <w:t xml:space="preserve">a contributor dies before retirement or the entitlement of a contributor to pension on his retirement is suspended by virtue of </w:t>
      </w:r>
      <w:r w:rsidR="008B2950" w:rsidRPr="005071A1">
        <w:t>subsection (</w:t>
      </w:r>
      <w:r w:rsidRPr="005071A1">
        <w:t>1) of section</w:t>
      </w:r>
      <w:r w:rsidR="008B2950" w:rsidRPr="005071A1">
        <w:t> </w:t>
      </w:r>
      <w:r w:rsidRPr="005071A1">
        <w:t>48C and he dies before the suspension ceases; and</w:t>
      </w:r>
    </w:p>
    <w:p w14:paraId="15CFA46F" w14:textId="77777777" w:rsidR="00B33542" w:rsidRPr="005071A1" w:rsidRDefault="00B33542" w:rsidP="00B33542">
      <w:pPr>
        <w:pStyle w:val="paragraph"/>
        <w:keepNext/>
      </w:pPr>
      <w:r w:rsidRPr="005071A1">
        <w:tab/>
        <w:t>(b)</w:t>
      </w:r>
      <w:r w:rsidRPr="005071A1">
        <w:tab/>
        <w:t>pension is not payable under this Act upon his or her death to the widow or widower of the contributor or to any child;</w:t>
      </w:r>
    </w:p>
    <w:p w14:paraId="59E3E2FB" w14:textId="77777777" w:rsidR="00B33542" w:rsidRPr="005071A1" w:rsidRDefault="00B33542" w:rsidP="00B33542">
      <w:pPr>
        <w:pStyle w:val="subsection2"/>
      </w:pPr>
      <w:r w:rsidRPr="005071A1">
        <w:t>there shall be paid to the personal representatives of the contributor, or, if there are no such personal representatives, to such persons, if any, as the Board determines, an amount equal to the amount of the contributions paid by the contributor.</w:t>
      </w:r>
    </w:p>
    <w:p w14:paraId="16879AEA" w14:textId="77777777" w:rsidR="00B33542" w:rsidRPr="005071A1" w:rsidRDefault="00B33542" w:rsidP="00B33542">
      <w:pPr>
        <w:pStyle w:val="subsection"/>
      </w:pPr>
      <w:r w:rsidRPr="005071A1">
        <w:tab/>
        <w:t>(2)</w:t>
      </w:r>
      <w:r w:rsidRPr="005071A1">
        <w:tab/>
        <w:t>This section does not apply in respect of a contributor who, on or after 1</w:t>
      </w:r>
      <w:r w:rsidR="008B2950" w:rsidRPr="005071A1">
        <w:t> </w:t>
      </w:r>
      <w:r w:rsidRPr="005071A1">
        <w:t>July 1976, dies before retirement.</w:t>
      </w:r>
    </w:p>
    <w:p w14:paraId="6B4ED3C7" w14:textId="77777777" w:rsidR="00B33542" w:rsidRPr="005071A1" w:rsidRDefault="00B33542" w:rsidP="00B33542">
      <w:pPr>
        <w:pStyle w:val="subsection"/>
      </w:pPr>
      <w:r w:rsidRPr="005071A1">
        <w:tab/>
        <w:t>(3)</w:t>
      </w:r>
      <w:r w:rsidRPr="005071A1">
        <w:tab/>
        <w:t>On and after 1</w:t>
      </w:r>
      <w:r w:rsidR="008B2950" w:rsidRPr="005071A1">
        <w:t> </w:t>
      </w:r>
      <w:r w:rsidRPr="005071A1">
        <w:t xml:space="preserve">July 1976, the reference in </w:t>
      </w:r>
      <w:r w:rsidR="008B2950" w:rsidRPr="005071A1">
        <w:t>subsection (</w:t>
      </w:r>
      <w:r w:rsidRPr="005071A1">
        <w:t>1) to the Board shall be read as including a reference to the Commissioner for Superannuation.</w:t>
      </w:r>
    </w:p>
    <w:p w14:paraId="4A1F7227" w14:textId="77777777" w:rsidR="00B33542" w:rsidRPr="005071A1" w:rsidRDefault="00B33542" w:rsidP="00B33542">
      <w:pPr>
        <w:pStyle w:val="ActHead5"/>
      </w:pPr>
      <w:bookmarkStart w:id="84" w:name="_Toc185577466"/>
      <w:r w:rsidRPr="004510F0">
        <w:rPr>
          <w:rStyle w:val="CharSectno"/>
        </w:rPr>
        <w:t>50</w:t>
      </w:r>
      <w:r w:rsidRPr="005071A1">
        <w:t xml:space="preserve">  Choice of benefits for contributor who is retrenched</w:t>
      </w:r>
      <w:bookmarkEnd w:id="84"/>
    </w:p>
    <w:p w14:paraId="336B1B8F" w14:textId="77777777" w:rsidR="00B33542" w:rsidRPr="005071A1" w:rsidRDefault="00B33542" w:rsidP="00B33542">
      <w:pPr>
        <w:pStyle w:val="subsection"/>
      </w:pPr>
      <w:r w:rsidRPr="005071A1">
        <w:tab/>
        <w:t>(1)</w:t>
      </w:r>
      <w:r w:rsidRPr="005071A1">
        <w:tab/>
        <w:t>In the event of the retrenchment of a contributor, he shall be entitled to receive the contributions paid by him, and the contributions to the fund which would have been made by the Commonwealth if the Commonwealth had, during the period throughout which the contributor had been contributing to the fund, been making such periodical contributions to the fund as are necessary to provide for the share of pension payable by the Commonwealth in respect of that contributor, and within one month after his retrenchment he may choose to receive payment either in the form of a lump sum or as a pension.</w:t>
      </w:r>
    </w:p>
    <w:p w14:paraId="2F0D0B2D" w14:textId="77777777" w:rsidR="00B33542" w:rsidRPr="005071A1" w:rsidRDefault="00B33542" w:rsidP="00B33542">
      <w:pPr>
        <w:pStyle w:val="subsection"/>
      </w:pPr>
      <w:r w:rsidRPr="005071A1">
        <w:lastRenderedPageBreak/>
        <w:tab/>
        <w:t>(2)</w:t>
      </w:r>
      <w:r w:rsidRPr="005071A1">
        <w:tab/>
        <w:t>In default of such choice the Board shall determine in which form payment shall be made.</w:t>
      </w:r>
    </w:p>
    <w:p w14:paraId="2272891A" w14:textId="77777777" w:rsidR="00B33542" w:rsidRPr="005071A1" w:rsidRDefault="00B33542" w:rsidP="00B33542">
      <w:pPr>
        <w:pStyle w:val="subsection"/>
      </w:pPr>
      <w:r w:rsidRPr="005071A1">
        <w:tab/>
        <w:t>(2A)</w:t>
      </w:r>
      <w:r w:rsidRPr="005071A1">
        <w:tab/>
        <w:t xml:space="preserve">For the purposes of </w:t>
      </w:r>
      <w:r w:rsidR="008B2950" w:rsidRPr="005071A1">
        <w:t>subsection (</w:t>
      </w:r>
      <w:r w:rsidRPr="005071A1">
        <w:t>1), the contributions to the Fund that would have been made by the Commonwealth in respect of a non</w:t>
      </w:r>
      <w:r w:rsidR="004510F0">
        <w:noBreakHyphen/>
      </w:r>
      <w:r w:rsidRPr="005071A1">
        <w:t>contributory unit of pension shall be calculated as if the contributor had been a contributor for that unit from the date when the unit became applicable in relation to him as a non</w:t>
      </w:r>
      <w:r w:rsidR="004510F0">
        <w:noBreakHyphen/>
      </w:r>
      <w:r w:rsidRPr="005071A1">
        <w:t>contributory unit and he had contributed at the appropriate rate based on a retiring age of sixty</w:t>
      </w:r>
      <w:r w:rsidR="004510F0">
        <w:noBreakHyphen/>
      </w:r>
      <w:r w:rsidRPr="005071A1">
        <w:t>five years.</w:t>
      </w:r>
    </w:p>
    <w:p w14:paraId="1F02766D" w14:textId="77777777" w:rsidR="00B33542" w:rsidRPr="005071A1" w:rsidRDefault="00B33542" w:rsidP="00B33542">
      <w:pPr>
        <w:pStyle w:val="subsection"/>
      </w:pPr>
      <w:r w:rsidRPr="005071A1">
        <w:tab/>
        <w:t>(3)</w:t>
      </w:r>
      <w:r w:rsidRPr="005071A1">
        <w:tab/>
        <w:t>Where an employee who has been retrenched and is in receipt of a pension again becomes an employee, the pension does not cease to be payable by reason that he has again become an employee.</w:t>
      </w:r>
    </w:p>
    <w:p w14:paraId="3C85EE1E" w14:textId="77777777" w:rsidR="00B33542" w:rsidRPr="005071A1" w:rsidRDefault="00B33542" w:rsidP="00B33542">
      <w:pPr>
        <w:pStyle w:val="subsection"/>
      </w:pPr>
      <w:r w:rsidRPr="005071A1">
        <w:tab/>
        <w:t>(4)</w:t>
      </w:r>
      <w:r w:rsidRPr="005071A1">
        <w:tab/>
        <w:t>This section does not apply in respect of the retrenchment of a contributor on or after 1</w:t>
      </w:r>
      <w:r w:rsidR="008B2950" w:rsidRPr="005071A1">
        <w:t> </w:t>
      </w:r>
      <w:r w:rsidRPr="005071A1">
        <w:t>July 1976.</w:t>
      </w:r>
    </w:p>
    <w:p w14:paraId="790CC96A" w14:textId="77777777" w:rsidR="00B33542" w:rsidRPr="005071A1" w:rsidRDefault="00B33542" w:rsidP="00B33542">
      <w:pPr>
        <w:pStyle w:val="ActHead5"/>
      </w:pPr>
      <w:bookmarkStart w:id="85" w:name="_Toc185577467"/>
      <w:r w:rsidRPr="004510F0">
        <w:rPr>
          <w:rStyle w:val="CharSectno"/>
        </w:rPr>
        <w:t>51</w:t>
      </w:r>
      <w:r w:rsidRPr="005071A1">
        <w:t xml:space="preserve">  Refund of contributions in event of resignation, dismissal or discharge</w:t>
      </w:r>
      <w:bookmarkEnd w:id="85"/>
    </w:p>
    <w:p w14:paraId="7A97E383" w14:textId="77777777" w:rsidR="00B33542" w:rsidRPr="005071A1" w:rsidRDefault="00B33542" w:rsidP="00B33542">
      <w:pPr>
        <w:pStyle w:val="subsection"/>
      </w:pPr>
      <w:r w:rsidRPr="005071A1">
        <w:tab/>
        <w:t>(1)</w:t>
      </w:r>
      <w:r w:rsidRPr="005071A1">
        <w:tab/>
        <w:t>Where a contributor resigns, or is dismissed or is discharged, there shall be paid to him the amount of the contributions paid by him to the Fund.</w:t>
      </w:r>
    </w:p>
    <w:p w14:paraId="30000A1C" w14:textId="77777777" w:rsidR="00B33542" w:rsidRPr="005071A1" w:rsidRDefault="00B33542" w:rsidP="00B33542">
      <w:pPr>
        <w:pStyle w:val="subsection"/>
      </w:pPr>
      <w:r w:rsidRPr="005071A1">
        <w:tab/>
        <w:t>(2)</w:t>
      </w:r>
      <w:r w:rsidRPr="005071A1">
        <w:tab/>
        <w:t>This section does not apply to a contributor who resigns, or is dismissed or discharged, on or after 1</w:t>
      </w:r>
      <w:r w:rsidR="008B2950" w:rsidRPr="005071A1">
        <w:t> </w:t>
      </w:r>
      <w:r w:rsidRPr="005071A1">
        <w:t>July 1976.</w:t>
      </w:r>
    </w:p>
    <w:p w14:paraId="0C908ED8" w14:textId="77777777" w:rsidR="00B33542" w:rsidRPr="005071A1" w:rsidRDefault="00B33542" w:rsidP="00B33542">
      <w:pPr>
        <w:pStyle w:val="ActHead5"/>
      </w:pPr>
      <w:bookmarkStart w:id="86" w:name="_Toc185577468"/>
      <w:r w:rsidRPr="004510F0">
        <w:rPr>
          <w:rStyle w:val="CharSectno"/>
        </w:rPr>
        <w:t>52</w:t>
      </w:r>
      <w:r w:rsidRPr="005071A1">
        <w:t xml:space="preserve">  Rights of contributors who resign to contest elections</w:t>
      </w:r>
      <w:bookmarkEnd w:id="86"/>
    </w:p>
    <w:p w14:paraId="20C4B090" w14:textId="77777777" w:rsidR="00B33542" w:rsidRPr="005071A1" w:rsidRDefault="00B33542" w:rsidP="00B33542">
      <w:pPr>
        <w:pStyle w:val="subsection"/>
      </w:pPr>
      <w:r w:rsidRPr="005071A1">
        <w:tab/>
        <w:t>(1)</w:t>
      </w:r>
      <w:r w:rsidRPr="005071A1">
        <w:tab/>
        <w:t>This section applies to a person who, being a contributor, voluntarily terminates his employment before 1</w:t>
      </w:r>
      <w:r w:rsidR="008B2950" w:rsidRPr="005071A1">
        <w:t> </w:t>
      </w:r>
      <w:r w:rsidRPr="005071A1">
        <w:t xml:space="preserve">July 1976 in order to become a candidate for election as a member of a House of the Parliament of Australia or of a State or of the </w:t>
      </w:r>
      <w:r w:rsidR="001B267C" w:rsidRPr="005071A1">
        <w:t xml:space="preserve">Legislative Assembly </w:t>
      </w:r>
      <w:r w:rsidR="001B267C" w:rsidRPr="005071A1">
        <w:lastRenderedPageBreak/>
        <w:t>of the Northern Territory</w:t>
      </w:r>
      <w:r w:rsidRPr="005071A1">
        <w:t xml:space="preserve"> or a legislative or advisory body for another Territory prescribed for the purposes of section</w:t>
      </w:r>
      <w:r w:rsidR="008B2950" w:rsidRPr="005071A1">
        <w:t> </w:t>
      </w:r>
      <w:r w:rsidRPr="005071A1">
        <w:t xml:space="preserve">47C of the </w:t>
      </w:r>
      <w:r w:rsidRPr="005071A1">
        <w:rPr>
          <w:i/>
        </w:rPr>
        <w:t>Public Service Act 1922</w:t>
      </w:r>
      <w:r w:rsidR="004510F0">
        <w:rPr>
          <w:i/>
        </w:rPr>
        <w:noBreakHyphen/>
      </w:r>
      <w:r w:rsidRPr="005071A1">
        <w:rPr>
          <w:i/>
        </w:rPr>
        <w:t>1974</w:t>
      </w:r>
      <w:r w:rsidRPr="005071A1">
        <w:t>, but so applies only if the termination took effect not earlier than one month before the day on which nominations for the election closed.</w:t>
      </w:r>
    </w:p>
    <w:p w14:paraId="34B651B7" w14:textId="77777777" w:rsidR="00B33542" w:rsidRPr="005071A1" w:rsidRDefault="00B33542" w:rsidP="00B33542">
      <w:pPr>
        <w:pStyle w:val="subsection"/>
      </w:pPr>
      <w:r w:rsidRPr="005071A1">
        <w:tab/>
        <w:t>(2)</w:t>
      </w:r>
      <w:r w:rsidRPr="005071A1">
        <w:tab/>
        <w:t>Where a person to whom this section applies dies on or before the day of the declaration of the result of the election, he shall be deemed not to have ceased, by reason of the termination of his employment, to be a contributor or to be, or to be deemed to be, an employee.</w:t>
      </w:r>
    </w:p>
    <w:p w14:paraId="5169A54F" w14:textId="77777777" w:rsidR="00B33542" w:rsidRPr="005071A1" w:rsidRDefault="00B33542" w:rsidP="00B33542">
      <w:pPr>
        <w:pStyle w:val="subsection"/>
      </w:pPr>
      <w:r w:rsidRPr="005071A1">
        <w:tab/>
        <w:t>(3)</w:t>
      </w:r>
      <w:r w:rsidRPr="005071A1">
        <w:tab/>
        <w:t>Where a person to whom this section applies and who was a candidate at the election but failed to be elected:</w:t>
      </w:r>
    </w:p>
    <w:p w14:paraId="5CF79AA5" w14:textId="77777777" w:rsidR="00B33542" w:rsidRPr="005071A1" w:rsidRDefault="00B33542" w:rsidP="00B33542">
      <w:pPr>
        <w:pStyle w:val="paragraph"/>
      </w:pPr>
      <w:r w:rsidRPr="005071A1">
        <w:tab/>
        <w:t>(a)</w:t>
      </w:r>
      <w:r w:rsidRPr="005071A1">
        <w:tab/>
        <w:t>dies within the period of two months after the day of the declaration of the result of the election; or</w:t>
      </w:r>
    </w:p>
    <w:p w14:paraId="21F488B4" w14:textId="77777777" w:rsidR="00B33542" w:rsidRPr="005071A1" w:rsidRDefault="00B33542" w:rsidP="00D11EDC">
      <w:pPr>
        <w:pStyle w:val="paragraph"/>
      </w:pPr>
      <w:r w:rsidRPr="005071A1">
        <w:tab/>
        <w:t>(b)</w:t>
      </w:r>
      <w:r w:rsidRPr="005071A1">
        <w:tab/>
        <w:t>applied within that period to become employed by the Commonwealth or by an approved authority in employment the terms of which would require him to give the whole of his time to the duties of his employment and dies before the application is determined or, if the application is granted, before becoming so employed;</w:t>
      </w:r>
    </w:p>
    <w:p w14:paraId="3D2D3649" w14:textId="77777777" w:rsidR="00B33542" w:rsidRPr="005071A1" w:rsidRDefault="00B33542" w:rsidP="00B33542">
      <w:pPr>
        <w:pStyle w:val="subsection2"/>
      </w:pPr>
      <w:r w:rsidRPr="005071A1">
        <w:t>he shall be deemed not to have ceased, by reason of the termination of his employment, to be a contributor or to be, or to be deemed to be, an employee.</w:t>
      </w:r>
    </w:p>
    <w:p w14:paraId="0A8860A5" w14:textId="77777777" w:rsidR="00B33542" w:rsidRPr="005071A1" w:rsidRDefault="00B33542" w:rsidP="00B33542">
      <w:pPr>
        <w:pStyle w:val="subsection"/>
      </w:pPr>
      <w:r w:rsidRPr="005071A1">
        <w:tab/>
        <w:t>(4)</w:t>
      </w:r>
      <w:r w:rsidRPr="005071A1">
        <w:tab/>
        <w:t>Where:</w:t>
      </w:r>
    </w:p>
    <w:p w14:paraId="2CF0506A" w14:textId="77777777" w:rsidR="00B33542" w:rsidRPr="005071A1" w:rsidRDefault="00B33542" w:rsidP="00B33542">
      <w:pPr>
        <w:pStyle w:val="paragraph"/>
      </w:pPr>
      <w:r w:rsidRPr="005071A1">
        <w:tab/>
        <w:t>(a)</w:t>
      </w:r>
      <w:r w:rsidRPr="005071A1">
        <w:tab/>
        <w:t>the Board (or, on and after 1</w:t>
      </w:r>
      <w:r w:rsidR="008B2950" w:rsidRPr="005071A1">
        <w:t> </w:t>
      </w:r>
      <w:r w:rsidRPr="005071A1">
        <w:t xml:space="preserve">July 1976, the Commissioner for Superannuation) is satisfied that, if a person to whom this section applies had not terminated his employment, he would, at a time (in this subsection referred to as </w:t>
      </w:r>
      <w:r w:rsidRPr="005071A1">
        <w:rPr>
          <w:b/>
          <w:i/>
        </w:rPr>
        <w:t>the relevant time</w:t>
      </w:r>
      <w:r w:rsidRPr="005071A1">
        <w:t xml:space="preserve">) within the period that commenced on the day after the day of the termination and ended on the day of the declaration of the result of the election, have been retired on </w:t>
      </w:r>
      <w:r w:rsidRPr="005071A1">
        <w:lastRenderedPageBreak/>
        <w:t>the ground of invalidity or physical or mental incapacity to perform his duties; and</w:t>
      </w:r>
    </w:p>
    <w:p w14:paraId="1A49CE5F" w14:textId="77777777" w:rsidR="00B33542" w:rsidRPr="005071A1" w:rsidRDefault="00B33542" w:rsidP="00B33542">
      <w:pPr>
        <w:pStyle w:val="paragraph"/>
        <w:keepNext/>
      </w:pPr>
      <w:r w:rsidRPr="005071A1">
        <w:tab/>
        <w:t>(b)</w:t>
      </w:r>
      <w:r w:rsidRPr="005071A1">
        <w:tab/>
        <w:t>he was not a candidate at the election by reason of the invalidity or incapacity or was such a candidate but failed to be elected;</w:t>
      </w:r>
    </w:p>
    <w:p w14:paraId="1C7EE084" w14:textId="77777777" w:rsidR="00B33542" w:rsidRPr="005071A1" w:rsidRDefault="00B33542" w:rsidP="00B33542">
      <w:pPr>
        <w:pStyle w:val="subsection2"/>
      </w:pPr>
      <w:r w:rsidRPr="005071A1">
        <w:t>he shall be deemed not to have ceased, by reason of the termination of his employment, to be a contributor or to be, or to be deemed to be, an employee but shall be deemed to have been retired at the relevant time on that ground.</w:t>
      </w:r>
    </w:p>
    <w:p w14:paraId="4A77DECD" w14:textId="77777777" w:rsidR="00B33542" w:rsidRPr="005071A1" w:rsidRDefault="00B33542" w:rsidP="00B33542">
      <w:pPr>
        <w:pStyle w:val="subsection"/>
      </w:pPr>
      <w:r w:rsidRPr="005071A1">
        <w:tab/>
        <w:t>(5)</w:t>
      </w:r>
      <w:r w:rsidRPr="005071A1">
        <w:tab/>
        <w:t>Where:</w:t>
      </w:r>
    </w:p>
    <w:p w14:paraId="73AB36CF" w14:textId="77777777" w:rsidR="00B33542" w:rsidRPr="005071A1" w:rsidRDefault="00B33542" w:rsidP="00B33542">
      <w:pPr>
        <w:pStyle w:val="paragraph"/>
      </w:pPr>
      <w:r w:rsidRPr="005071A1">
        <w:tab/>
        <w:t>(a)</w:t>
      </w:r>
      <w:r w:rsidRPr="005071A1">
        <w:tab/>
        <w:t>a person to whom this section applies and who was a candidate at the election but failed to be elected does not apply, within two months after the day of the declaration of the result of the election, to become employed by the Commonwealth or by an approved authority in employment the terms of which would require him to give the whole of his time to the duties of his employment; and</w:t>
      </w:r>
    </w:p>
    <w:p w14:paraId="0A62A953" w14:textId="77777777" w:rsidR="00B33542" w:rsidRPr="005071A1" w:rsidRDefault="00B33542" w:rsidP="00B33542">
      <w:pPr>
        <w:pStyle w:val="paragraph"/>
        <w:keepNext/>
      </w:pPr>
      <w:r w:rsidRPr="005071A1">
        <w:tab/>
        <w:t>(b)</w:t>
      </w:r>
      <w:r w:rsidRPr="005071A1">
        <w:tab/>
        <w:t>the Board (or, on and after 1</w:t>
      </w:r>
      <w:r w:rsidR="008B2950" w:rsidRPr="005071A1">
        <w:t> </w:t>
      </w:r>
      <w:r w:rsidRPr="005071A1">
        <w:t xml:space="preserve">July 1976, the Commissioner for Superannuation) is satisfied that, if he had not terminated his employment, he would, at a time (in this subsection referred to as </w:t>
      </w:r>
      <w:r w:rsidRPr="005071A1">
        <w:rPr>
          <w:b/>
          <w:i/>
        </w:rPr>
        <w:t>the relevant time</w:t>
      </w:r>
      <w:r w:rsidRPr="005071A1">
        <w:t>) within that period, have been retired on the ground of invalidity or physical or mental incapacity to perform his duties;</w:t>
      </w:r>
    </w:p>
    <w:p w14:paraId="06068E07" w14:textId="77777777" w:rsidR="00B33542" w:rsidRPr="005071A1" w:rsidRDefault="00B33542" w:rsidP="00B33542">
      <w:pPr>
        <w:pStyle w:val="subsection2"/>
      </w:pPr>
      <w:r w:rsidRPr="005071A1">
        <w:t>he shall be deemed not to have ceased, by reason of the termination of his employment, to be a contributor or to be, or to be deemed to be, an employee but shall be deemed to have been retired at the relevant time on that ground.</w:t>
      </w:r>
    </w:p>
    <w:p w14:paraId="448350D9" w14:textId="77777777" w:rsidR="00B33542" w:rsidRPr="005071A1" w:rsidRDefault="00B33542" w:rsidP="00B33542">
      <w:pPr>
        <w:pStyle w:val="subsection"/>
      </w:pPr>
      <w:r w:rsidRPr="005071A1">
        <w:tab/>
        <w:t>(6)</w:t>
      </w:r>
      <w:r w:rsidRPr="005071A1">
        <w:tab/>
        <w:t xml:space="preserve">Where a person to whom this section applies and who was a candidate at the election but failed to be elected applies, within two months after the day of the declaration of the result of the election, to become employed by the Commonwealth or by an approved </w:t>
      </w:r>
      <w:r w:rsidRPr="005071A1">
        <w:lastRenderedPageBreak/>
        <w:t>authority in employment the terms of which would require him to give the whole of his time to the duties of his employment and the Board (or, on and after 1</w:t>
      </w:r>
      <w:r w:rsidR="008B2950" w:rsidRPr="005071A1">
        <w:t> </w:t>
      </w:r>
      <w:r w:rsidRPr="005071A1">
        <w:t>July 1976, the Commissioner for Superannuation) is satisfied that:</w:t>
      </w:r>
    </w:p>
    <w:p w14:paraId="7CC17869" w14:textId="77777777" w:rsidR="00B33542" w:rsidRPr="005071A1" w:rsidRDefault="00B33542" w:rsidP="00B33542">
      <w:pPr>
        <w:pStyle w:val="paragraph"/>
      </w:pPr>
      <w:r w:rsidRPr="005071A1">
        <w:tab/>
        <w:t>(a)</w:t>
      </w:r>
      <w:r w:rsidRPr="005071A1">
        <w:tab/>
        <w:t xml:space="preserve">in the case of a person whose application is rejected—if he had not terminated his employment, he would, at a time (in this subsection referred to as </w:t>
      </w:r>
      <w:r w:rsidRPr="005071A1">
        <w:rPr>
          <w:b/>
          <w:i/>
        </w:rPr>
        <w:t>the relevant time</w:t>
      </w:r>
      <w:r w:rsidRPr="005071A1">
        <w:t>) within the period that commenced on the day after the day of the declaration of the result of the election and ended on the day of the rejection, have been retired on the ground of invalidity or physical or mental incapacity to perform his duties;</w:t>
      </w:r>
    </w:p>
    <w:p w14:paraId="25353D59" w14:textId="77777777" w:rsidR="00B33542" w:rsidRPr="005071A1" w:rsidRDefault="00B33542" w:rsidP="00B33542">
      <w:pPr>
        <w:pStyle w:val="paragraph"/>
      </w:pPr>
      <w:r w:rsidRPr="005071A1">
        <w:tab/>
        <w:t>(b)</w:t>
      </w:r>
      <w:r w:rsidRPr="005071A1">
        <w:tab/>
        <w:t xml:space="preserve">in the case of a person whose application has been granted but who has not become employed by the Commonwealth or by that authority—if he had not terminated his employment, he would, at a time (in this subsection also referred to as </w:t>
      </w:r>
      <w:r w:rsidRPr="005071A1">
        <w:rPr>
          <w:b/>
          <w:i/>
        </w:rPr>
        <w:t>the relevant time</w:t>
      </w:r>
      <w:r w:rsidRPr="005071A1">
        <w:t>) within the period that commenced on the day after the day of the declaration of the result of the election and ended on the day on which he was required to commence his employment with the Commonwealth or the authority, have been retired on the ground of invalidity or physical or mental incapacity to perform his duties; or</w:t>
      </w:r>
    </w:p>
    <w:p w14:paraId="067F33B6" w14:textId="77777777" w:rsidR="00B33542" w:rsidRPr="005071A1" w:rsidRDefault="00B33542" w:rsidP="00B33542">
      <w:pPr>
        <w:pStyle w:val="paragraph"/>
        <w:keepNext/>
      </w:pPr>
      <w:r w:rsidRPr="005071A1">
        <w:tab/>
        <w:t>(c)</w:t>
      </w:r>
      <w:r w:rsidRPr="005071A1">
        <w:tab/>
        <w:t xml:space="preserve">in the case of a person whose application has not been determined—if he had not terminated his employment, he would, at a time (in this subsection also referred to as </w:t>
      </w:r>
      <w:r w:rsidRPr="005071A1">
        <w:rPr>
          <w:b/>
          <w:i/>
        </w:rPr>
        <w:t>the relevant time</w:t>
      </w:r>
      <w:r w:rsidRPr="005071A1">
        <w:t>) after the day of the declaration of the result of the election, have been retired on the ground of invalidity or physical or mental incapacity to perform his duties;</w:t>
      </w:r>
    </w:p>
    <w:p w14:paraId="58EF7F51" w14:textId="77777777" w:rsidR="00B33542" w:rsidRPr="005071A1" w:rsidRDefault="00B33542" w:rsidP="00B33542">
      <w:pPr>
        <w:pStyle w:val="subsection2"/>
      </w:pPr>
      <w:r w:rsidRPr="005071A1">
        <w:t>then he shall be deemed not to have ceased, by reason of the termination of his employment, to be a contributor or to be, or to be deemed to be, an employee but shall be deemed to have been retired at the relevant time on that ground.</w:t>
      </w:r>
    </w:p>
    <w:p w14:paraId="76F43B16" w14:textId="77777777" w:rsidR="00B33542" w:rsidRPr="005071A1" w:rsidRDefault="00B33542" w:rsidP="00B33542">
      <w:pPr>
        <w:pStyle w:val="subsection"/>
      </w:pPr>
      <w:r w:rsidRPr="005071A1">
        <w:tab/>
        <w:t>(7)</w:t>
      </w:r>
      <w:r w:rsidRPr="005071A1">
        <w:tab/>
        <w:t>Where:</w:t>
      </w:r>
    </w:p>
    <w:p w14:paraId="128BB414" w14:textId="77777777" w:rsidR="00B33542" w:rsidRPr="005071A1" w:rsidRDefault="00B33542" w:rsidP="00B33542">
      <w:pPr>
        <w:pStyle w:val="paragraph"/>
      </w:pPr>
      <w:r w:rsidRPr="005071A1">
        <w:lastRenderedPageBreak/>
        <w:tab/>
        <w:t>(a)</w:t>
      </w:r>
      <w:r w:rsidRPr="005071A1">
        <w:tab/>
        <w:t>a person to whom this section applies was a candidate at the election but failed to be elected; and</w:t>
      </w:r>
    </w:p>
    <w:p w14:paraId="14882B20" w14:textId="77777777" w:rsidR="00B33542" w:rsidRPr="005071A1" w:rsidRDefault="00B33542" w:rsidP="00B33542">
      <w:pPr>
        <w:pStyle w:val="paragraph"/>
        <w:keepNext/>
      </w:pPr>
      <w:r w:rsidRPr="005071A1">
        <w:tab/>
        <w:t>(b)</w:t>
      </w:r>
      <w:r w:rsidRPr="005071A1">
        <w:tab/>
        <w:t>on application made by him within two months after the day of the declaration of the result of the election, he becomes employed by the Commonwealth or by an approved authority on terms that require him to give the whole of his time to the duties of his employment;</w:t>
      </w:r>
    </w:p>
    <w:p w14:paraId="46EB2585" w14:textId="77777777" w:rsidR="00B33542" w:rsidRPr="005071A1" w:rsidRDefault="00B33542" w:rsidP="00B33542">
      <w:pPr>
        <w:pStyle w:val="subsection2"/>
      </w:pPr>
      <w:r w:rsidRPr="005071A1">
        <w:t>he shall be deemed not to have ceased, by reason of the termination of his employment, to be a contributor or to be, or to be deemed to be, an employee.</w:t>
      </w:r>
    </w:p>
    <w:p w14:paraId="460B3050" w14:textId="77777777" w:rsidR="00B33542" w:rsidRPr="005071A1" w:rsidRDefault="00B33542" w:rsidP="00B33542">
      <w:pPr>
        <w:pStyle w:val="subsection"/>
      </w:pPr>
      <w:r w:rsidRPr="005071A1">
        <w:tab/>
        <w:t>(8)</w:t>
      </w:r>
      <w:r w:rsidRPr="005071A1">
        <w:tab/>
        <w:t xml:space="preserve">If a refund of the amount of the contributions of a person referred to in </w:t>
      </w:r>
      <w:r w:rsidR="008B2950" w:rsidRPr="005071A1">
        <w:t>subsection (</w:t>
      </w:r>
      <w:r w:rsidRPr="005071A1">
        <w:t>1) of this section was paid under section</w:t>
      </w:r>
      <w:r w:rsidR="008B2950" w:rsidRPr="005071A1">
        <w:t> </w:t>
      </w:r>
      <w:r w:rsidRPr="005071A1">
        <w:t>51 upon the termination of his employment, the preceding provisions of this section do not apply in relation to him unless an amount equal to the amount of the refund is paid to the Commissioner for Superannuation before the expiration of two months after the day of the declaration of the result of the election or within such further period as the Board (or, on and after 1</w:t>
      </w:r>
      <w:r w:rsidR="008B2950" w:rsidRPr="005071A1">
        <w:t> </w:t>
      </w:r>
      <w:r w:rsidRPr="005071A1">
        <w:t>July 1976, the Commissioner for Superannuation) allows.</w:t>
      </w:r>
    </w:p>
    <w:p w14:paraId="36495477" w14:textId="77777777" w:rsidR="00B33542" w:rsidRPr="005071A1" w:rsidRDefault="00B33542" w:rsidP="00B33542">
      <w:pPr>
        <w:pStyle w:val="subsection"/>
      </w:pPr>
      <w:r w:rsidRPr="005071A1">
        <w:tab/>
        <w:t>(9)</w:t>
      </w:r>
      <w:r w:rsidRPr="005071A1">
        <w:tab/>
        <w:t>Where a person is, by virtue of a preceding provision of this section, to be deemed not to have ceased, by reason of the termination of his employment, to be a contributor, any pension that became payable to him under this Act upon that termination shall be deemed not to have been payable and he is liable to pay to the Commissioner for Superannuation, before the expiration of two months after the day of the declaration of the result of the election or within such further period as the Board (or, on and after 1</w:t>
      </w:r>
      <w:r w:rsidR="008B2950" w:rsidRPr="005071A1">
        <w:t> </w:t>
      </w:r>
      <w:r w:rsidRPr="005071A1">
        <w:t>July 1976, the Commissioner for Superannuation) allows, an amount equal to the amount of the payment, or the sum of the amounts of the payments, of that pension that were made to him.</w:t>
      </w:r>
    </w:p>
    <w:p w14:paraId="363A262F" w14:textId="77777777" w:rsidR="00B33542" w:rsidRPr="005071A1" w:rsidRDefault="00B33542" w:rsidP="00B33542">
      <w:pPr>
        <w:pStyle w:val="subsection"/>
      </w:pPr>
      <w:r w:rsidRPr="005071A1">
        <w:lastRenderedPageBreak/>
        <w:tab/>
        <w:t>(10)</w:t>
      </w:r>
      <w:r w:rsidRPr="005071A1">
        <w:tab/>
        <w:t xml:space="preserve">The Commissioner for Superannuation shall pay amounts paid to him under </w:t>
      </w:r>
      <w:r w:rsidR="008B2950" w:rsidRPr="005071A1">
        <w:t>subsections (</w:t>
      </w:r>
      <w:r w:rsidRPr="005071A1">
        <w:t xml:space="preserve">8) and (9) into the new Superannuation Fund, and, in the case of an amount or amounts paid to him under </w:t>
      </w:r>
      <w:r w:rsidR="008B2950" w:rsidRPr="005071A1">
        <w:t>subsection (</w:t>
      </w:r>
      <w:r w:rsidRPr="005071A1">
        <w:t>9) in respect of payments of pension received by a person, that amount, or the sum of those amounts, so paid to him, and paid by him into the new Superannuation Fund, shall, to the extent that it exceeds the difference between the sum of those payments of pension and the sum of the amounts paid out of the Consolidated Revenue Fund in respect of those payments of pension, be paid from the new Superannuation Fund to the Commonwealth.</w:t>
      </w:r>
    </w:p>
    <w:p w14:paraId="6FD7A174" w14:textId="77777777" w:rsidR="00B33542" w:rsidRPr="005071A1" w:rsidRDefault="00B33542" w:rsidP="00B33542">
      <w:pPr>
        <w:pStyle w:val="ActHead5"/>
      </w:pPr>
      <w:bookmarkStart w:id="87" w:name="_Toc185577469"/>
      <w:r w:rsidRPr="004510F0">
        <w:rPr>
          <w:rStyle w:val="CharSectno"/>
        </w:rPr>
        <w:t>53</w:t>
      </w:r>
      <w:r w:rsidRPr="005071A1">
        <w:t xml:space="preserve">  Certain contributors who change the nature of their employment to continue as contributors</w:t>
      </w:r>
      <w:bookmarkEnd w:id="87"/>
    </w:p>
    <w:p w14:paraId="3E59CAD0" w14:textId="77777777" w:rsidR="00B33542" w:rsidRPr="005071A1" w:rsidRDefault="00B33542" w:rsidP="00B33542">
      <w:pPr>
        <w:pStyle w:val="subsection"/>
        <w:keepNext/>
      </w:pPr>
      <w:r w:rsidRPr="005071A1">
        <w:tab/>
      </w:r>
      <w:r w:rsidRPr="005071A1">
        <w:tab/>
        <w:t>Where:</w:t>
      </w:r>
    </w:p>
    <w:p w14:paraId="15C66827" w14:textId="77777777" w:rsidR="00B33542" w:rsidRPr="005071A1" w:rsidRDefault="00B33542" w:rsidP="00B33542">
      <w:pPr>
        <w:pStyle w:val="paragraph"/>
      </w:pPr>
      <w:r w:rsidRPr="005071A1">
        <w:tab/>
        <w:t>(a)</w:t>
      </w:r>
      <w:r w:rsidRPr="005071A1">
        <w:tab/>
        <w:t>the employment of a contributor terminates or is terminated; and</w:t>
      </w:r>
    </w:p>
    <w:p w14:paraId="77966ACB" w14:textId="77777777" w:rsidR="00B33542" w:rsidRPr="005071A1" w:rsidRDefault="00B33542" w:rsidP="00B33542">
      <w:pPr>
        <w:pStyle w:val="paragraph"/>
      </w:pPr>
      <w:r w:rsidRPr="005071A1">
        <w:tab/>
        <w:t>(b)</w:t>
      </w:r>
      <w:r w:rsidRPr="005071A1">
        <w:tab/>
        <w:t>immediately after the day on which his employment terminates or is terminated, he becomes employed by the Commonwealth or by an approved authority on terms that require him to give the whole of his time to the duties of his employment;</w:t>
      </w:r>
    </w:p>
    <w:p w14:paraId="608BEAA6" w14:textId="77777777" w:rsidR="00B33542" w:rsidRPr="005071A1" w:rsidRDefault="00B33542" w:rsidP="00B33542">
      <w:pPr>
        <w:pStyle w:val="subsection2"/>
      </w:pPr>
      <w:r w:rsidRPr="005071A1">
        <w:t>he shall be deemed not to have ceased, by reason of that termination of his employment, to be a contributor or to be, or to be deemed to be, an employee.</w:t>
      </w:r>
    </w:p>
    <w:p w14:paraId="72B5DAB6" w14:textId="77777777" w:rsidR="00B33542" w:rsidRPr="005071A1" w:rsidRDefault="00B33542" w:rsidP="00B33542">
      <w:pPr>
        <w:pStyle w:val="ActHead5"/>
      </w:pPr>
      <w:bookmarkStart w:id="88" w:name="_Toc185577470"/>
      <w:r w:rsidRPr="004510F0">
        <w:rPr>
          <w:rStyle w:val="CharSectno"/>
        </w:rPr>
        <w:t>54</w:t>
      </w:r>
      <w:r w:rsidRPr="005071A1">
        <w:t xml:space="preserve">  Desertion by pensioner of spouse or child</w:t>
      </w:r>
      <w:bookmarkEnd w:id="88"/>
    </w:p>
    <w:p w14:paraId="45947459" w14:textId="77777777" w:rsidR="00B33542" w:rsidRPr="005071A1" w:rsidRDefault="00B33542" w:rsidP="00B33542">
      <w:pPr>
        <w:pStyle w:val="subsection"/>
      </w:pPr>
      <w:r w:rsidRPr="005071A1">
        <w:tab/>
        <w:t>(1)</w:t>
      </w:r>
      <w:r w:rsidRPr="005071A1">
        <w:tab/>
        <w:t xml:space="preserve">Where a male pensioner deserts his wife or leaves her without means of support, the wife may, from time to time, apply to a court of summary jurisdiction constituted by a Police, Stipendiary or Special Magistrate, and, on proof that the wife has been deserted or left without means of support, the court may order the payment, </w:t>
      </w:r>
      <w:r w:rsidRPr="005071A1">
        <w:lastRenderedPageBreak/>
        <w:t>during such period as it thinks desirable, of pension in accordance with section</w:t>
      </w:r>
      <w:r w:rsidR="008B2950" w:rsidRPr="005071A1">
        <w:t> </w:t>
      </w:r>
      <w:r w:rsidRPr="005071A1">
        <w:t>47 as if the pensioner were dead.</w:t>
      </w:r>
    </w:p>
    <w:p w14:paraId="6B405A76" w14:textId="77777777" w:rsidR="00B33542" w:rsidRPr="005071A1" w:rsidRDefault="00B33542" w:rsidP="006B7F7B">
      <w:pPr>
        <w:pStyle w:val="subsection"/>
        <w:keepNext/>
      </w:pPr>
      <w:r w:rsidRPr="005071A1">
        <w:tab/>
        <w:t>(1A)</w:t>
      </w:r>
      <w:r w:rsidRPr="005071A1">
        <w:tab/>
        <w:t>Where:</w:t>
      </w:r>
    </w:p>
    <w:p w14:paraId="1EDB62CC" w14:textId="77777777" w:rsidR="00B33542" w:rsidRPr="005071A1" w:rsidRDefault="00B33542" w:rsidP="00B33542">
      <w:pPr>
        <w:pStyle w:val="paragraph"/>
      </w:pPr>
      <w:r w:rsidRPr="005071A1">
        <w:tab/>
        <w:t>(a)</w:t>
      </w:r>
      <w:r w:rsidRPr="005071A1">
        <w:tab/>
        <w:t>the husband of a female pensioner is wholly or substantially dependent upon her; and</w:t>
      </w:r>
    </w:p>
    <w:p w14:paraId="6169DE62" w14:textId="77777777" w:rsidR="00B33542" w:rsidRPr="005071A1" w:rsidRDefault="00B33542" w:rsidP="00B33542">
      <w:pPr>
        <w:pStyle w:val="paragraph"/>
        <w:keepNext/>
      </w:pPr>
      <w:r w:rsidRPr="005071A1">
        <w:tab/>
        <w:t>(b)</w:t>
      </w:r>
      <w:r w:rsidRPr="005071A1">
        <w:tab/>
        <w:t>his wife leaves him without means of support;</w:t>
      </w:r>
    </w:p>
    <w:p w14:paraId="3585513C" w14:textId="77777777" w:rsidR="00B33542" w:rsidRPr="005071A1" w:rsidRDefault="00B33542" w:rsidP="00B33542">
      <w:pPr>
        <w:pStyle w:val="subsection2"/>
      </w:pPr>
      <w:r w:rsidRPr="005071A1">
        <w:t>the husband may, from time to time, apply to a court of summary jurisdiction constituted by a Police, Stipendiary or Special Magistrate, and, on proof that the husband is wholly or substantially dependent on his wife and that his wife has left him without means of support, the court may order the payment, during such period as it thinks desirable, of pension in accordance with section</w:t>
      </w:r>
      <w:r w:rsidR="008B2950" w:rsidRPr="005071A1">
        <w:t> </w:t>
      </w:r>
      <w:r w:rsidRPr="005071A1">
        <w:t>47 as if the pensioner were dead.</w:t>
      </w:r>
    </w:p>
    <w:p w14:paraId="568A3965" w14:textId="77777777" w:rsidR="00B33542" w:rsidRPr="005071A1" w:rsidRDefault="00B33542" w:rsidP="00B33542">
      <w:pPr>
        <w:pStyle w:val="subsection"/>
      </w:pPr>
      <w:r w:rsidRPr="005071A1">
        <w:tab/>
        <w:t>(2)</w:t>
      </w:r>
      <w:r w:rsidRPr="005071A1">
        <w:tab/>
        <w:t>Where a pensioner (being a person who is a pensioner by reason of having been a contributor) whose wife or husband is dead or divorced deserts, or leaves without means of support, any of the children of the pensioner who are dependent on the pensioner, the guardian of the children or the Board, may, from time to time, apply to a court of summary jurisdiction constituted by a Police, Stipendiary or Special Magistrate, and, on proof that any such child has been deserted or left without means of support, the court may order the payment, during such period as it thinks desirable, of pension in accordance with section</w:t>
      </w:r>
      <w:r w:rsidR="008B2950" w:rsidRPr="005071A1">
        <w:t> </w:t>
      </w:r>
      <w:r w:rsidRPr="005071A1">
        <w:t>48 as if the pensioner were dead.</w:t>
      </w:r>
    </w:p>
    <w:p w14:paraId="0FC8C64A" w14:textId="77777777" w:rsidR="00B33542" w:rsidRPr="005071A1" w:rsidRDefault="00B33542" w:rsidP="00B33542">
      <w:pPr>
        <w:pStyle w:val="subsection"/>
        <w:keepNext/>
        <w:keepLines/>
      </w:pPr>
      <w:r w:rsidRPr="005071A1">
        <w:lastRenderedPageBreak/>
        <w:tab/>
        <w:t>(3)</w:t>
      </w:r>
      <w:r w:rsidRPr="005071A1">
        <w:tab/>
        <w:t>The Board shall comply with any order made under this section and the amount of the pension payable to the pensioner shall be reduced by the amount of the pension payable in pursuance of the order of the court.</w:t>
      </w:r>
    </w:p>
    <w:p w14:paraId="246BBC42" w14:textId="77777777" w:rsidR="00B33542" w:rsidRPr="005071A1" w:rsidRDefault="00B33542" w:rsidP="00B33542">
      <w:pPr>
        <w:pStyle w:val="subsection"/>
      </w:pPr>
      <w:r w:rsidRPr="005071A1">
        <w:tab/>
        <w:t>(4)</w:t>
      </w:r>
      <w:r w:rsidRPr="005071A1">
        <w:tab/>
        <w:t>On and after 1</w:t>
      </w:r>
      <w:r w:rsidR="008B2950" w:rsidRPr="005071A1">
        <w:t> </w:t>
      </w:r>
      <w:r w:rsidRPr="005071A1">
        <w:t>July 1976, each reference in this section to the Board shall be read as including a reference to the Commissioner for Superannuation.</w:t>
      </w:r>
    </w:p>
    <w:p w14:paraId="5421EC5E" w14:textId="77777777" w:rsidR="00B33542" w:rsidRPr="005071A1" w:rsidRDefault="00B33542" w:rsidP="00B33542">
      <w:pPr>
        <w:pStyle w:val="ActHead5"/>
      </w:pPr>
      <w:bookmarkStart w:id="89" w:name="_Toc185577471"/>
      <w:r w:rsidRPr="004510F0">
        <w:rPr>
          <w:rStyle w:val="CharSectno"/>
        </w:rPr>
        <w:t>58</w:t>
      </w:r>
      <w:r w:rsidRPr="005071A1">
        <w:t xml:space="preserve">  Payments to children</w:t>
      </w:r>
      <w:bookmarkEnd w:id="89"/>
    </w:p>
    <w:p w14:paraId="3475BB6C" w14:textId="77777777" w:rsidR="00B33542" w:rsidRPr="005071A1" w:rsidRDefault="00B33542" w:rsidP="00B33542">
      <w:pPr>
        <w:pStyle w:val="subsection"/>
      </w:pPr>
      <w:r w:rsidRPr="005071A1">
        <w:tab/>
        <w:t>(1)</w:t>
      </w:r>
      <w:r w:rsidRPr="005071A1">
        <w:tab/>
        <w:t>Where pensions in respect of children are payable under this Act to a widow or widower, the pensions shall, if the widow or widower dies, be payable to the guardians of the children.</w:t>
      </w:r>
    </w:p>
    <w:p w14:paraId="23A3FFF1" w14:textId="77777777" w:rsidR="00B33542" w:rsidRPr="005071A1" w:rsidRDefault="00B33542" w:rsidP="00B33542">
      <w:pPr>
        <w:pStyle w:val="subsection"/>
      </w:pPr>
      <w:r w:rsidRPr="005071A1">
        <w:tab/>
        <w:t>(2)</w:t>
      </w:r>
      <w:r w:rsidRPr="005071A1">
        <w:tab/>
        <w:t>Notwithstanding anything contained in this Act, any money payable under this Act in respect of a child may, at the discretion of the Commissioner for Superannuation, be paid to the guardian of the child or expended by the Commissioner for Superannuation for the benefit of the child.</w:t>
      </w:r>
    </w:p>
    <w:p w14:paraId="659E94FE" w14:textId="77777777" w:rsidR="00B33542" w:rsidRPr="005071A1" w:rsidRDefault="00B33542" w:rsidP="00B33542">
      <w:pPr>
        <w:pStyle w:val="ActHead5"/>
      </w:pPr>
      <w:bookmarkStart w:id="90" w:name="_Toc185577472"/>
      <w:r w:rsidRPr="004510F0">
        <w:rPr>
          <w:rStyle w:val="CharSectno"/>
        </w:rPr>
        <w:t>59</w:t>
      </w:r>
      <w:r w:rsidRPr="005071A1">
        <w:t xml:space="preserve">  Period for which pensions payable</w:t>
      </w:r>
      <w:bookmarkEnd w:id="90"/>
    </w:p>
    <w:p w14:paraId="0FC6C951" w14:textId="77777777" w:rsidR="00B33542" w:rsidRPr="005071A1" w:rsidRDefault="00B33542" w:rsidP="00B33542">
      <w:pPr>
        <w:pStyle w:val="subsection"/>
      </w:pPr>
      <w:r w:rsidRPr="005071A1">
        <w:tab/>
        <w:t>(1)</w:t>
      </w:r>
      <w:r w:rsidRPr="005071A1">
        <w:tab/>
        <w:t>Except where otherwise provided in this Act, a pension shall be payable during the life of the person entitled thereto.</w:t>
      </w:r>
    </w:p>
    <w:p w14:paraId="5825D143" w14:textId="77777777" w:rsidR="00B33542" w:rsidRPr="005071A1" w:rsidRDefault="00B33542" w:rsidP="00B33542">
      <w:pPr>
        <w:pStyle w:val="subsection"/>
      </w:pPr>
      <w:r w:rsidRPr="005071A1">
        <w:tab/>
        <w:t>(2)</w:t>
      </w:r>
      <w:r w:rsidRPr="005071A1">
        <w:tab/>
        <w:t>Where pension became payable in respect of a person because the person is the eligible child of another person, being a deceased contributor or deceased pensioner or the widow, widower, wife or husband of a deceased contributor or deceased pensioner, pension is payable only while the child is such an eligible child.</w:t>
      </w:r>
    </w:p>
    <w:p w14:paraId="3DD9D0F4" w14:textId="77777777" w:rsidR="00B33542" w:rsidRPr="005071A1" w:rsidRDefault="00B33542" w:rsidP="00B33542">
      <w:pPr>
        <w:pStyle w:val="ActHead5"/>
      </w:pPr>
      <w:bookmarkStart w:id="91" w:name="_Toc185577473"/>
      <w:r w:rsidRPr="004510F0">
        <w:rPr>
          <w:rStyle w:val="CharSectno"/>
        </w:rPr>
        <w:t>60</w:t>
      </w:r>
      <w:r w:rsidRPr="005071A1">
        <w:t xml:space="preserve">  Payment of pension instalments</w:t>
      </w:r>
      <w:bookmarkEnd w:id="91"/>
    </w:p>
    <w:p w14:paraId="683203C5" w14:textId="77777777" w:rsidR="00B33542" w:rsidRPr="005071A1" w:rsidRDefault="00B33542" w:rsidP="00B33542">
      <w:pPr>
        <w:pStyle w:val="subsection"/>
      </w:pPr>
      <w:r w:rsidRPr="005071A1">
        <w:tab/>
        <w:t>(1)</w:t>
      </w:r>
      <w:r w:rsidRPr="005071A1">
        <w:tab/>
        <w:t>Pensions shall be paid in fortnightly instalments.</w:t>
      </w:r>
    </w:p>
    <w:p w14:paraId="61C78251" w14:textId="77777777" w:rsidR="00B33542" w:rsidRPr="005071A1" w:rsidRDefault="00B33542" w:rsidP="00B33542">
      <w:pPr>
        <w:pStyle w:val="subsection"/>
      </w:pPr>
      <w:r w:rsidRPr="005071A1">
        <w:lastRenderedPageBreak/>
        <w:tab/>
        <w:t>(2)</w:t>
      </w:r>
      <w:r w:rsidRPr="005071A1">
        <w:tab/>
        <w:t>In order to ascertain the amount of an instalment of a pension covering a period of a fortnight the annual pension shall be divided by twenty</w:t>
      </w:r>
      <w:r w:rsidR="004510F0">
        <w:noBreakHyphen/>
      </w:r>
      <w:r w:rsidRPr="005071A1">
        <w:t>six.</w:t>
      </w:r>
    </w:p>
    <w:p w14:paraId="3DDF50E4" w14:textId="77777777" w:rsidR="00B33542" w:rsidRPr="005071A1" w:rsidRDefault="00B33542" w:rsidP="00B33542">
      <w:pPr>
        <w:pStyle w:val="ActHead5"/>
      </w:pPr>
      <w:bookmarkStart w:id="92" w:name="_Toc185577474"/>
      <w:r w:rsidRPr="004510F0">
        <w:rPr>
          <w:rStyle w:val="CharSectno"/>
        </w:rPr>
        <w:t>61</w:t>
      </w:r>
      <w:r w:rsidRPr="005071A1">
        <w:t xml:space="preserve">  Minimum pension</w:t>
      </w:r>
      <w:bookmarkEnd w:id="92"/>
    </w:p>
    <w:p w14:paraId="3B2F1125" w14:textId="77777777" w:rsidR="00B33542" w:rsidRPr="005071A1" w:rsidRDefault="00B33542" w:rsidP="00B33542">
      <w:pPr>
        <w:pStyle w:val="subsection"/>
      </w:pPr>
      <w:r w:rsidRPr="005071A1">
        <w:tab/>
        <w:t>(1)</w:t>
      </w:r>
      <w:r w:rsidRPr="005071A1">
        <w:tab/>
        <w:t>The minimum amount of pension payable to a contributor upon retirement is, except where this Act requires his pension to be actuari</w:t>
      </w:r>
      <w:r w:rsidR="00D526ED" w:rsidRPr="005071A1">
        <w:t>a</w:t>
      </w:r>
      <w:r w:rsidRPr="005071A1">
        <w:t>l</w:t>
      </w:r>
      <w:r w:rsidR="00D526ED" w:rsidRPr="005071A1">
        <w:t>l</w:t>
      </w:r>
      <w:r w:rsidRPr="005071A1">
        <w:t>y determined, two units.</w:t>
      </w:r>
    </w:p>
    <w:p w14:paraId="17B19BE0" w14:textId="77777777" w:rsidR="00B33542" w:rsidRPr="005071A1" w:rsidRDefault="00B33542" w:rsidP="00B33542">
      <w:pPr>
        <w:pStyle w:val="subsection"/>
      </w:pPr>
      <w:r w:rsidRPr="005071A1">
        <w:tab/>
        <w:t>(2)</w:t>
      </w:r>
      <w:r w:rsidRPr="005071A1">
        <w:tab/>
        <w:t>The minimum amount of pension payable to the widow of a contributor or pensioner (not being pension in respect of a child) is:</w:t>
      </w:r>
    </w:p>
    <w:p w14:paraId="13B59547" w14:textId="77777777" w:rsidR="00B33542" w:rsidRPr="005071A1" w:rsidRDefault="00B33542" w:rsidP="00B33542">
      <w:pPr>
        <w:pStyle w:val="paragraph"/>
      </w:pPr>
      <w:r w:rsidRPr="005071A1">
        <w:tab/>
        <w:t>(a)</w:t>
      </w:r>
      <w:r w:rsidRPr="005071A1">
        <w:tab/>
        <w:t xml:space="preserve">subject to </w:t>
      </w:r>
      <w:r w:rsidR="008B2950" w:rsidRPr="005071A1">
        <w:t>paragraph (</w:t>
      </w:r>
      <w:r w:rsidRPr="005071A1">
        <w:t>b)—one and one</w:t>
      </w:r>
      <w:r w:rsidR="004510F0">
        <w:noBreakHyphen/>
      </w:r>
      <w:r w:rsidRPr="005071A1">
        <w:t>quarter units; or</w:t>
      </w:r>
    </w:p>
    <w:p w14:paraId="382C8169" w14:textId="77777777" w:rsidR="00B33542" w:rsidRPr="005071A1" w:rsidRDefault="00B33542" w:rsidP="00B33542">
      <w:pPr>
        <w:pStyle w:val="paragraph"/>
      </w:pPr>
      <w:r w:rsidRPr="005071A1">
        <w:tab/>
        <w:t>(b)</w:t>
      </w:r>
      <w:r w:rsidRPr="005071A1">
        <w:tab/>
        <w:t>in the case of a widow whose husband elected that section</w:t>
      </w:r>
      <w:r w:rsidR="008B2950" w:rsidRPr="005071A1">
        <w:t> </w:t>
      </w:r>
      <w:r w:rsidRPr="005071A1">
        <w:t>26 should not apply to him—one unit.</w:t>
      </w:r>
    </w:p>
    <w:p w14:paraId="1E6D70F6" w14:textId="77777777" w:rsidR="00B33542" w:rsidRPr="005071A1" w:rsidRDefault="00B33542" w:rsidP="00B33542">
      <w:pPr>
        <w:pStyle w:val="subsection"/>
      </w:pPr>
      <w:r w:rsidRPr="005071A1">
        <w:tab/>
        <w:t>(3)</w:t>
      </w:r>
      <w:r w:rsidRPr="005071A1">
        <w:tab/>
        <w:t>This section does not apply to a pension that has been reduced under section</w:t>
      </w:r>
      <w:r w:rsidR="008B2950" w:rsidRPr="005071A1">
        <w:t> </w:t>
      </w:r>
      <w:r w:rsidRPr="005071A1">
        <w:t>93DD.</w:t>
      </w:r>
    </w:p>
    <w:p w14:paraId="679362B5" w14:textId="77777777" w:rsidR="00B33542" w:rsidRPr="005071A1" w:rsidRDefault="00B33542" w:rsidP="00B33542">
      <w:pPr>
        <w:pStyle w:val="ActHead5"/>
      </w:pPr>
      <w:bookmarkStart w:id="93" w:name="_Toc185577475"/>
      <w:r w:rsidRPr="004510F0">
        <w:rPr>
          <w:rStyle w:val="CharSectno"/>
        </w:rPr>
        <w:t>62</w:t>
      </w:r>
      <w:r w:rsidRPr="005071A1">
        <w:t xml:space="preserve">  Payment to person other than pensioner</w:t>
      </w:r>
      <w:bookmarkEnd w:id="93"/>
    </w:p>
    <w:p w14:paraId="1C3EB5B0" w14:textId="77777777" w:rsidR="00B33542" w:rsidRPr="005071A1" w:rsidRDefault="00B33542" w:rsidP="00B33542">
      <w:pPr>
        <w:pStyle w:val="subsection"/>
      </w:pPr>
      <w:r w:rsidRPr="005071A1">
        <w:tab/>
      </w:r>
      <w:r w:rsidRPr="005071A1">
        <w:tab/>
        <w:t>Where in the opinion of the Commissioner for Superannuation payment of pension, refund of contributions or other benefit under this Act should, for any reason (including the reason that the pensioner or beneficiary is insane or undergoing imprisonment or is otherwise under a disability), be made to a person other than the pensioner or beneficiary, the Commissioner for Superannuation may, subject to this Act, authorize payment to such person accordingly.</w:t>
      </w:r>
    </w:p>
    <w:p w14:paraId="2CCCE50C" w14:textId="77777777" w:rsidR="00B33542" w:rsidRPr="005071A1" w:rsidRDefault="00B33542" w:rsidP="002477D1">
      <w:pPr>
        <w:pStyle w:val="ActHead3"/>
        <w:pageBreakBefore/>
      </w:pPr>
      <w:bookmarkStart w:id="94" w:name="_Toc185577476"/>
      <w:r w:rsidRPr="004510F0">
        <w:rPr>
          <w:rStyle w:val="CharDivNo"/>
        </w:rPr>
        <w:lastRenderedPageBreak/>
        <w:t>Division</w:t>
      </w:r>
      <w:r w:rsidR="008B2950" w:rsidRPr="004510F0">
        <w:rPr>
          <w:rStyle w:val="CharDivNo"/>
        </w:rPr>
        <w:t> </w:t>
      </w:r>
      <w:r w:rsidRPr="004510F0">
        <w:rPr>
          <w:rStyle w:val="CharDivNo"/>
        </w:rPr>
        <w:t>5</w:t>
      </w:r>
      <w:r w:rsidRPr="005071A1">
        <w:t>—</w:t>
      </w:r>
      <w:r w:rsidRPr="004510F0">
        <w:rPr>
          <w:rStyle w:val="CharDivText"/>
        </w:rPr>
        <w:t>Existing pension rights</w:t>
      </w:r>
      <w:bookmarkEnd w:id="94"/>
    </w:p>
    <w:p w14:paraId="4B7BDB78" w14:textId="77777777" w:rsidR="00B33542" w:rsidRPr="005071A1" w:rsidRDefault="00B33542" w:rsidP="00B33542">
      <w:pPr>
        <w:pStyle w:val="ActHead5"/>
      </w:pPr>
      <w:bookmarkStart w:id="95" w:name="_Toc185577477"/>
      <w:r w:rsidRPr="004510F0">
        <w:rPr>
          <w:rStyle w:val="CharSectno"/>
        </w:rPr>
        <w:t>66</w:t>
      </w:r>
      <w:r w:rsidRPr="005071A1">
        <w:t xml:space="preserve">  Application of Division</w:t>
      </w:r>
      <w:bookmarkEnd w:id="95"/>
    </w:p>
    <w:p w14:paraId="699F69D3" w14:textId="77777777" w:rsidR="00B33542" w:rsidRPr="005071A1" w:rsidRDefault="00B33542" w:rsidP="00B33542">
      <w:pPr>
        <w:pStyle w:val="subsection"/>
      </w:pPr>
      <w:r w:rsidRPr="005071A1">
        <w:tab/>
        <w:t>(1)</w:t>
      </w:r>
      <w:r w:rsidRPr="005071A1">
        <w:tab/>
        <w:t xml:space="preserve">The succeeding sections of this Division do not apply in relation to a person in relation to whom </w:t>
      </w:r>
      <w:r w:rsidR="004510F0">
        <w:t>section 1</w:t>
      </w:r>
      <w:r w:rsidRPr="005071A1">
        <w:t>19H applies.</w:t>
      </w:r>
    </w:p>
    <w:p w14:paraId="23ABBEB0" w14:textId="77777777" w:rsidR="00B33542" w:rsidRPr="005071A1" w:rsidRDefault="00B33542" w:rsidP="00B33542">
      <w:pPr>
        <w:pStyle w:val="subsection"/>
      </w:pPr>
      <w:r w:rsidRPr="005071A1">
        <w:tab/>
        <w:t>(2)</w:t>
      </w:r>
      <w:r w:rsidRPr="005071A1">
        <w:tab/>
        <w:t>An employee to whom section</w:t>
      </w:r>
      <w:r w:rsidR="008B2950" w:rsidRPr="005071A1">
        <w:t> </w:t>
      </w:r>
      <w:r w:rsidRPr="005071A1">
        <w:t xml:space="preserve">68 applies and who became an employee before </w:t>
      </w:r>
      <w:r w:rsidR="00594E1E" w:rsidRPr="005071A1">
        <w:t>1 January</w:t>
      </w:r>
      <w:r w:rsidRPr="005071A1">
        <w:t xml:space="preserve"> 1970, may, within three months after the commencement of this section or within such further period as the Board, in special circumstances, allows, elect to contribute in accordance with Division</w:t>
      </w:r>
      <w:r w:rsidR="008B2950" w:rsidRPr="005071A1">
        <w:t> </w:t>
      </w:r>
      <w:r w:rsidRPr="005071A1">
        <w:t xml:space="preserve">2 of Part XA and, in that case, that Division (other than </w:t>
      </w:r>
      <w:r w:rsidR="004510F0">
        <w:t>section 1</w:t>
      </w:r>
      <w:r w:rsidRPr="005071A1">
        <w:t>19M) has effect in relation to him and so has effect as if he had become an employee on the date of the election.</w:t>
      </w:r>
    </w:p>
    <w:p w14:paraId="0EBF2328" w14:textId="77777777" w:rsidR="00B33542" w:rsidRPr="005071A1" w:rsidRDefault="00B33542" w:rsidP="00B33542">
      <w:pPr>
        <w:pStyle w:val="subsection"/>
      </w:pPr>
      <w:r w:rsidRPr="005071A1">
        <w:tab/>
        <w:t>(3)</w:t>
      </w:r>
      <w:r w:rsidRPr="005071A1">
        <w:tab/>
        <w:t xml:space="preserve">Any contribution payable by reason of an election made under </w:t>
      </w:r>
      <w:r w:rsidR="008B2950" w:rsidRPr="005071A1">
        <w:t>subsection (</w:t>
      </w:r>
      <w:r w:rsidRPr="005071A1">
        <w:t>2) is payable as from the date of the election.</w:t>
      </w:r>
    </w:p>
    <w:p w14:paraId="55B4785E" w14:textId="77777777" w:rsidR="00B33542" w:rsidRPr="005071A1" w:rsidRDefault="00B33542" w:rsidP="00B33542">
      <w:pPr>
        <w:pStyle w:val="ActHead5"/>
      </w:pPr>
      <w:bookmarkStart w:id="96" w:name="_Toc185577478"/>
      <w:r w:rsidRPr="004510F0">
        <w:rPr>
          <w:rStyle w:val="CharSectno"/>
        </w:rPr>
        <w:t>67</w:t>
      </w:r>
      <w:r w:rsidRPr="005071A1">
        <w:t xml:space="preserve">  Certain pensioners who become employees not to contribute except in respect of difference</w:t>
      </w:r>
      <w:bookmarkEnd w:id="96"/>
    </w:p>
    <w:p w14:paraId="077A88E4" w14:textId="77777777" w:rsidR="00B33542" w:rsidRPr="005071A1" w:rsidRDefault="00B33542" w:rsidP="00B33542">
      <w:pPr>
        <w:pStyle w:val="subsection"/>
      </w:pPr>
      <w:r w:rsidRPr="005071A1">
        <w:tab/>
        <w:t>(1)</w:t>
      </w:r>
      <w:r w:rsidRPr="005071A1">
        <w:tab/>
        <w:t>Notwithstanding anything contained in this Act, where a person who is in receipt of a pension under this Act (other than a pension under section</w:t>
      </w:r>
      <w:r w:rsidR="008B2950" w:rsidRPr="005071A1">
        <w:t> </w:t>
      </w:r>
      <w:r w:rsidRPr="005071A1">
        <w:t>45, section</w:t>
      </w:r>
      <w:r w:rsidR="008B2950" w:rsidRPr="005071A1">
        <w:t> </w:t>
      </w:r>
      <w:r w:rsidRPr="005071A1">
        <w:t>46 or section</w:t>
      </w:r>
      <w:r w:rsidR="008B2950" w:rsidRPr="005071A1">
        <w:t> </w:t>
      </w:r>
      <w:r w:rsidRPr="005071A1">
        <w:t>47) becomes an employee, he shall not contribute for units of pension under this Act (other than units for which he commenced to contribute before he so became an employee) except as provided by this section.</w:t>
      </w:r>
    </w:p>
    <w:p w14:paraId="02E24509" w14:textId="77777777" w:rsidR="00B33542" w:rsidRPr="005071A1" w:rsidRDefault="00B33542" w:rsidP="00B33542">
      <w:pPr>
        <w:pStyle w:val="subsection"/>
      </w:pPr>
      <w:r w:rsidRPr="005071A1">
        <w:tab/>
        <w:t>(2)</w:t>
      </w:r>
      <w:r w:rsidRPr="005071A1">
        <w:tab/>
        <w:t xml:space="preserve">Where the sum of the number of units of pension in respect of which an employee referred to in </w:t>
      </w:r>
      <w:r w:rsidR="008B2950" w:rsidRPr="005071A1">
        <w:t>subsection (</w:t>
      </w:r>
      <w:r w:rsidRPr="005071A1">
        <w:t xml:space="preserve">1) is in receipt of a pension under this Act and the number of units of pension (if any) under this Act for which he is a contributor and for which he commenced to contribute before he became an employee is less than the number of units of pension ascertained in accordance with </w:t>
      </w:r>
      <w:r w:rsidR="008B2950" w:rsidRPr="005071A1">
        <w:lastRenderedPageBreak/>
        <w:t>subsection (</w:t>
      </w:r>
      <w:r w:rsidRPr="005071A1">
        <w:t>2) of section</w:t>
      </w:r>
      <w:r w:rsidR="008B2950" w:rsidRPr="005071A1">
        <w:t> </w:t>
      </w:r>
      <w:r w:rsidRPr="005071A1">
        <w:t>20 as it would apply in relation to him if he were not in receipt of a pension under this Act, the employee may, within the prescribed time, elect to come under this Act for the purpose of the difference.</w:t>
      </w:r>
    </w:p>
    <w:p w14:paraId="3D7F1235" w14:textId="77777777" w:rsidR="00B33542" w:rsidRPr="005071A1" w:rsidRDefault="00B33542" w:rsidP="00B33542">
      <w:pPr>
        <w:pStyle w:val="subsection"/>
      </w:pPr>
      <w:r w:rsidRPr="005071A1">
        <w:tab/>
        <w:t>(3)</w:t>
      </w:r>
      <w:r w:rsidRPr="005071A1">
        <w:tab/>
        <w:t xml:space="preserve">If an employee elects under </w:t>
      </w:r>
      <w:r w:rsidR="008B2950" w:rsidRPr="005071A1">
        <w:t>subsection (</w:t>
      </w:r>
      <w:r w:rsidRPr="005071A1">
        <w:t>2) to come under this Act for the purpose of the difference, this Act applies, for the purpose of that difference, as if he were an employee not in receipt of a pension under this Act except that:</w:t>
      </w:r>
    </w:p>
    <w:p w14:paraId="4EEA4DFA" w14:textId="77777777" w:rsidR="00B33542" w:rsidRPr="005071A1" w:rsidRDefault="00B33542" w:rsidP="00B33542">
      <w:pPr>
        <w:pStyle w:val="paragraph"/>
      </w:pPr>
      <w:r w:rsidRPr="005071A1">
        <w:tab/>
        <w:t>(a)</w:t>
      </w:r>
      <w:r w:rsidRPr="005071A1">
        <w:tab/>
        <w:t>the employee shall not contribute in respect of a number of units of pension exceeding the difference; and</w:t>
      </w:r>
    </w:p>
    <w:p w14:paraId="0DBE4EAF" w14:textId="77777777" w:rsidR="00B33542" w:rsidRPr="005071A1" w:rsidRDefault="00B33542" w:rsidP="00B33542">
      <w:pPr>
        <w:pStyle w:val="paragraph"/>
      </w:pPr>
      <w:r w:rsidRPr="005071A1">
        <w:tab/>
        <w:t>(b)</w:t>
      </w:r>
      <w:r w:rsidRPr="005071A1">
        <w:tab/>
        <w:t>the contributions for the difference are payable as from the date of the election.</w:t>
      </w:r>
    </w:p>
    <w:p w14:paraId="58DD4166" w14:textId="77777777" w:rsidR="00B33542" w:rsidRPr="005071A1" w:rsidRDefault="00B33542" w:rsidP="00B33542">
      <w:pPr>
        <w:pStyle w:val="subsection"/>
      </w:pPr>
      <w:r w:rsidRPr="005071A1">
        <w:tab/>
        <w:t>(4)</w:t>
      </w:r>
      <w:r w:rsidRPr="005071A1">
        <w:tab/>
        <w:t>For the purposes of this section, the difference is the difference between:</w:t>
      </w:r>
    </w:p>
    <w:p w14:paraId="3B22DE3E" w14:textId="77777777" w:rsidR="00B33542" w:rsidRPr="005071A1" w:rsidRDefault="00B33542" w:rsidP="00B33542">
      <w:pPr>
        <w:pStyle w:val="paragraph"/>
      </w:pPr>
      <w:r w:rsidRPr="005071A1">
        <w:tab/>
        <w:t>(a)</w:t>
      </w:r>
      <w:r w:rsidRPr="005071A1">
        <w:tab/>
        <w:t>the sum of the number of units of pension in respect of which the employee is in receipt of a pension under this Act and the number of units of pension (if any) under this Act for which he is a contributor and for which he commenced to contribute before he became an employee; and</w:t>
      </w:r>
    </w:p>
    <w:p w14:paraId="43B4B17D" w14:textId="77777777" w:rsidR="00B33542" w:rsidRPr="005071A1" w:rsidRDefault="00B33542" w:rsidP="00B33542">
      <w:pPr>
        <w:pStyle w:val="paragraph"/>
      </w:pPr>
      <w:r w:rsidRPr="005071A1">
        <w:tab/>
        <w:t>(b)</w:t>
      </w:r>
      <w:r w:rsidRPr="005071A1">
        <w:tab/>
        <w:t xml:space="preserve">the number of units of pension ascertained in accordance with </w:t>
      </w:r>
      <w:r w:rsidR="008B2950" w:rsidRPr="005071A1">
        <w:t>subsection (</w:t>
      </w:r>
      <w:r w:rsidRPr="005071A1">
        <w:t>2) of section</w:t>
      </w:r>
      <w:r w:rsidR="008B2950" w:rsidRPr="005071A1">
        <w:t> </w:t>
      </w:r>
      <w:r w:rsidRPr="005071A1">
        <w:t>20 as it would apply from time to time in relation to him if he were not in receipt of a pension under this Act.</w:t>
      </w:r>
    </w:p>
    <w:p w14:paraId="0609CE66" w14:textId="77777777" w:rsidR="00B33542" w:rsidRPr="005071A1" w:rsidRDefault="00B33542" w:rsidP="00B33542">
      <w:pPr>
        <w:pStyle w:val="subsection"/>
      </w:pPr>
      <w:r w:rsidRPr="005071A1">
        <w:tab/>
        <w:t>(5)</w:t>
      </w:r>
      <w:r w:rsidRPr="005071A1">
        <w:tab/>
        <w:t xml:space="preserve">Notwithstanding anything in the preceding provisions of this section, an employee is not entitled to make an election under </w:t>
      </w:r>
      <w:r w:rsidR="008B2950" w:rsidRPr="005071A1">
        <w:t>subsection (</w:t>
      </w:r>
      <w:r w:rsidRPr="005071A1">
        <w:t>2) after 31</w:t>
      </w:r>
      <w:r w:rsidR="008B2950" w:rsidRPr="005071A1">
        <w:t> </w:t>
      </w:r>
      <w:r w:rsidRPr="005071A1">
        <w:t>July 1976, and any election made after the pay</w:t>
      </w:r>
      <w:r w:rsidR="004510F0">
        <w:noBreakHyphen/>
      </w:r>
      <w:r w:rsidRPr="005071A1">
        <w:t>day last preceding 1</w:t>
      </w:r>
      <w:r w:rsidR="008B2950" w:rsidRPr="005071A1">
        <w:t> </w:t>
      </w:r>
      <w:r w:rsidRPr="005071A1">
        <w:t>July 1976 and on or before 31</w:t>
      </w:r>
      <w:r w:rsidR="008B2950" w:rsidRPr="005071A1">
        <w:t> </w:t>
      </w:r>
      <w:r w:rsidRPr="005071A1">
        <w:t>July 1976 shall be deemed to have been made on that pay</w:t>
      </w:r>
      <w:r w:rsidR="004510F0">
        <w:noBreakHyphen/>
      </w:r>
      <w:r w:rsidRPr="005071A1">
        <w:t>day.</w:t>
      </w:r>
    </w:p>
    <w:p w14:paraId="413FC532" w14:textId="77777777" w:rsidR="00B33542" w:rsidRPr="005071A1" w:rsidRDefault="00B33542" w:rsidP="00B33542">
      <w:pPr>
        <w:pStyle w:val="ActHead5"/>
      </w:pPr>
      <w:bookmarkStart w:id="97" w:name="_Toc185577479"/>
      <w:r w:rsidRPr="004510F0">
        <w:rPr>
          <w:rStyle w:val="CharSectno"/>
        </w:rPr>
        <w:lastRenderedPageBreak/>
        <w:t>68</w:t>
      </w:r>
      <w:r w:rsidRPr="005071A1">
        <w:t xml:space="preserve">  Rights under other Acts and State Acts</w:t>
      </w:r>
      <w:bookmarkEnd w:id="97"/>
    </w:p>
    <w:p w14:paraId="467CD419" w14:textId="77777777" w:rsidR="00B33542" w:rsidRPr="005071A1" w:rsidRDefault="00B33542" w:rsidP="00B33542">
      <w:pPr>
        <w:pStyle w:val="subsection"/>
      </w:pPr>
      <w:r w:rsidRPr="005071A1">
        <w:tab/>
      </w:r>
      <w:r w:rsidRPr="005071A1">
        <w:tab/>
        <w:t xml:space="preserve">Notwithstanding anything contained in this Act, an employee who has a vested or contingent right to a pension (other than a widow’s pension under the </w:t>
      </w:r>
      <w:r w:rsidRPr="005071A1">
        <w:rPr>
          <w:i/>
        </w:rPr>
        <w:t>Defence Forces Retirement Benefits Act 1948</w:t>
      </w:r>
      <w:r w:rsidR="004510F0">
        <w:rPr>
          <w:i/>
        </w:rPr>
        <w:noBreakHyphen/>
      </w:r>
      <w:r w:rsidRPr="005071A1">
        <w:rPr>
          <w:i/>
        </w:rPr>
        <w:t>1959</w:t>
      </w:r>
      <w:r w:rsidRPr="005071A1">
        <w:t xml:space="preserve"> or under the </w:t>
      </w:r>
      <w:r w:rsidRPr="005071A1">
        <w:rPr>
          <w:i/>
        </w:rPr>
        <w:t>Defence Force Retirement and Death Benefits Act 1973</w:t>
      </w:r>
      <w:r w:rsidRPr="005071A1">
        <w:t xml:space="preserve">), superannuation allowance, or gratuity under any other Act (not including the </w:t>
      </w:r>
      <w:r w:rsidRPr="005071A1">
        <w:rPr>
          <w:i/>
        </w:rPr>
        <w:t>Repatriation Act 1920</w:t>
      </w:r>
      <w:r w:rsidR="004510F0">
        <w:rPr>
          <w:i/>
        </w:rPr>
        <w:noBreakHyphen/>
      </w:r>
      <w:r w:rsidRPr="005071A1">
        <w:rPr>
          <w:i/>
        </w:rPr>
        <w:t xml:space="preserve">1957 </w:t>
      </w:r>
      <w:r w:rsidRPr="005071A1">
        <w:t xml:space="preserve">or the </w:t>
      </w:r>
      <w:r w:rsidRPr="005071A1">
        <w:rPr>
          <w:i/>
        </w:rPr>
        <w:t>Repatriation (Far East Strategic Reserve) Act 1956</w:t>
      </w:r>
      <w:r w:rsidRPr="005071A1">
        <w:t>) or State Act shall not be required or permitted to contribute for units of pension under this Act, except in pursuance of the provisions of this Division, nor shall pension under this Act be payable to or in respect of any such employee except in pursuance of those provisions.</w:t>
      </w:r>
    </w:p>
    <w:p w14:paraId="3DE1A11E" w14:textId="77777777" w:rsidR="00B33542" w:rsidRPr="005071A1" w:rsidRDefault="00B33542" w:rsidP="00B33542">
      <w:pPr>
        <w:pStyle w:val="ActHead5"/>
      </w:pPr>
      <w:bookmarkStart w:id="98" w:name="_Toc185577480"/>
      <w:r w:rsidRPr="004510F0">
        <w:rPr>
          <w:rStyle w:val="CharSectno"/>
        </w:rPr>
        <w:t>69</w:t>
      </w:r>
      <w:r w:rsidRPr="005071A1">
        <w:t xml:space="preserve">  Election to come under Act for difference</w:t>
      </w:r>
      <w:bookmarkEnd w:id="98"/>
    </w:p>
    <w:p w14:paraId="13EED42B" w14:textId="77777777" w:rsidR="00B33542" w:rsidRPr="005071A1" w:rsidRDefault="00B33542" w:rsidP="00B33542">
      <w:pPr>
        <w:pStyle w:val="subsection"/>
      </w:pPr>
      <w:r w:rsidRPr="005071A1">
        <w:tab/>
        <w:t>(1)</w:t>
      </w:r>
      <w:r w:rsidRPr="005071A1">
        <w:tab/>
        <w:t>Any employee referred to in section</w:t>
      </w:r>
      <w:r w:rsidR="008B2950" w:rsidRPr="005071A1">
        <w:t> </w:t>
      </w:r>
      <w:r w:rsidRPr="005071A1">
        <w:t>68, who:</w:t>
      </w:r>
    </w:p>
    <w:p w14:paraId="4C4E280C" w14:textId="77777777" w:rsidR="00B33542" w:rsidRPr="005071A1" w:rsidRDefault="00B33542" w:rsidP="00B33542">
      <w:pPr>
        <w:pStyle w:val="paragraph"/>
        <w:keepNext/>
      </w:pPr>
      <w:r w:rsidRPr="005071A1">
        <w:tab/>
        <w:t>(b)</w:t>
      </w:r>
      <w:r w:rsidRPr="005071A1">
        <w:tab/>
        <w:t>has any right, referred to in the last preceding section, which is, under section</w:t>
      </w:r>
      <w:r w:rsidR="008B2950" w:rsidRPr="005071A1">
        <w:t> </w:t>
      </w:r>
      <w:r w:rsidRPr="005071A1">
        <w:t>71 or 72 commutable for new rights in respect of a less number of units than would be applicable under this Act;</w:t>
      </w:r>
    </w:p>
    <w:p w14:paraId="6D633790" w14:textId="77777777" w:rsidR="00B33542" w:rsidRPr="005071A1" w:rsidRDefault="00B33542" w:rsidP="00B33542">
      <w:pPr>
        <w:pStyle w:val="subsection2"/>
      </w:pPr>
      <w:r w:rsidRPr="005071A1">
        <w:t>may, within the prescribed time, elect to come under this Act for the purpose of the difference.</w:t>
      </w:r>
    </w:p>
    <w:p w14:paraId="12577C09" w14:textId="77777777" w:rsidR="00B33542" w:rsidRPr="005071A1" w:rsidRDefault="00B33542" w:rsidP="00B33542">
      <w:pPr>
        <w:pStyle w:val="subsection"/>
      </w:pPr>
      <w:r w:rsidRPr="005071A1">
        <w:tab/>
        <w:t>(2)</w:t>
      </w:r>
      <w:r w:rsidRPr="005071A1">
        <w:tab/>
        <w:t>For the purpose of determining such less number of units (including where necessary a fraction of a unit) the new rights shall be the actuarial equivalent of the rights specified in section</w:t>
      </w:r>
      <w:r w:rsidR="008B2950" w:rsidRPr="005071A1">
        <w:t> </w:t>
      </w:r>
      <w:r w:rsidRPr="005071A1">
        <w:t>68, and, in calculating that actuarial equivalent, all the benefits provided by this Act shall be taken into account.</w:t>
      </w:r>
    </w:p>
    <w:p w14:paraId="413E2E53" w14:textId="77777777" w:rsidR="00B33542" w:rsidRPr="005071A1" w:rsidRDefault="00B33542" w:rsidP="00B33542">
      <w:pPr>
        <w:pStyle w:val="subsection"/>
      </w:pPr>
      <w:r w:rsidRPr="005071A1">
        <w:tab/>
        <w:t>(3)</w:t>
      </w:r>
      <w:r w:rsidRPr="005071A1">
        <w:tab/>
        <w:t xml:space="preserve">If an employee elects under </w:t>
      </w:r>
      <w:r w:rsidR="008B2950" w:rsidRPr="005071A1">
        <w:t>subsection (</w:t>
      </w:r>
      <w:r w:rsidRPr="005071A1">
        <w:t>1), to come under this Act for the purpose of the difference, this Act shall, for the purpose of that difference, apply as if he were an employee not having any rights under section</w:t>
      </w:r>
      <w:r w:rsidR="008B2950" w:rsidRPr="005071A1">
        <w:t> </w:t>
      </w:r>
      <w:r w:rsidRPr="005071A1">
        <w:t>68, subject to the following qualifications:</w:t>
      </w:r>
    </w:p>
    <w:p w14:paraId="098403D1" w14:textId="77777777" w:rsidR="00B33542" w:rsidRPr="005071A1" w:rsidRDefault="00B33542" w:rsidP="00B33542">
      <w:pPr>
        <w:pStyle w:val="paragraph"/>
      </w:pPr>
      <w:r w:rsidRPr="005071A1">
        <w:lastRenderedPageBreak/>
        <w:tab/>
        <w:t>(a)</w:t>
      </w:r>
      <w:r w:rsidRPr="005071A1">
        <w:tab/>
        <w:t>the contributions shall not be in respect of more than the difference;</w:t>
      </w:r>
    </w:p>
    <w:p w14:paraId="28931E5A" w14:textId="77777777" w:rsidR="00B33542" w:rsidRPr="005071A1" w:rsidRDefault="00B33542" w:rsidP="00B33542">
      <w:pPr>
        <w:pStyle w:val="paragraph"/>
      </w:pPr>
      <w:r w:rsidRPr="005071A1">
        <w:tab/>
        <w:t>(b)</w:t>
      </w:r>
      <w:r w:rsidRPr="005071A1">
        <w:tab/>
        <w:t>for the purpose of the adjustment of the difference, the contributions shall, where necessary, be in respect of a fraction of a unit; and</w:t>
      </w:r>
    </w:p>
    <w:p w14:paraId="2F0029BB" w14:textId="77777777" w:rsidR="00B33542" w:rsidRPr="005071A1" w:rsidRDefault="00B33542" w:rsidP="00B33542">
      <w:pPr>
        <w:pStyle w:val="paragraph"/>
      </w:pPr>
      <w:r w:rsidRPr="005071A1">
        <w:tab/>
        <w:t>(c)</w:t>
      </w:r>
      <w:r w:rsidRPr="005071A1">
        <w:tab/>
        <w:t>the contributions shall be payable as from the date of the election.</w:t>
      </w:r>
    </w:p>
    <w:p w14:paraId="344DA5E7" w14:textId="77777777" w:rsidR="00B33542" w:rsidRPr="005071A1" w:rsidRDefault="00B33542" w:rsidP="00B33542">
      <w:pPr>
        <w:pStyle w:val="subsection"/>
      </w:pPr>
      <w:r w:rsidRPr="005071A1">
        <w:tab/>
        <w:t>(4)</w:t>
      </w:r>
      <w:r w:rsidRPr="005071A1">
        <w:tab/>
        <w:t xml:space="preserve">For the purposes of this section </w:t>
      </w:r>
      <w:r w:rsidRPr="005071A1">
        <w:rPr>
          <w:b/>
          <w:i/>
        </w:rPr>
        <w:t>the difference</w:t>
      </w:r>
      <w:r w:rsidRPr="005071A1">
        <w:t xml:space="preserve"> means the difference between the actuarial value, as at the date an employee comes under this Act, of the benefits by way of pension or retiring allowance to which the employee is then entitled by virtue of his rights under some other Act or State Act and the benefits which would, were he not entitled to those rights, be applicable, from time to time, under this Act.</w:t>
      </w:r>
    </w:p>
    <w:p w14:paraId="21E266E3" w14:textId="77777777" w:rsidR="00B33542" w:rsidRPr="005071A1" w:rsidRDefault="00B33542" w:rsidP="00B33542">
      <w:pPr>
        <w:pStyle w:val="subsection"/>
      </w:pPr>
      <w:r w:rsidRPr="005071A1">
        <w:tab/>
        <w:t>(5)</w:t>
      </w:r>
      <w:r w:rsidRPr="005071A1">
        <w:tab/>
        <w:t xml:space="preserve">Notwithstanding anything in the preceding provisions of this section, an employee is not entitled to make an election under </w:t>
      </w:r>
      <w:r w:rsidR="008B2950" w:rsidRPr="005071A1">
        <w:t>subsection (</w:t>
      </w:r>
      <w:r w:rsidRPr="005071A1">
        <w:t>1) after 31</w:t>
      </w:r>
      <w:r w:rsidR="008B2950" w:rsidRPr="005071A1">
        <w:t> </w:t>
      </w:r>
      <w:r w:rsidRPr="005071A1">
        <w:t>July 1976, and any election made after the pay</w:t>
      </w:r>
      <w:r w:rsidR="004510F0">
        <w:noBreakHyphen/>
      </w:r>
      <w:r w:rsidRPr="005071A1">
        <w:t>day last preceding 1</w:t>
      </w:r>
      <w:r w:rsidR="008B2950" w:rsidRPr="005071A1">
        <w:t> </w:t>
      </w:r>
      <w:r w:rsidRPr="005071A1">
        <w:t>July 1976 and on or before 31</w:t>
      </w:r>
      <w:r w:rsidR="008B2950" w:rsidRPr="005071A1">
        <w:t> </w:t>
      </w:r>
      <w:r w:rsidRPr="005071A1">
        <w:t>July 1976 shall be deemed to have been made on that pay</w:t>
      </w:r>
      <w:r w:rsidR="004510F0">
        <w:noBreakHyphen/>
      </w:r>
      <w:r w:rsidRPr="005071A1">
        <w:t>day.</w:t>
      </w:r>
    </w:p>
    <w:p w14:paraId="0591CF63" w14:textId="77777777" w:rsidR="00B33542" w:rsidRPr="005071A1" w:rsidRDefault="00B33542" w:rsidP="00B33542">
      <w:pPr>
        <w:pStyle w:val="ActHead5"/>
      </w:pPr>
      <w:bookmarkStart w:id="99" w:name="_Toc185577481"/>
      <w:r w:rsidRPr="004510F0">
        <w:rPr>
          <w:rStyle w:val="CharSectno"/>
        </w:rPr>
        <w:t>70</w:t>
      </w:r>
      <w:r w:rsidRPr="005071A1">
        <w:t xml:space="preserve">  Right of employee not electing under section</w:t>
      </w:r>
      <w:r w:rsidR="008B2950" w:rsidRPr="005071A1">
        <w:t> </w:t>
      </w:r>
      <w:r w:rsidRPr="005071A1">
        <w:t>69 to come under Act for limited purposes</w:t>
      </w:r>
      <w:bookmarkEnd w:id="99"/>
    </w:p>
    <w:p w14:paraId="45CDAFED" w14:textId="77777777" w:rsidR="00B33542" w:rsidRPr="005071A1" w:rsidRDefault="00B33542" w:rsidP="00B33542">
      <w:pPr>
        <w:pStyle w:val="subsection"/>
      </w:pPr>
      <w:r w:rsidRPr="005071A1">
        <w:tab/>
        <w:t>(1)</w:t>
      </w:r>
      <w:r w:rsidRPr="005071A1">
        <w:tab/>
        <w:t>Any employee referred to in section</w:t>
      </w:r>
      <w:r w:rsidR="008B2950" w:rsidRPr="005071A1">
        <w:t> </w:t>
      </w:r>
      <w:r w:rsidRPr="005071A1">
        <w:t>68:</w:t>
      </w:r>
    </w:p>
    <w:p w14:paraId="7EE30251" w14:textId="77777777" w:rsidR="00B33542" w:rsidRPr="005071A1" w:rsidRDefault="00B33542" w:rsidP="00B33542">
      <w:pPr>
        <w:pStyle w:val="paragraph"/>
      </w:pPr>
      <w:r w:rsidRPr="005071A1">
        <w:tab/>
        <w:t>(b)</w:t>
      </w:r>
      <w:r w:rsidRPr="005071A1">
        <w:tab/>
        <w:t>who has a right referred to in section</w:t>
      </w:r>
      <w:r w:rsidR="008B2950" w:rsidRPr="005071A1">
        <w:t> </w:t>
      </w:r>
      <w:r w:rsidRPr="005071A1">
        <w:t>68; and</w:t>
      </w:r>
    </w:p>
    <w:p w14:paraId="65DCDADB" w14:textId="77777777" w:rsidR="00B33542" w:rsidRPr="005071A1" w:rsidRDefault="00B33542" w:rsidP="00B33542">
      <w:pPr>
        <w:pStyle w:val="paragraph"/>
        <w:keepNext/>
      </w:pPr>
      <w:r w:rsidRPr="005071A1">
        <w:tab/>
        <w:t>(c)</w:t>
      </w:r>
      <w:r w:rsidRPr="005071A1">
        <w:tab/>
        <w:t>who has not the right to elect under section</w:t>
      </w:r>
      <w:r w:rsidR="008B2950" w:rsidRPr="005071A1">
        <w:t> </w:t>
      </w:r>
      <w:r w:rsidRPr="005071A1">
        <w:t>69, or who, having that right, does not exercise it;</w:t>
      </w:r>
    </w:p>
    <w:p w14:paraId="64C4E018" w14:textId="77777777" w:rsidR="00B33542" w:rsidRPr="005071A1" w:rsidRDefault="00B33542" w:rsidP="00B33542">
      <w:pPr>
        <w:pStyle w:val="subsection2"/>
      </w:pPr>
      <w:r w:rsidRPr="005071A1">
        <w:t>may, within the prescribed time, but not later than 13</w:t>
      </w:r>
      <w:r w:rsidR="008B2950" w:rsidRPr="005071A1">
        <w:t> </w:t>
      </w:r>
      <w:r w:rsidRPr="005071A1">
        <w:t>December 1959, elect to come under this Act for the limited purpose of:</w:t>
      </w:r>
    </w:p>
    <w:p w14:paraId="6FD5DF11" w14:textId="77777777" w:rsidR="00B33542" w:rsidRPr="005071A1" w:rsidRDefault="00B33542" w:rsidP="00B33542">
      <w:pPr>
        <w:pStyle w:val="paragraph"/>
      </w:pPr>
      <w:r w:rsidRPr="005071A1">
        <w:tab/>
        <w:t>(d)</w:t>
      </w:r>
      <w:r w:rsidRPr="005071A1">
        <w:tab/>
        <w:t>a pension for his widow;</w:t>
      </w:r>
    </w:p>
    <w:p w14:paraId="7ADB9405" w14:textId="77777777" w:rsidR="00B33542" w:rsidRPr="005071A1" w:rsidRDefault="00B33542" w:rsidP="00B33542">
      <w:pPr>
        <w:pStyle w:val="paragraph"/>
      </w:pPr>
      <w:r w:rsidRPr="005071A1">
        <w:lastRenderedPageBreak/>
        <w:tab/>
        <w:t>(e)</w:t>
      </w:r>
      <w:r w:rsidRPr="005071A1">
        <w:tab/>
        <w:t>a pension after his death for such of his children as are eligible children; or</w:t>
      </w:r>
    </w:p>
    <w:p w14:paraId="54CA85F7" w14:textId="77777777" w:rsidR="00B33542" w:rsidRPr="005071A1" w:rsidRDefault="00B33542" w:rsidP="00B33542">
      <w:pPr>
        <w:pStyle w:val="paragraph"/>
      </w:pPr>
      <w:r w:rsidRPr="005071A1">
        <w:tab/>
        <w:t>(f)</w:t>
      </w:r>
      <w:r w:rsidRPr="005071A1">
        <w:tab/>
        <w:t xml:space="preserve">pension rights for both widow and children as specified in </w:t>
      </w:r>
      <w:r w:rsidR="008B2950" w:rsidRPr="005071A1">
        <w:t>paragraphs (</w:t>
      </w:r>
      <w:r w:rsidRPr="005071A1">
        <w:t>d) and (e).</w:t>
      </w:r>
    </w:p>
    <w:p w14:paraId="78824233" w14:textId="77777777" w:rsidR="00B33542" w:rsidRPr="005071A1" w:rsidRDefault="00B33542" w:rsidP="00B33542">
      <w:pPr>
        <w:pStyle w:val="subsection"/>
      </w:pPr>
      <w:r w:rsidRPr="005071A1">
        <w:tab/>
        <w:t>(2)</w:t>
      </w:r>
      <w:r w:rsidRPr="005071A1">
        <w:tab/>
        <w:t>If the employee elects to come under this Act for a limited purpose, this Act shall apply for that limited purpose as if he were an employee not having any of the rights specified in section</w:t>
      </w:r>
      <w:r w:rsidR="008B2950" w:rsidRPr="005071A1">
        <w:t> </w:t>
      </w:r>
      <w:r w:rsidRPr="005071A1">
        <w:t>68, subject to the following conditions:</w:t>
      </w:r>
    </w:p>
    <w:p w14:paraId="383286D4" w14:textId="77777777" w:rsidR="00B33542" w:rsidRPr="005071A1" w:rsidRDefault="00B33542" w:rsidP="00B33542">
      <w:pPr>
        <w:pStyle w:val="paragraph"/>
      </w:pPr>
      <w:r w:rsidRPr="005071A1">
        <w:tab/>
        <w:t>(a)</w:t>
      </w:r>
      <w:r w:rsidRPr="005071A1">
        <w:tab/>
        <w:t>the contributions shall, in the case of a pension for the widow, be in respect of one, or one and a half, or two units, and in the case of a pension for a child, in respect of a half unit, and shall be in accordance with such rates as are prescribed;</w:t>
      </w:r>
    </w:p>
    <w:p w14:paraId="056B46DD" w14:textId="77777777" w:rsidR="00B33542" w:rsidRPr="005071A1" w:rsidRDefault="00B33542" w:rsidP="00B33542">
      <w:pPr>
        <w:pStyle w:val="paragraph"/>
      </w:pPr>
      <w:r w:rsidRPr="005071A1">
        <w:tab/>
        <w:t>(b)</w:t>
      </w:r>
      <w:r w:rsidRPr="005071A1">
        <w:tab/>
        <w:t>there shall not be any right except to a pension for the widow or for children, or for both widow and children, as the case may be; and</w:t>
      </w:r>
    </w:p>
    <w:p w14:paraId="7F8A4993" w14:textId="77777777" w:rsidR="00B33542" w:rsidRPr="005071A1" w:rsidRDefault="00B33542" w:rsidP="00B33542">
      <w:pPr>
        <w:pStyle w:val="paragraph"/>
      </w:pPr>
      <w:r w:rsidRPr="005071A1">
        <w:tab/>
        <w:t>(c)</w:t>
      </w:r>
      <w:r w:rsidRPr="005071A1">
        <w:tab/>
        <w:t>the contributions shall be payable as from the first day of the month in which the employee elects to come under this Act for the limited purpose.</w:t>
      </w:r>
    </w:p>
    <w:p w14:paraId="77357C91" w14:textId="77777777" w:rsidR="00B33542" w:rsidRPr="005071A1" w:rsidRDefault="00B33542" w:rsidP="00B33542">
      <w:pPr>
        <w:pStyle w:val="subsection"/>
      </w:pPr>
      <w:r w:rsidRPr="005071A1">
        <w:tab/>
        <w:t>(3)</w:t>
      </w:r>
      <w:r w:rsidRPr="005071A1">
        <w:tab/>
        <w:t>The pension payable under this section for a widow is the sum of:</w:t>
      </w:r>
    </w:p>
    <w:p w14:paraId="59F8C3BB" w14:textId="77777777" w:rsidR="00B33542" w:rsidRPr="005071A1" w:rsidRDefault="00B33542" w:rsidP="00B33542">
      <w:pPr>
        <w:pStyle w:val="paragraph"/>
      </w:pPr>
      <w:r w:rsidRPr="005071A1">
        <w:tab/>
        <w:t>(a)</w:t>
      </w:r>
      <w:r w:rsidRPr="005071A1">
        <w:tab/>
        <w:t>the pension applicable to the number of units in respect of which contributions relating to the widow were made; and</w:t>
      </w:r>
    </w:p>
    <w:p w14:paraId="3779BCEB" w14:textId="77777777" w:rsidR="00B33542" w:rsidRPr="005071A1" w:rsidRDefault="00B33542" w:rsidP="00B33542">
      <w:pPr>
        <w:pStyle w:val="paragraph"/>
      </w:pPr>
      <w:r w:rsidRPr="005071A1">
        <w:tab/>
        <w:t>(b)</w:t>
      </w:r>
      <w:r w:rsidRPr="005071A1">
        <w:tab/>
        <w:t>seventeen</w:t>
      </w:r>
      <w:r w:rsidR="004510F0">
        <w:noBreakHyphen/>
      </w:r>
      <w:r w:rsidRPr="005071A1">
        <w:t>twentyeighths of the pension so applicable.</w:t>
      </w:r>
    </w:p>
    <w:p w14:paraId="545150FF" w14:textId="77777777" w:rsidR="00B33542" w:rsidRPr="005071A1" w:rsidRDefault="00B33542" w:rsidP="00B33542">
      <w:pPr>
        <w:pStyle w:val="subsection"/>
      </w:pPr>
      <w:r w:rsidRPr="005071A1">
        <w:tab/>
        <w:t>(4)</w:t>
      </w:r>
      <w:r w:rsidRPr="005071A1">
        <w:tab/>
        <w:t>The pension payable under this section for a child is pension at the rate applicable under section</w:t>
      </w:r>
      <w:r w:rsidR="008B2950" w:rsidRPr="005071A1">
        <w:t> </w:t>
      </w:r>
      <w:r w:rsidRPr="005071A1">
        <w:t>46, 47 or 48, as the case may be, in respect of a child of a male contributor or pensioner.</w:t>
      </w:r>
    </w:p>
    <w:p w14:paraId="4E9D275E" w14:textId="77777777" w:rsidR="00B33542" w:rsidRPr="005071A1" w:rsidRDefault="00B33542" w:rsidP="00B33542">
      <w:pPr>
        <w:pStyle w:val="subsection"/>
      </w:pPr>
      <w:r w:rsidRPr="005071A1">
        <w:tab/>
        <w:t>(5)</w:t>
      </w:r>
      <w:r w:rsidRPr="005071A1">
        <w:tab/>
        <w:t xml:space="preserve">The Commonwealth shall, in respect of each payment of pension made to a widow in accordance with </w:t>
      </w:r>
      <w:r w:rsidR="008B2950" w:rsidRPr="005071A1">
        <w:t>subsection (</w:t>
      </w:r>
      <w:r w:rsidRPr="005071A1">
        <w:t>3) of this section, pay to the Fund:</w:t>
      </w:r>
    </w:p>
    <w:p w14:paraId="7DFC2E17" w14:textId="77777777" w:rsidR="00B33542" w:rsidRPr="005071A1" w:rsidRDefault="0086505B" w:rsidP="00B33542">
      <w:pPr>
        <w:pStyle w:val="paragraph"/>
      </w:pPr>
      <w:r w:rsidRPr="005071A1">
        <w:tab/>
      </w:r>
      <w:r w:rsidR="00B33542" w:rsidRPr="005071A1">
        <w:t>(a)</w:t>
      </w:r>
      <w:r w:rsidR="00B33542" w:rsidRPr="005071A1">
        <w:tab/>
        <w:t xml:space="preserve">an amount determined in accordance with </w:t>
      </w:r>
      <w:r w:rsidR="008B2950" w:rsidRPr="005071A1">
        <w:t>subsection (</w:t>
      </w:r>
      <w:r w:rsidR="00B33542" w:rsidRPr="005071A1">
        <w:t>2) or (3) of section</w:t>
      </w:r>
      <w:r w:rsidR="008B2950" w:rsidRPr="005071A1">
        <w:t> </w:t>
      </w:r>
      <w:r w:rsidR="00B33542" w:rsidRPr="005071A1">
        <w:t xml:space="preserve">33, as the case requires, with respect to the part </w:t>
      </w:r>
      <w:r w:rsidR="00B33542" w:rsidRPr="005071A1">
        <w:lastRenderedPageBreak/>
        <w:t xml:space="preserve">of the pension payment payable by virtue of </w:t>
      </w:r>
      <w:r w:rsidR="008B2950" w:rsidRPr="005071A1">
        <w:t>paragraph (</w:t>
      </w:r>
      <w:r w:rsidR="00B33542" w:rsidRPr="005071A1">
        <w:t xml:space="preserve">a) of </w:t>
      </w:r>
      <w:r w:rsidR="008B2950" w:rsidRPr="005071A1">
        <w:t>subsection (</w:t>
      </w:r>
      <w:r w:rsidR="00B33542" w:rsidRPr="005071A1">
        <w:t>3) of this section; and</w:t>
      </w:r>
    </w:p>
    <w:p w14:paraId="4E812C9A" w14:textId="77777777" w:rsidR="00B33542" w:rsidRPr="005071A1" w:rsidRDefault="00B33542" w:rsidP="00B33542">
      <w:pPr>
        <w:pStyle w:val="paragraph"/>
      </w:pPr>
      <w:r w:rsidRPr="005071A1">
        <w:tab/>
        <w:t>(b)</w:t>
      </w:r>
      <w:r w:rsidRPr="005071A1">
        <w:tab/>
        <w:t xml:space="preserve">an amount equal to the part of the pension payment payable by virtue of </w:t>
      </w:r>
      <w:r w:rsidR="008B2950" w:rsidRPr="005071A1">
        <w:t>paragraph (</w:t>
      </w:r>
      <w:r w:rsidRPr="005071A1">
        <w:t>b) of that subsection.</w:t>
      </w:r>
    </w:p>
    <w:p w14:paraId="4C9900B6" w14:textId="77777777" w:rsidR="00B33542" w:rsidRPr="005071A1" w:rsidRDefault="00B33542" w:rsidP="00B33542">
      <w:pPr>
        <w:pStyle w:val="ActHead5"/>
      </w:pPr>
      <w:bookmarkStart w:id="100" w:name="_Toc185577482"/>
      <w:r w:rsidRPr="004510F0">
        <w:rPr>
          <w:rStyle w:val="CharSectno"/>
        </w:rPr>
        <w:t>71</w:t>
      </w:r>
      <w:r w:rsidRPr="005071A1">
        <w:t xml:space="preserve">  Exchange of pension rights for equivalent rights under this Act</w:t>
      </w:r>
      <w:bookmarkEnd w:id="100"/>
    </w:p>
    <w:p w14:paraId="24BD2E1F" w14:textId="77777777" w:rsidR="00B33542" w:rsidRPr="005071A1" w:rsidRDefault="00B33542" w:rsidP="00B33542">
      <w:pPr>
        <w:pStyle w:val="subsection"/>
      </w:pPr>
      <w:r w:rsidRPr="005071A1">
        <w:tab/>
        <w:t>(1)</w:t>
      </w:r>
      <w:r w:rsidRPr="005071A1">
        <w:tab/>
        <w:t>Any employee who has a right to a pension or superannuation allowance referred to in section</w:t>
      </w:r>
      <w:r w:rsidR="008B2950" w:rsidRPr="005071A1">
        <w:t> </w:t>
      </w:r>
      <w:r w:rsidRPr="005071A1">
        <w:t xml:space="preserve">68 of this Act (not being a right to a pension under the </w:t>
      </w:r>
      <w:r w:rsidRPr="005071A1">
        <w:rPr>
          <w:i/>
        </w:rPr>
        <w:t>Repatriation Act 1920</w:t>
      </w:r>
      <w:r w:rsidR="004510F0">
        <w:rPr>
          <w:i/>
        </w:rPr>
        <w:noBreakHyphen/>
      </w:r>
      <w:r w:rsidRPr="005071A1">
        <w:rPr>
          <w:i/>
        </w:rPr>
        <w:t>1957</w:t>
      </w:r>
      <w:r w:rsidRPr="005071A1">
        <w:t xml:space="preserve"> or the </w:t>
      </w:r>
      <w:r w:rsidRPr="005071A1">
        <w:rPr>
          <w:i/>
        </w:rPr>
        <w:t>Repatriation (Far East Strategic Reserve) Act 1956</w:t>
      </w:r>
      <w:r w:rsidRPr="005071A1">
        <w:t>) may at any time within twelve months after the commencement of this Act, make application to the Board to transfer that right to the Board, and to receive, in respect of the transferred right, a grant by the Board of such new rights of pension for himself, his widow, and children, as are agreed upon between himself and the Board, being new rights that are the actuarial equivalent of his transferred right.</w:t>
      </w:r>
    </w:p>
    <w:p w14:paraId="089F133D" w14:textId="77777777" w:rsidR="00B33542" w:rsidRPr="005071A1" w:rsidRDefault="00B33542" w:rsidP="00B33542">
      <w:pPr>
        <w:pStyle w:val="subsection"/>
      </w:pPr>
      <w:r w:rsidRPr="005071A1">
        <w:tab/>
        <w:t>(1A)</w:t>
      </w:r>
      <w:r w:rsidRPr="005071A1">
        <w:tab/>
        <w:t xml:space="preserve">Where an employee has transferred his right to the Board in accordance with </w:t>
      </w:r>
      <w:r w:rsidR="008B2950" w:rsidRPr="005071A1">
        <w:t>subsection (</w:t>
      </w:r>
      <w:r w:rsidRPr="005071A1">
        <w:t>1), the new rights of pension shall be such as are agreed upon between himself and the Board, being new rights that are the actuarial equivalent of the transferred right as at the date of the commencement of this subsection.</w:t>
      </w:r>
    </w:p>
    <w:p w14:paraId="59B1B292" w14:textId="77777777" w:rsidR="00B33542" w:rsidRPr="005071A1" w:rsidRDefault="00B33542" w:rsidP="00B33542">
      <w:pPr>
        <w:pStyle w:val="subsection"/>
      </w:pPr>
      <w:r w:rsidRPr="005071A1">
        <w:tab/>
        <w:t>(1B)</w:t>
      </w:r>
      <w:r w:rsidRPr="005071A1">
        <w:tab/>
        <w:t xml:space="preserve">Where an employee, referred to in </w:t>
      </w:r>
      <w:r w:rsidR="008B2950" w:rsidRPr="005071A1">
        <w:t>subsection (</w:t>
      </w:r>
      <w:r w:rsidRPr="005071A1">
        <w:t xml:space="preserve">1), failed to transfer his right to the Board within the time specified in that subsection, he may, within twelve months after the commencement of this subsection, make application to the Board to transfer that right to the Board and to receive a grant of new rights of pension in accordance with </w:t>
      </w:r>
      <w:r w:rsidR="008B2950" w:rsidRPr="005071A1">
        <w:t>subsection (</w:t>
      </w:r>
      <w:r w:rsidRPr="005071A1">
        <w:t>1).</w:t>
      </w:r>
    </w:p>
    <w:p w14:paraId="111C79B6" w14:textId="77777777" w:rsidR="00B33542" w:rsidRPr="005071A1" w:rsidRDefault="00B33542" w:rsidP="00B33542">
      <w:pPr>
        <w:pStyle w:val="subsection"/>
      </w:pPr>
      <w:r w:rsidRPr="005071A1">
        <w:tab/>
        <w:t>(1C)</w:t>
      </w:r>
      <w:r w:rsidRPr="005071A1">
        <w:tab/>
        <w:t xml:space="preserve">A person, having such a right as is referred to in </w:t>
      </w:r>
      <w:r w:rsidR="008B2950" w:rsidRPr="005071A1">
        <w:t>subsection (</w:t>
      </w:r>
      <w:r w:rsidRPr="005071A1">
        <w:t xml:space="preserve">1), who became or becomes an employee after the commencement of this Act, may, within twelve months after the commencement of </w:t>
      </w:r>
      <w:r w:rsidRPr="005071A1">
        <w:lastRenderedPageBreak/>
        <w:t xml:space="preserve">this subsection, or of the commencement of his employment, whichever is the later, make application to the Board to transfer that right to the Board and to receive a grant of new rights of pension in accordance with </w:t>
      </w:r>
      <w:r w:rsidR="008B2950" w:rsidRPr="005071A1">
        <w:t>subsection (</w:t>
      </w:r>
      <w:r w:rsidRPr="005071A1">
        <w:t>1).</w:t>
      </w:r>
    </w:p>
    <w:p w14:paraId="0C75F976" w14:textId="77777777" w:rsidR="00B33542" w:rsidRPr="005071A1" w:rsidRDefault="00B33542" w:rsidP="00B33542">
      <w:pPr>
        <w:pStyle w:val="subsection"/>
      </w:pPr>
      <w:r w:rsidRPr="005071A1">
        <w:tab/>
        <w:t>(1D)</w:t>
      </w:r>
      <w:r w:rsidRPr="005071A1">
        <w:tab/>
        <w:t xml:space="preserve">Where, prior to the commencement of this subsection, an employee has, in pursuance of </w:t>
      </w:r>
      <w:r w:rsidR="008B2950" w:rsidRPr="005071A1">
        <w:t>subsection (</w:t>
      </w:r>
      <w:r w:rsidRPr="005071A1">
        <w:t>1), transferred to the Board a right to a pension or superannuation allowance, and has received a grant of new rights of pension in respect of the transferred right, the employee may, within six months after the commencement of this subsection, elect to receive, in lieu of those new rights, a grant by the Board of the following rights of pension under this Act:</w:t>
      </w:r>
    </w:p>
    <w:p w14:paraId="24EFDC24" w14:textId="77777777" w:rsidR="00B33542" w:rsidRPr="005071A1" w:rsidRDefault="00B33542" w:rsidP="00B33542">
      <w:pPr>
        <w:pStyle w:val="paragraph"/>
      </w:pPr>
      <w:r w:rsidRPr="005071A1">
        <w:tab/>
        <w:t>(a)</w:t>
      </w:r>
      <w:r w:rsidRPr="005071A1">
        <w:tab/>
        <w:t>a pension for himself on retirement equal to seventy</w:t>
      </w:r>
      <w:r w:rsidR="004510F0">
        <w:noBreakHyphen/>
      </w:r>
      <w:r w:rsidRPr="005071A1">
        <w:t>two and one half per centum of the pension which would have been payable to him on retirement if he had not transferred his right; and</w:t>
      </w:r>
    </w:p>
    <w:p w14:paraId="20DD145E" w14:textId="77777777" w:rsidR="00B33542" w:rsidRPr="005071A1" w:rsidRDefault="00B33542" w:rsidP="00B33542">
      <w:pPr>
        <w:pStyle w:val="paragraph"/>
      </w:pPr>
      <w:r w:rsidRPr="005071A1">
        <w:tab/>
        <w:t>(b)</w:t>
      </w:r>
      <w:r w:rsidRPr="005071A1">
        <w:tab/>
        <w:t>on his death:</w:t>
      </w:r>
    </w:p>
    <w:p w14:paraId="5C6311F8" w14:textId="77777777" w:rsidR="00B33542" w:rsidRPr="005071A1" w:rsidRDefault="00B33542" w:rsidP="00B33542">
      <w:pPr>
        <w:pStyle w:val="paragraphsub"/>
      </w:pPr>
      <w:r w:rsidRPr="005071A1">
        <w:tab/>
        <w:t>(i)</w:t>
      </w:r>
      <w:r w:rsidRPr="005071A1">
        <w:tab/>
        <w:t>a pension for his widow equal to thirty</w:t>
      </w:r>
      <w:r w:rsidR="004510F0">
        <w:noBreakHyphen/>
      </w:r>
      <w:r w:rsidRPr="005071A1">
        <w:t>six and one quarter per centum of the pension which would have been payable to him if he had not transferred his right to the Board and had retired immediately prior to his death; and</w:t>
      </w:r>
    </w:p>
    <w:p w14:paraId="5FB53D4B" w14:textId="77777777" w:rsidR="00B33542" w:rsidRPr="005071A1" w:rsidRDefault="00B33542" w:rsidP="00B33542">
      <w:pPr>
        <w:pStyle w:val="paragraphsub"/>
      </w:pPr>
      <w:r w:rsidRPr="005071A1">
        <w:tab/>
        <w:t>(ii)</w:t>
      </w:r>
      <w:r w:rsidRPr="005071A1">
        <w:tab/>
        <w:t>a pension for each of his children who are under the age of sixteen years, at the rate of $26 per annum, until the age of sixteen has been attained.</w:t>
      </w:r>
    </w:p>
    <w:p w14:paraId="46FD5D28" w14:textId="77777777" w:rsidR="00B33542" w:rsidRPr="005071A1" w:rsidRDefault="00B33542" w:rsidP="00B33542">
      <w:pPr>
        <w:pStyle w:val="subsection"/>
      </w:pPr>
      <w:r w:rsidRPr="005071A1">
        <w:tab/>
        <w:t>(1E)</w:t>
      </w:r>
      <w:r w:rsidRPr="005071A1">
        <w:tab/>
        <w:t xml:space="preserve">Where, at the commencement of this subsection, a person is in receipt of a pension under this section and the amount of the pension is less than it would have been if it had been calculated in accordance with </w:t>
      </w:r>
      <w:r w:rsidR="008B2950" w:rsidRPr="005071A1">
        <w:t>subsection (</w:t>
      </w:r>
      <w:r w:rsidRPr="005071A1">
        <w:t xml:space="preserve">1D), that pension shall, as from the commencement of this subsection, be increased to an amount calculated in accordance with </w:t>
      </w:r>
      <w:r w:rsidR="008B2950" w:rsidRPr="005071A1">
        <w:t>subsection (</w:t>
      </w:r>
      <w:r w:rsidRPr="005071A1">
        <w:t xml:space="preserve">1D), and the amount of any pension payable on his death for his widow or children, or for both, shall be calculated in accordance with </w:t>
      </w:r>
      <w:r w:rsidR="008B2950" w:rsidRPr="005071A1">
        <w:t>subsection (</w:t>
      </w:r>
      <w:r w:rsidRPr="005071A1">
        <w:t>1D).</w:t>
      </w:r>
    </w:p>
    <w:p w14:paraId="00EBAB7D" w14:textId="77777777" w:rsidR="00B33542" w:rsidRPr="005071A1" w:rsidRDefault="00B33542" w:rsidP="00B33542">
      <w:pPr>
        <w:pStyle w:val="subsection"/>
      </w:pPr>
      <w:r w:rsidRPr="005071A1">
        <w:lastRenderedPageBreak/>
        <w:tab/>
        <w:t>(2)</w:t>
      </w:r>
      <w:r w:rsidRPr="005071A1">
        <w:tab/>
        <w:t>Where any agreement is made under this section, the employee shall contribute to the Fund to the extent to which he was contributing in respect of his right prior to its being transferred under this section.</w:t>
      </w:r>
    </w:p>
    <w:p w14:paraId="6C1E99B9" w14:textId="77777777" w:rsidR="00B33542" w:rsidRPr="005071A1" w:rsidRDefault="00B33542" w:rsidP="00B33542">
      <w:pPr>
        <w:pStyle w:val="subsection"/>
      </w:pPr>
      <w:r w:rsidRPr="005071A1">
        <w:tab/>
        <w:t>(3)</w:t>
      </w:r>
      <w:r w:rsidRPr="005071A1">
        <w:tab/>
        <w:t xml:space="preserve">Notwithstanding anything in the preceding provisions of this section, an employee is not entitled to make an application under </w:t>
      </w:r>
      <w:r w:rsidR="008B2950" w:rsidRPr="005071A1">
        <w:t>subsection (</w:t>
      </w:r>
      <w:r w:rsidRPr="005071A1">
        <w:t>1C) after 31</w:t>
      </w:r>
      <w:r w:rsidR="008B2950" w:rsidRPr="005071A1">
        <w:t> </w:t>
      </w:r>
      <w:r w:rsidRPr="005071A1">
        <w:t>July 1976 and:</w:t>
      </w:r>
    </w:p>
    <w:p w14:paraId="6CFC3AB4" w14:textId="77777777" w:rsidR="00B33542" w:rsidRPr="005071A1" w:rsidRDefault="00B33542" w:rsidP="00B33542">
      <w:pPr>
        <w:pStyle w:val="paragraph"/>
      </w:pPr>
      <w:r w:rsidRPr="005071A1">
        <w:tab/>
        <w:t>(a)</w:t>
      </w:r>
      <w:r w:rsidRPr="005071A1">
        <w:tab/>
        <w:t>any application made under that subsection on or after 1</w:t>
      </w:r>
      <w:r w:rsidR="008B2950" w:rsidRPr="005071A1">
        <w:t> </w:t>
      </w:r>
      <w:r w:rsidRPr="005071A1">
        <w:t>July 1976 and on or before 31</w:t>
      </w:r>
      <w:r w:rsidR="008B2950" w:rsidRPr="005071A1">
        <w:t> </w:t>
      </w:r>
      <w:r w:rsidRPr="005071A1">
        <w:t>July 1976 shall be made to the Commissioner for Superannuation and this section shall have effect in relation to the application as if references in this section to the Board were references to the Commissioner for Superannuation; and</w:t>
      </w:r>
    </w:p>
    <w:p w14:paraId="2364F15F" w14:textId="77777777" w:rsidR="00B33542" w:rsidRPr="005071A1" w:rsidRDefault="00B33542" w:rsidP="00B33542">
      <w:pPr>
        <w:pStyle w:val="paragraph"/>
      </w:pPr>
      <w:r w:rsidRPr="005071A1">
        <w:tab/>
        <w:t>(b)</w:t>
      </w:r>
      <w:r w:rsidRPr="005071A1">
        <w:tab/>
        <w:t>any application made under that subsection after the pay</w:t>
      </w:r>
      <w:r w:rsidR="004510F0">
        <w:noBreakHyphen/>
      </w:r>
      <w:r w:rsidRPr="005071A1">
        <w:t>day last preceding 1</w:t>
      </w:r>
      <w:r w:rsidR="008B2950" w:rsidRPr="005071A1">
        <w:t> </w:t>
      </w:r>
      <w:r w:rsidRPr="005071A1">
        <w:t>July 1976 and on or before 31</w:t>
      </w:r>
      <w:r w:rsidR="008B2950" w:rsidRPr="005071A1">
        <w:t> </w:t>
      </w:r>
      <w:r w:rsidRPr="005071A1">
        <w:t>July 1976 shall be deemed to have been made on that pay</w:t>
      </w:r>
      <w:r w:rsidR="004510F0">
        <w:noBreakHyphen/>
      </w:r>
      <w:r w:rsidRPr="005071A1">
        <w:t>day.</w:t>
      </w:r>
    </w:p>
    <w:p w14:paraId="728C853A" w14:textId="77777777" w:rsidR="00B33542" w:rsidRPr="005071A1" w:rsidRDefault="00B33542" w:rsidP="00B33542">
      <w:pPr>
        <w:pStyle w:val="ActHead5"/>
      </w:pPr>
      <w:bookmarkStart w:id="101" w:name="_Toc185577483"/>
      <w:r w:rsidRPr="004510F0">
        <w:rPr>
          <w:rStyle w:val="CharSectno"/>
        </w:rPr>
        <w:t>72</w:t>
      </w:r>
      <w:r w:rsidRPr="005071A1">
        <w:t xml:space="preserve">  Employee having right to refund or gratuity under other law may exchange his rights for equivalent rights under this Act</w:t>
      </w:r>
      <w:bookmarkEnd w:id="101"/>
    </w:p>
    <w:p w14:paraId="13DFF95C" w14:textId="77777777" w:rsidR="00B33542" w:rsidRPr="005071A1" w:rsidRDefault="00B33542" w:rsidP="00B33542">
      <w:pPr>
        <w:pStyle w:val="subsection"/>
      </w:pPr>
      <w:r w:rsidRPr="005071A1">
        <w:tab/>
        <w:t>(1)</w:t>
      </w:r>
      <w:r w:rsidRPr="005071A1">
        <w:tab/>
        <w:t>Any employee who, under any other Act or State Act, has a vested or contingent right to a refund of contributions with or without interest, or a gratuity, or both refund and gratuity, may, at any time within twelve months after the commencement of this Act, apply to the Board to transfer his right to the Board, and upon such transfer he shall be entitled to receive, in respect of his transferred right, a grant by the Board of such rights of pension under this Act for himself, his widow, and children, as is agreed upon between himself and the Board, being new rights that are the actuarial equivalent of the transferred right.</w:t>
      </w:r>
    </w:p>
    <w:p w14:paraId="126DF87F" w14:textId="77777777" w:rsidR="00B33542" w:rsidRPr="005071A1" w:rsidRDefault="00B33542" w:rsidP="00B33542">
      <w:pPr>
        <w:pStyle w:val="subsection"/>
      </w:pPr>
      <w:r w:rsidRPr="005071A1">
        <w:lastRenderedPageBreak/>
        <w:tab/>
        <w:t>(1A)</w:t>
      </w:r>
      <w:r w:rsidRPr="005071A1">
        <w:tab/>
        <w:t xml:space="preserve">Where an employee has transferred his right to the Board in accordance with </w:t>
      </w:r>
      <w:r w:rsidR="008B2950" w:rsidRPr="005071A1">
        <w:t>subsection (</w:t>
      </w:r>
      <w:r w:rsidRPr="005071A1">
        <w:t>1), the new rights of pension shall be such as are agreed upon between himself and the Board, being new rights that are the actuarial equivalent of the transferred right as at the date of the commencement of this subsection.</w:t>
      </w:r>
    </w:p>
    <w:p w14:paraId="1FE2CAD9" w14:textId="77777777" w:rsidR="00B33542" w:rsidRPr="005071A1" w:rsidRDefault="00B33542" w:rsidP="00B33542">
      <w:pPr>
        <w:pStyle w:val="subsection"/>
      </w:pPr>
      <w:r w:rsidRPr="005071A1">
        <w:tab/>
        <w:t>(1B)</w:t>
      </w:r>
      <w:r w:rsidRPr="005071A1">
        <w:tab/>
        <w:t xml:space="preserve">Where any employee, referred to in </w:t>
      </w:r>
      <w:r w:rsidR="008B2950" w:rsidRPr="005071A1">
        <w:t>subsection (</w:t>
      </w:r>
      <w:r w:rsidRPr="005071A1">
        <w:t xml:space="preserve">1), failed to transfer his right to the Board within the time specified in that subsection, he may, within twelve months after the commencement of this subsection, make application to the Board to transfer that right to the Board and to receive a grant of new rights of pension in accordance with </w:t>
      </w:r>
      <w:r w:rsidR="008B2950" w:rsidRPr="005071A1">
        <w:t>subsection (</w:t>
      </w:r>
      <w:r w:rsidRPr="005071A1">
        <w:t>1).</w:t>
      </w:r>
    </w:p>
    <w:p w14:paraId="5A8CAED6" w14:textId="77777777" w:rsidR="00B33542" w:rsidRPr="005071A1" w:rsidRDefault="00B33542" w:rsidP="00B33542">
      <w:pPr>
        <w:pStyle w:val="subsection"/>
      </w:pPr>
      <w:r w:rsidRPr="005071A1">
        <w:tab/>
        <w:t>(1C)</w:t>
      </w:r>
      <w:r w:rsidRPr="005071A1">
        <w:tab/>
        <w:t xml:space="preserve">A person, having such a right as is referred to in </w:t>
      </w:r>
      <w:r w:rsidR="008B2950" w:rsidRPr="005071A1">
        <w:t>subsection (</w:t>
      </w:r>
      <w:r w:rsidRPr="005071A1">
        <w:t xml:space="preserve">1), who became or becomes an employee after the commencement of this Act, may, within twelve months after the commencement of this subsection, or of the commencement of his employment, whichever is the later, make application to the Board to transfer that right to the Board and to receive a grant of new rights of pension in accordance with </w:t>
      </w:r>
      <w:r w:rsidR="008B2950" w:rsidRPr="005071A1">
        <w:t>subsection (</w:t>
      </w:r>
      <w:r w:rsidRPr="005071A1">
        <w:t>1).</w:t>
      </w:r>
    </w:p>
    <w:p w14:paraId="621C36EF" w14:textId="77777777" w:rsidR="00B33542" w:rsidRPr="005071A1" w:rsidRDefault="00B33542" w:rsidP="00B33542">
      <w:pPr>
        <w:pStyle w:val="subsection"/>
      </w:pPr>
      <w:r w:rsidRPr="005071A1">
        <w:tab/>
        <w:t>(2)</w:t>
      </w:r>
      <w:r w:rsidRPr="005071A1">
        <w:tab/>
        <w:t xml:space="preserve">Notwithstanding anything in the preceding provisions of this section, an employee is not entitled to make an application under </w:t>
      </w:r>
      <w:r w:rsidR="008B2950" w:rsidRPr="005071A1">
        <w:t>subsection (</w:t>
      </w:r>
      <w:r w:rsidRPr="005071A1">
        <w:t>1C) after 31</w:t>
      </w:r>
      <w:r w:rsidR="008B2950" w:rsidRPr="005071A1">
        <w:t> </w:t>
      </w:r>
      <w:r w:rsidRPr="005071A1">
        <w:t>July 1976 and:</w:t>
      </w:r>
    </w:p>
    <w:p w14:paraId="6F745DF1" w14:textId="77777777" w:rsidR="00B33542" w:rsidRPr="005071A1" w:rsidRDefault="00B33542" w:rsidP="00B33542">
      <w:pPr>
        <w:pStyle w:val="paragraph"/>
      </w:pPr>
      <w:r w:rsidRPr="005071A1">
        <w:tab/>
        <w:t>(a)</w:t>
      </w:r>
      <w:r w:rsidRPr="005071A1">
        <w:tab/>
        <w:t>any application made under that subsection on or after 1</w:t>
      </w:r>
      <w:r w:rsidR="008B2950" w:rsidRPr="005071A1">
        <w:t> </w:t>
      </w:r>
      <w:r w:rsidRPr="005071A1">
        <w:t>July 1976 and on or before 31</w:t>
      </w:r>
      <w:r w:rsidR="008B2950" w:rsidRPr="005071A1">
        <w:t> </w:t>
      </w:r>
      <w:r w:rsidRPr="005071A1">
        <w:t>July 1976 shall be made to the Commissioner for Superannuation and this section shall have effect in relation to the application as if references in this section to the Board were references to the Commissioner for Superannuation; and</w:t>
      </w:r>
    </w:p>
    <w:p w14:paraId="5E44CEB3" w14:textId="77777777" w:rsidR="00B33542" w:rsidRPr="005071A1" w:rsidRDefault="00B33542" w:rsidP="00B33542">
      <w:pPr>
        <w:pStyle w:val="paragraph"/>
      </w:pPr>
      <w:r w:rsidRPr="005071A1">
        <w:tab/>
        <w:t>(b)</w:t>
      </w:r>
      <w:r w:rsidRPr="005071A1">
        <w:tab/>
        <w:t>any application made under that subsection after the pay</w:t>
      </w:r>
      <w:r w:rsidR="004510F0">
        <w:noBreakHyphen/>
      </w:r>
      <w:r w:rsidRPr="005071A1">
        <w:t>day last preceding 1</w:t>
      </w:r>
      <w:r w:rsidR="008B2950" w:rsidRPr="005071A1">
        <w:t> </w:t>
      </w:r>
      <w:r w:rsidRPr="005071A1">
        <w:t>July 1976 and on or before 31</w:t>
      </w:r>
      <w:r w:rsidR="008B2950" w:rsidRPr="005071A1">
        <w:t> </w:t>
      </w:r>
      <w:r w:rsidRPr="005071A1">
        <w:t>July 1976 shall be deemed to have been made on that pay</w:t>
      </w:r>
      <w:r w:rsidR="004510F0">
        <w:noBreakHyphen/>
      </w:r>
      <w:r w:rsidRPr="005071A1">
        <w:t>day.</w:t>
      </w:r>
    </w:p>
    <w:p w14:paraId="10BA9574" w14:textId="77777777" w:rsidR="00B33542" w:rsidRPr="005071A1" w:rsidRDefault="00B33542" w:rsidP="00B33542">
      <w:pPr>
        <w:pStyle w:val="ActHead5"/>
      </w:pPr>
      <w:bookmarkStart w:id="102" w:name="_Toc185577484"/>
      <w:r w:rsidRPr="004510F0">
        <w:rPr>
          <w:rStyle w:val="CharSectno"/>
        </w:rPr>
        <w:lastRenderedPageBreak/>
        <w:t>73</w:t>
      </w:r>
      <w:r w:rsidRPr="005071A1">
        <w:t xml:space="preserve">  Increase in certain pensions</w:t>
      </w:r>
      <w:bookmarkEnd w:id="102"/>
    </w:p>
    <w:p w14:paraId="6104303F" w14:textId="77777777" w:rsidR="00B33542" w:rsidRPr="005071A1" w:rsidRDefault="00B33542" w:rsidP="00B33542">
      <w:pPr>
        <w:pStyle w:val="subsection"/>
      </w:pPr>
      <w:r w:rsidRPr="005071A1">
        <w:tab/>
        <w:t>(1)</w:t>
      </w:r>
      <w:r w:rsidRPr="005071A1">
        <w:tab/>
        <w:t>The rate of pension payable to a person under sections</w:t>
      </w:r>
      <w:r w:rsidR="008B2950" w:rsidRPr="005071A1">
        <w:t> </w:t>
      </w:r>
      <w:r w:rsidRPr="005071A1">
        <w:t xml:space="preserve">71 or 72 (not being a pension for which contributions were made to a State Fund as defined by </w:t>
      </w:r>
      <w:r w:rsidR="004510F0">
        <w:t>section 1</w:t>
      </w:r>
      <w:r w:rsidRPr="005071A1">
        <w:t xml:space="preserve">01) shall, subject to </w:t>
      </w:r>
      <w:r w:rsidR="008B2950" w:rsidRPr="005071A1">
        <w:t>subsection (</w:t>
      </w:r>
      <w:r w:rsidRPr="005071A1">
        <w:t>2), be increased:</w:t>
      </w:r>
    </w:p>
    <w:p w14:paraId="78BBC80F" w14:textId="77777777" w:rsidR="00B33542" w:rsidRPr="005071A1" w:rsidRDefault="00B33542" w:rsidP="00B33542">
      <w:pPr>
        <w:pStyle w:val="paragraph"/>
      </w:pPr>
      <w:r w:rsidRPr="005071A1">
        <w:tab/>
        <w:t>(a)</w:t>
      </w:r>
      <w:r w:rsidRPr="005071A1">
        <w:tab/>
        <w:t>if the rate of the pension does not exceed $520 per annum—by one</w:t>
      </w:r>
      <w:r w:rsidR="004510F0">
        <w:noBreakHyphen/>
      </w:r>
      <w:r w:rsidRPr="005071A1">
        <w:t>fifth;</w:t>
      </w:r>
    </w:p>
    <w:p w14:paraId="56F6EC39" w14:textId="77777777" w:rsidR="00B33542" w:rsidRPr="005071A1" w:rsidRDefault="00B33542" w:rsidP="00B33542">
      <w:pPr>
        <w:pStyle w:val="paragraph"/>
      </w:pPr>
      <w:r w:rsidRPr="005071A1">
        <w:tab/>
        <w:t>(b)</w:t>
      </w:r>
      <w:r w:rsidRPr="005071A1">
        <w:tab/>
        <w:t>if the rate of pension exceeds $520 per annum but does not exceed $1300 per annum—by $104 per annum; or</w:t>
      </w:r>
    </w:p>
    <w:p w14:paraId="59D11B73" w14:textId="77777777" w:rsidR="00B33542" w:rsidRPr="005071A1" w:rsidRDefault="00B33542" w:rsidP="00B33542">
      <w:pPr>
        <w:pStyle w:val="paragraph"/>
      </w:pPr>
      <w:r w:rsidRPr="005071A1">
        <w:tab/>
        <w:t>(c)</w:t>
      </w:r>
      <w:r w:rsidRPr="005071A1">
        <w:tab/>
        <w:t>if the rate of pension exceeds $1300 per annum but is less than $1404 per annum—by such sum as will increase the rate of that pension to $1404 per annum.</w:t>
      </w:r>
    </w:p>
    <w:p w14:paraId="4616F553" w14:textId="77777777" w:rsidR="00B33542" w:rsidRPr="005071A1" w:rsidRDefault="00B33542" w:rsidP="00B33542">
      <w:pPr>
        <w:pStyle w:val="subsection"/>
      </w:pPr>
      <w:r w:rsidRPr="005071A1">
        <w:tab/>
        <w:t>(2)</w:t>
      </w:r>
      <w:r w:rsidRPr="005071A1">
        <w:tab/>
        <w:t>The rate of pension payable to the widow of a person who, but for his death, would have been entitled to receive a pension under sections</w:t>
      </w:r>
      <w:r w:rsidR="008B2950" w:rsidRPr="005071A1">
        <w:t> </w:t>
      </w:r>
      <w:r w:rsidRPr="005071A1">
        <w:t xml:space="preserve">71 or 72 (not being a pension for which contributions were made to a State Fund as defined by </w:t>
      </w:r>
      <w:r w:rsidR="004510F0">
        <w:t>section 1</w:t>
      </w:r>
      <w:r w:rsidRPr="005071A1">
        <w:t>01) shall be increased:</w:t>
      </w:r>
    </w:p>
    <w:p w14:paraId="79CE563A" w14:textId="77777777" w:rsidR="00B33542" w:rsidRPr="005071A1" w:rsidRDefault="00B33542" w:rsidP="00B33542">
      <w:pPr>
        <w:pStyle w:val="paragraph"/>
      </w:pPr>
      <w:r w:rsidRPr="005071A1">
        <w:tab/>
        <w:t>(a)</w:t>
      </w:r>
      <w:r w:rsidRPr="005071A1">
        <w:tab/>
        <w:t>if the rate of the pension does not exceed $260 per annum—by one</w:t>
      </w:r>
      <w:r w:rsidR="004510F0">
        <w:noBreakHyphen/>
      </w:r>
      <w:r w:rsidRPr="005071A1">
        <w:t>fifth;</w:t>
      </w:r>
    </w:p>
    <w:p w14:paraId="7BCEF08B" w14:textId="77777777" w:rsidR="00B33542" w:rsidRPr="005071A1" w:rsidRDefault="00B33542" w:rsidP="00B33542">
      <w:pPr>
        <w:pStyle w:val="paragraph"/>
      </w:pPr>
      <w:r w:rsidRPr="005071A1">
        <w:tab/>
        <w:t>(b)</w:t>
      </w:r>
      <w:r w:rsidRPr="005071A1">
        <w:tab/>
        <w:t>if the rate of the pension exceeds $260 per annum but does not exceed $650 per annum—by $52 per annum; or</w:t>
      </w:r>
    </w:p>
    <w:p w14:paraId="4CEEFFE7" w14:textId="77777777" w:rsidR="00B33542" w:rsidRPr="005071A1" w:rsidRDefault="00B33542" w:rsidP="00B33542">
      <w:pPr>
        <w:pStyle w:val="paragraph"/>
      </w:pPr>
      <w:r w:rsidRPr="005071A1">
        <w:tab/>
        <w:t>(c)</w:t>
      </w:r>
      <w:r w:rsidRPr="005071A1">
        <w:tab/>
        <w:t>if the rate of the pension exceeds $650 per annum but is less than $702 per annum—by such sum as will increase the rate of that pension to $702 per annum.</w:t>
      </w:r>
    </w:p>
    <w:p w14:paraId="07DC210E" w14:textId="77777777" w:rsidR="00B33542" w:rsidRPr="005071A1" w:rsidRDefault="00B33542" w:rsidP="002028EB">
      <w:pPr>
        <w:pStyle w:val="subsection"/>
        <w:keepNext/>
      </w:pPr>
      <w:r w:rsidRPr="005071A1">
        <w:tab/>
        <w:t>(3)</w:t>
      </w:r>
      <w:r w:rsidRPr="005071A1">
        <w:tab/>
        <w:t>For the purposes of this section, the rate of pension payable under section</w:t>
      </w:r>
      <w:r w:rsidR="008B2950" w:rsidRPr="005071A1">
        <w:t> </w:t>
      </w:r>
      <w:r w:rsidRPr="005071A1">
        <w:t>71 or 72 includes the amount of the increase in the pension effected by section</w:t>
      </w:r>
      <w:r w:rsidR="008B2950" w:rsidRPr="005071A1">
        <w:t> </w:t>
      </w:r>
      <w:r w:rsidRPr="005071A1">
        <w:t xml:space="preserve">31A of the </w:t>
      </w:r>
      <w:r w:rsidRPr="005071A1">
        <w:rPr>
          <w:i/>
        </w:rPr>
        <w:t>Superannuation Act 1948</w:t>
      </w:r>
      <w:r w:rsidRPr="005071A1">
        <w:t xml:space="preserve"> or, in the case of a pension which becomes payable after the commencement of this section, the amount by which the rate of pension would have been increased under section</w:t>
      </w:r>
      <w:r w:rsidR="008B2950" w:rsidRPr="005071A1">
        <w:t> </w:t>
      </w:r>
      <w:r w:rsidRPr="005071A1">
        <w:t xml:space="preserve">31A of that Act if the pension </w:t>
      </w:r>
      <w:r w:rsidRPr="005071A1">
        <w:lastRenderedPageBreak/>
        <w:t>had become payable immediately before the commencement of this section.</w:t>
      </w:r>
    </w:p>
    <w:p w14:paraId="22ECCB4A" w14:textId="77777777" w:rsidR="00B33542" w:rsidRPr="005071A1" w:rsidRDefault="00B33542" w:rsidP="00B33542">
      <w:pPr>
        <w:pStyle w:val="subsection"/>
      </w:pPr>
      <w:r w:rsidRPr="005071A1">
        <w:tab/>
        <w:t>(4)</w:t>
      </w:r>
      <w:r w:rsidRPr="005071A1">
        <w:tab/>
        <w:t>The Commonwealth shall pay to the Superannuation Fund the amount of the increases of pensions effected by this section.</w:t>
      </w:r>
    </w:p>
    <w:p w14:paraId="713F8802" w14:textId="77777777" w:rsidR="00B33542" w:rsidRPr="005071A1" w:rsidRDefault="00B33542" w:rsidP="002477D1">
      <w:pPr>
        <w:pStyle w:val="ActHead3"/>
        <w:pageBreakBefore/>
      </w:pPr>
      <w:bookmarkStart w:id="103" w:name="_Toc185577485"/>
      <w:r w:rsidRPr="004510F0">
        <w:rPr>
          <w:rStyle w:val="CharDivNo"/>
        </w:rPr>
        <w:lastRenderedPageBreak/>
        <w:t>Division</w:t>
      </w:r>
      <w:r w:rsidR="008B2950" w:rsidRPr="004510F0">
        <w:rPr>
          <w:rStyle w:val="CharDivNo"/>
        </w:rPr>
        <w:t> </w:t>
      </w:r>
      <w:r w:rsidRPr="004510F0">
        <w:rPr>
          <w:rStyle w:val="CharDivNo"/>
        </w:rPr>
        <w:t>6</w:t>
      </w:r>
      <w:r w:rsidRPr="005071A1">
        <w:t>—</w:t>
      </w:r>
      <w:r w:rsidRPr="004510F0">
        <w:rPr>
          <w:rStyle w:val="CharDivText"/>
        </w:rPr>
        <w:t>Assurance policies</w:t>
      </w:r>
      <w:bookmarkEnd w:id="103"/>
    </w:p>
    <w:p w14:paraId="2D51A26C" w14:textId="77777777" w:rsidR="00B33542" w:rsidRPr="005071A1" w:rsidRDefault="00B33542" w:rsidP="00B33542">
      <w:pPr>
        <w:pStyle w:val="ActHead5"/>
      </w:pPr>
      <w:bookmarkStart w:id="104" w:name="_Toc185577486"/>
      <w:r w:rsidRPr="004510F0">
        <w:rPr>
          <w:rStyle w:val="CharSectno"/>
        </w:rPr>
        <w:t>74</w:t>
      </w:r>
      <w:r w:rsidRPr="005071A1">
        <w:t xml:space="preserve">  Transfer of policies to Board</w:t>
      </w:r>
      <w:bookmarkEnd w:id="104"/>
    </w:p>
    <w:p w14:paraId="2FD0E014" w14:textId="77777777" w:rsidR="00B33542" w:rsidRPr="005071A1" w:rsidRDefault="00B33542" w:rsidP="00B33542">
      <w:pPr>
        <w:pStyle w:val="subsection"/>
      </w:pPr>
      <w:r w:rsidRPr="005071A1">
        <w:tab/>
        <w:t>(1)</w:t>
      </w:r>
      <w:r w:rsidRPr="005071A1">
        <w:tab/>
        <w:t>Any employee whose life is assured may, with the consent of the Board, transfer the policy (if unencumbered) to the Board or to a person approved by the Board and request the Board to continue the payment of the premiums under the policy.</w:t>
      </w:r>
    </w:p>
    <w:p w14:paraId="7B3126BE" w14:textId="77777777" w:rsidR="00B33542" w:rsidRPr="005071A1" w:rsidRDefault="00B33542" w:rsidP="00B33542">
      <w:pPr>
        <w:pStyle w:val="subsection"/>
      </w:pPr>
      <w:r w:rsidRPr="005071A1">
        <w:tab/>
        <w:t>(2)</w:t>
      </w:r>
      <w:r w:rsidRPr="005071A1">
        <w:tab/>
        <w:t xml:space="preserve">Where a transfer is made under </w:t>
      </w:r>
      <w:r w:rsidR="008B2950" w:rsidRPr="005071A1">
        <w:t>subsection (</w:t>
      </w:r>
      <w:r w:rsidRPr="005071A1">
        <w:t>1) the Board shall duly pay the premiums, and, on the maturity of the policy, shall pay to the employee or to his personal representatives to be administered as part of his estate, any sums received on the policy, less the amount of the premiums paid by the Board with compound interest thereon at the specified rate from the respective dates of payment.</w:t>
      </w:r>
    </w:p>
    <w:p w14:paraId="27A8522B" w14:textId="77777777" w:rsidR="00B33542" w:rsidRPr="005071A1" w:rsidRDefault="00B33542" w:rsidP="00B33542">
      <w:pPr>
        <w:pStyle w:val="subsection"/>
      </w:pPr>
      <w:r w:rsidRPr="005071A1">
        <w:tab/>
        <w:t>(3)</w:t>
      </w:r>
      <w:r w:rsidRPr="005071A1">
        <w:tab/>
        <w:t>Where an employee desires that his policy be re</w:t>
      </w:r>
      <w:r w:rsidR="004510F0">
        <w:noBreakHyphen/>
      </w:r>
      <w:r w:rsidRPr="005071A1">
        <w:t>transferred to him before maturity, or resigns or retires from the Service, the Board may, on receipt of a request for re</w:t>
      </w:r>
      <w:r w:rsidR="004510F0">
        <w:noBreakHyphen/>
      </w:r>
      <w:r w:rsidRPr="005071A1">
        <w:t>transfer, or upon his resignation or retirement, re</w:t>
      </w:r>
      <w:r w:rsidR="004510F0">
        <w:noBreakHyphen/>
      </w:r>
      <w:r w:rsidRPr="005071A1">
        <w:t>transfer the policy to the employee upon payment to the Board of the amount of premiums paid by the Board, with compound interest thereon at the specified rate from the respective dates of payment.</w:t>
      </w:r>
    </w:p>
    <w:p w14:paraId="7F64FAEF" w14:textId="77777777" w:rsidR="00B33542" w:rsidRPr="005071A1" w:rsidRDefault="00B33542" w:rsidP="00B33542">
      <w:pPr>
        <w:pStyle w:val="subsection"/>
      </w:pPr>
      <w:r w:rsidRPr="005071A1">
        <w:tab/>
        <w:t>(4)</w:t>
      </w:r>
      <w:r w:rsidRPr="005071A1">
        <w:tab/>
        <w:t xml:space="preserve">For the purposes of </w:t>
      </w:r>
      <w:r w:rsidR="008B2950" w:rsidRPr="005071A1">
        <w:t>subsections (</w:t>
      </w:r>
      <w:r w:rsidRPr="005071A1">
        <w:t xml:space="preserve">2) and (3), </w:t>
      </w:r>
      <w:r w:rsidRPr="005071A1">
        <w:rPr>
          <w:b/>
          <w:i/>
        </w:rPr>
        <w:t>the specified rate</w:t>
      </w:r>
      <w:r w:rsidRPr="005071A1">
        <w:t xml:space="preserve"> means, in relation to any period, the rate of four per centum per annum or such rate as the Superannuation Fund Investment Trust determines in respect of that period.</w:t>
      </w:r>
    </w:p>
    <w:p w14:paraId="5FFB8F52" w14:textId="77777777" w:rsidR="00B33542" w:rsidRPr="005071A1" w:rsidRDefault="00B33542" w:rsidP="00B33542">
      <w:pPr>
        <w:pStyle w:val="subsection"/>
      </w:pPr>
      <w:r w:rsidRPr="005071A1">
        <w:tab/>
        <w:t>(5)</w:t>
      </w:r>
      <w:r w:rsidRPr="005071A1">
        <w:tab/>
      </w:r>
      <w:r w:rsidR="008B2950" w:rsidRPr="005071A1">
        <w:t>Subsection (</w:t>
      </w:r>
      <w:r w:rsidRPr="005071A1">
        <w:t>1) ceases to have effect on and from 1</w:t>
      </w:r>
      <w:r w:rsidR="008B2950" w:rsidRPr="005071A1">
        <w:t> </w:t>
      </w:r>
      <w:r w:rsidRPr="005071A1">
        <w:t>July 1976.</w:t>
      </w:r>
    </w:p>
    <w:p w14:paraId="50B6173A" w14:textId="77777777" w:rsidR="00B33542" w:rsidRPr="005071A1" w:rsidRDefault="00B33542" w:rsidP="00B33542">
      <w:pPr>
        <w:pStyle w:val="subsection"/>
      </w:pPr>
      <w:r w:rsidRPr="005071A1">
        <w:tab/>
        <w:t>(6)</w:t>
      </w:r>
      <w:r w:rsidRPr="005071A1">
        <w:tab/>
        <w:t xml:space="preserve">Upon the commencement of the </w:t>
      </w:r>
      <w:r w:rsidRPr="005071A1">
        <w:rPr>
          <w:i/>
        </w:rPr>
        <w:t>Superannuation Act 1976</w:t>
      </w:r>
      <w:r w:rsidRPr="005071A1">
        <w:t xml:space="preserve">, a policy that has been transferred to the Board and has not been </w:t>
      </w:r>
      <w:r w:rsidRPr="005071A1">
        <w:lastRenderedPageBreak/>
        <w:t>re</w:t>
      </w:r>
      <w:r w:rsidR="004510F0">
        <w:noBreakHyphen/>
      </w:r>
      <w:r w:rsidRPr="005071A1">
        <w:t xml:space="preserve">transferred by the Board shall, by force of this subsection, be transferred to the Superannuation Fund Investment Trust and, after the commencement of that Act, any reference in </w:t>
      </w:r>
      <w:r w:rsidR="008B2950" w:rsidRPr="005071A1">
        <w:t>subsections (</w:t>
      </w:r>
      <w:r w:rsidRPr="005071A1">
        <w:t>2) and (3) to the Board shall, in the application of those subsections to the policy, be read as a reference to the Superannuation Fund Investment Trust.</w:t>
      </w:r>
    </w:p>
    <w:p w14:paraId="74A5EF1F" w14:textId="77777777" w:rsidR="00B33542" w:rsidRPr="005071A1" w:rsidRDefault="00B33542" w:rsidP="002477D1">
      <w:pPr>
        <w:pStyle w:val="ActHead2"/>
        <w:pageBreakBefore/>
      </w:pPr>
      <w:bookmarkStart w:id="105" w:name="_Toc185577487"/>
      <w:r w:rsidRPr="004510F0">
        <w:rPr>
          <w:rStyle w:val="CharPartNo"/>
        </w:rPr>
        <w:lastRenderedPageBreak/>
        <w:t>Part V</w:t>
      </w:r>
      <w:r w:rsidRPr="005071A1">
        <w:t>—</w:t>
      </w:r>
      <w:r w:rsidRPr="004510F0">
        <w:rPr>
          <w:rStyle w:val="CharPartText"/>
        </w:rPr>
        <w:t>The Provident Account</w:t>
      </w:r>
      <w:bookmarkEnd w:id="105"/>
    </w:p>
    <w:p w14:paraId="1CD37D69" w14:textId="77777777" w:rsidR="00B33542" w:rsidRPr="005071A1" w:rsidRDefault="009B7AF5" w:rsidP="00B33542">
      <w:pPr>
        <w:pStyle w:val="Header"/>
      </w:pPr>
      <w:r w:rsidRPr="004510F0">
        <w:rPr>
          <w:rStyle w:val="CharDivNo"/>
        </w:rPr>
        <w:t xml:space="preserve"> </w:t>
      </w:r>
      <w:r w:rsidRPr="004510F0">
        <w:rPr>
          <w:rStyle w:val="CharDivText"/>
        </w:rPr>
        <w:t xml:space="preserve"> </w:t>
      </w:r>
    </w:p>
    <w:p w14:paraId="787EF670" w14:textId="77777777" w:rsidR="00B33542" w:rsidRPr="005071A1" w:rsidRDefault="00B33542" w:rsidP="00B33542">
      <w:pPr>
        <w:pStyle w:val="ActHead5"/>
      </w:pPr>
      <w:bookmarkStart w:id="106" w:name="_Toc185577488"/>
      <w:r w:rsidRPr="004510F0">
        <w:rPr>
          <w:rStyle w:val="CharSectno"/>
        </w:rPr>
        <w:t>79</w:t>
      </w:r>
      <w:r w:rsidRPr="005071A1">
        <w:t xml:space="preserve">  Contributors to Provident Account</w:t>
      </w:r>
      <w:bookmarkEnd w:id="106"/>
    </w:p>
    <w:p w14:paraId="39C129F6" w14:textId="77777777" w:rsidR="00B33542" w:rsidRPr="005071A1" w:rsidRDefault="00B33542" w:rsidP="00B33542">
      <w:pPr>
        <w:pStyle w:val="subsection"/>
      </w:pPr>
      <w:r w:rsidRPr="005071A1">
        <w:tab/>
        <w:t>(1)</w:t>
      </w:r>
      <w:r w:rsidRPr="005071A1">
        <w:tab/>
        <w:t>The following persons shall be contributors to the Provident Account:</w:t>
      </w:r>
    </w:p>
    <w:p w14:paraId="4273A533" w14:textId="77777777" w:rsidR="00B33542" w:rsidRPr="005071A1" w:rsidRDefault="00B33542" w:rsidP="00B33542">
      <w:pPr>
        <w:pStyle w:val="paragraph"/>
      </w:pPr>
      <w:r w:rsidRPr="005071A1">
        <w:tab/>
        <w:t>(a)</w:t>
      </w:r>
      <w:r w:rsidRPr="005071A1">
        <w:tab/>
        <w:t>employees who, by reason of the operation of section</w:t>
      </w:r>
      <w:r w:rsidR="008B2950" w:rsidRPr="005071A1">
        <w:t> </w:t>
      </w:r>
      <w:r w:rsidRPr="005071A1">
        <w:t xml:space="preserve">5 or </w:t>
      </w:r>
      <w:r w:rsidR="004510F0">
        <w:t>section 1</w:t>
      </w:r>
      <w:r w:rsidRPr="005071A1">
        <w:t>19M, are accepted as contributors to the Provident Account; and</w:t>
      </w:r>
    </w:p>
    <w:p w14:paraId="69955F68" w14:textId="77777777" w:rsidR="00B33542" w:rsidRPr="005071A1" w:rsidRDefault="00B33542" w:rsidP="00B33542">
      <w:pPr>
        <w:pStyle w:val="paragraph"/>
      </w:pPr>
      <w:r w:rsidRPr="005071A1">
        <w:tab/>
        <w:t>(b)</w:t>
      </w:r>
      <w:r w:rsidRPr="005071A1">
        <w:tab/>
        <w:t>employees who elect under section</w:t>
      </w:r>
      <w:r w:rsidR="008B2950" w:rsidRPr="005071A1">
        <w:t> </w:t>
      </w:r>
      <w:r w:rsidRPr="005071A1">
        <w:t>81 to contribute to the Provident Account.</w:t>
      </w:r>
    </w:p>
    <w:p w14:paraId="2279F65E" w14:textId="77777777" w:rsidR="00B33542" w:rsidRPr="005071A1" w:rsidRDefault="00B33542" w:rsidP="00B33542">
      <w:pPr>
        <w:pStyle w:val="subsection"/>
      </w:pPr>
      <w:r w:rsidRPr="005071A1">
        <w:tab/>
        <w:t>(2)</w:t>
      </w:r>
      <w:r w:rsidRPr="005071A1">
        <w:tab/>
        <w:t>Where:</w:t>
      </w:r>
    </w:p>
    <w:p w14:paraId="3BED48F8" w14:textId="77777777" w:rsidR="00B33542" w:rsidRPr="005071A1" w:rsidRDefault="00B33542" w:rsidP="00B33542">
      <w:pPr>
        <w:pStyle w:val="paragraph"/>
      </w:pPr>
      <w:r w:rsidRPr="005071A1">
        <w:tab/>
        <w:t>(a)</w:t>
      </w:r>
      <w:r w:rsidRPr="005071A1">
        <w:tab/>
        <w:t>a person who has become a contributor to the Provident Account otherwise than by virtue of section</w:t>
      </w:r>
      <w:r w:rsidR="008B2950" w:rsidRPr="005071A1">
        <w:t> </w:t>
      </w:r>
      <w:r w:rsidRPr="005071A1">
        <w:t>81 applies to the Board to be allowed to contribute to the Fund under Part III;</w:t>
      </w:r>
    </w:p>
    <w:p w14:paraId="19151D40" w14:textId="77777777" w:rsidR="00B33542" w:rsidRPr="005071A1" w:rsidRDefault="00B33542" w:rsidP="00B33542">
      <w:pPr>
        <w:pStyle w:val="paragraph"/>
      </w:pPr>
      <w:r w:rsidRPr="005071A1">
        <w:tab/>
        <w:t>(b)</w:t>
      </w:r>
      <w:r w:rsidRPr="005071A1">
        <w:tab/>
        <w:t>the person has undergone a medical examination by a legally qualified medical practitioner approved by the Board and a report of the result of the examination has been furnished by the medical practitioner to the Board; and</w:t>
      </w:r>
    </w:p>
    <w:p w14:paraId="5A0FDAD8" w14:textId="77777777" w:rsidR="00B33542" w:rsidRPr="005071A1" w:rsidRDefault="00B33542" w:rsidP="00B33542">
      <w:pPr>
        <w:pStyle w:val="paragraph"/>
        <w:keepNext/>
      </w:pPr>
      <w:r w:rsidRPr="005071A1">
        <w:tab/>
        <w:t>(c)</w:t>
      </w:r>
      <w:r w:rsidRPr="005071A1">
        <w:tab/>
        <w:t>the Board is satisfied, after considering the report of the medical practitioner, that the health and physical fitness of the person are such as to justify his being accepted as a contributor to the Fund under Part III;</w:t>
      </w:r>
    </w:p>
    <w:p w14:paraId="2D4B6BF5" w14:textId="77777777" w:rsidR="00B33542" w:rsidRPr="005071A1" w:rsidRDefault="00B33542" w:rsidP="00B33542">
      <w:pPr>
        <w:pStyle w:val="subsection2"/>
      </w:pPr>
      <w:r w:rsidRPr="005071A1">
        <w:t>the Board may allow him to contribute to the Fund under Part III.</w:t>
      </w:r>
    </w:p>
    <w:p w14:paraId="41796787" w14:textId="77777777" w:rsidR="00B33542" w:rsidRPr="005071A1" w:rsidRDefault="00B33542" w:rsidP="00B33542">
      <w:pPr>
        <w:pStyle w:val="subsection"/>
      </w:pPr>
      <w:r w:rsidRPr="005071A1">
        <w:tab/>
        <w:t>(3)</w:t>
      </w:r>
      <w:r w:rsidRPr="005071A1">
        <w:tab/>
        <w:t xml:space="preserve">Where, in pursuance of </w:t>
      </w:r>
      <w:r w:rsidR="008B2950" w:rsidRPr="005071A1">
        <w:t>subsection (</w:t>
      </w:r>
      <w:r w:rsidRPr="005071A1">
        <w:t>2), the Board decides to allow a contributor to the Provident Account to contribute to the Fund under Part III:</w:t>
      </w:r>
    </w:p>
    <w:p w14:paraId="6985717E" w14:textId="77777777" w:rsidR="00B33542" w:rsidRPr="005071A1" w:rsidRDefault="00B33542" w:rsidP="00B33542">
      <w:pPr>
        <w:pStyle w:val="paragraph"/>
      </w:pPr>
      <w:r w:rsidRPr="005071A1">
        <w:lastRenderedPageBreak/>
        <w:tab/>
        <w:t>(a)</w:t>
      </w:r>
      <w:r w:rsidRPr="005071A1">
        <w:tab/>
        <w:t>he shall, as from the date of the decision of the Board, make no further contributions to the Provident Account, and he ceases to be entitled to any benefit (not being a refund of contributions) that would otherwise be payable from the Provident Account;</w:t>
      </w:r>
    </w:p>
    <w:p w14:paraId="3F5FEB9B" w14:textId="77777777" w:rsidR="00B33542" w:rsidRPr="005071A1" w:rsidRDefault="00B33542" w:rsidP="00B33542">
      <w:pPr>
        <w:pStyle w:val="paragraph"/>
      </w:pPr>
      <w:r w:rsidRPr="005071A1">
        <w:tab/>
        <w:t>(b)</w:t>
      </w:r>
      <w:r w:rsidRPr="005071A1">
        <w:tab/>
        <w:t>he is entitled to a refund of the contributions paid to the Provident Account, together with compound interest on those contributions at the prescribed rate; and</w:t>
      </w:r>
    </w:p>
    <w:p w14:paraId="5DDE644F" w14:textId="77777777" w:rsidR="00B33542" w:rsidRPr="005071A1" w:rsidRDefault="00B33542" w:rsidP="00B33542">
      <w:pPr>
        <w:pStyle w:val="paragraph"/>
      </w:pPr>
      <w:r w:rsidRPr="005071A1">
        <w:tab/>
        <w:t>(c)</w:t>
      </w:r>
      <w:r w:rsidRPr="005071A1">
        <w:tab/>
        <w:t>subject to Division</w:t>
      </w:r>
      <w:r w:rsidR="008B2950" w:rsidRPr="005071A1">
        <w:t> </w:t>
      </w:r>
      <w:r w:rsidRPr="005071A1">
        <w:t>2 of Part XA, he shall contribute to the Fund under Part III as from the date of the decision of the Board or, if that date is not a pay</w:t>
      </w:r>
      <w:r w:rsidR="004510F0">
        <w:noBreakHyphen/>
      </w:r>
      <w:r w:rsidRPr="005071A1">
        <w:t>day, the next succeeding pay</w:t>
      </w:r>
      <w:r w:rsidR="004510F0">
        <w:noBreakHyphen/>
      </w:r>
      <w:r w:rsidRPr="005071A1">
        <w:t>day.</w:t>
      </w:r>
    </w:p>
    <w:p w14:paraId="37BB2415" w14:textId="77777777" w:rsidR="00B33542" w:rsidRPr="005071A1" w:rsidRDefault="00B33542" w:rsidP="00B33542">
      <w:pPr>
        <w:pStyle w:val="subsection"/>
      </w:pPr>
      <w:r w:rsidRPr="005071A1">
        <w:tab/>
        <w:t>(4)</w:t>
      </w:r>
      <w:r w:rsidRPr="005071A1">
        <w:tab/>
        <w:t xml:space="preserve">The Board shall not exercise its powers under </w:t>
      </w:r>
      <w:r w:rsidR="008B2950" w:rsidRPr="005071A1">
        <w:t>subsection (</w:t>
      </w:r>
      <w:r w:rsidRPr="005071A1">
        <w:t>2) in relation to a person who is a contributor to the Provident Account except in pursuance of an application made by the person before 13</w:t>
      </w:r>
      <w:r w:rsidR="008B2950" w:rsidRPr="005071A1">
        <w:t> </w:t>
      </w:r>
      <w:r w:rsidRPr="005071A1">
        <w:t>February 1976.</w:t>
      </w:r>
    </w:p>
    <w:p w14:paraId="21641D5C" w14:textId="77777777" w:rsidR="00B33542" w:rsidRPr="005071A1" w:rsidRDefault="00B33542" w:rsidP="00B33542">
      <w:pPr>
        <w:pStyle w:val="subsection"/>
      </w:pPr>
      <w:r w:rsidRPr="005071A1">
        <w:tab/>
        <w:t>(5)</w:t>
      </w:r>
      <w:r w:rsidRPr="005071A1">
        <w:tab/>
        <w:t>Where, on or after 13</w:t>
      </w:r>
      <w:r w:rsidR="008B2950" w:rsidRPr="005071A1">
        <w:t> </w:t>
      </w:r>
      <w:r w:rsidRPr="005071A1">
        <w:t>February 1976 but before 30</w:t>
      </w:r>
      <w:r w:rsidR="008B2950" w:rsidRPr="005071A1">
        <w:t> </w:t>
      </w:r>
      <w:r w:rsidRPr="005071A1">
        <w:t xml:space="preserve">April 1976, a person who is a contributor to the Provident Account makes application to the Board for the Board to exercise its powers in relation to him under </w:t>
      </w:r>
      <w:r w:rsidR="008B2950" w:rsidRPr="005071A1">
        <w:t>subsection (</w:t>
      </w:r>
      <w:r w:rsidRPr="005071A1">
        <w:t>2) and the application arose out of or is otherwise related to a communication made to the Board by the person before 13</w:t>
      </w:r>
      <w:r w:rsidR="008B2950" w:rsidRPr="005071A1">
        <w:t> </w:t>
      </w:r>
      <w:r w:rsidRPr="005071A1">
        <w:t xml:space="preserve">February 1976, the Board may, for the purposes of </w:t>
      </w:r>
      <w:r w:rsidR="008B2950" w:rsidRPr="005071A1">
        <w:t>subsection (</w:t>
      </w:r>
      <w:r w:rsidRPr="005071A1">
        <w:t>4), treat the application as having been made before that last</w:t>
      </w:r>
      <w:r w:rsidR="004510F0">
        <w:noBreakHyphen/>
      </w:r>
      <w:r w:rsidRPr="005071A1">
        <w:t>mentioned date.</w:t>
      </w:r>
    </w:p>
    <w:p w14:paraId="18C72333" w14:textId="77777777" w:rsidR="00B33542" w:rsidRPr="005071A1" w:rsidRDefault="00B33542" w:rsidP="00B33542">
      <w:pPr>
        <w:pStyle w:val="subsection"/>
      </w:pPr>
      <w:r w:rsidRPr="005071A1">
        <w:tab/>
        <w:t>(6)</w:t>
      </w:r>
      <w:r w:rsidRPr="005071A1">
        <w:tab/>
        <w:t xml:space="preserve">Where an application made to the Board under </w:t>
      </w:r>
      <w:r w:rsidR="008B2950" w:rsidRPr="005071A1">
        <w:t>subsection (</w:t>
      </w:r>
      <w:r w:rsidRPr="005071A1">
        <w:t>2) has not been determined by the Board before 1</w:t>
      </w:r>
      <w:r w:rsidR="008B2950" w:rsidRPr="005071A1">
        <w:t> </w:t>
      </w:r>
      <w:r w:rsidRPr="005071A1">
        <w:t>July 1976, the Commissioner for Superannuation may exercise the powers of the Board under this section in relation to the application.</w:t>
      </w:r>
    </w:p>
    <w:p w14:paraId="2A9E07A9" w14:textId="77777777" w:rsidR="00B33542" w:rsidRPr="005071A1" w:rsidRDefault="00B33542" w:rsidP="00B33542">
      <w:pPr>
        <w:pStyle w:val="subsection"/>
      </w:pPr>
      <w:r w:rsidRPr="005071A1">
        <w:tab/>
        <w:t>(7)</w:t>
      </w:r>
      <w:r w:rsidRPr="005071A1">
        <w:tab/>
        <w:t>Where, after the pay</w:t>
      </w:r>
      <w:r w:rsidR="004510F0">
        <w:noBreakHyphen/>
      </w:r>
      <w:r w:rsidRPr="005071A1">
        <w:t>day last preceding 1</w:t>
      </w:r>
      <w:r w:rsidR="008B2950" w:rsidRPr="005071A1">
        <w:t> </w:t>
      </w:r>
      <w:r w:rsidRPr="005071A1">
        <w:t xml:space="preserve">July 1976, the Board or the Commissioner for Superannuation decides, under </w:t>
      </w:r>
      <w:r w:rsidR="008B2950" w:rsidRPr="005071A1">
        <w:t>subsection (</w:t>
      </w:r>
      <w:r w:rsidRPr="005071A1">
        <w:t xml:space="preserve">2), to allow a contributor to the Provident Account to </w:t>
      </w:r>
      <w:r w:rsidRPr="005071A1">
        <w:lastRenderedPageBreak/>
        <w:t>contribute to the Fund under Part III, the decision shall be deemed to have been made on that pay</w:t>
      </w:r>
      <w:r w:rsidR="004510F0">
        <w:noBreakHyphen/>
      </w:r>
      <w:r w:rsidRPr="005071A1">
        <w:t>day.</w:t>
      </w:r>
    </w:p>
    <w:p w14:paraId="0B98B7B6" w14:textId="77777777" w:rsidR="00B33542" w:rsidRPr="005071A1" w:rsidRDefault="00B33542" w:rsidP="00B33542">
      <w:pPr>
        <w:pStyle w:val="ActHead5"/>
      </w:pPr>
      <w:bookmarkStart w:id="107" w:name="_Toc185577489"/>
      <w:r w:rsidRPr="004510F0">
        <w:rPr>
          <w:rStyle w:val="CharSectno"/>
        </w:rPr>
        <w:t>79A</w:t>
      </w:r>
      <w:r w:rsidRPr="005071A1">
        <w:t xml:space="preserve">  Contributions not payable on or after 1</w:t>
      </w:r>
      <w:r w:rsidR="008B2950" w:rsidRPr="005071A1">
        <w:t> </w:t>
      </w:r>
      <w:r w:rsidRPr="005071A1">
        <w:t>July 1976</w:t>
      </w:r>
      <w:bookmarkEnd w:id="107"/>
    </w:p>
    <w:p w14:paraId="7CCC885F" w14:textId="77777777" w:rsidR="00B33542" w:rsidRPr="005071A1" w:rsidRDefault="00B33542" w:rsidP="00B33542">
      <w:pPr>
        <w:pStyle w:val="subsection"/>
      </w:pPr>
      <w:r w:rsidRPr="005071A1">
        <w:tab/>
      </w:r>
      <w:r w:rsidRPr="005071A1">
        <w:tab/>
        <w:t>Contributions shall not be made under this Part on or after 1</w:t>
      </w:r>
      <w:r w:rsidR="008B2950" w:rsidRPr="005071A1">
        <w:t> </w:t>
      </w:r>
      <w:r w:rsidRPr="005071A1">
        <w:t>July 1976 except contributions the obligation for the payment of which came into existence before 1</w:t>
      </w:r>
      <w:r w:rsidR="008B2950" w:rsidRPr="005071A1">
        <w:t> </w:t>
      </w:r>
      <w:r w:rsidRPr="005071A1">
        <w:t>July 1976.</w:t>
      </w:r>
    </w:p>
    <w:p w14:paraId="4D989AC0" w14:textId="77777777" w:rsidR="00B33542" w:rsidRPr="005071A1" w:rsidRDefault="00B33542" w:rsidP="00B33542">
      <w:pPr>
        <w:pStyle w:val="ActHead5"/>
      </w:pPr>
      <w:bookmarkStart w:id="108" w:name="_Toc185577490"/>
      <w:r w:rsidRPr="004510F0">
        <w:rPr>
          <w:rStyle w:val="CharSectno"/>
        </w:rPr>
        <w:t>80</w:t>
      </w:r>
      <w:r w:rsidRPr="005071A1">
        <w:t xml:space="preserve">  Contributions to Provident Account</w:t>
      </w:r>
      <w:bookmarkEnd w:id="108"/>
    </w:p>
    <w:p w14:paraId="72758380" w14:textId="77777777" w:rsidR="00B33542" w:rsidRPr="005071A1" w:rsidRDefault="00B33542" w:rsidP="00B33542">
      <w:pPr>
        <w:pStyle w:val="subsection"/>
      </w:pPr>
      <w:r w:rsidRPr="005071A1">
        <w:tab/>
        <w:t>(1)</w:t>
      </w:r>
      <w:r w:rsidRPr="005071A1">
        <w:tab/>
        <w:t>The contributions of a contributor to the Provident Account:</w:t>
      </w:r>
    </w:p>
    <w:p w14:paraId="2142B7D8" w14:textId="77777777" w:rsidR="00B33542" w:rsidRPr="005071A1" w:rsidRDefault="00B33542" w:rsidP="00B33542">
      <w:pPr>
        <w:pStyle w:val="paragraph"/>
      </w:pPr>
      <w:r w:rsidRPr="005071A1">
        <w:tab/>
        <w:t>(a)</w:t>
      </w:r>
      <w:r w:rsidRPr="005071A1">
        <w:tab/>
        <w:t>shall be at the rate of 10 cents for each $2 or part of $2 of each fortnightly payment of his salary; and</w:t>
      </w:r>
    </w:p>
    <w:p w14:paraId="17939424" w14:textId="77777777" w:rsidR="00B33542" w:rsidRPr="005071A1" w:rsidRDefault="00B33542" w:rsidP="00B33542">
      <w:pPr>
        <w:pStyle w:val="paragraph"/>
      </w:pPr>
      <w:r w:rsidRPr="005071A1">
        <w:tab/>
        <w:t>(b)</w:t>
      </w:r>
      <w:r w:rsidRPr="005071A1">
        <w:tab/>
        <w:t>shall be deducted from his salary at each payment of salary.</w:t>
      </w:r>
    </w:p>
    <w:p w14:paraId="13A6E52C" w14:textId="77777777" w:rsidR="00B33542" w:rsidRPr="005071A1" w:rsidRDefault="00B33542" w:rsidP="00B33542">
      <w:pPr>
        <w:pStyle w:val="subsection"/>
      </w:pPr>
      <w:r w:rsidRPr="005071A1">
        <w:tab/>
        <w:t>(2)</w:t>
      </w:r>
      <w:r w:rsidRPr="005071A1">
        <w:tab/>
        <w:t xml:space="preserve">A contributor to the Provident Account shall contribute to that Account as from the date from which he would have been required, under </w:t>
      </w:r>
      <w:r w:rsidR="004510F0">
        <w:t>section 1</w:t>
      </w:r>
      <w:r w:rsidRPr="005071A1">
        <w:t>9, to contribute to the Superannuation Fund if he had become a contributor to that Fund.</w:t>
      </w:r>
    </w:p>
    <w:p w14:paraId="04B29664" w14:textId="77777777" w:rsidR="00B33542" w:rsidRPr="005071A1" w:rsidRDefault="00B33542" w:rsidP="00B33542">
      <w:pPr>
        <w:pStyle w:val="subsection"/>
      </w:pPr>
      <w:r w:rsidRPr="005071A1">
        <w:tab/>
        <w:t>(3)</w:t>
      </w:r>
      <w:r w:rsidRPr="005071A1">
        <w:tab/>
        <w:t>Where the salary of a contributor to the Provident Account is increased, contributions payable by him shall be payable as from the date from which the increased salary is payable.</w:t>
      </w:r>
    </w:p>
    <w:p w14:paraId="52401FCB" w14:textId="77777777" w:rsidR="00B33542" w:rsidRPr="005071A1" w:rsidRDefault="00B33542" w:rsidP="00B33542">
      <w:pPr>
        <w:pStyle w:val="subsection"/>
      </w:pPr>
      <w:r w:rsidRPr="005071A1">
        <w:tab/>
        <w:t>(4)</w:t>
      </w:r>
      <w:r w:rsidRPr="005071A1">
        <w:tab/>
        <w:t>Where a contributor to the Provident Account is on leave of absence on the ground of illness, either without pay or at less than full pay, he is liable to pay the contributions which he would have been liable to pay if he had not been absent, but the Board may, upon his application, permit him to pay those contributions in such smaller sums and during such periods as the Board approves.</w:t>
      </w:r>
    </w:p>
    <w:p w14:paraId="011081B2" w14:textId="77777777" w:rsidR="00B33542" w:rsidRPr="005071A1" w:rsidRDefault="00B33542" w:rsidP="00B33542">
      <w:pPr>
        <w:pStyle w:val="subsection"/>
      </w:pPr>
      <w:r w:rsidRPr="005071A1">
        <w:tab/>
        <w:t>(5)</w:t>
      </w:r>
      <w:r w:rsidRPr="005071A1">
        <w:tab/>
        <w:t>Where a contributor to the Provident Account is on leave of absence without pay otherwise than on the ground of illness:</w:t>
      </w:r>
    </w:p>
    <w:p w14:paraId="714C400F" w14:textId="77777777" w:rsidR="00B33542" w:rsidRPr="005071A1" w:rsidRDefault="00B33542" w:rsidP="00B33542">
      <w:pPr>
        <w:pStyle w:val="paragraph"/>
      </w:pPr>
      <w:r w:rsidRPr="005071A1">
        <w:lastRenderedPageBreak/>
        <w:tab/>
        <w:t>(a)</w:t>
      </w:r>
      <w:r w:rsidRPr="005071A1">
        <w:tab/>
        <w:t>if the leave is not required, under the conditions of his employment, to be treated as not forming part of the period of his service—he is liable to pay the contributions that he would have been liable to pay if he had not been absent; and</w:t>
      </w:r>
    </w:p>
    <w:p w14:paraId="15427AB6" w14:textId="77777777" w:rsidR="00B33542" w:rsidRPr="005071A1" w:rsidRDefault="00B33542" w:rsidP="00B33542">
      <w:pPr>
        <w:pStyle w:val="paragraph"/>
      </w:pPr>
      <w:r w:rsidRPr="005071A1">
        <w:tab/>
        <w:t>(b)</w:t>
      </w:r>
      <w:r w:rsidRPr="005071A1">
        <w:tab/>
        <w:t>in any other case—he is not liable or entitled to pay contributions during the period of leave.</w:t>
      </w:r>
    </w:p>
    <w:p w14:paraId="326A4F7E" w14:textId="77777777" w:rsidR="00B33542" w:rsidRPr="005071A1" w:rsidRDefault="00B33542" w:rsidP="00B33542">
      <w:pPr>
        <w:pStyle w:val="subsection"/>
      </w:pPr>
      <w:r w:rsidRPr="005071A1">
        <w:tab/>
        <w:t>(6)</w:t>
      </w:r>
      <w:r w:rsidRPr="005071A1">
        <w:tab/>
        <w:t>The fortnightly salary of a contributor to the Provident Account who is paid salary in respect of periods other than a fortnight shall, for the purposes of this section, be ascertained as prescribed.</w:t>
      </w:r>
    </w:p>
    <w:p w14:paraId="3378512B" w14:textId="77777777" w:rsidR="00B33542" w:rsidRPr="005071A1" w:rsidRDefault="00B33542" w:rsidP="00B33542">
      <w:pPr>
        <w:pStyle w:val="ActHead5"/>
      </w:pPr>
      <w:bookmarkStart w:id="109" w:name="_Toc185577491"/>
      <w:r w:rsidRPr="004510F0">
        <w:rPr>
          <w:rStyle w:val="CharSectno"/>
        </w:rPr>
        <w:t>80A</w:t>
      </w:r>
      <w:r w:rsidRPr="005071A1">
        <w:t xml:space="preserve">  Obligation to make contributions where salary increased after 4</w:t>
      </w:r>
      <w:r w:rsidR="008B2950" w:rsidRPr="005071A1">
        <w:t> </w:t>
      </w:r>
      <w:r w:rsidRPr="005071A1">
        <w:t>February 1976</w:t>
      </w:r>
      <w:bookmarkEnd w:id="109"/>
    </w:p>
    <w:p w14:paraId="29CEA189" w14:textId="77777777" w:rsidR="00B33542" w:rsidRPr="005071A1" w:rsidRDefault="00B33542" w:rsidP="00B33542">
      <w:pPr>
        <w:pStyle w:val="subsection"/>
      </w:pPr>
      <w:r w:rsidRPr="005071A1">
        <w:tab/>
        <w:t>(1)</w:t>
      </w:r>
      <w:r w:rsidRPr="005071A1">
        <w:tab/>
        <w:t>Where the salary of a contributor to the Provident Account is increased and the increased salary is payable from a date after 4</w:t>
      </w:r>
      <w:r w:rsidR="008B2950" w:rsidRPr="005071A1">
        <w:t> </w:t>
      </w:r>
      <w:r w:rsidRPr="005071A1">
        <w:t xml:space="preserve">February 1976, then, subject to </w:t>
      </w:r>
      <w:r w:rsidR="008B2950" w:rsidRPr="005071A1">
        <w:t>subsection (</w:t>
      </w:r>
      <w:r w:rsidRPr="005071A1">
        <w:t xml:space="preserve">2), the increase shall be disregarded for the purposes of </w:t>
      </w:r>
      <w:r w:rsidR="008B2950" w:rsidRPr="005071A1">
        <w:t>subsection (</w:t>
      </w:r>
      <w:r w:rsidRPr="005071A1">
        <w:t>3) of section</w:t>
      </w:r>
      <w:r w:rsidR="008B2950" w:rsidRPr="005071A1">
        <w:t> </w:t>
      </w:r>
      <w:r w:rsidRPr="005071A1">
        <w:t>80.</w:t>
      </w:r>
    </w:p>
    <w:p w14:paraId="7717C01C" w14:textId="77777777" w:rsidR="00B33542" w:rsidRPr="005071A1" w:rsidRDefault="00B33542" w:rsidP="00B33542">
      <w:pPr>
        <w:pStyle w:val="subsection"/>
      </w:pPr>
      <w:r w:rsidRPr="005071A1">
        <w:tab/>
        <w:t>(2)</w:t>
      </w:r>
      <w:r w:rsidRPr="005071A1">
        <w:tab/>
        <w:t>Where:</w:t>
      </w:r>
    </w:p>
    <w:p w14:paraId="6531ECFA" w14:textId="77777777" w:rsidR="00B33542" w:rsidRPr="005071A1" w:rsidRDefault="00B33542" w:rsidP="00B33542">
      <w:pPr>
        <w:pStyle w:val="paragraph"/>
      </w:pPr>
      <w:r w:rsidRPr="005071A1">
        <w:tab/>
        <w:t>(a)</w:t>
      </w:r>
      <w:r w:rsidRPr="005071A1">
        <w:tab/>
        <w:t>a contributor to the Provident Account ceases to be an employee after 4</w:t>
      </w:r>
      <w:r w:rsidR="008B2950" w:rsidRPr="005071A1">
        <w:t> </w:t>
      </w:r>
      <w:r w:rsidRPr="005071A1">
        <w:t>February 1976 and before 1</w:t>
      </w:r>
      <w:r w:rsidR="008B2950" w:rsidRPr="005071A1">
        <w:t> </w:t>
      </w:r>
      <w:r w:rsidRPr="005071A1">
        <w:t>July 1976 otherwise than by reason of death and:</w:t>
      </w:r>
    </w:p>
    <w:p w14:paraId="475D27EF" w14:textId="77777777" w:rsidR="00B33542" w:rsidRPr="005071A1" w:rsidRDefault="00B33542" w:rsidP="00B33542">
      <w:pPr>
        <w:pStyle w:val="paragraphsub"/>
      </w:pPr>
      <w:r w:rsidRPr="005071A1">
        <w:tab/>
        <w:t>(i)</w:t>
      </w:r>
      <w:r w:rsidRPr="005071A1">
        <w:tab/>
        <w:t>benefit is payable to him under section</w:t>
      </w:r>
      <w:r w:rsidR="008B2950" w:rsidRPr="005071A1">
        <w:t> </w:t>
      </w:r>
      <w:r w:rsidRPr="005071A1">
        <w:t>82; or</w:t>
      </w:r>
    </w:p>
    <w:p w14:paraId="5BD1D1FE" w14:textId="77777777" w:rsidR="00B33542" w:rsidRPr="005071A1" w:rsidRDefault="00B33542" w:rsidP="00B33542">
      <w:pPr>
        <w:pStyle w:val="paragraphsub"/>
      </w:pPr>
      <w:r w:rsidRPr="005071A1">
        <w:tab/>
        <w:t>(ii)</w:t>
      </w:r>
      <w:r w:rsidRPr="005071A1">
        <w:tab/>
        <w:t xml:space="preserve">he makes an election under </w:t>
      </w:r>
      <w:r w:rsidR="004510F0">
        <w:t>section 1</w:t>
      </w:r>
      <w:r w:rsidRPr="005071A1">
        <w:t>19U; or</w:t>
      </w:r>
    </w:p>
    <w:p w14:paraId="1B71D2C5" w14:textId="77777777" w:rsidR="00B33542" w:rsidRPr="005071A1" w:rsidRDefault="00B33542" w:rsidP="00B33542">
      <w:pPr>
        <w:pStyle w:val="paragraph"/>
        <w:keepNext/>
      </w:pPr>
      <w:r w:rsidRPr="005071A1">
        <w:tab/>
        <w:t>(b)</w:t>
      </w:r>
      <w:r w:rsidRPr="005071A1">
        <w:tab/>
        <w:t>a contributor to the Provident Account dies after 4</w:t>
      </w:r>
      <w:r w:rsidR="008B2950" w:rsidRPr="005071A1">
        <w:t> </w:t>
      </w:r>
      <w:r w:rsidRPr="005071A1">
        <w:t>February 1976 and before 1</w:t>
      </w:r>
      <w:r w:rsidR="008B2950" w:rsidRPr="005071A1">
        <w:t> </w:t>
      </w:r>
      <w:r w:rsidRPr="005071A1">
        <w:t>July 1976 and benefit is payable in respect of him under section</w:t>
      </w:r>
      <w:r w:rsidR="008B2950" w:rsidRPr="005071A1">
        <w:t> </w:t>
      </w:r>
      <w:r w:rsidRPr="005071A1">
        <w:t>83;</w:t>
      </w:r>
    </w:p>
    <w:p w14:paraId="78AF8CB4" w14:textId="77777777" w:rsidR="00B33542" w:rsidRPr="005071A1" w:rsidRDefault="008B2950" w:rsidP="00B33542">
      <w:pPr>
        <w:pStyle w:val="subsection2"/>
      </w:pPr>
      <w:r w:rsidRPr="005071A1">
        <w:t>subsection (</w:t>
      </w:r>
      <w:r w:rsidR="00B33542" w:rsidRPr="005071A1">
        <w:t>1) does not apply, and shall be deemed not to have applied, to or in relation to him.</w:t>
      </w:r>
    </w:p>
    <w:p w14:paraId="01B5DDFD" w14:textId="77777777" w:rsidR="00B33542" w:rsidRPr="005071A1" w:rsidRDefault="00B33542" w:rsidP="00B33542">
      <w:pPr>
        <w:pStyle w:val="ActHead5"/>
      </w:pPr>
      <w:bookmarkStart w:id="110" w:name="_Toc185577492"/>
      <w:r w:rsidRPr="004510F0">
        <w:rPr>
          <w:rStyle w:val="CharSectno"/>
        </w:rPr>
        <w:t>81</w:t>
      </w:r>
      <w:r w:rsidRPr="005071A1">
        <w:t xml:space="preserve">  Election to contribute to Provident Account</w:t>
      </w:r>
      <w:bookmarkEnd w:id="110"/>
    </w:p>
    <w:p w14:paraId="3911EB7B" w14:textId="77777777" w:rsidR="00B33542" w:rsidRPr="005071A1" w:rsidRDefault="00B33542" w:rsidP="00B33542">
      <w:pPr>
        <w:pStyle w:val="subsection"/>
        <w:keepNext/>
      </w:pPr>
      <w:r w:rsidRPr="005071A1">
        <w:tab/>
        <w:t>(1)</w:t>
      </w:r>
      <w:r w:rsidRPr="005071A1">
        <w:tab/>
        <w:t xml:space="preserve">Any contributor to the Superannuation Fund or any employee who would, but for this section, be required to become a contributor to </w:t>
      </w:r>
      <w:r w:rsidRPr="005071A1">
        <w:lastRenderedPageBreak/>
        <w:t>the Superannuation Fund, whose contributions for his first two units:</w:t>
      </w:r>
    </w:p>
    <w:p w14:paraId="7F83ACD7" w14:textId="77777777" w:rsidR="00B33542" w:rsidRPr="005071A1" w:rsidRDefault="00B33542" w:rsidP="00B33542">
      <w:pPr>
        <w:pStyle w:val="paragraph"/>
      </w:pPr>
      <w:r w:rsidRPr="005071A1">
        <w:tab/>
        <w:t>(a)</w:t>
      </w:r>
      <w:r w:rsidRPr="005071A1">
        <w:tab/>
        <w:t>are or would be at a rate in excess of the rate prescribed for the age of forty</w:t>
      </w:r>
      <w:r w:rsidR="004510F0">
        <w:noBreakHyphen/>
      </w:r>
      <w:r w:rsidRPr="005071A1">
        <w:t>five years based on a retiring age of sixty</w:t>
      </w:r>
      <w:r w:rsidR="004510F0">
        <w:noBreakHyphen/>
      </w:r>
      <w:r w:rsidRPr="005071A1">
        <w:t>five years; and</w:t>
      </w:r>
    </w:p>
    <w:p w14:paraId="798ABF2B" w14:textId="77777777" w:rsidR="00B33542" w:rsidRPr="005071A1" w:rsidRDefault="00B33542" w:rsidP="00B33542">
      <w:pPr>
        <w:pStyle w:val="paragraph"/>
        <w:keepNext/>
      </w:pPr>
      <w:r w:rsidRPr="005071A1">
        <w:tab/>
        <w:t>(b)</w:t>
      </w:r>
      <w:r w:rsidRPr="005071A1">
        <w:tab/>
        <w:t>exceed, or would exceed, an amount equal to five per centum of his salary;</w:t>
      </w:r>
    </w:p>
    <w:p w14:paraId="5AD4D99E" w14:textId="77777777" w:rsidR="00B33542" w:rsidRPr="005071A1" w:rsidRDefault="00B33542" w:rsidP="00B33542">
      <w:pPr>
        <w:pStyle w:val="subsection2"/>
      </w:pPr>
      <w:r w:rsidRPr="005071A1">
        <w:t>may, within six months after the date of commencement of this section, or of the commencement of his employment, whichever is the later, elect to contribute to either the Superannuation Fund or the Provident Account.</w:t>
      </w:r>
    </w:p>
    <w:p w14:paraId="32AD6C20" w14:textId="77777777" w:rsidR="00B33542" w:rsidRPr="005071A1" w:rsidRDefault="00B33542" w:rsidP="00B33542">
      <w:pPr>
        <w:pStyle w:val="subsection"/>
      </w:pPr>
      <w:r w:rsidRPr="005071A1">
        <w:tab/>
        <w:t>(2)</w:t>
      </w:r>
      <w:r w:rsidRPr="005071A1">
        <w:tab/>
        <w:t xml:space="preserve">Where a contributor to the Superannuation Fund elects in pursuance of </w:t>
      </w:r>
      <w:r w:rsidR="008B2950" w:rsidRPr="005071A1">
        <w:t>subsection (</w:t>
      </w:r>
      <w:r w:rsidRPr="005071A1">
        <w:t>1) to contribute to the Provident Account:</w:t>
      </w:r>
    </w:p>
    <w:p w14:paraId="4219C66A" w14:textId="77777777" w:rsidR="00B33542" w:rsidRPr="005071A1" w:rsidRDefault="00B33542" w:rsidP="00B33542">
      <w:pPr>
        <w:pStyle w:val="paragraph"/>
      </w:pPr>
      <w:r w:rsidRPr="005071A1">
        <w:tab/>
        <w:t>(a)</w:t>
      </w:r>
      <w:r w:rsidRPr="005071A1">
        <w:tab/>
        <w:t>he shall, as from the date on which he so elects, make no further contributions to the Superannuation Fund and shall cease to be entitled to any pension or benefit which would otherwise be payable from the Superannuation Fund; and</w:t>
      </w:r>
    </w:p>
    <w:p w14:paraId="71DDB296" w14:textId="77777777" w:rsidR="00B33542" w:rsidRPr="005071A1" w:rsidRDefault="00B33542" w:rsidP="00B33542">
      <w:pPr>
        <w:pStyle w:val="paragraph"/>
      </w:pPr>
      <w:r w:rsidRPr="005071A1">
        <w:tab/>
        <w:t>(b)</w:t>
      </w:r>
      <w:r w:rsidRPr="005071A1">
        <w:tab/>
        <w:t>the Board shall make such adjustment of contributions as, in its opinion, is necessary by reason of the election of the contributor to contribute to the Provident Account.</w:t>
      </w:r>
    </w:p>
    <w:p w14:paraId="61191BC7" w14:textId="77777777" w:rsidR="00B33542" w:rsidRPr="005071A1" w:rsidRDefault="00B33542" w:rsidP="00B33542">
      <w:pPr>
        <w:pStyle w:val="subsection"/>
      </w:pPr>
      <w:r w:rsidRPr="005071A1">
        <w:tab/>
        <w:t>(3)</w:t>
      </w:r>
      <w:r w:rsidRPr="005071A1">
        <w:tab/>
        <w:t>A person is not entitled to make an election under this section after the pay</w:t>
      </w:r>
      <w:r w:rsidR="004510F0">
        <w:noBreakHyphen/>
      </w:r>
      <w:r w:rsidRPr="005071A1">
        <w:t>day last preceding 1</w:t>
      </w:r>
      <w:r w:rsidR="008B2950" w:rsidRPr="005071A1">
        <w:t> </w:t>
      </w:r>
      <w:r w:rsidRPr="005071A1">
        <w:t>July 1976.</w:t>
      </w:r>
    </w:p>
    <w:p w14:paraId="1B4B81BA" w14:textId="77777777" w:rsidR="00B33542" w:rsidRPr="005071A1" w:rsidRDefault="00B33542" w:rsidP="00B33542">
      <w:pPr>
        <w:pStyle w:val="ActHead5"/>
      </w:pPr>
      <w:bookmarkStart w:id="111" w:name="_Toc185577493"/>
      <w:r w:rsidRPr="004510F0">
        <w:rPr>
          <w:rStyle w:val="CharSectno"/>
        </w:rPr>
        <w:t>82</w:t>
      </w:r>
      <w:r w:rsidRPr="005071A1">
        <w:t xml:space="preserve">  Payments on retirement</w:t>
      </w:r>
      <w:bookmarkEnd w:id="111"/>
    </w:p>
    <w:p w14:paraId="3ABC8DA5" w14:textId="77777777" w:rsidR="00B33542" w:rsidRPr="005071A1" w:rsidRDefault="00B33542" w:rsidP="00B33542">
      <w:pPr>
        <w:pStyle w:val="subsection"/>
      </w:pPr>
      <w:r w:rsidRPr="005071A1">
        <w:tab/>
        <w:t>(1)</w:t>
      </w:r>
      <w:r w:rsidRPr="005071A1">
        <w:tab/>
        <w:t>Subject to this Act, where a contributor to the Provident Account retires or is retired on or after having attained the age of sixty years or where his services are terminated:</w:t>
      </w:r>
    </w:p>
    <w:p w14:paraId="6E92BAF2" w14:textId="77777777" w:rsidR="00B33542" w:rsidRPr="005071A1" w:rsidRDefault="00B33542" w:rsidP="00B33542">
      <w:pPr>
        <w:pStyle w:val="paragraph"/>
      </w:pPr>
      <w:r w:rsidRPr="005071A1">
        <w:tab/>
        <w:t>(a)</w:t>
      </w:r>
      <w:r w:rsidRPr="005071A1">
        <w:tab/>
        <w:t>on the ground of invalidity; or</w:t>
      </w:r>
    </w:p>
    <w:p w14:paraId="0E1AC51C" w14:textId="77777777" w:rsidR="00B33542" w:rsidRPr="005071A1" w:rsidRDefault="00B33542" w:rsidP="00B33542">
      <w:pPr>
        <w:pStyle w:val="paragraph"/>
        <w:keepNext/>
      </w:pPr>
      <w:r w:rsidRPr="005071A1">
        <w:lastRenderedPageBreak/>
        <w:tab/>
        <w:t>(b)</w:t>
      </w:r>
      <w:r w:rsidRPr="005071A1">
        <w:tab/>
        <w:t>owing to retrenchment;</w:t>
      </w:r>
    </w:p>
    <w:p w14:paraId="34088BEE" w14:textId="77777777" w:rsidR="00B33542" w:rsidRPr="005071A1" w:rsidRDefault="00B33542" w:rsidP="00B33542">
      <w:pPr>
        <w:pStyle w:val="subsection2"/>
      </w:pPr>
      <w:r w:rsidRPr="005071A1">
        <w:t>there shall be paid to him a sum equal to three times the aggregate of:</w:t>
      </w:r>
    </w:p>
    <w:p w14:paraId="46ECEB3F" w14:textId="77777777" w:rsidR="00B33542" w:rsidRPr="005071A1" w:rsidRDefault="00B33542" w:rsidP="00B33542">
      <w:pPr>
        <w:pStyle w:val="paragraph"/>
      </w:pPr>
      <w:r w:rsidRPr="005071A1">
        <w:tab/>
        <w:t>(c)</w:t>
      </w:r>
      <w:r w:rsidRPr="005071A1">
        <w:tab/>
        <w:t>the contributions paid by him to the Provident Account; and</w:t>
      </w:r>
    </w:p>
    <w:p w14:paraId="0A09BC29" w14:textId="77777777" w:rsidR="00B33542" w:rsidRPr="005071A1" w:rsidRDefault="00B33542" w:rsidP="00B33542">
      <w:pPr>
        <w:pStyle w:val="paragraph"/>
      </w:pPr>
      <w:r w:rsidRPr="005071A1">
        <w:tab/>
        <w:t>(d)</w:t>
      </w:r>
      <w:r w:rsidRPr="005071A1">
        <w:tab/>
        <w:t>compound interest on those contributions at the prescribed rate.</w:t>
      </w:r>
    </w:p>
    <w:p w14:paraId="3284366E" w14:textId="77777777" w:rsidR="00B33542" w:rsidRPr="005071A1" w:rsidRDefault="00B33542" w:rsidP="00B33542">
      <w:pPr>
        <w:pStyle w:val="subsection"/>
      </w:pPr>
      <w:r w:rsidRPr="005071A1">
        <w:tab/>
        <w:t>(2)</w:t>
      </w:r>
      <w:r w:rsidRPr="005071A1">
        <w:tab/>
        <w:t xml:space="preserve">Where the sum payable under </w:t>
      </w:r>
      <w:r w:rsidR="008B2950" w:rsidRPr="005071A1">
        <w:t>subsection (</w:t>
      </w:r>
      <w:r w:rsidRPr="005071A1">
        <w:t>1) is less than one</w:t>
      </w:r>
      <w:r w:rsidR="004510F0">
        <w:noBreakHyphen/>
      </w:r>
      <w:r w:rsidRPr="005071A1">
        <w:t>half of the salary payable to a contributor to the Provident Account at the date of his retirement, the sum payable to the contributor to the Provident Account shall be a sum equal to one</w:t>
      </w:r>
      <w:r w:rsidR="004510F0">
        <w:noBreakHyphen/>
      </w:r>
      <w:r w:rsidRPr="005071A1">
        <w:t>half of the salary payable to him at that date.</w:t>
      </w:r>
    </w:p>
    <w:p w14:paraId="1528E305" w14:textId="77777777" w:rsidR="00B33542" w:rsidRPr="005071A1" w:rsidRDefault="00B33542" w:rsidP="00B33542">
      <w:pPr>
        <w:pStyle w:val="subsection"/>
      </w:pPr>
      <w:r w:rsidRPr="005071A1">
        <w:tab/>
        <w:t>(4)</w:t>
      </w:r>
      <w:r w:rsidRPr="005071A1">
        <w:tab/>
      </w:r>
      <w:r w:rsidR="008B2950" w:rsidRPr="005071A1">
        <w:t>Subsection (</w:t>
      </w:r>
      <w:r w:rsidRPr="005071A1">
        <w:t xml:space="preserve">2) does not apply in relation to a person who has become or becomes a contributor to the Provident Account after the commencement of the </w:t>
      </w:r>
      <w:r w:rsidRPr="005071A1">
        <w:rPr>
          <w:i/>
        </w:rPr>
        <w:t xml:space="preserve">Superannuation Act 1946 </w:t>
      </w:r>
      <w:r w:rsidRPr="005071A1">
        <w:t>and retires or is retired on or after reaching the age of sixty years.</w:t>
      </w:r>
    </w:p>
    <w:p w14:paraId="5C99EE1D" w14:textId="77777777" w:rsidR="00B33542" w:rsidRPr="005071A1" w:rsidRDefault="00B33542" w:rsidP="00B33542">
      <w:pPr>
        <w:pStyle w:val="subsection"/>
      </w:pPr>
      <w:r w:rsidRPr="005071A1">
        <w:tab/>
        <w:t>(5)</w:t>
      </w:r>
      <w:r w:rsidRPr="005071A1">
        <w:tab/>
        <w:t xml:space="preserve">Where a contributor to the Provident Account has been paid a sum under </w:t>
      </w:r>
      <w:r w:rsidR="008B2950" w:rsidRPr="005071A1">
        <w:t>subsection (</w:t>
      </w:r>
      <w:r w:rsidRPr="005071A1">
        <w:t>2) and he again becomes a contributor to the Provident Account, that subsection shall not apply to any subsequent payment to which he becomes entitled under this section.</w:t>
      </w:r>
    </w:p>
    <w:p w14:paraId="1850AA53" w14:textId="77777777" w:rsidR="00B33542" w:rsidRPr="005071A1" w:rsidRDefault="00B33542" w:rsidP="00B33542">
      <w:pPr>
        <w:pStyle w:val="subsection"/>
      </w:pPr>
      <w:r w:rsidRPr="005071A1">
        <w:tab/>
        <w:t>(6)</w:t>
      </w:r>
      <w:r w:rsidRPr="005071A1">
        <w:tab/>
        <w:t>This section does not apply to a contributor to the Provident Account who retires or is retired, or whose services are terminated, on or after 1</w:t>
      </w:r>
      <w:r w:rsidR="008B2950" w:rsidRPr="005071A1">
        <w:t> </w:t>
      </w:r>
      <w:r w:rsidRPr="005071A1">
        <w:t>July 1976.</w:t>
      </w:r>
    </w:p>
    <w:p w14:paraId="69A2F92F" w14:textId="77777777" w:rsidR="00B33542" w:rsidRPr="005071A1" w:rsidRDefault="00B33542" w:rsidP="00B33542">
      <w:pPr>
        <w:pStyle w:val="ActHead5"/>
      </w:pPr>
      <w:bookmarkStart w:id="112" w:name="_Toc185577494"/>
      <w:r w:rsidRPr="004510F0">
        <w:rPr>
          <w:rStyle w:val="CharSectno"/>
        </w:rPr>
        <w:t>83</w:t>
      </w:r>
      <w:r w:rsidRPr="005071A1">
        <w:t xml:space="preserve">  Payment on death of contributor with dependants</w:t>
      </w:r>
      <w:bookmarkEnd w:id="112"/>
    </w:p>
    <w:p w14:paraId="2C3E6168" w14:textId="77777777" w:rsidR="00B33542" w:rsidRPr="005071A1" w:rsidRDefault="00B33542" w:rsidP="00B33542">
      <w:pPr>
        <w:pStyle w:val="subsection"/>
      </w:pPr>
      <w:r w:rsidRPr="005071A1">
        <w:tab/>
        <w:t>(1)</w:t>
      </w:r>
      <w:r w:rsidRPr="005071A1">
        <w:tab/>
        <w:t>On the death of a contributor to the Provident Account before retirement, there shall be paid to:</w:t>
      </w:r>
    </w:p>
    <w:p w14:paraId="702BAABF" w14:textId="77777777" w:rsidR="00B33542" w:rsidRPr="005071A1" w:rsidRDefault="00B33542" w:rsidP="00B33542">
      <w:pPr>
        <w:pStyle w:val="paragraph"/>
      </w:pPr>
      <w:r w:rsidRPr="005071A1">
        <w:tab/>
        <w:t>(a)</w:t>
      </w:r>
      <w:r w:rsidRPr="005071A1">
        <w:tab/>
        <w:t>if the contributor is survived by a widow, or is survived by a widower who, in the opinion of the Board, was wholly or substantially dependent upon the contributor immediately before the contributor’s death—the widow or widower; or</w:t>
      </w:r>
    </w:p>
    <w:p w14:paraId="564244AA" w14:textId="77777777" w:rsidR="00B33542" w:rsidRPr="005071A1" w:rsidRDefault="00B33542" w:rsidP="00B33542">
      <w:pPr>
        <w:pStyle w:val="paragraph"/>
        <w:keepNext/>
      </w:pPr>
      <w:r w:rsidRPr="005071A1">
        <w:lastRenderedPageBreak/>
        <w:tab/>
        <w:t>(b)</w:t>
      </w:r>
      <w:r w:rsidRPr="005071A1">
        <w:tab/>
        <w:t xml:space="preserve">if </w:t>
      </w:r>
      <w:r w:rsidR="008B2950" w:rsidRPr="005071A1">
        <w:t>paragraph (</w:t>
      </w:r>
      <w:r w:rsidRPr="005071A1">
        <w:t>a) does not apply but the contributor is survived by children of the contributor or of the contributor’s spouse who are eligible children—those children;</w:t>
      </w:r>
    </w:p>
    <w:p w14:paraId="47512186" w14:textId="77777777" w:rsidR="00B33542" w:rsidRPr="005071A1" w:rsidRDefault="00B33542" w:rsidP="00B33542">
      <w:pPr>
        <w:pStyle w:val="subsection2"/>
      </w:pPr>
      <w:r w:rsidRPr="005071A1">
        <w:t>a sum equal to three times the aggregate of:</w:t>
      </w:r>
    </w:p>
    <w:p w14:paraId="0E7FDD83" w14:textId="77777777" w:rsidR="00B33542" w:rsidRPr="005071A1" w:rsidRDefault="00B33542" w:rsidP="00B33542">
      <w:pPr>
        <w:pStyle w:val="paragraph"/>
      </w:pPr>
      <w:r w:rsidRPr="005071A1">
        <w:tab/>
        <w:t>(c)</w:t>
      </w:r>
      <w:r w:rsidRPr="005071A1">
        <w:tab/>
        <w:t>the contributions paid by the contributor to the Provident Account; and</w:t>
      </w:r>
    </w:p>
    <w:p w14:paraId="5A61972C" w14:textId="77777777" w:rsidR="00B33542" w:rsidRPr="005071A1" w:rsidRDefault="00B33542" w:rsidP="00B33542">
      <w:pPr>
        <w:pStyle w:val="paragraph"/>
      </w:pPr>
      <w:r w:rsidRPr="005071A1">
        <w:tab/>
        <w:t>(d)</w:t>
      </w:r>
      <w:r w:rsidRPr="005071A1">
        <w:tab/>
        <w:t>compound interest on those contributions at the prescribed rate.</w:t>
      </w:r>
    </w:p>
    <w:p w14:paraId="6CF14FBE" w14:textId="77777777" w:rsidR="00B33542" w:rsidRPr="005071A1" w:rsidRDefault="00B33542" w:rsidP="00B33542">
      <w:pPr>
        <w:pStyle w:val="subsection"/>
      </w:pPr>
      <w:r w:rsidRPr="005071A1">
        <w:tab/>
        <w:t>(2)</w:t>
      </w:r>
      <w:r w:rsidRPr="005071A1">
        <w:tab/>
        <w:t xml:space="preserve">Where the sum payable under </w:t>
      </w:r>
      <w:r w:rsidR="008B2950" w:rsidRPr="005071A1">
        <w:t>subsection (</w:t>
      </w:r>
      <w:r w:rsidRPr="005071A1">
        <w:t>1) is less than one</w:t>
      </w:r>
      <w:r w:rsidR="004510F0">
        <w:noBreakHyphen/>
      </w:r>
      <w:r w:rsidRPr="005071A1">
        <w:t>half of the salary payable to the contributor to the Provident Account at the date of the contributor’s death, the sum payable to the widow, widower or children, as the case may be, shall be a sum equal to one</w:t>
      </w:r>
      <w:r w:rsidR="004510F0">
        <w:noBreakHyphen/>
      </w:r>
      <w:r w:rsidRPr="005071A1">
        <w:t>half of that salary.</w:t>
      </w:r>
    </w:p>
    <w:p w14:paraId="008D2749" w14:textId="77777777" w:rsidR="00B33542" w:rsidRPr="005071A1" w:rsidRDefault="00B33542" w:rsidP="00B33542">
      <w:pPr>
        <w:pStyle w:val="subsection"/>
      </w:pPr>
      <w:r w:rsidRPr="005071A1">
        <w:tab/>
        <w:t>(3)</w:t>
      </w:r>
      <w:r w:rsidRPr="005071A1">
        <w:tab/>
        <w:t>Where an amount is payable under this section to children, the amount shall be divided equally amongst those children.</w:t>
      </w:r>
    </w:p>
    <w:p w14:paraId="4228C75A" w14:textId="77777777" w:rsidR="00B33542" w:rsidRPr="005071A1" w:rsidRDefault="00B33542" w:rsidP="00B33542">
      <w:pPr>
        <w:pStyle w:val="subsection"/>
      </w:pPr>
      <w:r w:rsidRPr="005071A1">
        <w:tab/>
        <w:t>(4)</w:t>
      </w:r>
      <w:r w:rsidRPr="005071A1">
        <w:tab/>
        <w:t>This section does not apply in respect of a contributor to the Provident Account who, on or after 1</w:t>
      </w:r>
      <w:r w:rsidR="008B2950" w:rsidRPr="005071A1">
        <w:t> </w:t>
      </w:r>
      <w:r w:rsidRPr="005071A1">
        <w:t>July 1976, dies before retirement.</w:t>
      </w:r>
    </w:p>
    <w:p w14:paraId="3174AB81" w14:textId="77777777" w:rsidR="00B33542" w:rsidRPr="005071A1" w:rsidRDefault="00B33542" w:rsidP="00B33542">
      <w:pPr>
        <w:pStyle w:val="ActHead5"/>
      </w:pPr>
      <w:bookmarkStart w:id="113" w:name="_Toc185577495"/>
      <w:r w:rsidRPr="004510F0">
        <w:rPr>
          <w:rStyle w:val="CharSectno"/>
        </w:rPr>
        <w:t>83A</w:t>
      </w:r>
      <w:r w:rsidRPr="005071A1">
        <w:t xml:space="preserve">  Payment on death or invalidity in certain circumstances</w:t>
      </w:r>
      <w:bookmarkEnd w:id="113"/>
    </w:p>
    <w:p w14:paraId="63E430B4" w14:textId="77777777" w:rsidR="00B33542" w:rsidRPr="005071A1" w:rsidRDefault="00B33542" w:rsidP="00B33542">
      <w:pPr>
        <w:pStyle w:val="subsection"/>
        <w:keepNext/>
      </w:pPr>
      <w:r w:rsidRPr="005071A1">
        <w:tab/>
        <w:t>(1)</w:t>
      </w:r>
      <w:r w:rsidRPr="005071A1">
        <w:tab/>
        <w:t>Where:</w:t>
      </w:r>
    </w:p>
    <w:p w14:paraId="442D561D" w14:textId="77777777" w:rsidR="00B33542" w:rsidRPr="005071A1" w:rsidRDefault="00B33542" w:rsidP="00B33542">
      <w:pPr>
        <w:pStyle w:val="paragraph"/>
      </w:pPr>
      <w:r w:rsidRPr="005071A1">
        <w:tab/>
        <w:t>(a)</w:t>
      </w:r>
      <w:r w:rsidRPr="005071A1">
        <w:tab/>
        <w:t>within three years after a contributor to the Provident Account became such a contributor, he dies or his services are terminated on the ground of invalidity;</w:t>
      </w:r>
    </w:p>
    <w:p w14:paraId="1A4D5F85" w14:textId="77777777" w:rsidR="00B33542" w:rsidRPr="005071A1" w:rsidRDefault="00B33542" w:rsidP="00B33542">
      <w:pPr>
        <w:pStyle w:val="paragraph"/>
      </w:pPr>
      <w:r w:rsidRPr="005071A1">
        <w:tab/>
        <w:t>(b)</w:t>
      </w:r>
      <w:r w:rsidRPr="005071A1">
        <w:tab/>
        <w:t xml:space="preserve">the Board is satisfied that the death or invalidity was caused, or substantially contributed to, by a physical or mental condition that, to the knowledge of the contributor, existed at the time when he underwent the medical examination </w:t>
      </w:r>
      <w:r w:rsidRPr="005071A1">
        <w:lastRenderedPageBreak/>
        <w:t xml:space="preserve">referred to in </w:t>
      </w:r>
      <w:r w:rsidR="008B2950" w:rsidRPr="005071A1">
        <w:t>subsection (</w:t>
      </w:r>
      <w:r w:rsidRPr="005071A1">
        <w:t xml:space="preserve">1) or </w:t>
      </w:r>
      <w:r w:rsidR="008B2950" w:rsidRPr="005071A1">
        <w:t>subsection (</w:t>
      </w:r>
      <w:r w:rsidRPr="005071A1">
        <w:t>2) of section</w:t>
      </w:r>
      <w:r w:rsidR="008B2950" w:rsidRPr="005071A1">
        <w:t> </w:t>
      </w:r>
      <w:r w:rsidRPr="005071A1">
        <w:t>5; and</w:t>
      </w:r>
    </w:p>
    <w:p w14:paraId="255621A6" w14:textId="77777777" w:rsidR="00B33542" w:rsidRPr="005071A1" w:rsidRDefault="00B33542" w:rsidP="00B33542">
      <w:pPr>
        <w:pStyle w:val="paragraph"/>
        <w:keepNext/>
      </w:pPr>
      <w:r w:rsidRPr="005071A1">
        <w:tab/>
        <w:t>(c)</w:t>
      </w:r>
      <w:r w:rsidRPr="005071A1">
        <w:tab/>
        <w:t>the contributor did not disclose the existence of the condition to the person who made the examination or made or furnished a false or misleading statement to that person in respect of the condition;</w:t>
      </w:r>
    </w:p>
    <w:p w14:paraId="745596D9" w14:textId="77777777" w:rsidR="00B33542" w:rsidRPr="005071A1" w:rsidRDefault="00B33542" w:rsidP="00B33542">
      <w:pPr>
        <w:pStyle w:val="subsection2"/>
      </w:pPr>
      <w:r w:rsidRPr="005071A1">
        <w:t>sections</w:t>
      </w:r>
      <w:r w:rsidR="008B2950" w:rsidRPr="005071A1">
        <w:t> </w:t>
      </w:r>
      <w:r w:rsidRPr="005071A1">
        <w:t>82 and 83 do not apply but there is payable to the contributor or to his personal representatives, as the case may be, an amount equal to the amount of the contributions paid by him under this Act together with compound interest on those contributions at the prescribed rate.</w:t>
      </w:r>
    </w:p>
    <w:p w14:paraId="1288EFDB" w14:textId="77777777" w:rsidR="00B33542" w:rsidRPr="005071A1" w:rsidRDefault="00B33542" w:rsidP="00B33542">
      <w:pPr>
        <w:pStyle w:val="subsection"/>
      </w:pPr>
      <w:r w:rsidRPr="005071A1">
        <w:tab/>
        <w:t>(2)</w:t>
      </w:r>
      <w:r w:rsidRPr="005071A1">
        <w:tab/>
        <w:t xml:space="preserve">Where a contributor to the Provident Account is a prescribed employee within the meaning of </w:t>
      </w:r>
      <w:r w:rsidR="004510F0">
        <w:t>Division 3</w:t>
      </w:r>
      <w:r w:rsidRPr="005071A1">
        <w:t xml:space="preserve"> of Part VIIA, </w:t>
      </w:r>
      <w:r w:rsidR="008B2950" w:rsidRPr="005071A1">
        <w:t>subsection (</w:t>
      </w:r>
      <w:r w:rsidRPr="005071A1">
        <w:t>1) applies to and in relation to the contributor as if:</w:t>
      </w:r>
    </w:p>
    <w:p w14:paraId="2A666320" w14:textId="77777777" w:rsidR="00B33542" w:rsidRPr="005071A1" w:rsidRDefault="00B33542" w:rsidP="00B33542">
      <w:pPr>
        <w:pStyle w:val="paragraph"/>
      </w:pPr>
      <w:r w:rsidRPr="005071A1">
        <w:tab/>
        <w:t>(a)</w:t>
      </w:r>
      <w:r w:rsidRPr="005071A1">
        <w:tab/>
        <w:t xml:space="preserve">the reference in </w:t>
      </w:r>
      <w:r w:rsidR="008B2950" w:rsidRPr="005071A1">
        <w:t>paragraph (</w:t>
      </w:r>
      <w:r w:rsidRPr="005071A1">
        <w:t>a) of that subsection to the period of 3 years after the contributor became such a contributor were a reference to the period of 3 years after the contributor’s obligation to contribute to a State Fund within the meaning of Part VIIA came or last came into existence; and</w:t>
      </w:r>
    </w:p>
    <w:p w14:paraId="34F58FCD" w14:textId="77777777" w:rsidR="00B33542" w:rsidRPr="005071A1" w:rsidRDefault="00B33542" w:rsidP="00B33542">
      <w:pPr>
        <w:pStyle w:val="paragraph"/>
      </w:pPr>
      <w:r w:rsidRPr="005071A1">
        <w:tab/>
        <w:t>(b)</w:t>
      </w:r>
      <w:r w:rsidRPr="005071A1">
        <w:tab/>
        <w:t xml:space="preserve">the references in </w:t>
      </w:r>
      <w:r w:rsidR="008B2950" w:rsidRPr="005071A1">
        <w:t>paragraphs (</w:t>
      </w:r>
      <w:r w:rsidRPr="005071A1">
        <w:t xml:space="preserve">b) and (c) of that subsection to the medical examination referred to in </w:t>
      </w:r>
      <w:r w:rsidR="008B2950" w:rsidRPr="005071A1">
        <w:t>subsection (</w:t>
      </w:r>
      <w:r w:rsidRPr="005071A1">
        <w:t>1) or (2) of section</w:t>
      </w:r>
      <w:r w:rsidR="008B2950" w:rsidRPr="005071A1">
        <w:t> </w:t>
      </w:r>
      <w:r w:rsidRPr="005071A1">
        <w:t>5 were references to the medical examination by virtue of the results of which the contributor became or last became a contributor to the State Fund.</w:t>
      </w:r>
    </w:p>
    <w:p w14:paraId="4B9A88C2" w14:textId="77777777" w:rsidR="00B33542" w:rsidRPr="005071A1" w:rsidRDefault="00B33542" w:rsidP="00B33542">
      <w:pPr>
        <w:pStyle w:val="subsection"/>
      </w:pPr>
      <w:r w:rsidRPr="005071A1">
        <w:tab/>
        <w:t>(3)</w:t>
      </w:r>
      <w:r w:rsidRPr="005071A1">
        <w:tab/>
        <w:t>This section does not apply in respect of a contributor to the Provident Account who dies or whose services are terminated on or after 1</w:t>
      </w:r>
      <w:r w:rsidR="008B2950" w:rsidRPr="005071A1">
        <w:t> </w:t>
      </w:r>
      <w:r w:rsidRPr="005071A1">
        <w:t>July 1976.</w:t>
      </w:r>
    </w:p>
    <w:p w14:paraId="027D59CA" w14:textId="77777777" w:rsidR="00B33542" w:rsidRPr="005071A1" w:rsidRDefault="00B33542" w:rsidP="00B33542">
      <w:pPr>
        <w:pStyle w:val="subsection"/>
      </w:pPr>
      <w:r w:rsidRPr="005071A1">
        <w:tab/>
        <w:t>(4)</w:t>
      </w:r>
      <w:r w:rsidRPr="005071A1">
        <w:tab/>
        <w:t>On and after 1</w:t>
      </w:r>
      <w:r w:rsidR="008B2950" w:rsidRPr="005071A1">
        <w:t> </w:t>
      </w:r>
      <w:r w:rsidRPr="005071A1">
        <w:t xml:space="preserve">July 1976, the reference in </w:t>
      </w:r>
      <w:r w:rsidR="008B2950" w:rsidRPr="005071A1">
        <w:t>subsection (</w:t>
      </w:r>
      <w:r w:rsidRPr="005071A1">
        <w:t>1) to the Board shall be read as including a reference to the Commissioner for Superannuation.</w:t>
      </w:r>
    </w:p>
    <w:p w14:paraId="1DEA4FA9" w14:textId="77777777" w:rsidR="00B33542" w:rsidRPr="005071A1" w:rsidRDefault="00B33542" w:rsidP="00B33542">
      <w:pPr>
        <w:pStyle w:val="ActHead5"/>
      </w:pPr>
      <w:bookmarkStart w:id="114" w:name="_Toc185577496"/>
      <w:r w:rsidRPr="004510F0">
        <w:rPr>
          <w:rStyle w:val="CharSectno"/>
        </w:rPr>
        <w:lastRenderedPageBreak/>
        <w:t>84</w:t>
      </w:r>
      <w:r w:rsidRPr="005071A1">
        <w:t xml:space="preserve">  Payment on death of contributor to Provident Account without dependants</w:t>
      </w:r>
      <w:bookmarkEnd w:id="114"/>
    </w:p>
    <w:p w14:paraId="40FEBF7E" w14:textId="77777777" w:rsidR="00B33542" w:rsidRPr="005071A1" w:rsidRDefault="00B33542" w:rsidP="00B33542">
      <w:pPr>
        <w:pStyle w:val="subsection"/>
      </w:pPr>
      <w:r w:rsidRPr="005071A1">
        <w:tab/>
        <w:t>(1)</w:t>
      </w:r>
      <w:r w:rsidRPr="005071A1">
        <w:tab/>
        <w:t>Where:</w:t>
      </w:r>
    </w:p>
    <w:p w14:paraId="08051EFE" w14:textId="77777777" w:rsidR="00B33542" w:rsidRPr="005071A1" w:rsidRDefault="00B33542" w:rsidP="00B33542">
      <w:pPr>
        <w:pStyle w:val="paragraph"/>
      </w:pPr>
      <w:r w:rsidRPr="005071A1">
        <w:tab/>
        <w:t>(a)</w:t>
      </w:r>
      <w:r w:rsidRPr="005071A1">
        <w:tab/>
        <w:t>a contributor to the Provident Account dies before retirement; and</w:t>
      </w:r>
    </w:p>
    <w:p w14:paraId="47829E0F" w14:textId="77777777" w:rsidR="00B33542" w:rsidRPr="005071A1" w:rsidRDefault="00B33542" w:rsidP="00B33542">
      <w:pPr>
        <w:pStyle w:val="paragraph"/>
        <w:keepNext/>
      </w:pPr>
      <w:r w:rsidRPr="005071A1">
        <w:tab/>
        <w:t>(b)</w:t>
      </w:r>
      <w:r w:rsidRPr="005071A1">
        <w:tab/>
        <w:t>an amount is not payable under this Act upon his or her death to the widow or widower of the contributor or to any child;</w:t>
      </w:r>
    </w:p>
    <w:p w14:paraId="78F69098" w14:textId="77777777" w:rsidR="00B33542" w:rsidRPr="005071A1" w:rsidRDefault="00B33542" w:rsidP="00B33542">
      <w:pPr>
        <w:pStyle w:val="subsection2"/>
      </w:pPr>
      <w:r w:rsidRPr="005071A1">
        <w:t>there shall be paid to the personal representatives of the contributor, or, if there are no such personal representatives, to such persons, if any, as the Board determines, an amount equal to the amount of the contributions paid by the contributor to the Provident Account together with compound interest on the amount of those contributions at the prescribed rate.</w:t>
      </w:r>
    </w:p>
    <w:p w14:paraId="26160DAF" w14:textId="77777777" w:rsidR="00B33542" w:rsidRPr="005071A1" w:rsidRDefault="00B33542" w:rsidP="00B33542">
      <w:pPr>
        <w:pStyle w:val="subsection"/>
      </w:pPr>
      <w:r w:rsidRPr="005071A1">
        <w:tab/>
        <w:t>(2)</w:t>
      </w:r>
      <w:r w:rsidRPr="005071A1">
        <w:tab/>
        <w:t>This section does not apply in respect of a contributor to the Provident Account who dies on or after 1</w:t>
      </w:r>
      <w:r w:rsidR="008B2950" w:rsidRPr="005071A1">
        <w:t> </w:t>
      </w:r>
      <w:r w:rsidRPr="005071A1">
        <w:t>July 1976.</w:t>
      </w:r>
    </w:p>
    <w:p w14:paraId="3717ACCB" w14:textId="77777777" w:rsidR="00B33542" w:rsidRPr="005071A1" w:rsidRDefault="00B33542" w:rsidP="00B33542">
      <w:pPr>
        <w:pStyle w:val="subsection"/>
      </w:pPr>
      <w:r w:rsidRPr="005071A1">
        <w:tab/>
        <w:t>(3)</w:t>
      </w:r>
      <w:r w:rsidRPr="005071A1">
        <w:tab/>
        <w:t>On and after 1</w:t>
      </w:r>
      <w:r w:rsidR="008B2950" w:rsidRPr="005071A1">
        <w:t> </w:t>
      </w:r>
      <w:r w:rsidRPr="005071A1">
        <w:t xml:space="preserve">July 1976, the reference in </w:t>
      </w:r>
      <w:r w:rsidR="008B2950" w:rsidRPr="005071A1">
        <w:t>subsection (</w:t>
      </w:r>
      <w:r w:rsidRPr="005071A1">
        <w:t>1) to the Board shall be read as including a reference to the Commissioner for Superannuation.</w:t>
      </w:r>
    </w:p>
    <w:p w14:paraId="224CC6C2" w14:textId="77777777" w:rsidR="00B33542" w:rsidRPr="005071A1" w:rsidRDefault="00B33542" w:rsidP="00B33542">
      <w:pPr>
        <w:pStyle w:val="ActHead5"/>
      </w:pPr>
      <w:bookmarkStart w:id="115" w:name="_Toc185577497"/>
      <w:r w:rsidRPr="004510F0">
        <w:rPr>
          <w:rStyle w:val="CharSectno"/>
        </w:rPr>
        <w:t>85</w:t>
      </w:r>
      <w:r w:rsidRPr="005071A1">
        <w:t xml:space="preserve">  Payments on resignation or dismissal</w:t>
      </w:r>
      <w:bookmarkEnd w:id="115"/>
    </w:p>
    <w:p w14:paraId="7671C03D" w14:textId="77777777" w:rsidR="00B33542" w:rsidRPr="005071A1" w:rsidRDefault="00B33542" w:rsidP="00B33542">
      <w:pPr>
        <w:pStyle w:val="subsection"/>
      </w:pPr>
      <w:r w:rsidRPr="005071A1">
        <w:tab/>
        <w:t>(1)</w:t>
      </w:r>
      <w:r w:rsidRPr="005071A1">
        <w:tab/>
        <w:t>Where a contributor to the Provident Account resigns or is discharged or is dismissed there shall be paid to him an amount equal to the contributions paid by him to the Provident Account together with compound interest thereon at the prescribed rate.</w:t>
      </w:r>
    </w:p>
    <w:p w14:paraId="04E8D41B" w14:textId="77777777" w:rsidR="00B33542" w:rsidRPr="005071A1" w:rsidRDefault="00B33542" w:rsidP="00B33542">
      <w:pPr>
        <w:pStyle w:val="subsection"/>
      </w:pPr>
      <w:r w:rsidRPr="005071A1">
        <w:tab/>
        <w:t>(2)</w:t>
      </w:r>
      <w:r w:rsidRPr="005071A1">
        <w:tab/>
        <w:t>This section does not apply to a contributor to the Provident Account who resigns, or is discharged or dismissed, on or after 1</w:t>
      </w:r>
      <w:r w:rsidR="008B2950" w:rsidRPr="005071A1">
        <w:t> </w:t>
      </w:r>
      <w:r w:rsidRPr="005071A1">
        <w:t>July 1976.</w:t>
      </w:r>
    </w:p>
    <w:p w14:paraId="731DD1AB" w14:textId="77777777" w:rsidR="00B33542" w:rsidRPr="005071A1" w:rsidRDefault="00B33542" w:rsidP="00B33542">
      <w:pPr>
        <w:pStyle w:val="ActHead5"/>
      </w:pPr>
      <w:bookmarkStart w:id="116" w:name="_Toc185577498"/>
      <w:r w:rsidRPr="004510F0">
        <w:rPr>
          <w:rStyle w:val="CharSectno"/>
        </w:rPr>
        <w:lastRenderedPageBreak/>
        <w:t>86</w:t>
      </w:r>
      <w:r w:rsidRPr="005071A1">
        <w:t xml:space="preserve">  Certain contributors to the Provident Account who change the nature of their employment to continue as contributors</w:t>
      </w:r>
      <w:bookmarkEnd w:id="116"/>
    </w:p>
    <w:p w14:paraId="5A01805C" w14:textId="77777777" w:rsidR="00B33542" w:rsidRPr="005071A1" w:rsidRDefault="00B33542" w:rsidP="00B33542">
      <w:pPr>
        <w:pStyle w:val="subsection"/>
      </w:pPr>
      <w:r w:rsidRPr="005071A1">
        <w:tab/>
      </w:r>
      <w:r w:rsidRPr="005071A1">
        <w:tab/>
        <w:t>Where:</w:t>
      </w:r>
    </w:p>
    <w:p w14:paraId="06A6315A" w14:textId="77777777" w:rsidR="00B33542" w:rsidRPr="005071A1" w:rsidRDefault="00B33542" w:rsidP="00B33542">
      <w:pPr>
        <w:pStyle w:val="paragraph"/>
      </w:pPr>
      <w:r w:rsidRPr="005071A1">
        <w:tab/>
        <w:t>(a)</w:t>
      </w:r>
      <w:r w:rsidRPr="005071A1">
        <w:tab/>
        <w:t>the employment of a contributor to the Provident Account terminates or is terminated; and</w:t>
      </w:r>
    </w:p>
    <w:p w14:paraId="30BFFAB3" w14:textId="77777777" w:rsidR="00B33542" w:rsidRPr="005071A1" w:rsidRDefault="00B33542" w:rsidP="00B33542">
      <w:pPr>
        <w:pStyle w:val="paragraph"/>
      </w:pPr>
      <w:r w:rsidRPr="005071A1">
        <w:tab/>
        <w:t>(b)</w:t>
      </w:r>
      <w:r w:rsidRPr="005071A1">
        <w:tab/>
        <w:t>immediately after the day on which his employment terminates or is terminated, he becomes employed by the Commonwealth or by an approved authority on terms that require him to give the whole of his time to the duties of his employment;</w:t>
      </w:r>
    </w:p>
    <w:p w14:paraId="500176EC" w14:textId="77777777" w:rsidR="00B33542" w:rsidRPr="005071A1" w:rsidRDefault="00B33542" w:rsidP="00B33542">
      <w:pPr>
        <w:pStyle w:val="subsection2"/>
      </w:pPr>
      <w:r w:rsidRPr="005071A1">
        <w:t>he shall be deemed not to have ceased, by reason of that termination of his employment, to be a contributor to the Provident Account or to be, or to be deemed to be, an employee.</w:t>
      </w:r>
    </w:p>
    <w:p w14:paraId="633C2A07" w14:textId="77777777" w:rsidR="00B33542" w:rsidRPr="005071A1" w:rsidRDefault="00B33542" w:rsidP="00B33542">
      <w:pPr>
        <w:pStyle w:val="ActHead5"/>
      </w:pPr>
      <w:bookmarkStart w:id="117" w:name="_Toc185577499"/>
      <w:r w:rsidRPr="004510F0">
        <w:rPr>
          <w:rStyle w:val="CharSectno"/>
        </w:rPr>
        <w:t>87</w:t>
      </w:r>
      <w:r w:rsidRPr="005071A1">
        <w:t xml:space="preserve">  Retrenchment</w:t>
      </w:r>
      <w:bookmarkEnd w:id="117"/>
    </w:p>
    <w:p w14:paraId="162536C5" w14:textId="77777777" w:rsidR="00B33542" w:rsidRPr="005071A1" w:rsidRDefault="00B33542" w:rsidP="00B33542">
      <w:pPr>
        <w:pStyle w:val="subsection"/>
      </w:pPr>
      <w:r w:rsidRPr="005071A1">
        <w:tab/>
      </w:r>
      <w:r w:rsidRPr="005071A1">
        <w:tab/>
        <w:t>Subject to section</w:t>
      </w:r>
      <w:r w:rsidR="008B2950" w:rsidRPr="005071A1">
        <w:t> </w:t>
      </w:r>
      <w:r w:rsidRPr="005071A1">
        <w:t>87B, the compulsory termination of the service of a contributor to the Provident Account for the reason that his service or position is not necessary shall, for the purposes of this Act, be deemed to be retrenchment.</w:t>
      </w:r>
    </w:p>
    <w:p w14:paraId="2CB2F072" w14:textId="77777777" w:rsidR="00B33542" w:rsidRPr="005071A1" w:rsidRDefault="00B33542" w:rsidP="00B33542">
      <w:pPr>
        <w:pStyle w:val="ActHead5"/>
      </w:pPr>
      <w:bookmarkStart w:id="118" w:name="_Toc185577500"/>
      <w:r w:rsidRPr="004510F0">
        <w:rPr>
          <w:rStyle w:val="CharSectno"/>
        </w:rPr>
        <w:t>87A</w:t>
      </w:r>
      <w:r w:rsidRPr="005071A1">
        <w:t xml:space="preserve">  Dismissal</w:t>
      </w:r>
      <w:bookmarkEnd w:id="118"/>
    </w:p>
    <w:p w14:paraId="67BF06D3" w14:textId="77777777" w:rsidR="00B33542" w:rsidRPr="005071A1" w:rsidRDefault="00B33542" w:rsidP="00B33542">
      <w:pPr>
        <w:pStyle w:val="subsection"/>
      </w:pPr>
      <w:r w:rsidRPr="005071A1">
        <w:tab/>
      </w:r>
      <w:r w:rsidRPr="005071A1">
        <w:tab/>
        <w:t>Subject to section</w:t>
      </w:r>
      <w:r w:rsidR="008B2950" w:rsidRPr="005071A1">
        <w:t> </w:t>
      </w:r>
      <w:r w:rsidRPr="005071A1">
        <w:t>87B, the compulsory termination (however expressed) of the service of a contributor to the Provident Account other than retirement or retrenchment shall, for the purposes of this Act, be deemed to be dismissal.</w:t>
      </w:r>
    </w:p>
    <w:p w14:paraId="2675BC72" w14:textId="77777777" w:rsidR="00B33542" w:rsidRPr="005071A1" w:rsidRDefault="00B33542" w:rsidP="00B33542">
      <w:pPr>
        <w:pStyle w:val="ActHead5"/>
      </w:pPr>
      <w:bookmarkStart w:id="119" w:name="_Toc185577501"/>
      <w:r w:rsidRPr="004510F0">
        <w:rPr>
          <w:rStyle w:val="CharSectno"/>
        </w:rPr>
        <w:t>87B</w:t>
      </w:r>
      <w:r w:rsidRPr="005071A1">
        <w:t xml:space="preserve">  Compulsory termination of service of certain contributors to Provident Account for whom no retiring age is fixed by law</w:t>
      </w:r>
      <w:bookmarkEnd w:id="119"/>
    </w:p>
    <w:p w14:paraId="0DCB3B8E" w14:textId="77777777" w:rsidR="00B33542" w:rsidRPr="005071A1" w:rsidRDefault="00B33542" w:rsidP="00B33542">
      <w:pPr>
        <w:pStyle w:val="subsection"/>
      </w:pPr>
      <w:r w:rsidRPr="005071A1">
        <w:tab/>
        <w:t>(1)</w:t>
      </w:r>
      <w:r w:rsidRPr="005071A1">
        <w:tab/>
        <w:t xml:space="preserve">Subject to this section, the compulsory termination (however expressed) of the service of a contributor to the Provident Account </w:t>
      </w:r>
      <w:r w:rsidRPr="005071A1">
        <w:lastRenderedPageBreak/>
        <w:t>who has attained the age of sixty years and in respect of whom an age for retirement is not fixed by law shall, for the purposes of this Act, be deemed to be retirement.</w:t>
      </w:r>
    </w:p>
    <w:p w14:paraId="48B87DC5" w14:textId="77777777" w:rsidR="00B33542" w:rsidRPr="005071A1" w:rsidRDefault="00B33542" w:rsidP="00B33542">
      <w:pPr>
        <w:pStyle w:val="subsection"/>
      </w:pPr>
      <w:r w:rsidRPr="005071A1">
        <w:tab/>
        <w:t>(2)</w:t>
      </w:r>
      <w:r w:rsidRPr="005071A1">
        <w:tab/>
      </w:r>
      <w:r w:rsidR="008B2950" w:rsidRPr="005071A1">
        <w:t>Subsection (</w:t>
      </w:r>
      <w:r w:rsidRPr="005071A1">
        <w:t>1) does not apply where the Board is satisfied that the service of the contributor was compulsorily terminated by reason of his having been guilty of misconduct or by reason of his having been convicted of an offence against a law of the Commonwealth or of a State or Territory.</w:t>
      </w:r>
    </w:p>
    <w:p w14:paraId="68BDB778" w14:textId="77777777" w:rsidR="00B33542" w:rsidRPr="005071A1" w:rsidRDefault="00B33542" w:rsidP="00B33542">
      <w:pPr>
        <w:pStyle w:val="subsection"/>
      </w:pPr>
      <w:r w:rsidRPr="005071A1">
        <w:tab/>
        <w:t>(3)</w:t>
      </w:r>
      <w:r w:rsidRPr="005071A1">
        <w:tab/>
        <w:t xml:space="preserve">For the purposes of </w:t>
      </w:r>
      <w:r w:rsidR="008B2950" w:rsidRPr="005071A1">
        <w:t>subsection (</w:t>
      </w:r>
      <w:r w:rsidRPr="005071A1">
        <w:t>2), the service of a contributor to the Provident Account who was employed in a temporary capacity under section</w:t>
      </w:r>
      <w:r w:rsidR="008B2950" w:rsidRPr="005071A1">
        <w:t> </w:t>
      </w:r>
      <w:r w:rsidRPr="005071A1">
        <w:t xml:space="preserve">82 of the </w:t>
      </w:r>
      <w:r w:rsidRPr="005071A1">
        <w:rPr>
          <w:i/>
        </w:rPr>
        <w:t>Public Service Act 1922</w:t>
      </w:r>
      <w:r w:rsidR="004510F0">
        <w:rPr>
          <w:i/>
        </w:rPr>
        <w:noBreakHyphen/>
      </w:r>
      <w:r w:rsidRPr="005071A1">
        <w:rPr>
          <w:i/>
        </w:rPr>
        <w:t>1964</w:t>
      </w:r>
      <w:r w:rsidRPr="005071A1">
        <w:t xml:space="preserve"> shall be deemed to have been compulsorily terminated by reason of his having been guilty of misconduct if his services were dispensed with under that Act on the ground that he has been guilty of conduct that, if he were an officer of the Public Service of the Commonwealth, would have constituted an offence specified in </w:t>
      </w:r>
      <w:r w:rsidR="008B2950" w:rsidRPr="005071A1">
        <w:t>subsection (</w:t>
      </w:r>
      <w:r w:rsidRPr="005071A1">
        <w:t>1) of section</w:t>
      </w:r>
      <w:r w:rsidR="008B2950" w:rsidRPr="005071A1">
        <w:t> </w:t>
      </w:r>
      <w:r w:rsidRPr="005071A1">
        <w:t>55 of that Act.</w:t>
      </w:r>
    </w:p>
    <w:p w14:paraId="51346CAE" w14:textId="77777777" w:rsidR="00B33542" w:rsidRPr="005071A1" w:rsidRDefault="00B33542" w:rsidP="00B33542">
      <w:pPr>
        <w:pStyle w:val="subsection"/>
      </w:pPr>
      <w:r w:rsidRPr="005071A1">
        <w:tab/>
        <w:t>(4)</w:t>
      </w:r>
      <w:r w:rsidRPr="005071A1">
        <w:tab/>
        <w:t>On and after 1</w:t>
      </w:r>
      <w:r w:rsidR="008B2950" w:rsidRPr="005071A1">
        <w:t> </w:t>
      </w:r>
      <w:r w:rsidRPr="005071A1">
        <w:t xml:space="preserve">July 1976, the reference in </w:t>
      </w:r>
      <w:r w:rsidR="008B2950" w:rsidRPr="005071A1">
        <w:t>subsection (</w:t>
      </w:r>
      <w:r w:rsidRPr="005071A1">
        <w:t>2) to the Board shall be read as including a reference to the Commissioner for Superannuation.</w:t>
      </w:r>
    </w:p>
    <w:p w14:paraId="633A333D" w14:textId="77777777" w:rsidR="00B33542" w:rsidRPr="005071A1" w:rsidRDefault="00B33542" w:rsidP="00B33542">
      <w:pPr>
        <w:pStyle w:val="ActHead5"/>
      </w:pPr>
      <w:bookmarkStart w:id="120" w:name="_Toc185577502"/>
      <w:r w:rsidRPr="004510F0">
        <w:rPr>
          <w:rStyle w:val="CharSectno"/>
        </w:rPr>
        <w:t>87C</w:t>
      </w:r>
      <w:r w:rsidRPr="005071A1">
        <w:t xml:space="preserve">  Voluntary termination of service</w:t>
      </w:r>
      <w:bookmarkEnd w:id="120"/>
    </w:p>
    <w:p w14:paraId="4ACC97CE" w14:textId="77777777" w:rsidR="00B33542" w:rsidRPr="005071A1" w:rsidRDefault="00B33542" w:rsidP="00B33542">
      <w:pPr>
        <w:pStyle w:val="subsection"/>
      </w:pPr>
      <w:r w:rsidRPr="005071A1">
        <w:tab/>
      </w:r>
      <w:r w:rsidRPr="005071A1">
        <w:tab/>
        <w:t>Voluntary termination (however expressed) of service by a contributor to the Provident Account who is not entitled to retire shall, for the purposes of this Act:</w:t>
      </w:r>
    </w:p>
    <w:p w14:paraId="25E8A237" w14:textId="77777777" w:rsidR="00B33542" w:rsidRPr="005071A1" w:rsidRDefault="00B33542" w:rsidP="00B33542">
      <w:pPr>
        <w:pStyle w:val="paragraph"/>
      </w:pPr>
      <w:r w:rsidRPr="005071A1">
        <w:tab/>
        <w:t>(a)</w:t>
      </w:r>
      <w:r w:rsidRPr="005071A1">
        <w:tab/>
        <w:t>in the case of a contributor who has not attained the age of sixty years—be deemed to be resignation; and</w:t>
      </w:r>
    </w:p>
    <w:p w14:paraId="68A3CC6E" w14:textId="77777777" w:rsidR="00B33542" w:rsidRPr="005071A1" w:rsidRDefault="00B33542" w:rsidP="00B33542">
      <w:pPr>
        <w:pStyle w:val="paragraph"/>
      </w:pPr>
      <w:r w:rsidRPr="005071A1">
        <w:tab/>
        <w:t>(b)</w:t>
      </w:r>
      <w:r w:rsidRPr="005071A1">
        <w:tab/>
        <w:t>in any other case—be deemed to be retirement.</w:t>
      </w:r>
    </w:p>
    <w:p w14:paraId="6EE6777E" w14:textId="77777777" w:rsidR="00B33542" w:rsidRPr="005071A1" w:rsidRDefault="00B33542" w:rsidP="00B33542">
      <w:pPr>
        <w:pStyle w:val="ActHead5"/>
      </w:pPr>
      <w:bookmarkStart w:id="121" w:name="_Toc185577503"/>
      <w:r w:rsidRPr="004510F0">
        <w:rPr>
          <w:rStyle w:val="CharSectno"/>
        </w:rPr>
        <w:lastRenderedPageBreak/>
        <w:t>87D</w:t>
      </w:r>
      <w:r w:rsidRPr="005071A1">
        <w:t xml:space="preserve">  Holders of statutory offices</w:t>
      </w:r>
      <w:bookmarkEnd w:id="121"/>
    </w:p>
    <w:p w14:paraId="1A830D51" w14:textId="77777777" w:rsidR="00B33542" w:rsidRPr="005071A1" w:rsidRDefault="00B33542" w:rsidP="00B33542">
      <w:pPr>
        <w:pStyle w:val="subsection"/>
      </w:pPr>
      <w:r w:rsidRPr="005071A1">
        <w:tab/>
      </w:r>
      <w:r w:rsidRPr="005071A1">
        <w:tab/>
        <w:t>The cessation of the employment by the Commonwealth of a contributor to the Provident Account, being a contributor who is the holder of a statutory office under the Commonwealth, by reason of the expiration of the term of his appointment to that office shall, for the purposes of this Act:</w:t>
      </w:r>
    </w:p>
    <w:p w14:paraId="30A2AFAC" w14:textId="77777777" w:rsidR="00B33542" w:rsidRPr="005071A1" w:rsidRDefault="00B33542" w:rsidP="00B33542">
      <w:pPr>
        <w:pStyle w:val="paragraph"/>
      </w:pPr>
      <w:r w:rsidRPr="005071A1">
        <w:tab/>
        <w:t>(a)</w:t>
      </w:r>
      <w:r w:rsidRPr="005071A1">
        <w:tab/>
        <w:t>in the case of a contributor who has not attained the age of sixty years and does not desire to be re</w:t>
      </w:r>
      <w:r w:rsidR="004510F0">
        <w:noBreakHyphen/>
      </w:r>
      <w:r w:rsidRPr="005071A1">
        <w:t>appointed to that office—be deemed to be discharge;</w:t>
      </w:r>
    </w:p>
    <w:p w14:paraId="6C3A2BC1" w14:textId="77777777" w:rsidR="00B33542" w:rsidRPr="005071A1" w:rsidRDefault="00B33542" w:rsidP="00B33542">
      <w:pPr>
        <w:pStyle w:val="paragraph"/>
      </w:pPr>
      <w:r w:rsidRPr="005071A1">
        <w:tab/>
        <w:t>(b)</w:t>
      </w:r>
      <w:r w:rsidRPr="005071A1">
        <w:tab/>
        <w:t>in the case of any other contributor who has not attained the age of sixty years—be deemed to be retrenchment; and</w:t>
      </w:r>
    </w:p>
    <w:p w14:paraId="0EAD75E4" w14:textId="77777777" w:rsidR="00B33542" w:rsidRPr="005071A1" w:rsidRDefault="00B33542" w:rsidP="00B33542">
      <w:pPr>
        <w:pStyle w:val="paragraph"/>
      </w:pPr>
      <w:r w:rsidRPr="005071A1">
        <w:tab/>
        <w:t>(c)</w:t>
      </w:r>
      <w:r w:rsidRPr="005071A1">
        <w:tab/>
        <w:t>in the case of a contributor who has attained the age of sixty years—be deemed to be retirement.</w:t>
      </w:r>
    </w:p>
    <w:p w14:paraId="2F905929" w14:textId="77777777" w:rsidR="00B33542" w:rsidRPr="005071A1" w:rsidRDefault="00B33542" w:rsidP="00B33542">
      <w:pPr>
        <w:pStyle w:val="ActHead5"/>
      </w:pPr>
      <w:bookmarkStart w:id="122" w:name="_Toc185577504"/>
      <w:r w:rsidRPr="004510F0">
        <w:rPr>
          <w:rStyle w:val="CharSectno"/>
        </w:rPr>
        <w:t>88</w:t>
      </w:r>
      <w:r w:rsidRPr="005071A1">
        <w:t xml:space="preserve">  Rights of contributors to Provident Account who resign to contest elections</w:t>
      </w:r>
      <w:bookmarkEnd w:id="122"/>
    </w:p>
    <w:p w14:paraId="4FB94F9D" w14:textId="77777777" w:rsidR="00B33542" w:rsidRPr="005071A1" w:rsidRDefault="00B33542" w:rsidP="00B33542">
      <w:pPr>
        <w:pStyle w:val="subsection"/>
      </w:pPr>
      <w:r w:rsidRPr="005071A1">
        <w:tab/>
        <w:t>(1)</w:t>
      </w:r>
      <w:r w:rsidRPr="005071A1">
        <w:tab/>
        <w:t>This section applies to a person who, being a contributor to the Provident Account, voluntarily terminates his service before 1</w:t>
      </w:r>
      <w:r w:rsidR="008B2950" w:rsidRPr="005071A1">
        <w:t> </w:t>
      </w:r>
      <w:r w:rsidRPr="005071A1">
        <w:t xml:space="preserve">July 1976 in order to become a candidate for election as a member of a House of the Parliament of Australia or of a State or of the </w:t>
      </w:r>
      <w:r w:rsidR="00F83505" w:rsidRPr="005071A1">
        <w:t>Legislative Assembly of the Northern Territory</w:t>
      </w:r>
      <w:r w:rsidRPr="005071A1">
        <w:t xml:space="preserve"> or a legislative or advisory body for another Territory prescribed for the purposes of section</w:t>
      </w:r>
      <w:r w:rsidR="008B2950" w:rsidRPr="005071A1">
        <w:t> </w:t>
      </w:r>
      <w:r w:rsidRPr="005071A1">
        <w:t xml:space="preserve">47C of the </w:t>
      </w:r>
      <w:r w:rsidRPr="005071A1">
        <w:rPr>
          <w:i/>
        </w:rPr>
        <w:t>Public Service Act 1922</w:t>
      </w:r>
      <w:r w:rsidR="004510F0">
        <w:rPr>
          <w:i/>
        </w:rPr>
        <w:noBreakHyphen/>
      </w:r>
      <w:r w:rsidRPr="005071A1">
        <w:rPr>
          <w:i/>
        </w:rPr>
        <w:t>1974</w:t>
      </w:r>
      <w:r w:rsidRPr="005071A1">
        <w:t>, but so applies only if the termination took effect not earlier than one month before the day on which nominations for the election closed.</w:t>
      </w:r>
    </w:p>
    <w:p w14:paraId="13300C16" w14:textId="77777777" w:rsidR="00B33542" w:rsidRPr="005071A1" w:rsidRDefault="00B33542" w:rsidP="00B33542">
      <w:pPr>
        <w:pStyle w:val="subsection"/>
      </w:pPr>
      <w:r w:rsidRPr="005071A1">
        <w:tab/>
        <w:t>(2)</w:t>
      </w:r>
      <w:r w:rsidRPr="005071A1">
        <w:tab/>
        <w:t>Where a person to whom this section applies dies on or before the day of the declaration of the result of the election, he shall be deemed not to have ceased, by reason of the termination of his service, to be a contributor to the Provident Account or to be, or to be deemed to be, an employee.</w:t>
      </w:r>
    </w:p>
    <w:p w14:paraId="354C577F" w14:textId="77777777" w:rsidR="00B33542" w:rsidRPr="005071A1" w:rsidRDefault="00B33542" w:rsidP="00B33542">
      <w:pPr>
        <w:pStyle w:val="subsection"/>
      </w:pPr>
      <w:r w:rsidRPr="005071A1">
        <w:lastRenderedPageBreak/>
        <w:tab/>
        <w:t>(3)</w:t>
      </w:r>
      <w:r w:rsidRPr="005071A1">
        <w:tab/>
        <w:t>Where a person to whom this section applies and who was a candidate at the election but failed to be elected:</w:t>
      </w:r>
    </w:p>
    <w:p w14:paraId="4CC5831F" w14:textId="77777777" w:rsidR="00B33542" w:rsidRPr="005071A1" w:rsidRDefault="00B33542" w:rsidP="00B33542">
      <w:pPr>
        <w:pStyle w:val="paragraph"/>
      </w:pPr>
      <w:r w:rsidRPr="005071A1">
        <w:tab/>
        <w:t>(a)</w:t>
      </w:r>
      <w:r w:rsidRPr="005071A1">
        <w:tab/>
        <w:t>dies within the period of two months after the day of the declaration of the result of the election; or</w:t>
      </w:r>
    </w:p>
    <w:p w14:paraId="504409E3" w14:textId="77777777" w:rsidR="00B33542" w:rsidRPr="005071A1" w:rsidRDefault="00B33542" w:rsidP="006B7F7B">
      <w:pPr>
        <w:pStyle w:val="paragraph"/>
      </w:pPr>
      <w:r w:rsidRPr="005071A1">
        <w:tab/>
        <w:t>(b)</w:t>
      </w:r>
      <w:r w:rsidRPr="005071A1">
        <w:tab/>
        <w:t>applied within that period to become employed by the Commonwealth or by an approved authority in employment the terms of which would require him to give the whole of his time to the duties of his employment and dies before the application is determined or, if the application is granted, before becoming so employed;</w:t>
      </w:r>
    </w:p>
    <w:p w14:paraId="5D3C2A32" w14:textId="77777777" w:rsidR="00B33542" w:rsidRPr="005071A1" w:rsidRDefault="00B33542" w:rsidP="00B33542">
      <w:pPr>
        <w:pStyle w:val="subsection2"/>
      </w:pPr>
      <w:r w:rsidRPr="005071A1">
        <w:t>he shall be deemed not to have ceased, by reason of the termination of his service, to be a contributor to the Provident Account or to be, or to be deemed to be, an employee.</w:t>
      </w:r>
    </w:p>
    <w:p w14:paraId="682BAD1C" w14:textId="77777777" w:rsidR="00B33542" w:rsidRPr="005071A1" w:rsidRDefault="00B33542" w:rsidP="00B33542">
      <w:pPr>
        <w:pStyle w:val="subsection"/>
      </w:pPr>
      <w:r w:rsidRPr="005071A1">
        <w:tab/>
        <w:t>(4)</w:t>
      </w:r>
      <w:r w:rsidRPr="005071A1">
        <w:tab/>
        <w:t>Where:</w:t>
      </w:r>
    </w:p>
    <w:p w14:paraId="6E9CE90E" w14:textId="77777777" w:rsidR="00B33542" w:rsidRPr="005071A1" w:rsidRDefault="00B33542" w:rsidP="00B33542">
      <w:pPr>
        <w:pStyle w:val="paragraph"/>
      </w:pPr>
      <w:r w:rsidRPr="005071A1">
        <w:tab/>
        <w:t>(a)</w:t>
      </w:r>
      <w:r w:rsidRPr="005071A1">
        <w:tab/>
        <w:t>the Board (or, on and after 1</w:t>
      </w:r>
      <w:r w:rsidR="008B2950" w:rsidRPr="005071A1">
        <w:t> </w:t>
      </w:r>
      <w:r w:rsidRPr="005071A1">
        <w:t xml:space="preserve">July 1976, the Commissioner for Superannuation) is satisfied that, if a person to whom this section applies had not terminated his service, his services would, at a time (in this subsection referred to as </w:t>
      </w:r>
      <w:r w:rsidRPr="005071A1">
        <w:rPr>
          <w:b/>
          <w:i/>
        </w:rPr>
        <w:t>the relevant time</w:t>
      </w:r>
      <w:r w:rsidRPr="005071A1">
        <w:t>) within the period that commenced on the day after the day of the termination and ended on the day of the declaration of the result of the election, have been terminated on the ground of invalidity; and</w:t>
      </w:r>
    </w:p>
    <w:p w14:paraId="14A5AEC8" w14:textId="77777777" w:rsidR="00B33542" w:rsidRPr="005071A1" w:rsidRDefault="00B33542" w:rsidP="00B33542">
      <w:pPr>
        <w:pStyle w:val="paragraph"/>
        <w:keepNext/>
      </w:pPr>
      <w:r w:rsidRPr="005071A1">
        <w:tab/>
        <w:t>(b)</w:t>
      </w:r>
      <w:r w:rsidRPr="005071A1">
        <w:tab/>
        <w:t>he was not a candidate at the election by reason of the invalidity or was such a candidate but failed to be elected;</w:t>
      </w:r>
    </w:p>
    <w:p w14:paraId="332EE954" w14:textId="77777777" w:rsidR="00B33542" w:rsidRPr="005071A1" w:rsidRDefault="00B33542" w:rsidP="00B33542">
      <w:pPr>
        <w:pStyle w:val="subsection2"/>
      </w:pPr>
      <w:r w:rsidRPr="005071A1">
        <w:t>he shall be deemed not to have ceased, by reason of the termination of his service, to be a contributor to the Provident Account or to be, or to be deemed to be, an employee but his services shall be deemed to have been terminated at the relevant time on the ground of invalidity.</w:t>
      </w:r>
    </w:p>
    <w:p w14:paraId="29B9F79C" w14:textId="77777777" w:rsidR="00B33542" w:rsidRPr="005071A1" w:rsidRDefault="00B33542" w:rsidP="00B33542">
      <w:pPr>
        <w:pStyle w:val="subsection"/>
      </w:pPr>
      <w:r w:rsidRPr="005071A1">
        <w:tab/>
        <w:t>(5)</w:t>
      </w:r>
      <w:r w:rsidRPr="005071A1">
        <w:tab/>
        <w:t>Where:</w:t>
      </w:r>
    </w:p>
    <w:p w14:paraId="5E5CE912" w14:textId="77777777" w:rsidR="00B33542" w:rsidRPr="005071A1" w:rsidRDefault="00B33542" w:rsidP="00B33542">
      <w:pPr>
        <w:pStyle w:val="paragraph"/>
      </w:pPr>
      <w:r w:rsidRPr="005071A1">
        <w:lastRenderedPageBreak/>
        <w:tab/>
        <w:t>(a)</w:t>
      </w:r>
      <w:r w:rsidRPr="005071A1">
        <w:tab/>
        <w:t>a person to whom this section applies and who was a candidate at the election but failed to be elected does not apply, within two months after the day of the declaration of the result of the election, to become employed by the Commonwealth or by an approved authority in employment the terms of which would require him to give the whole of his time to the duties of his employment; and</w:t>
      </w:r>
    </w:p>
    <w:p w14:paraId="2D6649BB" w14:textId="77777777" w:rsidR="00B33542" w:rsidRPr="005071A1" w:rsidRDefault="00B33542" w:rsidP="00B33542">
      <w:pPr>
        <w:pStyle w:val="paragraph"/>
        <w:keepNext/>
      </w:pPr>
      <w:r w:rsidRPr="005071A1">
        <w:tab/>
        <w:t>(b)</w:t>
      </w:r>
      <w:r w:rsidRPr="005071A1">
        <w:tab/>
        <w:t>the Board (or, on and after 1</w:t>
      </w:r>
      <w:r w:rsidR="008B2950" w:rsidRPr="005071A1">
        <w:t> </w:t>
      </w:r>
      <w:r w:rsidRPr="005071A1">
        <w:t xml:space="preserve">July 1976, the Commissioner for Superannuation) is satisfied that, if he had not terminated his service, his services would, at a time (in this subsection referred to as </w:t>
      </w:r>
      <w:r w:rsidRPr="005071A1">
        <w:rPr>
          <w:b/>
          <w:i/>
        </w:rPr>
        <w:t>the relevant time</w:t>
      </w:r>
      <w:r w:rsidRPr="005071A1">
        <w:t>) within that period, have been terminated on the ground of invalidity;</w:t>
      </w:r>
    </w:p>
    <w:p w14:paraId="48275DE1" w14:textId="77777777" w:rsidR="00B33542" w:rsidRPr="005071A1" w:rsidRDefault="00B33542" w:rsidP="00B33542">
      <w:pPr>
        <w:pStyle w:val="subsection2"/>
      </w:pPr>
      <w:r w:rsidRPr="005071A1">
        <w:t>he shall be deemed not to have ceased, by reason of the termination of his service, to be a contributor to the Provident Account or to be, or to be deemed to be, an employee but his services shall be deemed to have been terminated at the relevant time on the ground of invalidity.</w:t>
      </w:r>
    </w:p>
    <w:p w14:paraId="29495D80" w14:textId="77777777" w:rsidR="00B33542" w:rsidRPr="005071A1" w:rsidRDefault="00B33542" w:rsidP="00B33542">
      <w:pPr>
        <w:pStyle w:val="subsection"/>
      </w:pPr>
      <w:r w:rsidRPr="005071A1">
        <w:tab/>
        <w:t>(6)</w:t>
      </w:r>
      <w:r w:rsidRPr="005071A1">
        <w:tab/>
        <w:t>Where a person to whom this section applies and who was a candidate at the election but failed to be elected applies, within two months after the day of the declaration of the result of the election, to become employed by the Commonwealth or by an approved authority in employment the terms of which would require him to give the whole of his time to the duties of his employment and the Board (or, on and after 1</w:t>
      </w:r>
      <w:r w:rsidR="008B2950" w:rsidRPr="005071A1">
        <w:t> </w:t>
      </w:r>
      <w:r w:rsidRPr="005071A1">
        <w:t>July 1976, the Commissioner for Superannuation) is satisfied that, if he had not terminated his service:</w:t>
      </w:r>
    </w:p>
    <w:p w14:paraId="7E94CC64" w14:textId="77777777" w:rsidR="00B33542" w:rsidRPr="005071A1" w:rsidRDefault="00B33542" w:rsidP="00B33542">
      <w:pPr>
        <w:pStyle w:val="paragraph"/>
      </w:pPr>
      <w:r w:rsidRPr="005071A1">
        <w:tab/>
        <w:t>(a)</w:t>
      </w:r>
      <w:r w:rsidRPr="005071A1">
        <w:tab/>
        <w:t xml:space="preserve">in the case of a person whose application is rejected—his services would, at a time (in this subsection referred to as </w:t>
      </w:r>
      <w:r w:rsidRPr="005071A1">
        <w:rPr>
          <w:b/>
          <w:i/>
        </w:rPr>
        <w:t>the relevant time</w:t>
      </w:r>
      <w:r w:rsidRPr="005071A1">
        <w:t>) within the period that commenced on the day after the day of the declaration of the result of the election and ended on the day of the rejection, have been terminated on the ground of invalidity;</w:t>
      </w:r>
    </w:p>
    <w:p w14:paraId="2D7210D0" w14:textId="77777777" w:rsidR="00B33542" w:rsidRPr="005071A1" w:rsidRDefault="00B33542" w:rsidP="00B33542">
      <w:pPr>
        <w:pStyle w:val="paragraph"/>
      </w:pPr>
      <w:r w:rsidRPr="005071A1">
        <w:tab/>
        <w:t>(b)</w:t>
      </w:r>
      <w:r w:rsidRPr="005071A1">
        <w:tab/>
        <w:t xml:space="preserve">in the case of a person whose application has been granted but who has not become employed by the Commonwealth or </w:t>
      </w:r>
      <w:r w:rsidRPr="005071A1">
        <w:lastRenderedPageBreak/>
        <w:t xml:space="preserve">by that authority—his services would, at a time (in this subsection also referred to as </w:t>
      </w:r>
      <w:r w:rsidRPr="005071A1">
        <w:rPr>
          <w:b/>
          <w:i/>
        </w:rPr>
        <w:t>the relevant time</w:t>
      </w:r>
      <w:r w:rsidRPr="005071A1">
        <w:t>) within the period that commenced on the day after the day of the declaration of the result of the election and ended on the day on which he was required to commence his employment with the Commonwealth or the authority, have been terminated on the ground of invalidity; or</w:t>
      </w:r>
    </w:p>
    <w:p w14:paraId="0BFBD867" w14:textId="77777777" w:rsidR="00B33542" w:rsidRPr="005071A1" w:rsidRDefault="00B33542" w:rsidP="00D11EDC">
      <w:pPr>
        <w:pStyle w:val="paragraph"/>
      </w:pPr>
      <w:r w:rsidRPr="005071A1">
        <w:tab/>
        <w:t>(c)</w:t>
      </w:r>
      <w:r w:rsidRPr="005071A1">
        <w:tab/>
        <w:t xml:space="preserve">in the case of a person whose application has not been determined—his services would, at a time (in this subsection also referred to as </w:t>
      </w:r>
      <w:r w:rsidRPr="005071A1">
        <w:rPr>
          <w:b/>
          <w:i/>
        </w:rPr>
        <w:t>the relevant time</w:t>
      </w:r>
      <w:r w:rsidRPr="005071A1">
        <w:t>) after the day of the declaration of the result of the election, have been terminated on the ground of invalidity;</w:t>
      </w:r>
    </w:p>
    <w:p w14:paraId="57A99CEA" w14:textId="77777777" w:rsidR="00B33542" w:rsidRPr="005071A1" w:rsidRDefault="00B33542" w:rsidP="00B33542">
      <w:pPr>
        <w:pStyle w:val="subsection2"/>
      </w:pPr>
      <w:r w:rsidRPr="005071A1">
        <w:t>then he shall be deemed not to have ceased, by reason of the termination of his services, to be a contributor to the Provident Account or to be, or to be deemed to be, an employee but his services shall be deemed to have been terminated at the relevant time on the ground of invalidity.</w:t>
      </w:r>
    </w:p>
    <w:p w14:paraId="20F5B160" w14:textId="77777777" w:rsidR="00B33542" w:rsidRPr="005071A1" w:rsidRDefault="00B33542" w:rsidP="00B33542">
      <w:pPr>
        <w:pStyle w:val="subsection"/>
      </w:pPr>
      <w:r w:rsidRPr="005071A1">
        <w:tab/>
        <w:t>(7)</w:t>
      </w:r>
      <w:r w:rsidRPr="005071A1">
        <w:tab/>
        <w:t>If an amount was paid under section</w:t>
      </w:r>
      <w:r w:rsidR="008B2950" w:rsidRPr="005071A1">
        <w:t> </w:t>
      </w:r>
      <w:r w:rsidRPr="005071A1">
        <w:t>82 or section</w:t>
      </w:r>
      <w:r w:rsidR="008B2950" w:rsidRPr="005071A1">
        <w:t> </w:t>
      </w:r>
      <w:r w:rsidRPr="005071A1">
        <w:t>85 to a person to whom this section applies upon the termination of his service, any amount payable to or in respect of him under this Act by reason of the operation of a preceding provision of this section shall be reduced by an amount equal to the amount so paid.</w:t>
      </w:r>
    </w:p>
    <w:p w14:paraId="0CA266BA" w14:textId="77777777" w:rsidR="00B33542" w:rsidRPr="005071A1" w:rsidRDefault="00B33542" w:rsidP="00B33542">
      <w:pPr>
        <w:pStyle w:val="subsection"/>
        <w:keepNext/>
        <w:keepLines/>
      </w:pPr>
      <w:r w:rsidRPr="005071A1">
        <w:tab/>
        <w:t>(8)</w:t>
      </w:r>
      <w:r w:rsidRPr="005071A1">
        <w:tab/>
        <w:t>Where:</w:t>
      </w:r>
    </w:p>
    <w:p w14:paraId="4D4B9F8C" w14:textId="77777777" w:rsidR="00B33542" w:rsidRPr="005071A1" w:rsidRDefault="00B33542" w:rsidP="00B33542">
      <w:pPr>
        <w:pStyle w:val="paragraph"/>
      </w:pPr>
      <w:r w:rsidRPr="005071A1">
        <w:tab/>
        <w:t>(a)</w:t>
      </w:r>
      <w:r w:rsidRPr="005071A1">
        <w:tab/>
        <w:t>a person to whom this section applies was a candidate at the election but failed to be elected;</w:t>
      </w:r>
    </w:p>
    <w:p w14:paraId="69349D9E" w14:textId="77777777" w:rsidR="00B33542" w:rsidRPr="005071A1" w:rsidRDefault="00B33542" w:rsidP="00B33542">
      <w:pPr>
        <w:pStyle w:val="paragraph"/>
      </w:pPr>
      <w:r w:rsidRPr="005071A1">
        <w:tab/>
        <w:t>(b)</w:t>
      </w:r>
      <w:r w:rsidRPr="005071A1">
        <w:tab/>
        <w:t>on application made by him within two months after the day of the declaration of the result of the election, he becomes employed by the Commonwealth or by an approved authority on terms that require him to give the whole of his time to the duties of his employment; and</w:t>
      </w:r>
    </w:p>
    <w:p w14:paraId="228F957C" w14:textId="77777777" w:rsidR="00B33542" w:rsidRPr="005071A1" w:rsidRDefault="00B33542" w:rsidP="00B33542">
      <w:pPr>
        <w:pStyle w:val="paragraph"/>
        <w:keepNext/>
      </w:pPr>
      <w:r w:rsidRPr="005071A1">
        <w:lastRenderedPageBreak/>
        <w:tab/>
        <w:t>(c)</w:t>
      </w:r>
      <w:r w:rsidRPr="005071A1">
        <w:tab/>
        <w:t>an amount equal to the amount paid to him under section</w:t>
      </w:r>
      <w:r w:rsidR="008B2950" w:rsidRPr="005071A1">
        <w:t> </w:t>
      </w:r>
      <w:r w:rsidRPr="005071A1">
        <w:t>82 or section</w:t>
      </w:r>
      <w:r w:rsidR="008B2950" w:rsidRPr="005071A1">
        <w:t> </w:t>
      </w:r>
      <w:r w:rsidRPr="005071A1">
        <w:t>85 upon the termination of his service is paid to the Commissioner for Superannuation before the expiration of that period or within such further period as the Board (or, on and after 1</w:t>
      </w:r>
      <w:r w:rsidR="008B2950" w:rsidRPr="005071A1">
        <w:t> </w:t>
      </w:r>
      <w:r w:rsidRPr="005071A1">
        <w:t>July 1976, the Commissioner for Superannuation) allows;</w:t>
      </w:r>
    </w:p>
    <w:p w14:paraId="79667CC7" w14:textId="77777777" w:rsidR="00B33542" w:rsidRPr="005071A1" w:rsidRDefault="00B33542" w:rsidP="00B33542">
      <w:pPr>
        <w:pStyle w:val="subsection2"/>
      </w:pPr>
      <w:r w:rsidRPr="005071A1">
        <w:t>he shall be deemed not to have ceased, by reason of the termination of his service, to be a contributor to the Provident Account or to be, or to be deemed to be, an employee.</w:t>
      </w:r>
    </w:p>
    <w:p w14:paraId="6BCDCA1D" w14:textId="77777777" w:rsidR="00B33542" w:rsidRPr="005071A1" w:rsidRDefault="00B33542" w:rsidP="00B33542">
      <w:pPr>
        <w:pStyle w:val="subsection"/>
      </w:pPr>
      <w:r w:rsidRPr="005071A1">
        <w:tab/>
        <w:t>(9)</w:t>
      </w:r>
      <w:r w:rsidRPr="005071A1">
        <w:tab/>
        <w:t>Where a person is to be deemed, by virtue of the preceding provisions of this section, not to have ceased, by reason of the termination of his service, to be a contributor to the Provident Account or to be, or to be deemed to be, an employee, he shall be deemed to have received salary from the time of the termination of his service to the time of his death, the time at which his services are to be deemed to have been terminated on the ground of invalidity or the time of the commencement of his employment by the Commonwealth or by the authority, as the case may be, at the rate at which he would have received salary if he had not terminated his service.</w:t>
      </w:r>
    </w:p>
    <w:p w14:paraId="50CFA30F" w14:textId="77777777" w:rsidR="00B33542" w:rsidRPr="005071A1" w:rsidRDefault="00B33542" w:rsidP="00B33542">
      <w:pPr>
        <w:pStyle w:val="subsection"/>
      </w:pPr>
      <w:r w:rsidRPr="005071A1">
        <w:tab/>
        <w:t>(10)</w:t>
      </w:r>
      <w:r w:rsidRPr="005071A1">
        <w:tab/>
        <w:t xml:space="preserve">The Commissioner for Superannuation shall pay amounts paid to him under </w:t>
      </w:r>
      <w:r w:rsidR="008B2950" w:rsidRPr="005071A1">
        <w:t>subsection (</w:t>
      </w:r>
      <w:r w:rsidRPr="005071A1">
        <w:t>8) into the new Superannuation Fund, and an amount, or the sum of the amounts, paid to the Commissioner for Superannuation under that subsection in respect of an amount paid to a person under section</w:t>
      </w:r>
      <w:r w:rsidR="008B2950" w:rsidRPr="005071A1">
        <w:t> </w:t>
      </w:r>
      <w:r w:rsidRPr="005071A1">
        <w:t>82 and paid by the Commissioner into the new Superannuation Fund shall, to the extent that it exceeds the difference between the amount so paid to the person and the amount paid out of the Consolidated Revenue Fund in respect of the amount so paid to the person, be paid from the new Superannuation Fund to the Commonwealth.</w:t>
      </w:r>
    </w:p>
    <w:p w14:paraId="48AF5F46" w14:textId="77777777" w:rsidR="00B33542" w:rsidRPr="005071A1" w:rsidRDefault="00B33542" w:rsidP="00B33542">
      <w:pPr>
        <w:pStyle w:val="ActHead5"/>
      </w:pPr>
      <w:bookmarkStart w:id="123" w:name="_Toc185577505"/>
      <w:r w:rsidRPr="004510F0">
        <w:rPr>
          <w:rStyle w:val="CharSectno"/>
        </w:rPr>
        <w:lastRenderedPageBreak/>
        <w:t>89</w:t>
      </w:r>
      <w:r w:rsidRPr="005071A1">
        <w:t xml:space="preserve">  Payment to other person</w:t>
      </w:r>
      <w:bookmarkEnd w:id="123"/>
    </w:p>
    <w:p w14:paraId="0AE6DEB1" w14:textId="77777777" w:rsidR="00B33542" w:rsidRPr="005071A1" w:rsidRDefault="00B33542" w:rsidP="00B33542">
      <w:pPr>
        <w:pStyle w:val="subsection"/>
      </w:pPr>
      <w:r w:rsidRPr="005071A1">
        <w:tab/>
      </w:r>
      <w:r w:rsidRPr="005071A1">
        <w:tab/>
        <w:t>Where in the opinion of the Commissioner for Superannuation any payment under this Part should be made to a person other than the person specified, the Commissioner for Superannuation may, subject to this Act, authorize payment to that other person accordingly.</w:t>
      </w:r>
    </w:p>
    <w:p w14:paraId="55F9F31B" w14:textId="77777777" w:rsidR="00B33542" w:rsidRPr="005071A1" w:rsidRDefault="00B33542" w:rsidP="00B33542">
      <w:pPr>
        <w:pStyle w:val="ActHead5"/>
      </w:pPr>
      <w:bookmarkStart w:id="124" w:name="_Toc185577506"/>
      <w:r w:rsidRPr="004510F0">
        <w:rPr>
          <w:rStyle w:val="CharSectno"/>
        </w:rPr>
        <w:t>90</w:t>
      </w:r>
      <w:r w:rsidRPr="005071A1">
        <w:t xml:space="preserve">  Rate of interest</w:t>
      </w:r>
      <w:bookmarkEnd w:id="124"/>
    </w:p>
    <w:p w14:paraId="70F04599" w14:textId="77777777" w:rsidR="00B33542" w:rsidRPr="005071A1" w:rsidRDefault="00B33542" w:rsidP="00B33542">
      <w:pPr>
        <w:pStyle w:val="subsection"/>
      </w:pPr>
      <w:r w:rsidRPr="005071A1">
        <w:tab/>
        <w:t>(1)</w:t>
      </w:r>
      <w:r w:rsidRPr="005071A1">
        <w:tab/>
        <w:t>For the purposes of this Part, the prescribed rate of compound interest is a rate determined in accordance with this section.</w:t>
      </w:r>
    </w:p>
    <w:p w14:paraId="4CAAE2E9" w14:textId="77777777" w:rsidR="00B33542" w:rsidRPr="005071A1" w:rsidRDefault="00B33542" w:rsidP="00B33542">
      <w:pPr>
        <w:pStyle w:val="subsection"/>
      </w:pPr>
      <w:r w:rsidRPr="005071A1">
        <w:tab/>
        <w:t>(2)</w:t>
      </w:r>
      <w:r w:rsidRPr="005071A1">
        <w:tab/>
        <w:t>In respect of contributions that became payable not later than 30</w:t>
      </w:r>
      <w:r w:rsidR="008B2950" w:rsidRPr="005071A1">
        <w:t> </w:t>
      </w:r>
      <w:r w:rsidRPr="005071A1">
        <w:t>June 1957, the rate is, in respect of any period that ended on or before that date, three per centum per annum.</w:t>
      </w:r>
    </w:p>
    <w:p w14:paraId="52CFE6E0" w14:textId="77777777" w:rsidR="00B33542" w:rsidRPr="005071A1" w:rsidRDefault="00B33542" w:rsidP="00B33542">
      <w:pPr>
        <w:pStyle w:val="subsection"/>
      </w:pPr>
      <w:r w:rsidRPr="005071A1">
        <w:tab/>
        <w:t>(3)</w:t>
      </w:r>
      <w:r w:rsidRPr="005071A1">
        <w:tab/>
        <w:t xml:space="preserve">In respect of contributions referred to in </w:t>
      </w:r>
      <w:r w:rsidR="008B2950" w:rsidRPr="005071A1">
        <w:t>subsection (</w:t>
      </w:r>
      <w:r w:rsidRPr="005071A1">
        <w:t>2), and in respect of contributions that became or become payable after 30</w:t>
      </w:r>
      <w:r w:rsidR="008B2950" w:rsidRPr="005071A1">
        <w:t> </w:t>
      </w:r>
      <w:r w:rsidRPr="005071A1">
        <w:t>June 1957, the rate is, in respect of any period that commenced or commences after that date, being a period that is a financial year or a part of a financial year, the rate of interest prescribed by the regulations in respect of that financial year or, if a rate of interest is not prescribed by the regulations in respect of that financial year, the rate of interest that is prescribed by the regulations in respect of the last preceding financial year in respect of which a rate of interest is prescribed by the regulations.</w:t>
      </w:r>
    </w:p>
    <w:p w14:paraId="0CD8FE3D" w14:textId="77777777" w:rsidR="00B33542" w:rsidRPr="005071A1" w:rsidRDefault="00B33542" w:rsidP="00B33542">
      <w:pPr>
        <w:pStyle w:val="subsection"/>
      </w:pPr>
      <w:r w:rsidRPr="005071A1">
        <w:tab/>
        <w:t>(4)</w:t>
      </w:r>
      <w:r w:rsidRPr="005071A1">
        <w:tab/>
        <w:t xml:space="preserve">In making a regulation prescribing a rate of interest in respect of a financial year for the purposes of </w:t>
      </w:r>
      <w:r w:rsidR="008B2950" w:rsidRPr="005071A1">
        <w:t>subsection (</w:t>
      </w:r>
      <w:r w:rsidRPr="005071A1">
        <w:t>3), the Governor</w:t>
      </w:r>
      <w:r w:rsidR="004510F0">
        <w:noBreakHyphen/>
      </w:r>
      <w:r w:rsidRPr="005071A1">
        <w:t>General is not required to act on the recommendation of the Board but he shall not make a regulation prescribing a rate of interest in respect of a financial year unless the Board has furnished a report to the Minister specifying:</w:t>
      </w:r>
    </w:p>
    <w:p w14:paraId="7B9E1BFC" w14:textId="77777777" w:rsidR="00B33542" w:rsidRPr="005071A1" w:rsidRDefault="00B33542" w:rsidP="00B33542">
      <w:pPr>
        <w:pStyle w:val="paragraph"/>
      </w:pPr>
      <w:r w:rsidRPr="005071A1">
        <w:lastRenderedPageBreak/>
        <w:tab/>
        <w:t>(a)</w:t>
      </w:r>
      <w:r w:rsidRPr="005071A1">
        <w:tab/>
        <w:t>the average rate of interest that is determined by the Board to have been earned by the Fund in that financial year; and</w:t>
      </w:r>
    </w:p>
    <w:p w14:paraId="7BA48ABB" w14:textId="77777777" w:rsidR="00B33542" w:rsidRPr="005071A1" w:rsidRDefault="00B33542" w:rsidP="00B33542">
      <w:pPr>
        <w:pStyle w:val="paragraph"/>
      </w:pPr>
      <w:r w:rsidRPr="005071A1">
        <w:tab/>
        <w:t>(b)</w:t>
      </w:r>
      <w:r w:rsidRPr="005071A1">
        <w:tab/>
        <w:t>the rate of interest that, in the opinion of the Board, should, having regard to that average rate of interest and to such other matters as the Board thinks relevant, be prescribed in respect of that financial year.</w:t>
      </w:r>
    </w:p>
    <w:p w14:paraId="726B0F42" w14:textId="77777777" w:rsidR="00B33542" w:rsidRPr="005071A1" w:rsidRDefault="00B33542" w:rsidP="00B33542">
      <w:pPr>
        <w:pStyle w:val="subsection"/>
      </w:pPr>
      <w:r w:rsidRPr="005071A1">
        <w:tab/>
        <w:t>(5)</w:t>
      </w:r>
      <w:r w:rsidRPr="005071A1">
        <w:tab/>
      </w:r>
      <w:r w:rsidR="008B2950" w:rsidRPr="005071A1">
        <w:t>Subsection (</w:t>
      </w:r>
      <w:r w:rsidRPr="005071A1">
        <w:t>4) does not apply to the making of a regulation prescribing the rate of interest in respect of the financial year ending on 30</w:t>
      </w:r>
      <w:r w:rsidR="008B2950" w:rsidRPr="005071A1">
        <w:t> </w:t>
      </w:r>
      <w:r w:rsidRPr="005071A1">
        <w:t>June 1976, but the Governor</w:t>
      </w:r>
      <w:r w:rsidR="004510F0">
        <w:noBreakHyphen/>
      </w:r>
      <w:r w:rsidRPr="005071A1">
        <w:t>General shall not make such a regulation unless the Superannuation Fund Investment Trust has furnished a report to the Minister specifying:</w:t>
      </w:r>
    </w:p>
    <w:p w14:paraId="10354367" w14:textId="77777777" w:rsidR="00B33542" w:rsidRPr="005071A1" w:rsidRDefault="00B33542" w:rsidP="00B33542">
      <w:pPr>
        <w:pStyle w:val="paragraph"/>
      </w:pPr>
      <w:r w:rsidRPr="005071A1">
        <w:tab/>
        <w:t>(a)</w:t>
      </w:r>
      <w:r w:rsidRPr="005071A1">
        <w:tab/>
        <w:t>the average rate of interest that is determined by the Trust to have been earned by the Fund in that financial year; and</w:t>
      </w:r>
    </w:p>
    <w:p w14:paraId="66677399" w14:textId="77777777" w:rsidR="00B33542" w:rsidRPr="005071A1" w:rsidRDefault="00B33542" w:rsidP="00B33542">
      <w:pPr>
        <w:pStyle w:val="paragraph"/>
      </w:pPr>
      <w:r w:rsidRPr="005071A1">
        <w:tab/>
        <w:t>(b)</w:t>
      </w:r>
      <w:r w:rsidRPr="005071A1">
        <w:tab/>
        <w:t>the rate of interest that, in the opinion of the Trust, should, having regard to the average rate of interest and to such other matters as the Trust thinks relevant, be prescribed in respect of that financial year.</w:t>
      </w:r>
    </w:p>
    <w:p w14:paraId="29CAA2BA" w14:textId="77777777" w:rsidR="00B33542" w:rsidRPr="005071A1" w:rsidRDefault="00B33542" w:rsidP="00B33542">
      <w:pPr>
        <w:pStyle w:val="ActHead5"/>
      </w:pPr>
      <w:bookmarkStart w:id="125" w:name="_Toc185577507"/>
      <w:r w:rsidRPr="004510F0">
        <w:rPr>
          <w:rStyle w:val="CharSectno"/>
        </w:rPr>
        <w:t>91</w:t>
      </w:r>
      <w:r w:rsidRPr="005071A1">
        <w:t xml:space="preserve">  Commencement of benefit</w:t>
      </w:r>
      <w:bookmarkEnd w:id="125"/>
    </w:p>
    <w:p w14:paraId="5DD193DB" w14:textId="77777777" w:rsidR="00B33542" w:rsidRPr="005071A1" w:rsidRDefault="00B33542" w:rsidP="00B33542">
      <w:pPr>
        <w:pStyle w:val="subsection"/>
      </w:pPr>
      <w:r w:rsidRPr="005071A1">
        <w:tab/>
        <w:t>(1)</w:t>
      </w:r>
      <w:r w:rsidRPr="005071A1">
        <w:tab/>
        <w:t>Where, in pursuance of this Part, an employee becomes liable to contribute to the Provident Account, he shall be deemed to be such a contributor as from the date when he becomes liable so to contribute, but if any benefit becomes payable to or in respect of that contributor before he has actually commenced to make contributions or additional contributions, there shall be deducted from the benefit such contributions as are due by him or, if a pay</w:t>
      </w:r>
      <w:r w:rsidR="004510F0">
        <w:noBreakHyphen/>
      </w:r>
      <w:r w:rsidRPr="005071A1">
        <w:t>day has not occurred before the benefit becomes payable, one fortnightly contribution.</w:t>
      </w:r>
    </w:p>
    <w:p w14:paraId="4C22340A" w14:textId="77777777" w:rsidR="00B33542" w:rsidRPr="005071A1" w:rsidRDefault="00B33542" w:rsidP="00B33542">
      <w:pPr>
        <w:pStyle w:val="subsection"/>
      </w:pPr>
      <w:r w:rsidRPr="005071A1">
        <w:tab/>
        <w:t>(2)</w:t>
      </w:r>
      <w:r w:rsidRPr="005071A1">
        <w:tab/>
        <w:t xml:space="preserve">Where a contribution is, or contributions are, required to be deducted from a benefit under </w:t>
      </w:r>
      <w:r w:rsidR="008B2950" w:rsidRPr="005071A1">
        <w:t>subsection (</w:t>
      </w:r>
      <w:r w:rsidRPr="005071A1">
        <w:t xml:space="preserve">1), that contribution or those contributions shall, for the purposes of determining the </w:t>
      </w:r>
      <w:r w:rsidRPr="005071A1">
        <w:lastRenderedPageBreak/>
        <w:t>amount of that benefit, be deemed to be a contribution or contributions made to the Provident Account.</w:t>
      </w:r>
    </w:p>
    <w:p w14:paraId="57334AA8" w14:textId="77777777" w:rsidR="00B33542" w:rsidRPr="005071A1" w:rsidRDefault="00B33542" w:rsidP="00B33542">
      <w:pPr>
        <w:pStyle w:val="ActHead5"/>
      </w:pPr>
      <w:bookmarkStart w:id="126" w:name="_Toc185577508"/>
      <w:r w:rsidRPr="004510F0">
        <w:rPr>
          <w:rStyle w:val="CharSectno"/>
        </w:rPr>
        <w:t>92</w:t>
      </w:r>
      <w:r w:rsidRPr="005071A1">
        <w:t xml:space="preserve">  Payments out of Consolidated Revenue Fund to Provident Account</w:t>
      </w:r>
      <w:bookmarkEnd w:id="126"/>
    </w:p>
    <w:p w14:paraId="65C405DE" w14:textId="77777777" w:rsidR="00B33542" w:rsidRPr="005071A1" w:rsidRDefault="00B33542" w:rsidP="00B33542">
      <w:pPr>
        <w:pStyle w:val="subsection"/>
      </w:pPr>
      <w:r w:rsidRPr="005071A1">
        <w:tab/>
        <w:t>(1)</w:t>
      </w:r>
      <w:r w:rsidRPr="005071A1">
        <w:tab/>
        <w:t xml:space="preserve">In respect of a payment made under </w:t>
      </w:r>
      <w:r w:rsidR="008B2950" w:rsidRPr="005071A1">
        <w:t>subsection (</w:t>
      </w:r>
      <w:r w:rsidRPr="005071A1">
        <w:t>1) of section</w:t>
      </w:r>
      <w:r w:rsidR="008B2950" w:rsidRPr="005071A1">
        <w:t> </w:t>
      </w:r>
      <w:r w:rsidRPr="005071A1">
        <w:t xml:space="preserve">82 or </w:t>
      </w:r>
      <w:r w:rsidR="008B2950" w:rsidRPr="005071A1">
        <w:t>subsection (</w:t>
      </w:r>
      <w:r w:rsidRPr="005071A1">
        <w:t>1) of section</w:t>
      </w:r>
      <w:r w:rsidR="008B2950" w:rsidRPr="005071A1">
        <w:t> </w:t>
      </w:r>
      <w:r w:rsidRPr="005071A1">
        <w:t>83, the Commonwealth shall pay to the Provident Account an amount equal to two</w:t>
      </w:r>
      <w:r w:rsidR="004510F0">
        <w:noBreakHyphen/>
      </w:r>
      <w:r w:rsidRPr="005071A1">
        <w:t>thirds of the payment.</w:t>
      </w:r>
    </w:p>
    <w:p w14:paraId="2C21F2A3" w14:textId="77777777" w:rsidR="00B33542" w:rsidRPr="005071A1" w:rsidRDefault="00B33542" w:rsidP="00B33542">
      <w:pPr>
        <w:pStyle w:val="subsection"/>
      </w:pPr>
      <w:r w:rsidRPr="005071A1">
        <w:tab/>
        <w:t>(2)</w:t>
      </w:r>
      <w:r w:rsidRPr="005071A1">
        <w:tab/>
        <w:t xml:space="preserve">In respect of a payment made under </w:t>
      </w:r>
      <w:r w:rsidR="008B2950" w:rsidRPr="005071A1">
        <w:t>subsection (</w:t>
      </w:r>
      <w:r w:rsidRPr="005071A1">
        <w:t>2) of section</w:t>
      </w:r>
      <w:r w:rsidR="008B2950" w:rsidRPr="005071A1">
        <w:t> </w:t>
      </w:r>
      <w:r w:rsidRPr="005071A1">
        <w:t xml:space="preserve">82 or </w:t>
      </w:r>
      <w:r w:rsidR="008B2950" w:rsidRPr="005071A1">
        <w:t>subsection (</w:t>
      </w:r>
      <w:r w:rsidRPr="005071A1">
        <w:t>2) of section</w:t>
      </w:r>
      <w:r w:rsidR="008B2950" w:rsidRPr="005071A1">
        <w:t> </w:t>
      </w:r>
      <w:r w:rsidRPr="005071A1">
        <w:t>83, the Commonwealth shall pay to the Provident Account an amount equal to the sum of:</w:t>
      </w:r>
    </w:p>
    <w:p w14:paraId="2D661AA7" w14:textId="77777777" w:rsidR="00B33542" w:rsidRPr="005071A1" w:rsidRDefault="00B33542" w:rsidP="00B33542">
      <w:pPr>
        <w:pStyle w:val="paragraph"/>
      </w:pPr>
      <w:r w:rsidRPr="005071A1">
        <w:tab/>
        <w:t>(a)</w:t>
      </w:r>
      <w:r w:rsidRPr="005071A1">
        <w:tab/>
        <w:t>two</w:t>
      </w:r>
      <w:r w:rsidR="004510F0">
        <w:noBreakHyphen/>
      </w:r>
      <w:r w:rsidRPr="005071A1">
        <w:t xml:space="preserve">thirds of the amount (in </w:t>
      </w:r>
      <w:r w:rsidR="008B2950" w:rsidRPr="005071A1">
        <w:t>paragraph (</w:t>
      </w:r>
      <w:r w:rsidRPr="005071A1">
        <w:t xml:space="preserve">b) referred to as </w:t>
      </w:r>
      <w:r w:rsidRPr="005071A1">
        <w:rPr>
          <w:b/>
          <w:i/>
        </w:rPr>
        <w:t>the base amount</w:t>
      </w:r>
      <w:r w:rsidRPr="005071A1">
        <w:t xml:space="preserve">) that would have been the amount of the payment if the payment had been made under </w:t>
      </w:r>
      <w:r w:rsidR="008B2950" w:rsidRPr="005071A1">
        <w:t>subsection (</w:t>
      </w:r>
      <w:r w:rsidRPr="005071A1">
        <w:t>1) of section</w:t>
      </w:r>
      <w:r w:rsidR="008B2950" w:rsidRPr="005071A1">
        <w:t> </w:t>
      </w:r>
      <w:r w:rsidRPr="005071A1">
        <w:t xml:space="preserve">82 or </w:t>
      </w:r>
      <w:r w:rsidR="008B2950" w:rsidRPr="005071A1">
        <w:t>subsection (</w:t>
      </w:r>
      <w:r w:rsidRPr="005071A1">
        <w:t>2) of section</w:t>
      </w:r>
      <w:r w:rsidR="008B2950" w:rsidRPr="005071A1">
        <w:t> </w:t>
      </w:r>
      <w:r w:rsidRPr="005071A1">
        <w:t>83; and</w:t>
      </w:r>
    </w:p>
    <w:p w14:paraId="41193E6D" w14:textId="77777777" w:rsidR="00B33542" w:rsidRPr="005071A1" w:rsidRDefault="00B33542" w:rsidP="00B33542">
      <w:pPr>
        <w:pStyle w:val="paragraph"/>
      </w:pPr>
      <w:r w:rsidRPr="005071A1">
        <w:tab/>
        <w:t>(b)</w:t>
      </w:r>
      <w:r w:rsidRPr="005071A1">
        <w:tab/>
        <w:t>the amount by which the amount of the payment exceeds the base amount.</w:t>
      </w:r>
    </w:p>
    <w:p w14:paraId="007CB990" w14:textId="77777777" w:rsidR="00B33542" w:rsidRPr="005071A1" w:rsidRDefault="00B33542" w:rsidP="00B33542">
      <w:pPr>
        <w:pStyle w:val="subsection"/>
      </w:pPr>
      <w:r w:rsidRPr="005071A1">
        <w:tab/>
        <w:t>(3)</w:t>
      </w:r>
      <w:r w:rsidRPr="005071A1">
        <w:tab/>
        <w:t>This section does not have effect on and after 1</w:t>
      </w:r>
      <w:r w:rsidR="008B2950" w:rsidRPr="005071A1">
        <w:t> </w:t>
      </w:r>
      <w:r w:rsidRPr="005071A1">
        <w:t>July 1976.</w:t>
      </w:r>
    </w:p>
    <w:p w14:paraId="4BE7743F" w14:textId="77777777" w:rsidR="00B33542" w:rsidRPr="005071A1" w:rsidRDefault="00B33542" w:rsidP="00B33542">
      <w:pPr>
        <w:pStyle w:val="ActHead5"/>
      </w:pPr>
      <w:bookmarkStart w:id="127" w:name="_Toc185577509"/>
      <w:r w:rsidRPr="004510F0">
        <w:rPr>
          <w:rStyle w:val="CharSectno"/>
        </w:rPr>
        <w:t>93</w:t>
      </w:r>
      <w:r w:rsidRPr="005071A1">
        <w:t xml:space="preserve">  Determination of annual salary</w:t>
      </w:r>
      <w:bookmarkEnd w:id="127"/>
    </w:p>
    <w:p w14:paraId="096371CD" w14:textId="77777777" w:rsidR="00B33542" w:rsidRPr="005071A1" w:rsidRDefault="00B33542" w:rsidP="00B33542">
      <w:pPr>
        <w:pStyle w:val="subsection"/>
      </w:pPr>
      <w:r w:rsidRPr="005071A1">
        <w:tab/>
        <w:t>(1)</w:t>
      </w:r>
      <w:r w:rsidRPr="005071A1">
        <w:tab/>
        <w:t xml:space="preserve">For the purposes of this Part, other than </w:t>
      </w:r>
      <w:r w:rsidR="008B2950" w:rsidRPr="005071A1">
        <w:t>paragraph (</w:t>
      </w:r>
      <w:r w:rsidRPr="005071A1">
        <w:t xml:space="preserve">b) of </w:t>
      </w:r>
      <w:r w:rsidR="008B2950" w:rsidRPr="005071A1">
        <w:t>subsection (</w:t>
      </w:r>
      <w:r w:rsidRPr="005071A1">
        <w:t>1) of section</w:t>
      </w:r>
      <w:r w:rsidR="008B2950" w:rsidRPr="005071A1">
        <w:t> </w:t>
      </w:r>
      <w:r w:rsidRPr="005071A1">
        <w:t>80, the salary of a contributor to the Provident Account shall be taken to be his annual salary.</w:t>
      </w:r>
    </w:p>
    <w:p w14:paraId="47118D67" w14:textId="77777777" w:rsidR="00B33542" w:rsidRPr="005071A1" w:rsidRDefault="00B33542" w:rsidP="00B33542">
      <w:pPr>
        <w:pStyle w:val="subsection"/>
      </w:pPr>
      <w:r w:rsidRPr="005071A1">
        <w:tab/>
        <w:t>(2)</w:t>
      </w:r>
      <w:r w:rsidRPr="005071A1">
        <w:tab/>
        <w:t>In ascertaining the annual salary of a contributor to the Provident Account for the purposes of this section:</w:t>
      </w:r>
    </w:p>
    <w:p w14:paraId="076A90A6" w14:textId="77777777" w:rsidR="00B33542" w:rsidRPr="005071A1" w:rsidRDefault="00B33542" w:rsidP="00B33542">
      <w:pPr>
        <w:pStyle w:val="paragraph"/>
      </w:pPr>
      <w:r w:rsidRPr="005071A1">
        <w:tab/>
        <w:t>(a)</w:t>
      </w:r>
      <w:r w:rsidRPr="005071A1">
        <w:tab/>
        <w:t xml:space="preserve">subject to </w:t>
      </w:r>
      <w:r w:rsidR="008B2950" w:rsidRPr="005071A1">
        <w:t>paragraph (</w:t>
      </w:r>
      <w:r w:rsidRPr="005071A1">
        <w:t xml:space="preserve">b), if he is not receiving remuneration at the maximum rate applicable to his office or position, he </w:t>
      </w:r>
      <w:r w:rsidRPr="005071A1">
        <w:lastRenderedPageBreak/>
        <w:t>shall be deemed to be receiving remuneration at that maximum rate; and</w:t>
      </w:r>
    </w:p>
    <w:p w14:paraId="1E3BD6D2" w14:textId="77777777" w:rsidR="00B33542" w:rsidRPr="005071A1" w:rsidRDefault="00B33542" w:rsidP="00B33542">
      <w:pPr>
        <w:pStyle w:val="paragraph"/>
      </w:pPr>
      <w:r w:rsidRPr="005071A1">
        <w:tab/>
        <w:t>(b)</w:t>
      </w:r>
      <w:r w:rsidRPr="005071A1">
        <w:tab/>
        <w:t>if he has not attained the age of twenty</w:t>
      </w:r>
      <w:r w:rsidR="004510F0">
        <w:noBreakHyphen/>
      </w:r>
      <w:r w:rsidRPr="005071A1">
        <w:t xml:space="preserve">one years and occupies an office or position in respect of which the remuneration varies according to the age of the occupant, </w:t>
      </w:r>
      <w:r w:rsidR="008B2950" w:rsidRPr="005071A1">
        <w:t>paragraph (</w:t>
      </w:r>
      <w:r w:rsidRPr="005071A1">
        <w:t>a) does not apply, but, in the case of such a contributor to the Provident Account who has not attained the age of twenty years, he shall be deemed to be receiving remuneration at the rate that would be applicable to him if he had attained the age of twenty years.</w:t>
      </w:r>
    </w:p>
    <w:p w14:paraId="78ACF7B3" w14:textId="77777777" w:rsidR="00B33542" w:rsidRPr="005071A1" w:rsidRDefault="00B33542" w:rsidP="002477D1">
      <w:pPr>
        <w:pStyle w:val="ActHead2"/>
        <w:pageBreakBefore/>
      </w:pPr>
      <w:bookmarkStart w:id="128" w:name="_Toc185577510"/>
      <w:r w:rsidRPr="004510F0">
        <w:rPr>
          <w:rStyle w:val="CharPartNo"/>
        </w:rPr>
        <w:lastRenderedPageBreak/>
        <w:t>Part </w:t>
      </w:r>
      <w:smartTag w:uri="urn:schemas-microsoft-com:office:smarttags" w:element="State">
        <w:r w:rsidRPr="004510F0">
          <w:rPr>
            <w:rStyle w:val="CharPartNo"/>
          </w:rPr>
          <w:t>VA</w:t>
        </w:r>
      </w:smartTag>
      <w:r w:rsidRPr="005071A1">
        <w:t>—</w:t>
      </w:r>
      <w:r w:rsidRPr="004510F0">
        <w:rPr>
          <w:rStyle w:val="CharPartText"/>
        </w:rPr>
        <w:t>Family law superannuation splitting</w:t>
      </w:r>
      <w:bookmarkEnd w:id="128"/>
    </w:p>
    <w:p w14:paraId="1EA77DD3" w14:textId="77777777" w:rsidR="00B33542" w:rsidRPr="005071A1" w:rsidRDefault="00B33542" w:rsidP="00B33542">
      <w:pPr>
        <w:pStyle w:val="ActHead3"/>
      </w:pPr>
      <w:bookmarkStart w:id="129" w:name="_Toc185577511"/>
      <w:r w:rsidRPr="004510F0">
        <w:rPr>
          <w:rStyle w:val="CharDivNo"/>
        </w:rPr>
        <w:t>Division</w:t>
      </w:r>
      <w:r w:rsidR="008B2950" w:rsidRPr="004510F0">
        <w:rPr>
          <w:rStyle w:val="CharDivNo"/>
        </w:rPr>
        <w:t> </w:t>
      </w:r>
      <w:r w:rsidRPr="004510F0">
        <w:rPr>
          <w:rStyle w:val="CharDivNo"/>
        </w:rPr>
        <w:t>1</w:t>
      </w:r>
      <w:r w:rsidRPr="005071A1">
        <w:t>—</w:t>
      </w:r>
      <w:r w:rsidRPr="004510F0">
        <w:rPr>
          <w:rStyle w:val="CharDivText"/>
        </w:rPr>
        <w:t>Preliminary</w:t>
      </w:r>
      <w:bookmarkEnd w:id="129"/>
    </w:p>
    <w:p w14:paraId="1A92BB6E" w14:textId="77777777" w:rsidR="00B33542" w:rsidRPr="005071A1" w:rsidRDefault="00B33542" w:rsidP="00B33542">
      <w:pPr>
        <w:pStyle w:val="ActHead5"/>
      </w:pPr>
      <w:bookmarkStart w:id="130" w:name="_Toc185577512"/>
      <w:r w:rsidRPr="004510F0">
        <w:rPr>
          <w:rStyle w:val="CharSectno"/>
        </w:rPr>
        <w:t>93DA</w:t>
      </w:r>
      <w:r w:rsidRPr="005071A1">
        <w:t xml:space="preserve">  Definitions</w:t>
      </w:r>
      <w:bookmarkEnd w:id="130"/>
    </w:p>
    <w:p w14:paraId="0A2D3225" w14:textId="77777777" w:rsidR="00B33542" w:rsidRPr="005071A1" w:rsidRDefault="00B33542" w:rsidP="00B33542">
      <w:pPr>
        <w:pStyle w:val="subsection"/>
      </w:pPr>
      <w:r w:rsidRPr="005071A1">
        <w:tab/>
      </w:r>
      <w:r w:rsidRPr="005071A1">
        <w:tab/>
        <w:t>In this Part, unless the contrary intention appears:</w:t>
      </w:r>
    </w:p>
    <w:p w14:paraId="02E97E5A" w14:textId="77777777" w:rsidR="00B33542" w:rsidRPr="005071A1" w:rsidRDefault="00B33542" w:rsidP="00B33542">
      <w:pPr>
        <w:pStyle w:val="Definition"/>
      </w:pPr>
      <w:r w:rsidRPr="005071A1">
        <w:rPr>
          <w:b/>
          <w:i/>
        </w:rPr>
        <w:t>associate pension</w:t>
      </w:r>
      <w:r w:rsidRPr="005071A1">
        <w:t xml:space="preserve"> means an associate pension under section</w:t>
      </w:r>
      <w:r w:rsidR="008B2950" w:rsidRPr="005071A1">
        <w:t> </w:t>
      </w:r>
      <w:r w:rsidRPr="005071A1">
        <w:t>93DB.</w:t>
      </w:r>
    </w:p>
    <w:p w14:paraId="52A0EC0E" w14:textId="77777777" w:rsidR="00B33542" w:rsidRPr="005071A1" w:rsidRDefault="00B33542" w:rsidP="00B33542">
      <w:pPr>
        <w:pStyle w:val="Definition"/>
      </w:pPr>
      <w:r w:rsidRPr="005071A1">
        <w:rPr>
          <w:b/>
          <w:i/>
        </w:rPr>
        <w:t>base amount</w:t>
      </w:r>
      <w:r w:rsidRPr="005071A1">
        <w:t xml:space="preserve"> means:</w:t>
      </w:r>
    </w:p>
    <w:p w14:paraId="028CB91F" w14:textId="77777777" w:rsidR="00B33542" w:rsidRPr="005071A1" w:rsidRDefault="00B33542" w:rsidP="00B33542">
      <w:pPr>
        <w:pStyle w:val="paragraph"/>
      </w:pPr>
      <w:r w:rsidRPr="005071A1">
        <w:tab/>
        <w:t>(a)</w:t>
      </w:r>
      <w:r w:rsidRPr="005071A1">
        <w:tab/>
        <w:t>for a splitting agreement—the base amount specified in, or calculated under, the agreement; or</w:t>
      </w:r>
    </w:p>
    <w:p w14:paraId="6BA6912F" w14:textId="77777777" w:rsidR="00B33542" w:rsidRPr="005071A1" w:rsidRDefault="00B33542" w:rsidP="00B33542">
      <w:pPr>
        <w:pStyle w:val="paragraph"/>
      </w:pPr>
      <w:r w:rsidRPr="005071A1">
        <w:tab/>
        <w:t>(b)</w:t>
      </w:r>
      <w:r w:rsidRPr="005071A1">
        <w:tab/>
        <w:t>for a splitting order—the amount allocated under subsection</w:t>
      </w:r>
      <w:r w:rsidR="008B2950" w:rsidRPr="005071A1">
        <w:t> </w:t>
      </w:r>
      <w:r w:rsidR="005E4BF4" w:rsidRPr="005071A1">
        <w:t>90XT(4)</w:t>
      </w:r>
      <w:r w:rsidR="002F1AF5" w:rsidRPr="005071A1">
        <w:t xml:space="preserve"> or 90YY(5) (as the case may be)</w:t>
      </w:r>
      <w:r w:rsidRPr="005071A1">
        <w:t xml:space="preserve"> of the </w:t>
      </w:r>
      <w:r w:rsidRPr="005071A1">
        <w:rPr>
          <w:i/>
        </w:rPr>
        <w:t>Family Law Act 1975</w:t>
      </w:r>
      <w:r w:rsidRPr="005071A1">
        <w:t>.</w:t>
      </w:r>
    </w:p>
    <w:p w14:paraId="701C9762" w14:textId="77777777" w:rsidR="002F1AF5" w:rsidRPr="005071A1" w:rsidRDefault="002F1AF5" w:rsidP="002F1AF5">
      <w:pPr>
        <w:pStyle w:val="Definition"/>
      </w:pPr>
      <w:r w:rsidRPr="005071A1">
        <w:rPr>
          <w:b/>
          <w:i/>
        </w:rPr>
        <w:t>family law value</w:t>
      </w:r>
      <w:r w:rsidRPr="005071A1">
        <w:t xml:space="preserve"> means:</w:t>
      </w:r>
    </w:p>
    <w:p w14:paraId="13E87D52" w14:textId="77777777" w:rsidR="002F1AF5" w:rsidRPr="005071A1" w:rsidRDefault="002F1AF5" w:rsidP="002F1AF5">
      <w:pPr>
        <w:pStyle w:val="paragraph"/>
      </w:pPr>
      <w:r w:rsidRPr="005071A1">
        <w:tab/>
        <w:t>(a)</w:t>
      </w:r>
      <w:r w:rsidRPr="005071A1">
        <w:tab/>
        <w:t xml:space="preserve">in relation to a superannuation interest within the meaning of Part VIIIB of the </w:t>
      </w:r>
      <w:r w:rsidRPr="005071A1">
        <w:rPr>
          <w:i/>
        </w:rPr>
        <w:t>Family Law Act 1975</w:t>
      </w:r>
      <w:r w:rsidRPr="005071A1">
        <w:t xml:space="preserve">—the amount determined in accordance with regulations under that Act that apply for the purposes of </w:t>
      </w:r>
      <w:r w:rsidR="00E872CC" w:rsidRPr="005071A1">
        <w:t>paragraph 9</w:t>
      </w:r>
      <w:r w:rsidRPr="005071A1">
        <w:t>0XT(2)(a) of that Act; or</w:t>
      </w:r>
    </w:p>
    <w:p w14:paraId="591C69DC" w14:textId="77777777" w:rsidR="002F1AF5" w:rsidRPr="005071A1" w:rsidRDefault="002F1AF5" w:rsidP="002F1AF5">
      <w:pPr>
        <w:pStyle w:val="paragraph"/>
      </w:pPr>
      <w:r w:rsidRPr="005071A1">
        <w:tab/>
        <w:t>(b)</w:t>
      </w:r>
      <w:r w:rsidRPr="005071A1">
        <w:tab/>
        <w:t xml:space="preserve">in relation to a superannuation interest within the meaning of Part VIIIC of the </w:t>
      </w:r>
      <w:r w:rsidRPr="005071A1">
        <w:rPr>
          <w:i/>
        </w:rPr>
        <w:t>Family Law Act 1975</w:t>
      </w:r>
      <w:r w:rsidRPr="005071A1">
        <w:t xml:space="preserve">—the amount determined in accordance with regulations under that Act that apply for the purposes of </w:t>
      </w:r>
      <w:r w:rsidR="00E872CC" w:rsidRPr="005071A1">
        <w:t>paragraph 9</w:t>
      </w:r>
      <w:r w:rsidRPr="005071A1">
        <w:t>0YY(2)(a) of that Act.</w:t>
      </w:r>
    </w:p>
    <w:p w14:paraId="32160A2B" w14:textId="77777777" w:rsidR="002F1AF5" w:rsidRPr="005071A1" w:rsidRDefault="002F1AF5" w:rsidP="002F1AF5">
      <w:pPr>
        <w:pStyle w:val="subsection2"/>
      </w:pPr>
      <w:r w:rsidRPr="005071A1">
        <w:t>In applying regulations referred to in paragraph (a) or (b), the relevant date is taken to be the date on which the operative time occurs.</w:t>
      </w:r>
    </w:p>
    <w:p w14:paraId="1290E705" w14:textId="77777777" w:rsidR="002F1AF5" w:rsidRPr="005071A1" w:rsidRDefault="002F1AF5" w:rsidP="002F1AF5">
      <w:pPr>
        <w:pStyle w:val="notetext"/>
      </w:pPr>
      <w:r w:rsidRPr="005071A1">
        <w:lastRenderedPageBreak/>
        <w:t>Note:</w:t>
      </w:r>
      <w:r w:rsidRPr="005071A1">
        <w:tab/>
        <w:t xml:space="preserve">This amount is determined by applying those regulations, whether or not an order has been made under subsection 90XT(1) or 90YY(1) (as the case may be) of the </w:t>
      </w:r>
      <w:r w:rsidRPr="005071A1">
        <w:rPr>
          <w:i/>
        </w:rPr>
        <w:t>Family Law Act 1975</w:t>
      </w:r>
      <w:r w:rsidRPr="005071A1">
        <w:t>.</w:t>
      </w:r>
    </w:p>
    <w:p w14:paraId="5BFB64A9" w14:textId="77777777" w:rsidR="002F1AF5" w:rsidRPr="005071A1" w:rsidRDefault="002F1AF5" w:rsidP="002F1AF5">
      <w:pPr>
        <w:pStyle w:val="Definition"/>
      </w:pPr>
      <w:r w:rsidRPr="005071A1">
        <w:rPr>
          <w:b/>
          <w:i/>
        </w:rPr>
        <w:t>member spouse</w:t>
      </w:r>
      <w:r w:rsidRPr="005071A1">
        <w:t xml:space="preserve"> means a member spouse within the meaning of Part VIIIB or VIIIC of the </w:t>
      </w:r>
      <w:r w:rsidRPr="005071A1">
        <w:rPr>
          <w:i/>
        </w:rPr>
        <w:t>Family Law Act 1975</w:t>
      </w:r>
      <w:r w:rsidRPr="005071A1">
        <w:t>.</w:t>
      </w:r>
    </w:p>
    <w:p w14:paraId="565189ED" w14:textId="77777777" w:rsidR="002F1AF5" w:rsidRPr="005071A1" w:rsidRDefault="002F1AF5" w:rsidP="002F1AF5">
      <w:pPr>
        <w:pStyle w:val="Definition"/>
      </w:pPr>
      <w:r w:rsidRPr="005071A1">
        <w:rPr>
          <w:b/>
          <w:i/>
        </w:rPr>
        <w:t>non</w:t>
      </w:r>
      <w:r w:rsidR="004510F0">
        <w:rPr>
          <w:b/>
          <w:i/>
        </w:rPr>
        <w:noBreakHyphen/>
      </w:r>
      <w:r w:rsidRPr="005071A1">
        <w:rPr>
          <w:b/>
          <w:i/>
        </w:rPr>
        <w:t>member spouse</w:t>
      </w:r>
      <w:r w:rsidRPr="005071A1">
        <w:t xml:space="preserve"> means a non</w:t>
      </w:r>
      <w:r w:rsidR="004510F0">
        <w:noBreakHyphen/>
      </w:r>
      <w:r w:rsidRPr="005071A1">
        <w:t xml:space="preserve">member spouse within the meaning of Part VIIIB or VIIIC of the </w:t>
      </w:r>
      <w:r w:rsidRPr="005071A1">
        <w:rPr>
          <w:i/>
        </w:rPr>
        <w:t>Family Law Act 1975</w:t>
      </w:r>
      <w:r w:rsidRPr="005071A1">
        <w:t>.</w:t>
      </w:r>
    </w:p>
    <w:p w14:paraId="11251D78" w14:textId="77777777" w:rsidR="00B33542" w:rsidRPr="005071A1" w:rsidRDefault="00B33542" w:rsidP="00B33542">
      <w:pPr>
        <w:pStyle w:val="Definition"/>
      </w:pPr>
      <w:r w:rsidRPr="005071A1">
        <w:rPr>
          <w:b/>
          <w:i/>
        </w:rPr>
        <w:t>non</w:t>
      </w:r>
      <w:r w:rsidR="004510F0">
        <w:rPr>
          <w:b/>
          <w:i/>
        </w:rPr>
        <w:noBreakHyphen/>
      </w:r>
      <w:r w:rsidRPr="005071A1">
        <w:rPr>
          <w:b/>
          <w:i/>
        </w:rPr>
        <w:t>standard pension</w:t>
      </w:r>
      <w:r w:rsidRPr="005071A1">
        <w:t xml:space="preserve"> means a pension under this Act other than a standard pension.</w:t>
      </w:r>
    </w:p>
    <w:p w14:paraId="57E84C4D" w14:textId="77777777" w:rsidR="002F1AF5" w:rsidRPr="005071A1" w:rsidRDefault="002F1AF5" w:rsidP="002F1AF5">
      <w:pPr>
        <w:pStyle w:val="Definition"/>
      </w:pPr>
      <w:r w:rsidRPr="005071A1">
        <w:rPr>
          <w:b/>
          <w:i/>
        </w:rPr>
        <w:t>operative time</w:t>
      </w:r>
      <w:r w:rsidRPr="005071A1">
        <w:t xml:space="preserve"> means:</w:t>
      </w:r>
    </w:p>
    <w:p w14:paraId="05C3F94C" w14:textId="77777777" w:rsidR="002F1AF5" w:rsidRPr="005071A1" w:rsidRDefault="002F1AF5" w:rsidP="002F1AF5">
      <w:pPr>
        <w:pStyle w:val="paragraph"/>
      </w:pPr>
      <w:r w:rsidRPr="005071A1">
        <w:tab/>
        <w:t>(a)</w:t>
      </w:r>
      <w:r w:rsidRPr="005071A1">
        <w:tab/>
        <w:t xml:space="preserve">for a splitting agreement that is a superannuation agreement or a flag lifting agreement within the meaning of Part VIIIB of the </w:t>
      </w:r>
      <w:r w:rsidRPr="005071A1">
        <w:rPr>
          <w:i/>
        </w:rPr>
        <w:t>Family Law Act 1975</w:t>
      </w:r>
      <w:r w:rsidRPr="005071A1">
        <w:t xml:space="preserve"> or for a splitting order within the meaning of that Part—the time that is the operative time for the purposes of that </w:t>
      </w:r>
      <w:r w:rsidR="00E872CC" w:rsidRPr="005071A1">
        <w:t>Part i</w:t>
      </w:r>
      <w:r w:rsidRPr="005071A1">
        <w:t>n relation to a payment split under the agreement or order; or</w:t>
      </w:r>
    </w:p>
    <w:p w14:paraId="4A3F8B7C" w14:textId="77777777" w:rsidR="002F1AF5" w:rsidRPr="005071A1" w:rsidRDefault="002F1AF5" w:rsidP="002F1AF5">
      <w:pPr>
        <w:pStyle w:val="paragraph"/>
      </w:pPr>
      <w:r w:rsidRPr="005071A1">
        <w:tab/>
        <w:t>(b)</w:t>
      </w:r>
      <w:r w:rsidRPr="005071A1">
        <w:tab/>
        <w:t xml:space="preserve">for a splitting agreement that is a superannuation agreement or a flag lifting agreement within the meaning of Part VIIIC of the </w:t>
      </w:r>
      <w:r w:rsidRPr="005071A1">
        <w:rPr>
          <w:i/>
        </w:rPr>
        <w:t>Family Law Act 1975</w:t>
      </w:r>
      <w:r w:rsidRPr="005071A1">
        <w:t xml:space="preserve"> or for a splitting order within the meaning of that Part—the time that is the operative time for the purposes of that </w:t>
      </w:r>
      <w:r w:rsidR="00E872CC" w:rsidRPr="005071A1">
        <w:t>Part i</w:t>
      </w:r>
      <w:r w:rsidRPr="005071A1">
        <w:t>n relation to a payment split under the agreement or order.</w:t>
      </w:r>
    </w:p>
    <w:p w14:paraId="02D6FAB4" w14:textId="77777777" w:rsidR="00B33542" w:rsidRPr="005071A1" w:rsidRDefault="00B33542" w:rsidP="00B33542">
      <w:pPr>
        <w:pStyle w:val="Definition"/>
      </w:pPr>
      <w:r w:rsidRPr="005071A1">
        <w:rPr>
          <w:b/>
          <w:i/>
        </w:rPr>
        <w:t>Orders</w:t>
      </w:r>
      <w:r w:rsidRPr="005071A1">
        <w:t xml:space="preserve"> means Orders under section</w:t>
      </w:r>
      <w:r w:rsidR="008B2950" w:rsidRPr="005071A1">
        <w:t> </w:t>
      </w:r>
      <w:r w:rsidRPr="005071A1">
        <w:t>93DE.</w:t>
      </w:r>
    </w:p>
    <w:p w14:paraId="0C5C7907" w14:textId="77777777" w:rsidR="00B33542" w:rsidRPr="005071A1" w:rsidRDefault="00B33542" w:rsidP="00B33542">
      <w:pPr>
        <w:pStyle w:val="Definition"/>
      </w:pPr>
      <w:r w:rsidRPr="005071A1">
        <w:rPr>
          <w:b/>
          <w:i/>
        </w:rPr>
        <w:t>original interest</w:t>
      </w:r>
      <w:r w:rsidRPr="005071A1">
        <w:t xml:space="preserve"> means a superannuation interest to which section</w:t>
      </w:r>
      <w:r w:rsidR="008B2950" w:rsidRPr="005071A1">
        <w:t> </w:t>
      </w:r>
      <w:r w:rsidRPr="005071A1">
        <w:t>93DB applies.</w:t>
      </w:r>
    </w:p>
    <w:p w14:paraId="529BA669" w14:textId="77777777" w:rsidR="002F1AF5" w:rsidRPr="005071A1" w:rsidRDefault="002F1AF5" w:rsidP="002F1AF5">
      <w:pPr>
        <w:pStyle w:val="Definition"/>
      </w:pPr>
      <w:r w:rsidRPr="005071A1">
        <w:rPr>
          <w:b/>
          <w:i/>
        </w:rPr>
        <w:t>payment split</w:t>
      </w:r>
      <w:r w:rsidRPr="005071A1">
        <w:t xml:space="preserve"> means a payment split within the meaning of Part VIIIB or VIIIC of the </w:t>
      </w:r>
      <w:r w:rsidRPr="005071A1">
        <w:rPr>
          <w:i/>
        </w:rPr>
        <w:t>Family Law Act 1975</w:t>
      </w:r>
      <w:r w:rsidRPr="005071A1">
        <w:t>.</w:t>
      </w:r>
    </w:p>
    <w:p w14:paraId="384BE2B4" w14:textId="77777777" w:rsidR="002F1AF5" w:rsidRPr="005071A1" w:rsidRDefault="002F1AF5" w:rsidP="002F1AF5">
      <w:pPr>
        <w:pStyle w:val="Definition"/>
      </w:pPr>
      <w:r w:rsidRPr="005071A1">
        <w:rPr>
          <w:b/>
          <w:i/>
        </w:rPr>
        <w:t>splitting agreement</w:t>
      </w:r>
      <w:r w:rsidRPr="005071A1">
        <w:t xml:space="preserve"> means:</w:t>
      </w:r>
    </w:p>
    <w:p w14:paraId="5244D268" w14:textId="77777777" w:rsidR="002F1AF5" w:rsidRPr="005071A1" w:rsidRDefault="002F1AF5" w:rsidP="002F1AF5">
      <w:pPr>
        <w:pStyle w:val="paragraph"/>
      </w:pPr>
      <w:r w:rsidRPr="005071A1">
        <w:lastRenderedPageBreak/>
        <w:tab/>
        <w:t>(a)</w:t>
      </w:r>
      <w:r w:rsidRPr="005071A1">
        <w:tab/>
        <w:t xml:space="preserve">a superannuation agreement (within the meaning of Part VIIIB or VIIIC of the </w:t>
      </w:r>
      <w:r w:rsidRPr="005071A1">
        <w:rPr>
          <w:i/>
        </w:rPr>
        <w:t>Family Law Act 1975</w:t>
      </w:r>
      <w:r w:rsidRPr="005071A1">
        <w:t>); or</w:t>
      </w:r>
    </w:p>
    <w:p w14:paraId="3548B068" w14:textId="77777777" w:rsidR="002F1AF5" w:rsidRPr="005071A1" w:rsidRDefault="002F1AF5" w:rsidP="002F1AF5">
      <w:pPr>
        <w:pStyle w:val="paragraph"/>
      </w:pPr>
      <w:r w:rsidRPr="005071A1">
        <w:tab/>
        <w:t>(b)</w:t>
      </w:r>
      <w:r w:rsidRPr="005071A1">
        <w:tab/>
        <w:t xml:space="preserve">a flag lifting agreement (within the meaning of Part VIIIB or VIIIC of the </w:t>
      </w:r>
      <w:r w:rsidRPr="005071A1">
        <w:rPr>
          <w:i/>
        </w:rPr>
        <w:t>Family Law Act 1975</w:t>
      </w:r>
      <w:r w:rsidRPr="005071A1">
        <w:t>) that provides for a payment split.</w:t>
      </w:r>
    </w:p>
    <w:p w14:paraId="40A44A57" w14:textId="77777777" w:rsidR="002F1AF5" w:rsidRPr="005071A1" w:rsidRDefault="002F1AF5" w:rsidP="002F1AF5">
      <w:pPr>
        <w:pStyle w:val="Definition"/>
      </w:pPr>
      <w:r w:rsidRPr="005071A1">
        <w:rPr>
          <w:b/>
          <w:i/>
        </w:rPr>
        <w:t>splitting order</w:t>
      </w:r>
      <w:r w:rsidRPr="005071A1">
        <w:t xml:space="preserve"> means a splitting order within the meaning of Part VIIIB or VIIIC of the </w:t>
      </w:r>
      <w:r w:rsidRPr="005071A1">
        <w:rPr>
          <w:i/>
        </w:rPr>
        <w:t>Family Law Act 1975</w:t>
      </w:r>
      <w:r w:rsidRPr="005071A1">
        <w:t>.</w:t>
      </w:r>
    </w:p>
    <w:p w14:paraId="79C4CD29" w14:textId="77777777" w:rsidR="002F1AF5" w:rsidRPr="005071A1" w:rsidRDefault="002F1AF5" w:rsidP="002F1AF5">
      <w:pPr>
        <w:pStyle w:val="Definition"/>
      </w:pPr>
      <w:r w:rsidRPr="005071A1">
        <w:rPr>
          <w:b/>
          <w:i/>
        </w:rPr>
        <w:t>splitting percentage</w:t>
      </w:r>
      <w:r w:rsidRPr="005071A1">
        <w:t xml:space="preserve"> means:</w:t>
      </w:r>
    </w:p>
    <w:p w14:paraId="0DFF8AC5" w14:textId="77777777" w:rsidR="002F1AF5" w:rsidRPr="005071A1" w:rsidRDefault="002F1AF5" w:rsidP="002F1AF5">
      <w:pPr>
        <w:pStyle w:val="paragraph"/>
      </w:pPr>
      <w:r w:rsidRPr="005071A1">
        <w:tab/>
        <w:t>(a)</w:t>
      </w:r>
      <w:r w:rsidRPr="005071A1">
        <w:tab/>
        <w:t>for a splitting agreement—the percentage specified in the agreement under sub</w:t>
      </w:r>
      <w:r w:rsidR="00E872CC" w:rsidRPr="005071A1">
        <w:t>paragraph 9</w:t>
      </w:r>
      <w:r w:rsidRPr="005071A1">
        <w:t xml:space="preserve">0XJ(1)(c)(iii) or 90YN(1)(c)(iii) (as the case may be) of the </w:t>
      </w:r>
      <w:r w:rsidRPr="005071A1">
        <w:rPr>
          <w:i/>
        </w:rPr>
        <w:t>Family Law Act 1975</w:t>
      </w:r>
      <w:r w:rsidRPr="005071A1">
        <w:t>; or</w:t>
      </w:r>
    </w:p>
    <w:p w14:paraId="1F7B5832" w14:textId="77777777" w:rsidR="002F1AF5" w:rsidRPr="005071A1" w:rsidRDefault="002F1AF5" w:rsidP="002F1AF5">
      <w:pPr>
        <w:pStyle w:val="paragraph"/>
      </w:pPr>
      <w:r w:rsidRPr="005071A1">
        <w:tab/>
        <w:t>(b)</w:t>
      </w:r>
      <w:r w:rsidRPr="005071A1">
        <w:tab/>
        <w:t>for a splitting order—the percentage specified in the order under sub</w:t>
      </w:r>
      <w:r w:rsidR="00E872CC" w:rsidRPr="005071A1">
        <w:t>paragraph 9</w:t>
      </w:r>
      <w:r w:rsidRPr="005071A1">
        <w:t xml:space="preserve">0XT(1)(b)(i) or 90YY(1)(b)(i) (as the case may be) of the </w:t>
      </w:r>
      <w:r w:rsidRPr="005071A1">
        <w:rPr>
          <w:i/>
        </w:rPr>
        <w:t>Family Law Act 1975</w:t>
      </w:r>
      <w:r w:rsidRPr="005071A1">
        <w:t>.</w:t>
      </w:r>
    </w:p>
    <w:p w14:paraId="59F34B95" w14:textId="77777777" w:rsidR="00B33542" w:rsidRPr="005071A1" w:rsidRDefault="00B33542" w:rsidP="00B33542">
      <w:pPr>
        <w:pStyle w:val="Definition"/>
      </w:pPr>
      <w:r w:rsidRPr="005071A1">
        <w:rPr>
          <w:b/>
          <w:i/>
        </w:rPr>
        <w:t>standard pension</w:t>
      </w:r>
      <w:r w:rsidRPr="005071A1">
        <w:t xml:space="preserve"> means any of the following:</w:t>
      </w:r>
    </w:p>
    <w:p w14:paraId="65A76FAA" w14:textId="77777777" w:rsidR="00B33542" w:rsidRPr="005071A1" w:rsidRDefault="00B33542" w:rsidP="00B33542">
      <w:pPr>
        <w:pStyle w:val="paragraph"/>
      </w:pPr>
      <w:r w:rsidRPr="005071A1">
        <w:tab/>
        <w:t>(a)</w:t>
      </w:r>
      <w:r w:rsidRPr="005071A1">
        <w:tab/>
        <w:t>a pension under section</w:t>
      </w:r>
      <w:r w:rsidR="008B2950" w:rsidRPr="005071A1">
        <w:t> </w:t>
      </w:r>
      <w:r w:rsidRPr="005071A1">
        <w:t>37 or 38;</w:t>
      </w:r>
    </w:p>
    <w:p w14:paraId="6373B31C" w14:textId="77777777" w:rsidR="00B33542" w:rsidRPr="005071A1" w:rsidRDefault="00B33542" w:rsidP="00B33542">
      <w:pPr>
        <w:pStyle w:val="paragraph"/>
      </w:pPr>
      <w:r w:rsidRPr="005071A1">
        <w:tab/>
        <w:t>(b)</w:t>
      </w:r>
      <w:r w:rsidRPr="005071A1">
        <w:tab/>
        <w:t>a pension under section</w:t>
      </w:r>
      <w:r w:rsidR="008B2950" w:rsidRPr="005071A1">
        <w:t> </w:t>
      </w:r>
      <w:r w:rsidRPr="005071A1">
        <w:t>46, section</w:t>
      </w:r>
      <w:r w:rsidR="008B2950" w:rsidRPr="005071A1">
        <w:t> </w:t>
      </w:r>
      <w:r w:rsidRPr="005071A1">
        <w:t xml:space="preserve">47 (other than </w:t>
      </w:r>
      <w:r w:rsidR="008B2950" w:rsidRPr="005071A1">
        <w:t>subsection (</w:t>
      </w:r>
      <w:r w:rsidRPr="005071A1">
        <w:t>4)), section</w:t>
      </w:r>
      <w:r w:rsidR="008B2950" w:rsidRPr="005071A1">
        <w:t> </w:t>
      </w:r>
      <w:r w:rsidRPr="005071A1">
        <w:t>48AA or section</w:t>
      </w:r>
      <w:r w:rsidR="008B2950" w:rsidRPr="005071A1">
        <w:t> </w:t>
      </w:r>
      <w:r w:rsidRPr="005071A1">
        <w:t>48AB (other than in relation to subsection</w:t>
      </w:r>
      <w:r w:rsidR="008B2950" w:rsidRPr="005071A1">
        <w:t> </w:t>
      </w:r>
      <w:r w:rsidRPr="005071A1">
        <w:t>47(4) or section</w:t>
      </w:r>
      <w:r w:rsidR="008B2950" w:rsidRPr="005071A1">
        <w:t> </w:t>
      </w:r>
      <w:r w:rsidRPr="005071A1">
        <w:t>48);</w:t>
      </w:r>
    </w:p>
    <w:p w14:paraId="68AB17A7" w14:textId="77777777" w:rsidR="00B33542" w:rsidRPr="005071A1" w:rsidRDefault="00B33542" w:rsidP="00B33542">
      <w:pPr>
        <w:pStyle w:val="paragraph"/>
      </w:pPr>
      <w:r w:rsidRPr="005071A1">
        <w:tab/>
        <w:t>(c)</w:t>
      </w:r>
      <w:r w:rsidRPr="005071A1">
        <w:tab/>
        <w:t>a benefit under subsection</w:t>
      </w:r>
      <w:r w:rsidR="008B2950" w:rsidRPr="005071A1">
        <w:t> </w:t>
      </w:r>
      <w:r w:rsidRPr="005071A1">
        <w:t>48C(3) that consists of regular payments;</w:t>
      </w:r>
    </w:p>
    <w:p w14:paraId="06B763BF" w14:textId="77777777" w:rsidR="00B33542" w:rsidRPr="005071A1" w:rsidRDefault="00B33542" w:rsidP="00B33542">
      <w:pPr>
        <w:pStyle w:val="paragraph"/>
      </w:pPr>
      <w:r w:rsidRPr="005071A1">
        <w:tab/>
        <w:t>(d)</w:t>
      </w:r>
      <w:r w:rsidRPr="005071A1">
        <w:tab/>
        <w:t>an associate pension.</w:t>
      </w:r>
    </w:p>
    <w:p w14:paraId="447A5673" w14:textId="77777777" w:rsidR="002F1AF5" w:rsidRPr="005071A1" w:rsidRDefault="002F1AF5" w:rsidP="002F1AF5">
      <w:pPr>
        <w:pStyle w:val="Definition"/>
      </w:pPr>
      <w:r w:rsidRPr="005071A1">
        <w:rPr>
          <w:b/>
          <w:i/>
        </w:rPr>
        <w:t>superannuation interest</w:t>
      </w:r>
      <w:r w:rsidRPr="005071A1">
        <w:t xml:space="preserve"> means a superannuation interest within the meaning of Part VIIIB or VIIIC of the </w:t>
      </w:r>
      <w:r w:rsidRPr="005071A1">
        <w:rPr>
          <w:i/>
        </w:rPr>
        <w:t>Family Law Act 1975</w:t>
      </w:r>
      <w:r w:rsidRPr="005071A1">
        <w:t>.</w:t>
      </w:r>
    </w:p>
    <w:p w14:paraId="24535F3B" w14:textId="77777777" w:rsidR="00B33542" w:rsidRPr="005071A1" w:rsidRDefault="00B33542" w:rsidP="00B33542">
      <w:pPr>
        <w:pStyle w:val="Definition"/>
      </w:pPr>
      <w:r w:rsidRPr="005071A1">
        <w:rPr>
          <w:b/>
          <w:i/>
        </w:rPr>
        <w:t>transfer amount</w:t>
      </w:r>
      <w:r w:rsidRPr="005071A1">
        <w:t xml:space="preserve"> means:</w:t>
      </w:r>
    </w:p>
    <w:p w14:paraId="2D793207" w14:textId="77777777" w:rsidR="00B33542" w:rsidRPr="005071A1" w:rsidRDefault="00B33542" w:rsidP="00B33542">
      <w:pPr>
        <w:pStyle w:val="paragraph"/>
      </w:pPr>
      <w:r w:rsidRPr="005071A1">
        <w:lastRenderedPageBreak/>
        <w:tab/>
        <w:t>(a)</w:t>
      </w:r>
      <w:r w:rsidRPr="005071A1">
        <w:tab/>
        <w:t>if a splitting percentage applies—the amount calculated by multiplying the splitting percentage by the family law value; or</w:t>
      </w:r>
    </w:p>
    <w:p w14:paraId="1D80F6FC" w14:textId="77777777" w:rsidR="00B33542" w:rsidRPr="005071A1" w:rsidRDefault="00B33542" w:rsidP="00B33542">
      <w:pPr>
        <w:pStyle w:val="paragraph"/>
      </w:pPr>
      <w:r w:rsidRPr="005071A1">
        <w:tab/>
        <w:t>(b)</w:t>
      </w:r>
      <w:r w:rsidRPr="005071A1">
        <w:tab/>
        <w:t>otherwise—the base amount.</w:t>
      </w:r>
    </w:p>
    <w:p w14:paraId="778FDD1D" w14:textId="77777777" w:rsidR="00B33542" w:rsidRPr="005071A1" w:rsidRDefault="00B33542" w:rsidP="002477D1">
      <w:pPr>
        <w:pStyle w:val="ActHead3"/>
        <w:pageBreakBefore/>
      </w:pPr>
      <w:bookmarkStart w:id="131" w:name="_Toc185577513"/>
      <w:r w:rsidRPr="004510F0">
        <w:rPr>
          <w:rStyle w:val="CharDivNo"/>
        </w:rPr>
        <w:lastRenderedPageBreak/>
        <w:t>Division</w:t>
      </w:r>
      <w:r w:rsidR="008B2950" w:rsidRPr="004510F0">
        <w:rPr>
          <w:rStyle w:val="CharDivNo"/>
        </w:rPr>
        <w:t> </w:t>
      </w:r>
      <w:r w:rsidRPr="004510F0">
        <w:rPr>
          <w:rStyle w:val="CharDivNo"/>
        </w:rPr>
        <w:t>2</w:t>
      </w:r>
      <w:r w:rsidRPr="005071A1">
        <w:t>—</w:t>
      </w:r>
      <w:r w:rsidRPr="004510F0">
        <w:rPr>
          <w:rStyle w:val="CharDivText"/>
        </w:rPr>
        <w:t>Benefits for non</w:t>
      </w:r>
      <w:r w:rsidR="004510F0" w:rsidRPr="004510F0">
        <w:rPr>
          <w:rStyle w:val="CharDivText"/>
        </w:rPr>
        <w:noBreakHyphen/>
      </w:r>
      <w:r w:rsidRPr="004510F0">
        <w:rPr>
          <w:rStyle w:val="CharDivText"/>
        </w:rPr>
        <w:t>member spouse</w:t>
      </w:r>
      <w:bookmarkEnd w:id="131"/>
    </w:p>
    <w:p w14:paraId="65228AE2" w14:textId="77777777" w:rsidR="00B33542" w:rsidRPr="005071A1" w:rsidRDefault="00B33542" w:rsidP="00B33542">
      <w:pPr>
        <w:pStyle w:val="ActHead5"/>
      </w:pPr>
      <w:bookmarkStart w:id="132" w:name="_Toc185577514"/>
      <w:r w:rsidRPr="004510F0">
        <w:rPr>
          <w:rStyle w:val="CharSectno"/>
        </w:rPr>
        <w:t>93DB</w:t>
      </w:r>
      <w:r w:rsidRPr="005071A1">
        <w:t xml:space="preserve">  Associate pension for non</w:t>
      </w:r>
      <w:r w:rsidR="004510F0">
        <w:noBreakHyphen/>
      </w:r>
      <w:r w:rsidRPr="005071A1">
        <w:t>member spouse</w:t>
      </w:r>
      <w:bookmarkEnd w:id="132"/>
    </w:p>
    <w:p w14:paraId="7936E8EC" w14:textId="77777777" w:rsidR="00B33542" w:rsidRPr="005071A1" w:rsidRDefault="00B33542" w:rsidP="00B33542">
      <w:pPr>
        <w:pStyle w:val="subsection"/>
      </w:pPr>
      <w:r w:rsidRPr="005071A1">
        <w:tab/>
        <w:t>(1)</w:t>
      </w:r>
      <w:r w:rsidRPr="005071A1">
        <w:tab/>
        <w:t xml:space="preserve">This section applies to a superannuation interest under this Act (the </w:t>
      </w:r>
      <w:r w:rsidRPr="005071A1">
        <w:rPr>
          <w:b/>
          <w:i/>
        </w:rPr>
        <w:t>original interest</w:t>
      </w:r>
      <w:r w:rsidRPr="005071A1">
        <w:t>) if:</w:t>
      </w:r>
    </w:p>
    <w:p w14:paraId="4A92AA5B" w14:textId="77777777" w:rsidR="00B33542" w:rsidRPr="005071A1" w:rsidRDefault="00B33542" w:rsidP="00B33542">
      <w:pPr>
        <w:pStyle w:val="paragraph"/>
      </w:pPr>
      <w:r w:rsidRPr="005071A1">
        <w:tab/>
        <w:t>(a)</w:t>
      </w:r>
      <w:r w:rsidRPr="005071A1">
        <w:tab/>
        <w:t>the Commissioner receives a splitting agreement or splitting order in respect of the original interest; and</w:t>
      </w:r>
    </w:p>
    <w:p w14:paraId="779E5260" w14:textId="77777777" w:rsidR="00B33542" w:rsidRPr="005071A1" w:rsidRDefault="00B33542" w:rsidP="00B33542">
      <w:pPr>
        <w:pStyle w:val="paragraph"/>
      </w:pPr>
      <w:r w:rsidRPr="005071A1">
        <w:tab/>
        <w:t>(b)</w:t>
      </w:r>
      <w:r w:rsidRPr="005071A1">
        <w:tab/>
        <w:t>the original interest is not:</w:t>
      </w:r>
    </w:p>
    <w:p w14:paraId="0FCB2D9B" w14:textId="77777777" w:rsidR="00B33542" w:rsidRPr="005071A1" w:rsidRDefault="00B33542" w:rsidP="00B33542">
      <w:pPr>
        <w:pStyle w:val="paragraphsub"/>
      </w:pPr>
      <w:r w:rsidRPr="005071A1">
        <w:tab/>
        <w:t>(i)</w:t>
      </w:r>
      <w:r w:rsidRPr="005071A1">
        <w:tab/>
        <w:t>an entitlement to a pension under subsection</w:t>
      </w:r>
      <w:r w:rsidR="008B2950" w:rsidRPr="005071A1">
        <w:t> </w:t>
      </w:r>
      <w:r w:rsidRPr="005071A1">
        <w:t>47(4) or section</w:t>
      </w:r>
      <w:r w:rsidR="008B2950" w:rsidRPr="005071A1">
        <w:t> </w:t>
      </w:r>
      <w:r w:rsidRPr="005071A1">
        <w:t>48; or</w:t>
      </w:r>
    </w:p>
    <w:p w14:paraId="00A14930" w14:textId="77777777" w:rsidR="00B33542" w:rsidRPr="005071A1" w:rsidRDefault="00B33542" w:rsidP="00B33542">
      <w:pPr>
        <w:pStyle w:val="paragraphsub"/>
      </w:pPr>
      <w:r w:rsidRPr="005071A1">
        <w:tab/>
        <w:t>(ii)</w:t>
      </w:r>
      <w:r w:rsidRPr="005071A1">
        <w:tab/>
        <w:t xml:space="preserve">an entitlement to deferred benefits under </w:t>
      </w:r>
      <w:r w:rsidR="004510F0">
        <w:t>section 1</w:t>
      </w:r>
      <w:r w:rsidRPr="005071A1">
        <w:t>19T; and</w:t>
      </w:r>
    </w:p>
    <w:p w14:paraId="46815A8E" w14:textId="77777777" w:rsidR="00B33542" w:rsidRPr="005071A1" w:rsidRDefault="00B33542" w:rsidP="00B33542">
      <w:pPr>
        <w:pStyle w:val="paragraph"/>
      </w:pPr>
      <w:r w:rsidRPr="005071A1">
        <w:tab/>
        <w:t>(c)</w:t>
      </w:r>
      <w:r w:rsidRPr="005071A1">
        <w:tab/>
        <w:t>the member spouse and the non</w:t>
      </w:r>
      <w:r w:rsidR="004510F0">
        <w:noBreakHyphen/>
      </w:r>
      <w:r w:rsidRPr="005071A1">
        <w:t>member spouse are both alive at the operative time; and</w:t>
      </w:r>
    </w:p>
    <w:p w14:paraId="6B7BC231" w14:textId="77777777" w:rsidR="00B33542" w:rsidRPr="005071A1" w:rsidRDefault="00B33542" w:rsidP="00B33542">
      <w:pPr>
        <w:pStyle w:val="paragraph"/>
      </w:pPr>
      <w:r w:rsidRPr="005071A1">
        <w:tab/>
        <w:t>(d)</w:t>
      </w:r>
      <w:r w:rsidRPr="005071A1">
        <w:tab/>
        <w:t>if a base amount applies—the base amount at the operative time is not more than the family law value.</w:t>
      </w:r>
    </w:p>
    <w:p w14:paraId="05D5B77B" w14:textId="77777777" w:rsidR="00B33542" w:rsidRPr="005071A1" w:rsidRDefault="00B33542" w:rsidP="00B33542">
      <w:pPr>
        <w:pStyle w:val="subsection"/>
      </w:pPr>
      <w:r w:rsidRPr="005071A1">
        <w:tab/>
        <w:t>(2)</w:t>
      </w:r>
      <w:r w:rsidRPr="005071A1">
        <w:tab/>
        <w:t>The non</w:t>
      </w:r>
      <w:r w:rsidR="004510F0">
        <w:noBreakHyphen/>
      </w:r>
      <w:r w:rsidRPr="005071A1">
        <w:t>member spouse is entitled to an associate pension from the operative time, at the rate calculated under the Orders by reference to the transfer amount.</w:t>
      </w:r>
    </w:p>
    <w:p w14:paraId="72ECAFE3" w14:textId="77777777" w:rsidR="00B33542" w:rsidRPr="005071A1" w:rsidRDefault="00B33542" w:rsidP="00B33542">
      <w:pPr>
        <w:pStyle w:val="ActHead5"/>
      </w:pPr>
      <w:bookmarkStart w:id="133" w:name="_Toc185577515"/>
      <w:r w:rsidRPr="004510F0">
        <w:rPr>
          <w:rStyle w:val="CharSectno"/>
        </w:rPr>
        <w:t>93DC</w:t>
      </w:r>
      <w:r w:rsidRPr="005071A1">
        <w:t xml:space="preserve">  Commutation of small associate pension</w:t>
      </w:r>
      <w:bookmarkEnd w:id="133"/>
    </w:p>
    <w:p w14:paraId="7D249F3B" w14:textId="77777777" w:rsidR="00B33542" w:rsidRPr="005071A1" w:rsidRDefault="00B33542" w:rsidP="00B33542">
      <w:pPr>
        <w:pStyle w:val="subsection"/>
      </w:pPr>
      <w:r w:rsidRPr="005071A1">
        <w:tab/>
        <w:t>(1)</w:t>
      </w:r>
      <w:r w:rsidRPr="005071A1">
        <w:tab/>
        <w:t>If the annual rate of associate pension to which the non</w:t>
      </w:r>
      <w:r w:rsidR="004510F0">
        <w:noBreakHyphen/>
      </w:r>
      <w:r w:rsidRPr="005071A1">
        <w:t>member spouse becomes entitled is less than the amount determined under the Orders, then the non</w:t>
      </w:r>
      <w:r w:rsidR="004510F0">
        <w:noBreakHyphen/>
      </w:r>
      <w:r w:rsidRPr="005071A1">
        <w:t>member spouse may elect to commute the pension.</w:t>
      </w:r>
    </w:p>
    <w:p w14:paraId="00FD9FBC" w14:textId="77777777" w:rsidR="00B33542" w:rsidRPr="005071A1" w:rsidRDefault="00B33542" w:rsidP="00B33542">
      <w:pPr>
        <w:pStyle w:val="subsection"/>
      </w:pPr>
      <w:r w:rsidRPr="005071A1">
        <w:lastRenderedPageBreak/>
        <w:tab/>
        <w:t>(2)</w:t>
      </w:r>
      <w:r w:rsidRPr="005071A1">
        <w:tab/>
        <w:t>The election must be made in writing to the Commissioner not later than 3 months after the non</w:t>
      </w:r>
      <w:r w:rsidR="004510F0">
        <w:noBreakHyphen/>
      </w:r>
      <w:r w:rsidRPr="005071A1">
        <w:t>member spouse becomes entitled to the pension.</w:t>
      </w:r>
    </w:p>
    <w:p w14:paraId="1CE5A82B" w14:textId="77777777" w:rsidR="00B33542" w:rsidRPr="005071A1" w:rsidRDefault="00B33542" w:rsidP="00B33542">
      <w:pPr>
        <w:pStyle w:val="subsection"/>
      </w:pPr>
      <w:r w:rsidRPr="005071A1">
        <w:tab/>
        <w:t>(3)</w:t>
      </w:r>
      <w:r w:rsidRPr="005071A1">
        <w:tab/>
        <w:t>If the non</w:t>
      </w:r>
      <w:r w:rsidR="004510F0">
        <w:noBreakHyphen/>
      </w:r>
      <w:r w:rsidRPr="005071A1">
        <w:t>member spouse makes the election, then the non</w:t>
      </w:r>
      <w:r w:rsidR="004510F0">
        <w:noBreakHyphen/>
      </w:r>
      <w:r w:rsidRPr="005071A1">
        <w:t>member spouse is entitled instead to a lump sum equal to the transfer amount.</w:t>
      </w:r>
    </w:p>
    <w:p w14:paraId="31714E4B" w14:textId="77777777" w:rsidR="00B33542" w:rsidRPr="005071A1" w:rsidRDefault="004510F0" w:rsidP="002477D1">
      <w:pPr>
        <w:pStyle w:val="ActHead3"/>
        <w:pageBreakBefore/>
      </w:pPr>
      <w:bookmarkStart w:id="134" w:name="_Toc185577516"/>
      <w:r w:rsidRPr="004510F0">
        <w:rPr>
          <w:rStyle w:val="CharDivNo"/>
        </w:rPr>
        <w:lastRenderedPageBreak/>
        <w:t>Division 3</w:t>
      </w:r>
      <w:r w:rsidR="00B33542" w:rsidRPr="005071A1">
        <w:t>—</w:t>
      </w:r>
      <w:r w:rsidR="00B33542" w:rsidRPr="004510F0">
        <w:rPr>
          <w:rStyle w:val="CharDivText"/>
        </w:rPr>
        <w:t>Reduction of benefits for member spouse</w:t>
      </w:r>
      <w:bookmarkEnd w:id="134"/>
    </w:p>
    <w:p w14:paraId="62D55BF6" w14:textId="77777777" w:rsidR="00B33542" w:rsidRPr="005071A1" w:rsidRDefault="00B33542" w:rsidP="00B33542">
      <w:pPr>
        <w:pStyle w:val="ActHead5"/>
      </w:pPr>
      <w:bookmarkStart w:id="135" w:name="_Toc185577517"/>
      <w:r w:rsidRPr="004510F0">
        <w:rPr>
          <w:rStyle w:val="CharSectno"/>
        </w:rPr>
        <w:t>93DD</w:t>
      </w:r>
      <w:r w:rsidRPr="005071A1">
        <w:t xml:space="preserve">  Reduction of standard pension</w:t>
      </w:r>
      <w:bookmarkEnd w:id="135"/>
    </w:p>
    <w:p w14:paraId="2E35E437" w14:textId="77777777" w:rsidR="00B33542" w:rsidRPr="005071A1" w:rsidRDefault="00B33542" w:rsidP="00B33542">
      <w:pPr>
        <w:pStyle w:val="subsection"/>
      </w:pPr>
      <w:r w:rsidRPr="005071A1">
        <w:tab/>
        <w:t>(1)</w:t>
      </w:r>
      <w:r w:rsidRPr="005071A1">
        <w:tab/>
        <w:t>The annual rate of the standard pension that is payable at the operative time in respect of the original interest is reduced to the amount calculated under the Orders.</w:t>
      </w:r>
    </w:p>
    <w:p w14:paraId="6480ED17" w14:textId="77777777" w:rsidR="00B33542" w:rsidRPr="005071A1" w:rsidRDefault="00B33542" w:rsidP="00B33542">
      <w:pPr>
        <w:pStyle w:val="subsection"/>
      </w:pPr>
      <w:r w:rsidRPr="005071A1">
        <w:tab/>
        <w:t>(2)</w:t>
      </w:r>
      <w:r w:rsidRPr="005071A1">
        <w:tab/>
        <w:t xml:space="preserve">The reduction under </w:t>
      </w:r>
      <w:r w:rsidR="008B2950" w:rsidRPr="005071A1">
        <w:t>subsection (</w:t>
      </w:r>
      <w:r w:rsidRPr="005071A1">
        <w:t>1) is to be disregarded in calculating the amount of any non</w:t>
      </w:r>
      <w:r w:rsidR="004510F0">
        <w:noBreakHyphen/>
      </w:r>
      <w:r w:rsidRPr="005071A1">
        <w:t>standard pension that later becomes payable.</w:t>
      </w:r>
    </w:p>
    <w:p w14:paraId="411486C3" w14:textId="77777777" w:rsidR="00B33542" w:rsidRPr="005071A1" w:rsidRDefault="00B33542" w:rsidP="00B33542">
      <w:pPr>
        <w:pStyle w:val="notetext"/>
      </w:pPr>
      <w:r w:rsidRPr="005071A1">
        <w:t>Note:</w:t>
      </w:r>
      <w:r w:rsidRPr="005071A1">
        <w:tab/>
        <w:t>For example, the reduction will be disregarded in calculating the amount of a pension under section</w:t>
      </w:r>
      <w:r w:rsidR="008B2950" w:rsidRPr="005071A1">
        <w:t> </w:t>
      </w:r>
      <w:r w:rsidRPr="005071A1">
        <w:t>48 payable in respect of a child of the member spouse after the member spouse’s death.</w:t>
      </w:r>
    </w:p>
    <w:p w14:paraId="4B82C6E6" w14:textId="77777777" w:rsidR="00B33542" w:rsidRPr="005071A1" w:rsidRDefault="00B33542" w:rsidP="002477D1">
      <w:pPr>
        <w:pStyle w:val="ActHead3"/>
        <w:pageBreakBefore/>
      </w:pPr>
      <w:bookmarkStart w:id="136" w:name="_Toc185577518"/>
      <w:r w:rsidRPr="004510F0">
        <w:rPr>
          <w:rStyle w:val="CharDivNo"/>
        </w:rPr>
        <w:lastRenderedPageBreak/>
        <w:t>Division</w:t>
      </w:r>
      <w:r w:rsidR="008B2950" w:rsidRPr="004510F0">
        <w:rPr>
          <w:rStyle w:val="CharDivNo"/>
        </w:rPr>
        <w:t> </w:t>
      </w:r>
      <w:r w:rsidRPr="004510F0">
        <w:rPr>
          <w:rStyle w:val="CharDivNo"/>
        </w:rPr>
        <w:t>4</w:t>
      </w:r>
      <w:r w:rsidRPr="005071A1">
        <w:t>—</w:t>
      </w:r>
      <w:r w:rsidRPr="004510F0">
        <w:rPr>
          <w:rStyle w:val="CharDivText"/>
        </w:rPr>
        <w:t>Miscellaneous</w:t>
      </w:r>
      <w:bookmarkEnd w:id="136"/>
    </w:p>
    <w:p w14:paraId="73153A25" w14:textId="77777777" w:rsidR="00B33542" w:rsidRPr="005071A1" w:rsidRDefault="00B33542" w:rsidP="00B33542">
      <w:pPr>
        <w:pStyle w:val="ActHead5"/>
      </w:pPr>
      <w:bookmarkStart w:id="137" w:name="_Toc185577519"/>
      <w:r w:rsidRPr="004510F0">
        <w:rPr>
          <w:rStyle w:val="CharSectno"/>
        </w:rPr>
        <w:t>93DE</w:t>
      </w:r>
      <w:r w:rsidRPr="005071A1">
        <w:t xml:space="preserve">  Ministerial Orders</w:t>
      </w:r>
      <w:bookmarkEnd w:id="137"/>
    </w:p>
    <w:p w14:paraId="1064A06B" w14:textId="77777777" w:rsidR="00B33542" w:rsidRPr="005071A1" w:rsidRDefault="00B33542" w:rsidP="00B33542">
      <w:pPr>
        <w:pStyle w:val="subsection"/>
      </w:pPr>
      <w:r w:rsidRPr="005071A1">
        <w:tab/>
        <w:t>(1)</w:t>
      </w:r>
      <w:r w:rsidRPr="005071A1">
        <w:tab/>
        <w:t>The Minister may</w:t>
      </w:r>
      <w:r w:rsidR="0064661B" w:rsidRPr="005071A1">
        <w:t>, by legislative instrument,</w:t>
      </w:r>
      <w:r w:rsidRPr="005071A1">
        <w:t xml:space="preserve"> make Orders prescribing matters required or permitted by this Part to be prescribed.</w:t>
      </w:r>
    </w:p>
    <w:p w14:paraId="7F6AEFD3" w14:textId="77777777" w:rsidR="0064661B" w:rsidRPr="005071A1" w:rsidRDefault="0064661B" w:rsidP="0064661B">
      <w:pPr>
        <w:pStyle w:val="subsection"/>
      </w:pPr>
      <w:r w:rsidRPr="005071A1">
        <w:tab/>
        <w:t>(2)</w:t>
      </w:r>
      <w:r w:rsidRPr="005071A1">
        <w:tab/>
        <w:t xml:space="preserve">Despite anything in </w:t>
      </w:r>
      <w:r w:rsidR="00A11EB9" w:rsidRPr="005071A1">
        <w:t>regulations made for the purposes of paragraph</w:t>
      </w:r>
      <w:r w:rsidR="008B2950" w:rsidRPr="005071A1">
        <w:t> </w:t>
      </w:r>
      <w:r w:rsidR="00A11EB9" w:rsidRPr="005071A1">
        <w:t xml:space="preserve">44(2)(b) of the </w:t>
      </w:r>
      <w:r w:rsidR="00A11EB9" w:rsidRPr="005071A1">
        <w:rPr>
          <w:i/>
        </w:rPr>
        <w:t>Legislation Act 2003</w:t>
      </w:r>
      <w:r w:rsidR="00A11EB9" w:rsidRPr="005071A1">
        <w:t>, section</w:t>
      </w:r>
      <w:r w:rsidR="008B2950" w:rsidRPr="005071A1">
        <w:t> </w:t>
      </w:r>
      <w:r w:rsidR="00A11EB9" w:rsidRPr="005071A1">
        <w:t>42 (disallowance)</w:t>
      </w:r>
      <w:r w:rsidRPr="005071A1">
        <w:t xml:space="preserve"> of that Act applies to an Order made under </w:t>
      </w:r>
      <w:r w:rsidR="008B2950" w:rsidRPr="005071A1">
        <w:t>subsection (</w:t>
      </w:r>
      <w:r w:rsidRPr="005071A1">
        <w:t>1) of this section.</w:t>
      </w:r>
    </w:p>
    <w:p w14:paraId="447F7261" w14:textId="77777777" w:rsidR="00B33542" w:rsidRPr="005071A1" w:rsidRDefault="00B33542" w:rsidP="002477D1">
      <w:pPr>
        <w:pStyle w:val="ActHead2"/>
        <w:pageBreakBefore/>
      </w:pPr>
      <w:bookmarkStart w:id="138" w:name="_Toc185577520"/>
      <w:r w:rsidRPr="004510F0">
        <w:rPr>
          <w:rStyle w:val="CharPartNo"/>
        </w:rPr>
        <w:lastRenderedPageBreak/>
        <w:t>Part VIA</w:t>
      </w:r>
      <w:r w:rsidRPr="005071A1">
        <w:t>—</w:t>
      </w:r>
      <w:r w:rsidRPr="004510F0">
        <w:rPr>
          <w:rStyle w:val="CharPartText"/>
        </w:rPr>
        <w:t>Special provisions in relation to certain employees formerly in private employment</w:t>
      </w:r>
      <w:bookmarkEnd w:id="138"/>
    </w:p>
    <w:p w14:paraId="6853CF79" w14:textId="77777777" w:rsidR="00B33542" w:rsidRPr="005071A1" w:rsidRDefault="00B33542" w:rsidP="00B33542">
      <w:pPr>
        <w:pStyle w:val="ActHead3"/>
      </w:pPr>
      <w:bookmarkStart w:id="139" w:name="_Toc185577521"/>
      <w:r w:rsidRPr="004510F0">
        <w:rPr>
          <w:rStyle w:val="CharDivNo"/>
        </w:rPr>
        <w:t>Division</w:t>
      </w:r>
      <w:r w:rsidR="008B2950" w:rsidRPr="004510F0">
        <w:rPr>
          <w:rStyle w:val="CharDivNo"/>
        </w:rPr>
        <w:t> </w:t>
      </w:r>
      <w:r w:rsidRPr="004510F0">
        <w:rPr>
          <w:rStyle w:val="CharDivNo"/>
        </w:rPr>
        <w:t>1</w:t>
      </w:r>
      <w:r w:rsidRPr="005071A1">
        <w:t>—</w:t>
      </w:r>
      <w:r w:rsidRPr="004510F0">
        <w:rPr>
          <w:rStyle w:val="CharDivText"/>
        </w:rPr>
        <w:t>Preliminary</w:t>
      </w:r>
      <w:bookmarkEnd w:id="139"/>
    </w:p>
    <w:p w14:paraId="724B45CC" w14:textId="77777777" w:rsidR="00B33542" w:rsidRPr="005071A1" w:rsidRDefault="00B33542" w:rsidP="00B33542">
      <w:pPr>
        <w:pStyle w:val="ActHead5"/>
      </w:pPr>
      <w:bookmarkStart w:id="140" w:name="_Toc185577522"/>
      <w:r w:rsidRPr="004510F0">
        <w:rPr>
          <w:rStyle w:val="CharSectno"/>
        </w:rPr>
        <w:t>100A</w:t>
      </w:r>
      <w:r w:rsidRPr="005071A1">
        <w:t xml:space="preserve">  Interpretation</w:t>
      </w:r>
      <w:bookmarkEnd w:id="140"/>
    </w:p>
    <w:p w14:paraId="4CC19214" w14:textId="77777777" w:rsidR="00B33542" w:rsidRPr="005071A1" w:rsidRDefault="00B33542" w:rsidP="00B33542">
      <w:pPr>
        <w:pStyle w:val="subsection"/>
      </w:pPr>
      <w:r w:rsidRPr="005071A1">
        <w:tab/>
        <w:t>(1)</w:t>
      </w:r>
      <w:r w:rsidRPr="005071A1">
        <w:tab/>
        <w:t>In this Part, unless the contrary intention appears:</w:t>
      </w:r>
    </w:p>
    <w:p w14:paraId="390DE38E" w14:textId="77777777" w:rsidR="00B33542" w:rsidRPr="005071A1" w:rsidRDefault="00B33542" w:rsidP="00B33542">
      <w:pPr>
        <w:pStyle w:val="Definition"/>
      </w:pPr>
      <w:r w:rsidRPr="005071A1">
        <w:rPr>
          <w:b/>
          <w:i/>
        </w:rPr>
        <w:t>member</w:t>
      </w:r>
      <w:r w:rsidRPr="005071A1">
        <w:t>, in relation to a superannuation scheme applying in relation to any employment, means a person in respect of whom benefits are payable under the superannuation scheme that applies to him, by reason of his being employed in that employment, whether or not he is required to make contributions under the scheme.</w:t>
      </w:r>
    </w:p>
    <w:p w14:paraId="64DF93B4" w14:textId="77777777" w:rsidR="00B33542" w:rsidRPr="005071A1" w:rsidRDefault="00B33542" w:rsidP="00B33542">
      <w:pPr>
        <w:pStyle w:val="Definition"/>
      </w:pPr>
      <w:r w:rsidRPr="005071A1">
        <w:rPr>
          <w:b/>
          <w:i/>
        </w:rPr>
        <w:t>prescribed amount</w:t>
      </w:r>
      <w:r w:rsidRPr="005071A1">
        <w:t>, in relation to a member, means the amount paid to the member from the superannuation scheme applying to his employment upon his ceasing to be employed in that employment, other than any amount so paid:</w:t>
      </w:r>
    </w:p>
    <w:p w14:paraId="7032476A" w14:textId="77777777" w:rsidR="00B33542" w:rsidRPr="005071A1" w:rsidRDefault="00B33542" w:rsidP="00B33542">
      <w:pPr>
        <w:pStyle w:val="paragraph"/>
      </w:pPr>
      <w:r w:rsidRPr="005071A1">
        <w:tab/>
        <w:t>(a)</w:t>
      </w:r>
      <w:r w:rsidRPr="005071A1">
        <w:tab/>
        <w:t>that was paid by him to the superannuation scheme as contributions to the scheme by way of voluntary savings; or</w:t>
      </w:r>
    </w:p>
    <w:p w14:paraId="53EAA458" w14:textId="77777777" w:rsidR="00B33542" w:rsidRPr="005071A1" w:rsidRDefault="00B33542" w:rsidP="00B33542">
      <w:pPr>
        <w:pStyle w:val="paragraph"/>
      </w:pPr>
      <w:r w:rsidRPr="005071A1">
        <w:tab/>
        <w:t>(b)</w:t>
      </w:r>
      <w:r w:rsidRPr="005071A1">
        <w:tab/>
        <w:t>that is of a kind determined by the Board to be excluded from the prescribed amount.</w:t>
      </w:r>
    </w:p>
    <w:p w14:paraId="6BAFA11A" w14:textId="77777777" w:rsidR="00B33542" w:rsidRPr="005071A1" w:rsidRDefault="00B33542" w:rsidP="00B33542">
      <w:pPr>
        <w:pStyle w:val="Definition"/>
      </w:pPr>
      <w:r w:rsidRPr="005071A1">
        <w:rPr>
          <w:b/>
          <w:i/>
        </w:rPr>
        <w:t>relevant date</w:t>
      </w:r>
      <w:r w:rsidRPr="005071A1">
        <w:t>, in relation to a relevant employee, means the date on which he becomes employed by the Commonwealth or by an approved authority.</w:t>
      </w:r>
    </w:p>
    <w:p w14:paraId="4BC45A2E" w14:textId="77777777" w:rsidR="00B33542" w:rsidRPr="005071A1" w:rsidRDefault="00B33542" w:rsidP="00B33542">
      <w:pPr>
        <w:pStyle w:val="Definition"/>
      </w:pPr>
      <w:r w:rsidRPr="005071A1">
        <w:rPr>
          <w:b/>
          <w:i/>
        </w:rPr>
        <w:t>relevant employee</w:t>
      </w:r>
      <w:r w:rsidRPr="005071A1">
        <w:t xml:space="preserve"> means a person who:</w:t>
      </w:r>
    </w:p>
    <w:p w14:paraId="46C47ABD" w14:textId="77777777" w:rsidR="00B33542" w:rsidRPr="005071A1" w:rsidRDefault="00B33542" w:rsidP="00B33542">
      <w:pPr>
        <w:pStyle w:val="paragraph"/>
      </w:pPr>
      <w:r w:rsidRPr="005071A1">
        <w:lastRenderedPageBreak/>
        <w:tab/>
        <w:t>(a)</w:t>
      </w:r>
      <w:r w:rsidRPr="005071A1">
        <w:tab/>
        <w:t>becomes employed by the Commonwealth or by an approved authority before 1</w:t>
      </w:r>
      <w:r w:rsidR="008B2950" w:rsidRPr="005071A1">
        <w:t> </w:t>
      </w:r>
      <w:r w:rsidRPr="005071A1">
        <w:t>July 1976 in circumstances specified by the Minister by determination in writing made for the purposes of this definition, whether before or after the person becomes so employed; and</w:t>
      </w:r>
    </w:p>
    <w:p w14:paraId="7AA5914E" w14:textId="77777777" w:rsidR="00B33542" w:rsidRPr="005071A1" w:rsidRDefault="00B33542" w:rsidP="00B33542">
      <w:pPr>
        <w:pStyle w:val="paragraph"/>
      </w:pPr>
      <w:r w:rsidRPr="005071A1">
        <w:tab/>
        <w:t>(b)</w:t>
      </w:r>
      <w:r w:rsidRPr="005071A1">
        <w:tab/>
        <w:t>was, immediately before the relevant date, a member of a superannuation scheme applying in relation to his employment.</w:t>
      </w:r>
    </w:p>
    <w:p w14:paraId="3CC445B6" w14:textId="77777777" w:rsidR="00B33542" w:rsidRPr="005071A1" w:rsidRDefault="00B33542" w:rsidP="00B33542">
      <w:pPr>
        <w:pStyle w:val="Definition"/>
      </w:pPr>
      <w:r w:rsidRPr="005071A1">
        <w:rPr>
          <w:b/>
          <w:i/>
        </w:rPr>
        <w:t>rules</w:t>
      </w:r>
      <w:r w:rsidRPr="005071A1">
        <w:t>, in relation to a superannuation scheme, means the rules governing the operation of the scheme, whether contained in a law or in a trust deed or other instrument.</w:t>
      </w:r>
    </w:p>
    <w:p w14:paraId="50B33201" w14:textId="77777777" w:rsidR="00B33542" w:rsidRPr="005071A1" w:rsidRDefault="00B33542" w:rsidP="00B33542">
      <w:pPr>
        <w:pStyle w:val="Definition"/>
      </w:pPr>
      <w:r w:rsidRPr="005071A1">
        <w:rPr>
          <w:b/>
          <w:i/>
        </w:rPr>
        <w:t>superannuation scheme</w:t>
      </w:r>
      <w:r w:rsidRPr="005071A1">
        <w:t xml:space="preserve"> means a superannuation or retirement scheme applying to persons by reason of their being employed in certain employment, other than a scheme established under the law of a State to provide superannuation or other similar benefits for persons employed in the Public Service, the Railway Service or any other service of that State.</w:t>
      </w:r>
    </w:p>
    <w:p w14:paraId="059236DE" w14:textId="77777777" w:rsidR="00B33542" w:rsidRPr="005071A1" w:rsidRDefault="00B33542" w:rsidP="00B33542">
      <w:pPr>
        <w:pStyle w:val="subsection"/>
      </w:pPr>
      <w:r w:rsidRPr="005071A1">
        <w:tab/>
        <w:t>(2)</w:t>
      </w:r>
      <w:r w:rsidRPr="005071A1">
        <w:tab/>
        <w:t>For the purposes of this Part, a benefit by way of a lump sum shall be deemed to have become payable in respect of a person under a superannuation scheme upon the termination of the person’s employment if, upon the termination of that employment, the person has the legal title to a life policy, or is entitled to have the legal title to a life policy assigned to him, being a policy the premiums for which were, while he was employed in that employment, paid in whole or in part by his employer, and, where such a benefit is to be deemed to have become payable, the surrender value of the policy as at the date of the termination of his employment shall be taken to be the amount of that benefit by way of a lump sum.</w:t>
      </w:r>
    </w:p>
    <w:p w14:paraId="554FA8B5" w14:textId="77777777" w:rsidR="00B33542" w:rsidRPr="005071A1" w:rsidRDefault="00B33542" w:rsidP="00B33542">
      <w:pPr>
        <w:pStyle w:val="subsection"/>
      </w:pPr>
      <w:r w:rsidRPr="005071A1">
        <w:tab/>
        <w:t>(3)</w:t>
      </w:r>
      <w:r w:rsidRPr="005071A1">
        <w:tab/>
        <w:t xml:space="preserve">In determining, for the purposes of this Part, the number of units of pension (including, where necessary, a fraction of a unit) that will entitle a relevant employee to benefits equivalent to those related to </w:t>
      </w:r>
      <w:r w:rsidRPr="005071A1">
        <w:lastRenderedPageBreak/>
        <w:t>the benefits to which he was entitled under a superannuation scheme, the Board shall disregard:</w:t>
      </w:r>
    </w:p>
    <w:p w14:paraId="6C07FB39" w14:textId="77777777" w:rsidR="00B33542" w:rsidRPr="005071A1" w:rsidRDefault="00B33542" w:rsidP="00B33542">
      <w:pPr>
        <w:pStyle w:val="paragraph"/>
      </w:pPr>
      <w:r w:rsidRPr="005071A1">
        <w:tab/>
        <w:t>(b)</w:t>
      </w:r>
      <w:r w:rsidRPr="005071A1">
        <w:tab/>
        <w:t>the provisions of this Act that authorize the payment, in any circumstances, of benefits to or in relation to the spouse or a dependant of a contributor to the Fund; and</w:t>
      </w:r>
    </w:p>
    <w:p w14:paraId="093DA0E3" w14:textId="77777777" w:rsidR="00B33542" w:rsidRPr="005071A1" w:rsidRDefault="00B33542" w:rsidP="00B33542">
      <w:pPr>
        <w:pStyle w:val="paragraph"/>
      </w:pPr>
      <w:r w:rsidRPr="005071A1">
        <w:tab/>
        <w:t>(c)</w:t>
      </w:r>
      <w:r w:rsidRPr="005071A1">
        <w:tab/>
        <w:t>the rules of the superannuation scheme that authorize the payment, in any circumstances, of benefits to or in relation to the spouse or a dependant of a member of the scheme.</w:t>
      </w:r>
    </w:p>
    <w:p w14:paraId="1C51DC97" w14:textId="77777777" w:rsidR="00B33542" w:rsidRPr="005071A1" w:rsidRDefault="00B33542" w:rsidP="00B33542">
      <w:pPr>
        <w:pStyle w:val="subsection"/>
      </w:pPr>
      <w:r w:rsidRPr="005071A1">
        <w:tab/>
        <w:t>(4)</w:t>
      </w:r>
      <w:r w:rsidRPr="005071A1">
        <w:tab/>
        <w:t>In the application of a Part of this Act other than this Part to or in relation to a relevant employee:</w:t>
      </w:r>
    </w:p>
    <w:p w14:paraId="0B884235" w14:textId="77777777" w:rsidR="00B33542" w:rsidRPr="005071A1" w:rsidRDefault="00B33542" w:rsidP="00B33542">
      <w:pPr>
        <w:pStyle w:val="paragraph"/>
      </w:pPr>
      <w:r w:rsidRPr="005071A1">
        <w:tab/>
        <w:t>(a)</w:t>
      </w:r>
      <w:r w:rsidRPr="005071A1">
        <w:tab/>
        <w:t>a reference in such a Part to an employee as defined by section</w:t>
      </w:r>
      <w:r w:rsidR="008B2950" w:rsidRPr="005071A1">
        <w:t> </w:t>
      </w:r>
      <w:r w:rsidRPr="005071A1">
        <w:t>4 shall be read as including a reference to a relevant employee; and</w:t>
      </w:r>
    </w:p>
    <w:p w14:paraId="0560AB52" w14:textId="77777777" w:rsidR="00B33542" w:rsidRPr="005071A1" w:rsidRDefault="00B33542" w:rsidP="00B33542">
      <w:pPr>
        <w:pStyle w:val="paragraph"/>
      </w:pPr>
      <w:r w:rsidRPr="005071A1">
        <w:tab/>
        <w:t>(b)</w:t>
      </w:r>
      <w:r w:rsidRPr="005071A1">
        <w:tab/>
        <w:t>a relevant employee shall be deemed to have become an employee for the purposes of this Act on the relevant date.</w:t>
      </w:r>
    </w:p>
    <w:p w14:paraId="689927E0" w14:textId="77777777" w:rsidR="00B33542" w:rsidRPr="005071A1" w:rsidRDefault="00B33542" w:rsidP="002477D1">
      <w:pPr>
        <w:pStyle w:val="ActHead3"/>
        <w:pageBreakBefore/>
      </w:pPr>
      <w:bookmarkStart w:id="141" w:name="_Toc185577523"/>
      <w:r w:rsidRPr="004510F0">
        <w:rPr>
          <w:rStyle w:val="CharDivNo"/>
        </w:rPr>
        <w:lastRenderedPageBreak/>
        <w:t>Division</w:t>
      </w:r>
      <w:r w:rsidR="008B2950" w:rsidRPr="004510F0">
        <w:rPr>
          <w:rStyle w:val="CharDivNo"/>
        </w:rPr>
        <w:t> </w:t>
      </w:r>
      <w:r w:rsidRPr="004510F0">
        <w:rPr>
          <w:rStyle w:val="CharDivNo"/>
        </w:rPr>
        <w:t>2</w:t>
      </w:r>
      <w:r w:rsidRPr="005071A1">
        <w:t>—</w:t>
      </w:r>
      <w:r w:rsidRPr="004510F0">
        <w:rPr>
          <w:rStyle w:val="CharDivText"/>
        </w:rPr>
        <w:t>The Superannuation Fund</w:t>
      </w:r>
      <w:bookmarkEnd w:id="141"/>
    </w:p>
    <w:p w14:paraId="569BBA54" w14:textId="77777777" w:rsidR="00B33542" w:rsidRPr="005071A1" w:rsidRDefault="00B33542" w:rsidP="00B33542">
      <w:pPr>
        <w:pStyle w:val="ActHead5"/>
      </w:pPr>
      <w:bookmarkStart w:id="142" w:name="_Toc185577524"/>
      <w:r w:rsidRPr="004510F0">
        <w:rPr>
          <w:rStyle w:val="CharSectno"/>
        </w:rPr>
        <w:t>100B</w:t>
      </w:r>
      <w:r w:rsidRPr="005071A1">
        <w:t xml:space="preserve">  Definition</w:t>
      </w:r>
      <w:bookmarkEnd w:id="142"/>
    </w:p>
    <w:p w14:paraId="2F480F52" w14:textId="77777777" w:rsidR="00B33542" w:rsidRPr="005071A1" w:rsidRDefault="00B33542" w:rsidP="00B33542">
      <w:pPr>
        <w:pStyle w:val="subsection"/>
      </w:pPr>
      <w:r w:rsidRPr="005071A1">
        <w:tab/>
      </w:r>
      <w:r w:rsidRPr="005071A1">
        <w:tab/>
        <w:t xml:space="preserve">In this Division, unless the contrary intention appears, </w:t>
      </w:r>
      <w:r w:rsidRPr="005071A1">
        <w:rPr>
          <w:b/>
          <w:i/>
        </w:rPr>
        <w:t>prescribed employee</w:t>
      </w:r>
      <w:r w:rsidRPr="005071A1">
        <w:t xml:space="preserve"> means a relevant employee who has made an election, and a payment to the Board, in accordance with </w:t>
      </w:r>
      <w:r w:rsidR="008B2950" w:rsidRPr="005071A1">
        <w:t>subsection (</w:t>
      </w:r>
      <w:r w:rsidRPr="005071A1">
        <w:t xml:space="preserve">2) of </w:t>
      </w:r>
      <w:r w:rsidR="004510F0">
        <w:t>section 1</w:t>
      </w:r>
      <w:r w:rsidRPr="005071A1">
        <w:t>00C.</w:t>
      </w:r>
    </w:p>
    <w:p w14:paraId="7A80785B" w14:textId="77777777" w:rsidR="00B33542" w:rsidRPr="005071A1" w:rsidRDefault="00B33542" w:rsidP="00B33542">
      <w:pPr>
        <w:pStyle w:val="ActHead5"/>
      </w:pPr>
      <w:bookmarkStart w:id="143" w:name="_Toc185577525"/>
      <w:r w:rsidRPr="004510F0">
        <w:rPr>
          <w:rStyle w:val="CharSectno"/>
        </w:rPr>
        <w:t>100C</w:t>
      </w:r>
      <w:r w:rsidRPr="005071A1">
        <w:t xml:space="preserve">  Contributions for pension by relevant employee</w:t>
      </w:r>
      <w:bookmarkEnd w:id="143"/>
    </w:p>
    <w:p w14:paraId="2D962469" w14:textId="77777777" w:rsidR="00B33542" w:rsidRPr="005071A1" w:rsidRDefault="00B33542" w:rsidP="00B33542">
      <w:pPr>
        <w:pStyle w:val="subsection"/>
      </w:pPr>
      <w:r w:rsidRPr="005071A1">
        <w:tab/>
        <w:t>(1)</w:t>
      </w:r>
      <w:r w:rsidRPr="005071A1">
        <w:tab/>
        <w:t>This Division applies to a relevant employee if the employee was, immediately before he became an employee for the purposes of this Act, a member of a superannuation scheme under which:</w:t>
      </w:r>
    </w:p>
    <w:p w14:paraId="73FF929A" w14:textId="77777777" w:rsidR="00B33542" w:rsidRPr="005071A1" w:rsidRDefault="00B33542" w:rsidP="00B33542">
      <w:pPr>
        <w:pStyle w:val="paragraph"/>
      </w:pPr>
      <w:r w:rsidRPr="005071A1">
        <w:tab/>
        <w:t>(a)</w:t>
      </w:r>
      <w:r w:rsidRPr="005071A1">
        <w:tab/>
        <w:t>benefits by way of a pension or of a lump sum were payable to a member of the scheme upon the cessation of his employment by reason of his having attained a specified age, being a pension or lump sum the amount of which was related to the salary payable to him immediately before the cessation of his employment;</w:t>
      </w:r>
    </w:p>
    <w:p w14:paraId="2EA82292" w14:textId="77777777" w:rsidR="00B33542" w:rsidRPr="005071A1" w:rsidRDefault="00B33542" w:rsidP="00B33542">
      <w:pPr>
        <w:pStyle w:val="paragraph"/>
      </w:pPr>
      <w:r w:rsidRPr="005071A1">
        <w:tab/>
        <w:t>(b)</w:t>
      </w:r>
      <w:r w:rsidRPr="005071A1">
        <w:tab/>
        <w:t xml:space="preserve">benefits by way of a pension or of a lump sum, being benefits that were related to the benefits referred to in </w:t>
      </w:r>
      <w:r w:rsidR="008B2950" w:rsidRPr="005071A1">
        <w:t>paragraph (</w:t>
      </w:r>
      <w:r w:rsidRPr="005071A1">
        <w:t>a), were payable to a member of the scheme upon the cessation of his employment by reason of his invalidity; and</w:t>
      </w:r>
    </w:p>
    <w:p w14:paraId="03430200" w14:textId="77777777" w:rsidR="00B33542" w:rsidRPr="005071A1" w:rsidRDefault="00B33542" w:rsidP="00B33542">
      <w:pPr>
        <w:pStyle w:val="paragraph"/>
      </w:pPr>
      <w:r w:rsidRPr="005071A1">
        <w:tab/>
        <w:t>(c)</w:t>
      </w:r>
      <w:r w:rsidRPr="005071A1">
        <w:tab/>
        <w:t xml:space="preserve">benefits by way of a pension or of a lump sum, being benefits related to the benefits referred to in </w:t>
      </w:r>
      <w:r w:rsidR="008B2950" w:rsidRPr="005071A1">
        <w:t>paragraph (</w:t>
      </w:r>
      <w:r w:rsidRPr="005071A1">
        <w:t>a), were payable to the dependants of a member of the scheme upon the death of the member.</w:t>
      </w:r>
    </w:p>
    <w:p w14:paraId="3CB06E00" w14:textId="77777777" w:rsidR="00B33542" w:rsidRPr="005071A1" w:rsidRDefault="00B33542" w:rsidP="00B33542">
      <w:pPr>
        <w:pStyle w:val="subsection"/>
      </w:pPr>
      <w:r w:rsidRPr="005071A1">
        <w:tab/>
        <w:t>(2)</w:t>
      </w:r>
      <w:r w:rsidRPr="005071A1">
        <w:tab/>
        <w:t xml:space="preserve">A relevant employee to whom this section applies may elect, within 3 months after the relevant date or within such further period as the Board allows, to contribute to the Fund in accordance with this section, and may pay to the Board an amount equal to the prescribed amount within that period or within such further period </w:t>
      </w:r>
      <w:r w:rsidRPr="005071A1">
        <w:lastRenderedPageBreak/>
        <w:t>as the Board allows, but any election made after the pay</w:t>
      </w:r>
      <w:r w:rsidR="004510F0">
        <w:noBreakHyphen/>
      </w:r>
      <w:r w:rsidRPr="005071A1">
        <w:t>day last preceding 1</w:t>
      </w:r>
      <w:r w:rsidR="008B2950" w:rsidRPr="005071A1">
        <w:t> </w:t>
      </w:r>
      <w:r w:rsidRPr="005071A1">
        <w:t>July 1976 shall be deemed to have been made on that pay</w:t>
      </w:r>
      <w:r w:rsidR="004510F0">
        <w:noBreakHyphen/>
      </w:r>
      <w:r w:rsidRPr="005071A1">
        <w:t>day.</w:t>
      </w:r>
    </w:p>
    <w:p w14:paraId="5778D217" w14:textId="77777777" w:rsidR="00B33542" w:rsidRPr="005071A1" w:rsidRDefault="00B33542" w:rsidP="002028EB">
      <w:pPr>
        <w:pStyle w:val="subsection"/>
        <w:keepNext/>
      </w:pPr>
      <w:r w:rsidRPr="005071A1">
        <w:tab/>
        <w:t>(3)</w:t>
      </w:r>
      <w:r w:rsidRPr="005071A1">
        <w:tab/>
        <w:t>Notwithstanding section</w:t>
      </w:r>
      <w:r w:rsidR="008B2950" w:rsidRPr="005071A1">
        <w:t> </w:t>
      </w:r>
      <w:r w:rsidRPr="005071A1">
        <w:t>5:</w:t>
      </w:r>
    </w:p>
    <w:p w14:paraId="51208FE6" w14:textId="77777777" w:rsidR="00B33542" w:rsidRPr="005071A1" w:rsidRDefault="00B33542" w:rsidP="002028EB">
      <w:pPr>
        <w:pStyle w:val="paragraph"/>
        <w:keepNext/>
      </w:pPr>
      <w:r w:rsidRPr="005071A1">
        <w:tab/>
        <w:t>(a)</w:t>
      </w:r>
      <w:r w:rsidRPr="005071A1">
        <w:tab/>
        <w:t>if the superannuation scheme of which a prescribed employee was a member immediately before the relevant date was a scheme under which members were required to make contributions in respect of the benefits to be provided under the scheme—the employee shall be liable to make, and, from and including the relevant date, shall be deemed to have been liable to make, contributions to the Fund for so many units of pension (including, where necessary, a fraction of a unit) as the Board determines will entitle him to benefits equivalent to those to which he would have been entitled if he had continued to contribute to that superannuation scheme at the rate at which he was contributing to that scheme immediately before the relevant date, and his contributions for those units of pension shall be at that rate; or</w:t>
      </w:r>
    </w:p>
    <w:p w14:paraId="693D58B2" w14:textId="77777777" w:rsidR="00B33542" w:rsidRPr="005071A1" w:rsidRDefault="00B33542" w:rsidP="00B33542">
      <w:pPr>
        <w:pStyle w:val="paragraph"/>
      </w:pPr>
      <w:r w:rsidRPr="005071A1">
        <w:tab/>
        <w:t>(b)</w:t>
      </w:r>
      <w:r w:rsidRPr="005071A1">
        <w:tab/>
        <w:t>if the superannuation scheme of which a prescribed employee was a member immediately before the relevant date was a scheme under which members were not required to make contributions in respect of the benefits to be provided under the scheme—the employee shall be deemed to be a contributor to the Fund for so many units of pension (including, where necessary, a fraction of a unit) as the Board determines will entitle him to benefits equivalent to those to which he would have been entitled if he had continued to be a member of that superannuation scheme and had continued to be remunerated at the rate at which he was being remunerated immediately before the relevant date, and he is not required to make any contributions for those units of pension.</w:t>
      </w:r>
    </w:p>
    <w:p w14:paraId="7180A550" w14:textId="77777777" w:rsidR="00B33542" w:rsidRPr="005071A1" w:rsidRDefault="00B33542" w:rsidP="00B33542">
      <w:pPr>
        <w:pStyle w:val="subsection"/>
      </w:pPr>
      <w:r w:rsidRPr="005071A1">
        <w:lastRenderedPageBreak/>
        <w:tab/>
        <w:t>(4)</w:t>
      </w:r>
      <w:r w:rsidRPr="005071A1">
        <w:tab/>
        <w:t>Where the number of units of pension for which a prescribed employee is, upon becoming an employee for the purposes of this Act, liable to contribute to the Fund by virtue of section</w:t>
      </w:r>
      <w:r w:rsidR="008B2950" w:rsidRPr="005071A1">
        <w:t> </w:t>
      </w:r>
      <w:r w:rsidRPr="005071A1">
        <w:t xml:space="preserve">20 exceeds the number of units of pension for which he is liable to contribute, or is to be deemed to be a contributor, to the Fund by virtue of </w:t>
      </w:r>
      <w:r w:rsidR="008B2950" w:rsidRPr="005071A1">
        <w:t>subsection (</w:t>
      </w:r>
      <w:r w:rsidRPr="005071A1">
        <w:t>3) that subsection does not affect his liability to contribute for the excess (in this subsection referred to as the additional units of pension), but, if he attained the age of 40 years before the relevant date, section</w:t>
      </w:r>
      <w:r w:rsidR="008B2950" w:rsidRPr="005071A1">
        <w:t> </w:t>
      </w:r>
      <w:r w:rsidRPr="005071A1">
        <w:t>20A applies to and in relation to those additional units of pension as if they were units of pension for which he is required to contribute by reason of an increase in his salary since the attainment by him of the age of 40 years.</w:t>
      </w:r>
    </w:p>
    <w:p w14:paraId="6F52E98B" w14:textId="77777777" w:rsidR="00B33542" w:rsidRPr="005071A1" w:rsidRDefault="00B33542" w:rsidP="00B33542">
      <w:pPr>
        <w:pStyle w:val="subsection"/>
      </w:pPr>
      <w:r w:rsidRPr="005071A1">
        <w:tab/>
        <w:t>(5)</w:t>
      </w:r>
      <w:r w:rsidRPr="005071A1">
        <w:tab/>
        <w:t>Where, immediately before the relevant date, the benefits for which a prescribed employee was entitled to contribute to the superannuation scheme applicable to him exceeded the benefits for which he was contributing to that scheme:</w:t>
      </w:r>
    </w:p>
    <w:p w14:paraId="5AD66085" w14:textId="77777777" w:rsidR="00B33542" w:rsidRPr="005071A1" w:rsidRDefault="00B33542" w:rsidP="00B33542">
      <w:pPr>
        <w:pStyle w:val="paragraph"/>
      </w:pPr>
      <w:r w:rsidRPr="005071A1">
        <w:tab/>
        <w:t>(a)</w:t>
      </w:r>
      <w:r w:rsidRPr="005071A1">
        <w:tab/>
      </w:r>
      <w:r w:rsidR="008B2950" w:rsidRPr="005071A1">
        <w:t>subsection (</w:t>
      </w:r>
      <w:r w:rsidRPr="005071A1">
        <w:t xml:space="preserve">4) applies in relation to him as if the reference to the number of units of pension for which he is liable to contribute or is to be deemed to be a contributor to the Fund by virtue of </w:t>
      </w:r>
      <w:r w:rsidR="008B2950" w:rsidRPr="005071A1">
        <w:t>subsection (</w:t>
      </w:r>
      <w:r w:rsidRPr="005071A1">
        <w:t>3) were a reference to the number of units of pension (including, where necessary, a fraction of a unit) determined by the Board to be the number of units that will entitle him to benefits equivalent to those first</w:t>
      </w:r>
      <w:r w:rsidR="004510F0">
        <w:noBreakHyphen/>
      </w:r>
      <w:r w:rsidRPr="005071A1">
        <w:t>mentioned benefits; and</w:t>
      </w:r>
    </w:p>
    <w:p w14:paraId="6D41C53A" w14:textId="77777777" w:rsidR="00B33542" w:rsidRPr="005071A1" w:rsidRDefault="00B33542" w:rsidP="00B33542">
      <w:pPr>
        <w:pStyle w:val="paragraph"/>
      </w:pPr>
      <w:r w:rsidRPr="005071A1">
        <w:tab/>
        <w:t>(b)</w:t>
      </w:r>
      <w:r w:rsidRPr="005071A1">
        <w:tab/>
        <w:t xml:space="preserve">subject to </w:t>
      </w:r>
      <w:r w:rsidR="008B2950" w:rsidRPr="005071A1">
        <w:t>subsection (</w:t>
      </w:r>
      <w:r w:rsidRPr="005071A1">
        <w:t>6), he may, at any time while he is a contributor to the Fund, but not later than 12</w:t>
      </w:r>
      <w:r w:rsidR="008B2950" w:rsidRPr="005071A1">
        <w:t> </w:t>
      </w:r>
      <w:r w:rsidRPr="005071A1">
        <w:t>February 1976, elect to contribute to the Fund for so many additional units of pension (including, where necessary, a fraction of a unit) as the Board determines to be the number of units that will entitle him to benefits equivalent to that excess.</w:t>
      </w:r>
    </w:p>
    <w:p w14:paraId="0F382607" w14:textId="77777777" w:rsidR="00B33542" w:rsidRPr="005071A1" w:rsidRDefault="00B33542" w:rsidP="00B33542">
      <w:pPr>
        <w:pStyle w:val="subsection"/>
      </w:pPr>
      <w:r w:rsidRPr="005071A1">
        <w:tab/>
        <w:t>(6)</w:t>
      </w:r>
      <w:r w:rsidRPr="005071A1">
        <w:tab/>
        <w:t xml:space="preserve">An election under </w:t>
      </w:r>
      <w:r w:rsidR="008B2950" w:rsidRPr="005071A1">
        <w:t>paragraph (</w:t>
      </w:r>
      <w:r w:rsidRPr="005071A1">
        <w:t xml:space="preserve">b) of </w:t>
      </w:r>
      <w:r w:rsidR="008B2950" w:rsidRPr="005071A1">
        <w:t>subsection (</w:t>
      </w:r>
      <w:r w:rsidRPr="005071A1">
        <w:t xml:space="preserve">5) does not have effect in relation to a prescribed employee unless, not later than 6 months after the date on which the election is made, he satisfies the </w:t>
      </w:r>
      <w:r w:rsidRPr="005071A1">
        <w:lastRenderedPageBreak/>
        <w:t xml:space="preserve">Board that he is not suffering from any physical or mental defect (not being a defect that, in the opinion of the Board, is a result of the service of the employee as a member of the Forces as defined in </w:t>
      </w:r>
      <w:r w:rsidR="008B2950" w:rsidRPr="005071A1">
        <w:t>subsection (</w:t>
      </w:r>
      <w:r w:rsidRPr="005071A1">
        <w:t xml:space="preserve">2) of </w:t>
      </w:r>
      <w:r w:rsidR="004510F0">
        <w:t>section 1</w:t>
      </w:r>
      <w:r w:rsidRPr="005071A1">
        <w:t>47) likely to render him incapable of performing his duties before he attains the maximum age for retirement.</w:t>
      </w:r>
    </w:p>
    <w:p w14:paraId="78179A01" w14:textId="77777777" w:rsidR="00B33542" w:rsidRPr="005071A1" w:rsidRDefault="00B33542" w:rsidP="00B33542">
      <w:pPr>
        <w:pStyle w:val="subsection"/>
      </w:pPr>
      <w:r w:rsidRPr="005071A1">
        <w:tab/>
        <w:t>(7)</w:t>
      </w:r>
      <w:r w:rsidRPr="005071A1">
        <w:tab/>
        <w:t>A prescribed employee to whom this section applies shall, for the purposes of this Act, be deemed to be a contributor:</w:t>
      </w:r>
    </w:p>
    <w:p w14:paraId="3C7C12CC" w14:textId="77777777" w:rsidR="00B33542" w:rsidRPr="005071A1" w:rsidRDefault="00B33542" w:rsidP="00B33542">
      <w:pPr>
        <w:pStyle w:val="paragraph"/>
      </w:pPr>
      <w:r w:rsidRPr="005071A1">
        <w:tab/>
        <w:t>(a)</w:t>
      </w:r>
      <w:r w:rsidRPr="005071A1">
        <w:tab/>
        <w:t>in the case of an employee who was, immediately before the relevant date, a member of a superannuation scheme under the rules of which benefits were payable to him upon his retiring at the age of 60 years or at an earlier age—at rates based on a retiring age of 60 years; or</w:t>
      </w:r>
    </w:p>
    <w:p w14:paraId="7EE9EE74" w14:textId="77777777" w:rsidR="00B33542" w:rsidRPr="005071A1" w:rsidRDefault="00B33542" w:rsidP="00B33542">
      <w:pPr>
        <w:pStyle w:val="paragraph"/>
      </w:pPr>
      <w:r w:rsidRPr="005071A1">
        <w:tab/>
        <w:t>(b)</w:t>
      </w:r>
      <w:r w:rsidRPr="005071A1">
        <w:tab/>
        <w:t>in any other case—at rates based on a retiring age of 65 years.</w:t>
      </w:r>
    </w:p>
    <w:p w14:paraId="6F6DC9E1" w14:textId="77777777" w:rsidR="00B33542" w:rsidRPr="005071A1" w:rsidRDefault="00B33542" w:rsidP="00B33542">
      <w:pPr>
        <w:pStyle w:val="subsection"/>
      </w:pPr>
      <w:r w:rsidRPr="005071A1">
        <w:tab/>
        <w:t>(8)</w:t>
      </w:r>
      <w:r w:rsidRPr="005071A1">
        <w:tab/>
        <w:t xml:space="preserve">Subject to </w:t>
      </w:r>
      <w:r w:rsidR="008B2950" w:rsidRPr="005071A1">
        <w:t>subsection (</w:t>
      </w:r>
      <w:r w:rsidRPr="005071A1">
        <w:t xml:space="preserve">9), where at any time, the number of units of pension for which a prescribed employee is liable to contribute, or is to be deemed to be a contributor, to the Fund under </w:t>
      </w:r>
      <w:r w:rsidR="008B2950" w:rsidRPr="005071A1">
        <w:t>subsection (</w:t>
      </w:r>
      <w:r w:rsidRPr="005071A1">
        <w:t>3) exceeds the number of units of pension for which the employee would, apart from that subsection, be required to contribute under section</w:t>
      </w:r>
      <w:r w:rsidR="008B2950" w:rsidRPr="005071A1">
        <w:t> </w:t>
      </w:r>
      <w:r w:rsidRPr="005071A1">
        <w:t>20, the employee is not entitled to contribute for any units, other than reserve units, in excess of the first</w:t>
      </w:r>
      <w:r w:rsidR="004510F0">
        <w:noBreakHyphen/>
      </w:r>
      <w:r w:rsidRPr="005071A1">
        <w:t>mentioned number of units.</w:t>
      </w:r>
    </w:p>
    <w:p w14:paraId="61E6B2C0" w14:textId="77777777" w:rsidR="00B33542" w:rsidRPr="005071A1" w:rsidRDefault="00B33542" w:rsidP="00B33542">
      <w:pPr>
        <w:pStyle w:val="subsection"/>
      </w:pPr>
      <w:r w:rsidRPr="005071A1">
        <w:tab/>
        <w:t>(9)</w:t>
      </w:r>
      <w:r w:rsidRPr="005071A1">
        <w:tab/>
        <w:t xml:space="preserve">Notwithstanding </w:t>
      </w:r>
      <w:r w:rsidR="008B2950" w:rsidRPr="005071A1">
        <w:t>subsection (</w:t>
      </w:r>
      <w:r w:rsidRPr="005071A1">
        <w:t>8) of this section, section</w:t>
      </w:r>
      <w:r w:rsidR="008B2950" w:rsidRPr="005071A1">
        <w:t> </w:t>
      </w:r>
      <w:r w:rsidRPr="005071A1">
        <w:t xml:space="preserve">20B applies, subject to </w:t>
      </w:r>
      <w:r w:rsidR="008B2950" w:rsidRPr="005071A1">
        <w:t>subsection (</w:t>
      </w:r>
      <w:r w:rsidRPr="005071A1">
        <w:t>10) of this section, to and in relation to a prescribed employee in respect of a reduction of his salary or of the prescribed amount referred to in section</w:t>
      </w:r>
      <w:r w:rsidR="008B2950" w:rsidRPr="005071A1">
        <w:t> </w:t>
      </w:r>
      <w:r w:rsidRPr="005071A1">
        <w:t>20.</w:t>
      </w:r>
    </w:p>
    <w:p w14:paraId="6A644CE2" w14:textId="77777777" w:rsidR="00B33542" w:rsidRPr="005071A1" w:rsidRDefault="00B33542" w:rsidP="00B33542">
      <w:pPr>
        <w:pStyle w:val="subsection"/>
      </w:pPr>
      <w:r w:rsidRPr="005071A1">
        <w:tab/>
        <w:t>(10)</w:t>
      </w:r>
      <w:r w:rsidRPr="005071A1">
        <w:tab/>
        <w:t xml:space="preserve">Nothing in this Act shall be taken to require or permit a reduction in the number of units of pension for which a prescribed employee is a contributor to a number that is less than the number of units of </w:t>
      </w:r>
      <w:r w:rsidRPr="005071A1">
        <w:lastRenderedPageBreak/>
        <w:t xml:space="preserve">pension for which he is liable to contribute or for which he is to be deemed to be a contributor, under </w:t>
      </w:r>
      <w:r w:rsidR="008B2950" w:rsidRPr="005071A1">
        <w:t>subsection (</w:t>
      </w:r>
      <w:r w:rsidRPr="005071A1">
        <w:t>3).</w:t>
      </w:r>
    </w:p>
    <w:p w14:paraId="24E671D7" w14:textId="77777777" w:rsidR="00B33542" w:rsidRPr="005071A1" w:rsidRDefault="00B33542" w:rsidP="00B33542">
      <w:pPr>
        <w:pStyle w:val="subsection"/>
      </w:pPr>
      <w:r w:rsidRPr="005071A1">
        <w:tab/>
        <w:t>(11)</w:t>
      </w:r>
      <w:r w:rsidRPr="005071A1">
        <w:tab/>
        <w:t xml:space="preserve">For the purposes of this section, where a prescribed employee was contributing to a superannuation scheme amounts of a kind referred to in </w:t>
      </w:r>
      <w:r w:rsidR="008B2950" w:rsidRPr="005071A1">
        <w:t>paragraph (</w:t>
      </w:r>
      <w:r w:rsidRPr="005071A1">
        <w:t xml:space="preserve">a) or (b) of the definition of </w:t>
      </w:r>
      <w:r w:rsidRPr="005071A1">
        <w:rPr>
          <w:b/>
          <w:i/>
        </w:rPr>
        <w:t>prescribed amount</w:t>
      </w:r>
      <w:r w:rsidRPr="005071A1">
        <w:t xml:space="preserve"> in </w:t>
      </w:r>
      <w:r w:rsidR="008B2950" w:rsidRPr="005071A1">
        <w:t>subsection (</w:t>
      </w:r>
      <w:r w:rsidRPr="005071A1">
        <w:t xml:space="preserve">1) of </w:t>
      </w:r>
      <w:r w:rsidR="004510F0">
        <w:t>section 1</w:t>
      </w:r>
      <w:r w:rsidRPr="005071A1">
        <w:t>00A, the rate at which he was contributing to the scheme does not include the rate at which he was contributing those amounts.</w:t>
      </w:r>
    </w:p>
    <w:p w14:paraId="37AA029F" w14:textId="77777777" w:rsidR="00B33542" w:rsidRPr="005071A1" w:rsidRDefault="00B33542" w:rsidP="00B33542">
      <w:pPr>
        <w:pStyle w:val="ActHead5"/>
      </w:pPr>
      <w:bookmarkStart w:id="144" w:name="_Toc185577526"/>
      <w:r w:rsidRPr="004510F0">
        <w:rPr>
          <w:rStyle w:val="CharSectno"/>
        </w:rPr>
        <w:t>100D</w:t>
      </w:r>
      <w:r w:rsidRPr="005071A1">
        <w:t xml:space="preserve">  Payment of prescribed amount to Board</w:t>
      </w:r>
      <w:bookmarkEnd w:id="144"/>
    </w:p>
    <w:p w14:paraId="10336C79" w14:textId="77777777" w:rsidR="00B33542" w:rsidRPr="005071A1" w:rsidRDefault="00B33542" w:rsidP="00B33542">
      <w:pPr>
        <w:pStyle w:val="subsection"/>
      </w:pPr>
      <w:r w:rsidRPr="005071A1">
        <w:tab/>
      </w:r>
      <w:r w:rsidRPr="005071A1">
        <w:tab/>
        <w:t xml:space="preserve">Upon the payment by a prescribed employee of an amount equal to the prescribed amount to the Board under </w:t>
      </w:r>
      <w:r w:rsidR="008B2950" w:rsidRPr="005071A1">
        <w:t>subsection (</w:t>
      </w:r>
      <w:r w:rsidRPr="005071A1">
        <w:t xml:space="preserve">2) of </w:t>
      </w:r>
      <w:r w:rsidR="004510F0">
        <w:t>section 1</w:t>
      </w:r>
      <w:r w:rsidRPr="005071A1">
        <w:t>00C:</w:t>
      </w:r>
    </w:p>
    <w:p w14:paraId="1FD52837" w14:textId="77777777" w:rsidR="00B33542" w:rsidRPr="005071A1" w:rsidRDefault="00B33542" w:rsidP="00B33542">
      <w:pPr>
        <w:pStyle w:val="paragraph"/>
      </w:pPr>
      <w:r w:rsidRPr="005071A1">
        <w:tab/>
        <w:t>(a)</w:t>
      </w:r>
      <w:r w:rsidRPr="005071A1">
        <w:tab/>
        <w:t>if the superannuation scheme of which the employee was a member immediately before the relevant date was a scheme under which members were required to make contributions in respect of the benefits to be provided under the scheme:</w:t>
      </w:r>
    </w:p>
    <w:p w14:paraId="4F7479AE" w14:textId="77777777" w:rsidR="00B33542" w:rsidRPr="005071A1" w:rsidRDefault="00B33542" w:rsidP="00B33542">
      <w:pPr>
        <w:pStyle w:val="paragraphsub"/>
      </w:pPr>
      <w:r w:rsidRPr="005071A1">
        <w:tab/>
        <w:t>(i)</w:t>
      </w:r>
      <w:r w:rsidRPr="005071A1">
        <w:tab/>
        <w:t>an amount equal to so much of the prescribed amount as was based upon the contributions made by him to the superannuation scheme or on interest payable in respect of those contributions shall be paid by the Board to the Fund, or, on or after 1</w:t>
      </w:r>
      <w:r w:rsidR="008B2950" w:rsidRPr="005071A1">
        <w:t> </w:t>
      </w:r>
      <w:r w:rsidRPr="005071A1">
        <w:t>July 1976, to the new Superannuation Fund, and, when so paid, shall be deemed, for the purposes of this Act, to be contributions made to the Fund by the prescribed employee; and</w:t>
      </w:r>
    </w:p>
    <w:p w14:paraId="426CEECA" w14:textId="77777777" w:rsidR="00B33542" w:rsidRPr="005071A1" w:rsidRDefault="00B33542" w:rsidP="00B33542">
      <w:pPr>
        <w:pStyle w:val="paragraphsub"/>
      </w:pPr>
      <w:r w:rsidRPr="005071A1">
        <w:tab/>
        <w:t>(ii)</w:t>
      </w:r>
      <w:r w:rsidRPr="005071A1">
        <w:tab/>
        <w:t>an amount equal to so much (if any) of the prescribed amount as was not based upon contributions made by him to the superannuation scheme shall be paid by the Board to the Commonwealth; or</w:t>
      </w:r>
    </w:p>
    <w:p w14:paraId="68118868" w14:textId="77777777" w:rsidR="00B33542" w:rsidRPr="005071A1" w:rsidRDefault="00B33542" w:rsidP="00B33542">
      <w:pPr>
        <w:pStyle w:val="paragraph"/>
      </w:pPr>
      <w:r w:rsidRPr="005071A1">
        <w:tab/>
        <w:t>(b)</w:t>
      </w:r>
      <w:r w:rsidRPr="005071A1">
        <w:tab/>
        <w:t>in any other case—the amount of the payment shall be paid by the Board to the Commonwealth.</w:t>
      </w:r>
    </w:p>
    <w:p w14:paraId="03AAF37F" w14:textId="77777777" w:rsidR="00B33542" w:rsidRPr="005071A1" w:rsidRDefault="00B33542" w:rsidP="00B33542">
      <w:pPr>
        <w:pStyle w:val="ActHead5"/>
      </w:pPr>
      <w:bookmarkStart w:id="145" w:name="_Toc185577527"/>
      <w:r w:rsidRPr="004510F0">
        <w:rPr>
          <w:rStyle w:val="CharSectno"/>
        </w:rPr>
        <w:lastRenderedPageBreak/>
        <w:t>100E</w:t>
      </w:r>
      <w:r w:rsidRPr="005071A1">
        <w:t xml:space="preserve">  Refunds of contributions to prescribed employees</w:t>
      </w:r>
      <w:bookmarkEnd w:id="145"/>
    </w:p>
    <w:p w14:paraId="504C1053" w14:textId="77777777" w:rsidR="00B33542" w:rsidRPr="005071A1" w:rsidRDefault="00B33542" w:rsidP="00B33542">
      <w:pPr>
        <w:pStyle w:val="subsection"/>
      </w:pPr>
      <w:r w:rsidRPr="005071A1">
        <w:tab/>
      </w:r>
      <w:r w:rsidRPr="005071A1">
        <w:tab/>
        <w:t>Where a prescribed employee ceases to be a contributor to the Fund and, by virtue of any provisions in this Act, there is payable to or in relation to him a refund of the contributions paid by him to the Fund:</w:t>
      </w:r>
    </w:p>
    <w:p w14:paraId="111B1B0B" w14:textId="77777777" w:rsidR="00B33542" w:rsidRPr="005071A1" w:rsidRDefault="00B33542" w:rsidP="00B33542">
      <w:pPr>
        <w:pStyle w:val="paragraph"/>
      </w:pPr>
      <w:r w:rsidRPr="005071A1">
        <w:tab/>
        <w:t>(a)</w:t>
      </w:r>
      <w:r w:rsidRPr="005071A1">
        <w:tab/>
        <w:t xml:space="preserve">there is payable out of the Fund to or in relation to that prescribed employee, in addition to that refund of contributions, an amount equal to the amount that was paid by the Board to the Commonwealth in accordance with </w:t>
      </w:r>
      <w:r w:rsidR="008B2950" w:rsidRPr="005071A1">
        <w:t>subparagraph (</w:t>
      </w:r>
      <w:r w:rsidRPr="005071A1">
        <w:t xml:space="preserve">ii) of </w:t>
      </w:r>
      <w:r w:rsidR="008B2950" w:rsidRPr="005071A1">
        <w:t>paragraph (</w:t>
      </w:r>
      <w:r w:rsidRPr="005071A1">
        <w:t xml:space="preserve">a) of </w:t>
      </w:r>
      <w:r w:rsidR="004510F0">
        <w:t>section 1</w:t>
      </w:r>
      <w:r w:rsidRPr="005071A1">
        <w:t xml:space="preserve">00D or with </w:t>
      </w:r>
      <w:r w:rsidR="008B2950" w:rsidRPr="005071A1">
        <w:t>paragraph (</w:t>
      </w:r>
      <w:r w:rsidRPr="005071A1">
        <w:t>b) of that section, as the case requires; and</w:t>
      </w:r>
    </w:p>
    <w:p w14:paraId="57E93522" w14:textId="77777777" w:rsidR="00B33542" w:rsidRPr="005071A1" w:rsidRDefault="00B33542" w:rsidP="00B33542">
      <w:pPr>
        <w:pStyle w:val="paragraph"/>
      </w:pPr>
      <w:r w:rsidRPr="005071A1">
        <w:tab/>
        <w:t>(b)</w:t>
      </w:r>
      <w:r w:rsidRPr="005071A1">
        <w:tab/>
        <w:t xml:space="preserve">an amount equal to the amount payable out of the Fund in accordance with </w:t>
      </w:r>
      <w:r w:rsidR="008B2950" w:rsidRPr="005071A1">
        <w:t>paragraph (</w:t>
      </w:r>
      <w:r w:rsidRPr="005071A1">
        <w:t>a) is payable to the Fund out of the Consolidated Revenue Fund.</w:t>
      </w:r>
    </w:p>
    <w:p w14:paraId="28A845C6" w14:textId="77777777" w:rsidR="00B33542" w:rsidRPr="005071A1" w:rsidRDefault="00B33542" w:rsidP="00B33542">
      <w:pPr>
        <w:pStyle w:val="ActHead5"/>
      </w:pPr>
      <w:bookmarkStart w:id="146" w:name="_Toc185577528"/>
      <w:r w:rsidRPr="004510F0">
        <w:rPr>
          <w:rStyle w:val="CharSectno"/>
        </w:rPr>
        <w:t>100F</w:t>
      </w:r>
      <w:r w:rsidRPr="005071A1">
        <w:t xml:space="preserve">  Preservation of other superannuation rights</w:t>
      </w:r>
      <w:bookmarkEnd w:id="146"/>
    </w:p>
    <w:p w14:paraId="5A899066" w14:textId="77777777" w:rsidR="00B33542" w:rsidRPr="005071A1" w:rsidRDefault="00B33542" w:rsidP="00B33542">
      <w:pPr>
        <w:pStyle w:val="subsection"/>
      </w:pPr>
      <w:r w:rsidRPr="005071A1">
        <w:tab/>
      </w:r>
      <w:r w:rsidRPr="005071A1">
        <w:tab/>
        <w:t>In the application of Division</w:t>
      </w:r>
      <w:r w:rsidR="008B2950" w:rsidRPr="005071A1">
        <w:t> </w:t>
      </w:r>
      <w:r w:rsidRPr="005071A1">
        <w:t xml:space="preserve">2 of Part XA to and in relation to a prescribed employee, a reference in that Division to the number of units of pension for which he would, but for that Division, be required to contribute to the Fund shall be read as not including the number of units of pension for which he is contributing to the Fund by virtue of </w:t>
      </w:r>
      <w:r w:rsidR="008B2950" w:rsidRPr="005071A1">
        <w:t>subsection (</w:t>
      </w:r>
      <w:r w:rsidRPr="005071A1">
        <w:t xml:space="preserve">3), or </w:t>
      </w:r>
      <w:r w:rsidR="008B2950" w:rsidRPr="005071A1">
        <w:t>paragraph (</w:t>
      </w:r>
      <w:r w:rsidRPr="005071A1">
        <w:t xml:space="preserve">b) of </w:t>
      </w:r>
      <w:r w:rsidR="008B2950" w:rsidRPr="005071A1">
        <w:t>subsection (</w:t>
      </w:r>
      <w:r w:rsidRPr="005071A1">
        <w:t xml:space="preserve">5), of </w:t>
      </w:r>
      <w:r w:rsidR="004510F0">
        <w:t>section 1</w:t>
      </w:r>
      <w:r w:rsidRPr="005071A1">
        <w:t>00C.</w:t>
      </w:r>
    </w:p>
    <w:p w14:paraId="6A75803B" w14:textId="77777777" w:rsidR="00B33542" w:rsidRPr="005071A1" w:rsidRDefault="00B33542" w:rsidP="00B33542">
      <w:pPr>
        <w:pStyle w:val="ActHead5"/>
      </w:pPr>
      <w:bookmarkStart w:id="147" w:name="_Toc185577529"/>
      <w:r w:rsidRPr="004510F0">
        <w:rPr>
          <w:rStyle w:val="CharSectno"/>
        </w:rPr>
        <w:t>100G</w:t>
      </w:r>
      <w:r w:rsidRPr="005071A1">
        <w:t xml:space="preserve">  Increased contributions by the Commonwealth</w:t>
      </w:r>
      <w:bookmarkEnd w:id="147"/>
    </w:p>
    <w:p w14:paraId="38C535D8" w14:textId="77777777" w:rsidR="00B33542" w:rsidRPr="005071A1" w:rsidRDefault="00B33542" w:rsidP="00B33542">
      <w:pPr>
        <w:pStyle w:val="subsection"/>
      </w:pPr>
      <w:r w:rsidRPr="005071A1">
        <w:tab/>
      </w:r>
      <w:r w:rsidRPr="005071A1">
        <w:tab/>
        <w:t>Where a pension becomes payable to or in relation to a prescribed employee, each payment that is required by section</w:t>
      </w:r>
      <w:r w:rsidR="008B2950" w:rsidRPr="005071A1">
        <w:t> </w:t>
      </w:r>
      <w:r w:rsidRPr="005071A1">
        <w:t>33 to be made by the Commonwealth to the Fund in respect of that prescribed employee shall be increased by such amount (if any) as the Board determines to be necessary by reason of the prescribed employee:</w:t>
      </w:r>
    </w:p>
    <w:p w14:paraId="00AF7438" w14:textId="77777777" w:rsidR="00B33542" w:rsidRPr="005071A1" w:rsidRDefault="00B33542" w:rsidP="00B33542">
      <w:pPr>
        <w:pStyle w:val="paragraph"/>
      </w:pPr>
      <w:r w:rsidRPr="005071A1">
        <w:lastRenderedPageBreak/>
        <w:tab/>
        <w:t>(a)</w:t>
      </w:r>
      <w:r w:rsidRPr="005071A1">
        <w:tab/>
        <w:t>having contributed to the Fund at rates less than those at which, but for this Part, he would have been required to contribute; or</w:t>
      </w:r>
    </w:p>
    <w:p w14:paraId="660A262A" w14:textId="77777777" w:rsidR="00B33542" w:rsidRPr="005071A1" w:rsidRDefault="00B33542" w:rsidP="00B33542">
      <w:pPr>
        <w:pStyle w:val="paragraph"/>
      </w:pPr>
      <w:r w:rsidRPr="005071A1">
        <w:tab/>
        <w:t>(b)</w:t>
      </w:r>
      <w:r w:rsidRPr="005071A1">
        <w:tab/>
        <w:t xml:space="preserve">being deemed to be a contributor to the Fund in respect of any units of pension by virtue of </w:t>
      </w:r>
      <w:r w:rsidR="008B2950" w:rsidRPr="005071A1">
        <w:t>paragraph (</w:t>
      </w:r>
      <w:r w:rsidRPr="005071A1">
        <w:t xml:space="preserve">b) of </w:t>
      </w:r>
      <w:r w:rsidR="008B2950" w:rsidRPr="005071A1">
        <w:t>subsection (</w:t>
      </w:r>
      <w:r w:rsidRPr="005071A1">
        <w:t xml:space="preserve">3) of </w:t>
      </w:r>
      <w:r w:rsidR="004510F0">
        <w:t>section 1</w:t>
      </w:r>
      <w:r w:rsidRPr="005071A1">
        <w:t>00C.</w:t>
      </w:r>
    </w:p>
    <w:p w14:paraId="2E66FE57" w14:textId="77777777" w:rsidR="00B33542" w:rsidRPr="005071A1" w:rsidRDefault="00B33542" w:rsidP="00B33542">
      <w:pPr>
        <w:pStyle w:val="ActHead5"/>
      </w:pPr>
      <w:bookmarkStart w:id="148" w:name="_Toc185577530"/>
      <w:r w:rsidRPr="004510F0">
        <w:rPr>
          <w:rStyle w:val="CharSectno"/>
        </w:rPr>
        <w:t>100H</w:t>
      </w:r>
      <w:r w:rsidRPr="005071A1">
        <w:t xml:space="preserve">  Certain amounts to be paid by the Commonwealth to the Fund</w:t>
      </w:r>
      <w:bookmarkEnd w:id="148"/>
    </w:p>
    <w:p w14:paraId="40380FD2" w14:textId="77777777" w:rsidR="00B33542" w:rsidRPr="005071A1" w:rsidRDefault="00B33542" w:rsidP="00B33542">
      <w:pPr>
        <w:pStyle w:val="subsection"/>
      </w:pPr>
      <w:r w:rsidRPr="005071A1">
        <w:tab/>
      </w:r>
      <w:r w:rsidRPr="005071A1">
        <w:tab/>
        <w:t>Where, within 5 years after the relevant date, a prescribed employee is retired on the ground of invalidity or of physical or mental incapacity to perform his duties, or a prescribed employee dies and a pension is payable to or in relation to him, the pension shall be paid from the Fund and there is payable to the Fund out of the Consolidated Revenue Fund an amount equal to the amount by which the proportion of each payment of the pension equivalent to the contributions made by or in respect of the employee is less than the proportion of each payment of the pension that is payable otherwise than by the Commonwealth under section</w:t>
      </w:r>
      <w:r w:rsidR="008B2950" w:rsidRPr="005071A1">
        <w:t> </w:t>
      </w:r>
      <w:r w:rsidRPr="005071A1">
        <w:t>33.</w:t>
      </w:r>
    </w:p>
    <w:p w14:paraId="41C3B851" w14:textId="77777777" w:rsidR="00B33542" w:rsidRPr="005071A1" w:rsidRDefault="00B33542" w:rsidP="00B33542">
      <w:pPr>
        <w:pStyle w:val="ActHead5"/>
      </w:pPr>
      <w:bookmarkStart w:id="149" w:name="_Toc185577531"/>
      <w:r w:rsidRPr="004510F0">
        <w:rPr>
          <w:rStyle w:val="CharSectno"/>
        </w:rPr>
        <w:t>100J</w:t>
      </w:r>
      <w:r w:rsidRPr="005071A1">
        <w:t xml:space="preserve">  Rights of certain relevant employees</w:t>
      </w:r>
      <w:bookmarkEnd w:id="149"/>
    </w:p>
    <w:p w14:paraId="0C82CAC7" w14:textId="77777777" w:rsidR="00B33542" w:rsidRPr="005071A1" w:rsidRDefault="00B33542" w:rsidP="00B33542">
      <w:pPr>
        <w:pStyle w:val="subsection"/>
      </w:pPr>
      <w:r w:rsidRPr="005071A1">
        <w:tab/>
        <w:t>(1)</w:t>
      </w:r>
      <w:r w:rsidRPr="005071A1">
        <w:tab/>
        <w:t>This section applies to a relevant employee (other than a prescribed employee) who is, or would, but for this section, be, a contributor to the Fund.</w:t>
      </w:r>
    </w:p>
    <w:p w14:paraId="10A9F57C" w14:textId="77777777" w:rsidR="00B33542" w:rsidRPr="005071A1" w:rsidRDefault="00B33542" w:rsidP="00B33542">
      <w:pPr>
        <w:pStyle w:val="subsection"/>
      </w:pPr>
      <w:r w:rsidRPr="005071A1">
        <w:tab/>
        <w:t>(2)</w:t>
      </w:r>
      <w:r w:rsidRPr="005071A1">
        <w:tab/>
        <w:t>If at any time the number of units of pension for which a relevant employee to whom this section applies would, but for this section, be required by section</w:t>
      </w:r>
      <w:r w:rsidR="008B2950" w:rsidRPr="005071A1">
        <w:t> </w:t>
      </w:r>
      <w:r w:rsidRPr="005071A1">
        <w:t xml:space="preserve">20 to contribute to the Fund does not exceed the number of units of pension (including, where necessary, a fraction of a unit) determined by the Board to be the number of units of pension that would entitle that employee to benefits equivalent to the benefits to which he would be entitled under the superannuation scheme applicable to him immediately before the </w:t>
      </w:r>
      <w:r w:rsidRPr="005071A1">
        <w:lastRenderedPageBreak/>
        <w:t>relevant date if he had continued to be a member of that scheme, the employee shall not be required or permitted to contribute to the Fund at that time in respect of units of pension.</w:t>
      </w:r>
    </w:p>
    <w:p w14:paraId="633B4A92" w14:textId="77777777" w:rsidR="00B33542" w:rsidRPr="005071A1" w:rsidRDefault="00B33542" w:rsidP="00B33542">
      <w:pPr>
        <w:pStyle w:val="subsection"/>
      </w:pPr>
      <w:r w:rsidRPr="005071A1">
        <w:tab/>
        <w:t>(3)</w:t>
      </w:r>
      <w:r w:rsidRPr="005071A1">
        <w:tab/>
        <w:t>If at any time the number of units of pension for which a relevant employee to whom this section applies would, but for this section, be required by section</w:t>
      </w:r>
      <w:r w:rsidR="008B2950" w:rsidRPr="005071A1">
        <w:t> </w:t>
      </w:r>
      <w:r w:rsidRPr="005071A1">
        <w:t xml:space="preserve">20 to contribute to the Fund exceeds the number of units of pension determined by the Board for the purposes of </w:t>
      </w:r>
      <w:r w:rsidR="008B2950" w:rsidRPr="005071A1">
        <w:t>subsection (</w:t>
      </w:r>
      <w:r w:rsidRPr="005071A1">
        <w:t>2) of this section, the employee shall not be required or permitted to contribute to the Fund at that time in respect of a number of units of pension greater than the excess.</w:t>
      </w:r>
    </w:p>
    <w:p w14:paraId="74A8A98A" w14:textId="77777777" w:rsidR="00B33542" w:rsidRPr="005071A1" w:rsidRDefault="00B33542" w:rsidP="00B33542">
      <w:pPr>
        <w:pStyle w:val="subsection"/>
      </w:pPr>
      <w:r w:rsidRPr="005071A1">
        <w:tab/>
        <w:t>(4)</w:t>
      </w:r>
      <w:r w:rsidRPr="005071A1">
        <w:tab/>
        <w:t>In the application of Division</w:t>
      </w:r>
      <w:r w:rsidR="008B2950" w:rsidRPr="005071A1">
        <w:t> </w:t>
      </w:r>
      <w:r w:rsidRPr="005071A1">
        <w:t xml:space="preserve">2 of Part XA to and in relation to a relevant employee to whom this section applies, a reference in that Division to the number of units of pension for which he would, but for that Division, be required to contribute to the Fund shall be read as a reference to the number of units of pension ascertained by subtracting from the number of units of pension for which he would, but for this section and for that Division, be required to contribute to the Fund, the number of units of pension determined by the Board for the purposes of </w:t>
      </w:r>
      <w:r w:rsidR="008B2950" w:rsidRPr="005071A1">
        <w:t>subsection (</w:t>
      </w:r>
      <w:r w:rsidRPr="005071A1">
        <w:t>2).</w:t>
      </w:r>
    </w:p>
    <w:p w14:paraId="057CFF8F" w14:textId="77777777" w:rsidR="00B33542" w:rsidRPr="005071A1" w:rsidRDefault="004510F0" w:rsidP="002477D1">
      <w:pPr>
        <w:pStyle w:val="ActHead3"/>
        <w:pageBreakBefore/>
      </w:pPr>
      <w:bookmarkStart w:id="150" w:name="_Toc185577532"/>
      <w:r w:rsidRPr="004510F0">
        <w:rPr>
          <w:rStyle w:val="CharDivNo"/>
        </w:rPr>
        <w:lastRenderedPageBreak/>
        <w:t>Division 3</w:t>
      </w:r>
      <w:r w:rsidR="00B33542" w:rsidRPr="005071A1">
        <w:t>—</w:t>
      </w:r>
      <w:r w:rsidR="00B33542" w:rsidRPr="004510F0">
        <w:rPr>
          <w:rStyle w:val="CharDivText"/>
        </w:rPr>
        <w:t>The Provident Account</w:t>
      </w:r>
      <w:bookmarkEnd w:id="150"/>
    </w:p>
    <w:p w14:paraId="2764BE22" w14:textId="77777777" w:rsidR="00B33542" w:rsidRPr="005071A1" w:rsidRDefault="00B33542" w:rsidP="00B33542">
      <w:pPr>
        <w:pStyle w:val="ActHead5"/>
      </w:pPr>
      <w:bookmarkStart w:id="151" w:name="_Toc185577533"/>
      <w:r w:rsidRPr="004510F0">
        <w:rPr>
          <w:rStyle w:val="CharSectno"/>
        </w:rPr>
        <w:t>100K</w:t>
      </w:r>
      <w:r w:rsidRPr="005071A1">
        <w:t xml:space="preserve">  Definition</w:t>
      </w:r>
      <w:bookmarkEnd w:id="151"/>
    </w:p>
    <w:p w14:paraId="5EDEE622" w14:textId="77777777" w:rsidR="00B33542" w:rsidRPr="005071A1" w:rsidRDefault="00B33542" w:rsidP="00B33542">
      <w:pPr>
        <w:pStyle w:val="subsection"/>
      </w:pPr>
      <w:r w:rsidRPr="005071A1">
        <w:tab/>
      </w:r>
      <w:r w:rsidRPr="005071A1">
        <w:tab/>
        <w:t xml:space="preserve">In this Division, </w:t>
      </w:r>
      <w:r w:rsidRPr="005071A1">
        <w:rPr>
          <w:b/>
          <w:i/>
        </w:rPr>
        <w:t>prescribed employee</w:t>
      </w:r>
      <w:r w:rsidRPr="005071A1">
        <w:t xml:space="preserve"> means a relevant employee who has made an election, and a payment to the Board, in accordance with </w:t>
      </w:r>
      <w:r w:rsidR="004510F0">
        <w:t>section 1</w:t>
      </w:r>
      <w:r w:rsidRPr="005071A1">
        <w:t>00L.</w:t>
      </w:r>
    </w:p>
    <w:p w14:paraId="282F80A4" w14:textId="77777777" w:rsidR="00B33542" w:rsidRPr="005071A1" w:rsidRDefault="00B33542" w:rsidP="00B33542">
      <w:pPr>
        <w:pStyle w:val="ActHead5"/>
      </w:pPr>
      <w:bookmarkStart w:id="152" w:name="_Toc185577534"/>
      <w:r w:rsidRPr="004510F0">
        <w:rPr>
          <w:rStyle w:val="CharSectno"/>
        </w:rPr>
        <w:t>100L</w:t>
      </w:r>
      <w:r w:rsidRPr="005071A1">
        <w:t xml:space="preserve">  Contributions by certain relevant employees to Provident Account</w:t>
      </w:r>
      <w:bookmarkEnd w:id="152"/>
    </w:p>
    <w:p w14:paraId="4166E8B2" w14:textId="77777777" w:rsidR="00B33542" w:rsidRPr="005071A1" w:rsidRDefault="00B33542" w:rsidP="00B33542">
      <w:pPr>
        <w:pStyle w:val="subsection"/>
      </w:pPr>
      <w:r w:rsidRPr="005071A1">
        <w:tab/>
        <w:t>(1)</w:t>
      </w:r>
      <w:r w:rsidRPr="005071A1">
        <w:tab/>
        <w:t xml:space="preserve">A relevant employee, other than a relevant employee to whom </w:t>
      </w:r>
      <w:r w:rsidR="004510F0">
        <w:t>section 1</w:t>
      </w:r>
      <w:r w:rsidRPr="005071A1">
        <w:t>00B or 100J applies may elect, within 3 months after the relevant date or within such further period as the Board allows, to contribute to the Provident Account in accordance with this section, and may pay to the Board an amount equal to the prescribed amount within that period or within such further period as the Board allows, but any election made after the pay</w:t>
      </w:r>
      <w:r w:rsidR="004510F0">
        <w:noBreakHyphen/>
      </w:r>
      <w:r w:rsidRPr="005071A1">
        <w:t>day last preceding 1</w:t>
      </w:r>
      <w:r w:rsidR="008B2950" w:rsidRPr="005071A1">
        <w:t> </w:t>
      </w:r>
      <w:r w:rsidRPr="005071A1">
        <w:t>July 1976 shall be deemed to have been made on that pay</w:t>
      </w:r>
      <w:r w:rsidR="004510F0">
        <w:noBreakHyphen/>
      </w:r>
      <w:r w:rsidRPr="005071A1">
        <w:t>day.</w:t>
      </w:r>
    </w:p>
    <w:p w14:paraId="23F9DBB1" w14:textId="77777777" w:rsidR="00B33542" w:rsidRPr="005071A1" w:rsidRDefault="00B33542" w:rsidP="00B33542">
      <w:pPr>
        <w:pStyle w:val="subsection"/>
      </w:pPr>
      <w:r w:rsidRPr="005071A1">
        <w:tab/>
        <w:t>(2)</w:t>
      </w:r>
      <w:r w:rsidRPr="005071A1">
        <w:tab/>
        <w:t>Notwithstanding section</w:t>
      </w:r>
      <w:r w:rsidR="008B2950" w:rsidRPr="005071A1">
        <w:t> </w:t>
      </w:r>
      <w:r w:rsidRPr="005071A1">
        <w:t>5, a prescribed employee shall be liable to make, and, from and including the relevant date, shall be deemed to have been liable to make, contributions to the Provident Account in accordance with Part V.</w:t>
      </w:r>
    </w:p>
    <w:p w14:paraId="436DE5C6" w14:textId="77777777" w:rsidR="00B33542" w:rsidRPr="005071A1" w:rsidRDefault="00B33542" w:rsidP="00B33542">
      <w:pPr>
        <w:pStyle w:val="subsection"/>
      </w:pPr>
      <w:r w:rsidRPr="005071A1">
        <w:tab/>
        <w:t>(3)</w:t>
      </w:r>
      <w:r w:rsidRPr="005071A1">
        <w:tab/>
        <w:t xml:space="preserve">Upon the payment by a prescribed employee of an amount equal to the prescribed amount to the Board under </w:t>
      </w:r>
      <w:r w:rsidR="008B2950" w:rsidRPr="005071A1">
        <w:t>subsection (</w:t>
      </w:r>
      <w:r w:rsidRPr="005071A1">
        <w:t>1):</w:t>
      </w:r>
    </w:p>
    <w:p w14:paraId="6A14B9EA" w14:textId="77777777" w:rsidR="00B33542" w:rsidRPr="005071A1" w:rsidRDefault="00B33542" w:rsidP="00B33542">
      <w:pPr>
        <w:pStyle w:val="paragraph"/>
      </w:pPr>
      <w:r w:rsidRPr="005071A1">
        <w:tab/>
        <w:t>(a)</w:t>
      </w:r>
      <w:r w:rsidRPr="005071A1">
        <w:tab/>
        <w:t>if the superannuation scheme of which the employee was a member immediately before the relevant date was a scheme under which members were required to make contributions in respect of the benefits to be provided under the scheme:</w:t>
      </w:r>
    </w:p>
    <w:p w14:paraId="382D2FCF" w14:textId="77777777" w:rsidR="00B33542" w:rsidRPr="005071A1" w:rsidRDefault="00B33542" w:rsidP="00B33542">
      <w:pPr>
        <w:pStyle w:val="paragraphsub"/>
      </w:pPr>
      <w:r w:rsidRPr="005071A1">
        <w:tab/>
        <w:t>(i)</w:t>
      </w:r>
      <w:r w:rsidRPr="005071A1">
        <w:tab/>
        <w:t xml:space="preserve">an amount equal to so much of the prescribed amount as was based upon the contributions made by him to the </w:t>
      </w:r>
      <w:r w:rsidRPr="005071A1">
        <w:lastRenderedPageBreak/>
        <w:t>superannuation scheme or on interest payable in respect of those contributions shall be paid by the Board to the Provident Account, or, on or after 1</w:t>
      </w:r>
      <w:r w:rsidR="008B2950" w:rsidRPr="005071A1">
        <w:t> </w:t>
      </w:r>
      <w:r w:rsidRPr="005071A1">
        <w:t>July 1976, to the new Superannuation Fund, and, when so paid, shall be deemed, for the purposes of this Act, to be contributions paid to the Provident Account by the employee; and</w:t>
      </w:r>
    </w:p>
    <w:p w14:paraId="388FDDF5" w14:textId="77777777" w:rsidR="00B33542" w:rsidRPr="005071A1" w:rsidRDefault="00B33542" w:rsidP="00B33542">
      <w:pPr>
        <w:pStyle w:val="paragraphsub"/>
      </w:pPr>
      <w:r w:rsidRPr="005071A1">
        <w:tab/>
        <w:t>(ii)</w:t>
      </w:r>
      <w:r w:rsidRPr="005071A1">
        <w:tab/>
        <w:t>an amount equal to so much (if any) of the prescribed amount as was not based upon contributions made by him to the superannuation scheme shall be paid by the Board to the Commonwealth; or</w:t>
      </w:r>
    </w:p>
    <w:p w14:paraId="0242DDF8" w14:textId="77777777" w:rsidR="00B33542" w:rsidRPr="005071A1" w:rsidRDefault="00B33542" w:rsidP="00B33542">
      <w:pPr>
        <w:pStyle w:val="paragraph"/>
      </w:pPr>
      <w:r w:rsidRPr="005071A1">
        <w:tab/>
        <w:t>(b)</w:t>
      </w:r>
      <w:r w:rsidRPr="005071A1">
        <w:tab/>
        <w:t>in any other case—the amount of the payment shall be paid by the Board to the Commonwealth.</w:t>
      </w:r>
    </w:p>
    <w:p w14:paraId="5A4A1E07" w14:textId="77777777" w:rsidR="00B33542" w:rsidRPr="005071A1" w:rsidRDefault="00B33542" w:rsidP="00B33542">
      <w:pPr>
        <w:pStyle w:val="subsection"/>
      </w:pPr>
      <w:r w:rsidRPr="005071A1">
        <w:tab/>
        <w:t>(4)</w:t>
      </w:r>
      <w:r w:rsidRPr="005071A1">
        <w:tab/>
        <w:t>Where a sum is payable under section</w:t>
      </w:r>
      <w:r w:rsidR="008B2950" w:rsidRPr="005071A1">
        <w:t> </w:t>
      </w:r>
      <w:r w:rsidRPr="005071A1">
        <w:t xml:space="preserve">82 or 83 to or in relation to a prescribed employee, that section shall be read as if the sum referred to in </w:t>
      </w:r>
      <w:r w:rsidR="008B2950" w:rsidRPr="005071A1">
        <w:t>subsection (</w:t>
      </w:r>
      <w:r w:rsidRPr="005071A1">
        <w:t>1) of that section was a sum calculated by adding an amount equal to 3 times the aggregate of:</w:t>
      </w:r>
    </w:p>
    <w:p w14:paraId="686ECF74" w14:textId="77777777" w:rsidR="00B33542" w:rsidRPr="005071A1" w:rsidRDefault="00B33542" w:rsidP="00B33542">
      <w:pPr>
        <w:pStyle w:val="paragraph"/>
      </w:pPr>
      <w:r w:rsidRPr="005071A1">
        <w:tab/>
        <w:t>(a)</w:t>
      </w:r>
      <w:r w:rsidRPr="005071A1">
        <w:tab/>
        <w:t>the contributions paid by him to the Provident Account under section</w:t>
      </w:r>
      <w:r w:rsidR="008B2950" w:rsidRPr="005071A1">
        <w:t> </w:t>
      </w:r>
      <w:r w:rsidRPr="005071A1">
        <w:t>80; and</w:t>
      </w:r>
    </w:p>
    <w:p w14:paraId="7E198EF8" w14:textId="77777777" w:rsidR="00B33542" w:rsidRPr="005071A1" w:rsidRDefault="00B33542" w:rsidP="00B33542">
      <w:pPr>
        <w:pStyle w:val="paragraph"/>
        <w:keepNext/>
      </w:pPr>
      <w:r w:rsidRPr="005071A1">
        <w:tab/>
        <w:t>(b)</w:t>
      </w:r>
      <w:r w:rsidRPr="005071A1">
        <w:tab/>
        <w:t>compound interest on those contributions at the rate or rates applicable for the purposes of Part V;</w:t>
      </w:r>
    </w:p>
    <w:p w14:paraId="358ECDA2" w14:textId="77777777" w:rsidR="00B33542" w:rsidRPr="005071A1" w:rsidRDefault="00B33542" w:rsidP="00B33542">
      <w:pPr>
        <w:pStyle w:val="subsection"/>
      </w:pPr>
      <w:r w:rsidRPr="005071A1">
        <w:tab/>
      </w:r>
      <w:r w:rsidRPr="005071A1">
        <w:tab/>
        <w:t xml:space="preserve">and an amount ascertained by multiplying by the factor applicable in relation to the employee in accordance with </w:t>
      </w:r>
      <w:r w:rsidR="008B2950" w:rsidRPr="005071A1">
        <w:t>subsection (</w:t>
      </w:r>
      <w:r w:rsidRPr="005071A1">
        <w:t xml:space="preserve">5) the aggregate of the amount paid by the employee to the Board under </w:t>
      </w:r>
      <w:r w:rsidR="008B2950" w:rsidRPr="005071A1">
        <w:t>subsection (</w:t>
      </w:r>
      <w:r w:rsidRPr="005071A1">
        <w:t xml:space="preserve">1) and compound interest on that amount, in respect of the period that commenced on the date on which the employee paid an amount equal to the prescribed amount to the Board in accordance with </w:t>
      </w:r>
      <w:r w:rsidR="008B2950" w:rsidRPr="005071A1">
        <w:t>subsection (</w:t>
      </w:r>
      <w:r w:rsidRPr="005071A1">
        <w:t>1) and ended on the date on which he ceased to be a contributor to the Provident Account, at the rate or rates applicable for the purposes of Part V.</w:t>
      </w:r>
    </w:p>
    <w:p w14:paraId="42739E56" w14:textId="77777777" w:rsidR="00B33542" w:rsidRPr="005071A1" w:rsidRDefault="00B33542" w:rsidP="00B33542">
      <w:pPr>
        <w:pStyle w:val="subsection"/>
      </w:pPr>
      <w:r w:rsidRPr="005071A1">
        <w:lastRenderedPageBreak/>
        <w:tab/>
        <w:t>(5)</w:t>
      </w:r>
      <w:r w:rsidRPr="005071A1">
        <w:tab/>
        <w:t xml:space="preserve">For the purpose of </w:t>
      </w:r>
      <w:r w:rsidR="008B2950" w:rsidRPr="005071A1">
        <w:t>subsection (</w:t>
      </w:r>
      <w:r w:rsidRPr="005071A1">
        <w:t>4), the factor applicable in relation to a prescribed employee is a factor determined by the Board to be the appropriate factor having regard to the rules of the superannuation scheme applicable to the employee immediately before the relevant date.</w:t>
      </w:r>
    </w:p>
    <w:p w14:paraId="688E24F4" w14:textId="77777777" w:rsidR="00B33542" w:rsidRPr="005071A1" w:rsidRDefault="00B33542" w:rsidP="00B33542">
      <w:pPr>
        <w:pStyle w:val="subsection"/>
      </w:pPr>
      <w:r w:rsidRPr="005071A1">
        <w:tab/>
        <w:t>(6)</w:t>
      </w:r>
      <w:r w:rsidRPr="005071A1">
        <w:tab/>
        <w:t xml:space="preserve">Where a prescribed employee ceases to be a contributor to the Provident Account in such circumstances that an amount equal to the contributions paid by him to the Provident Account together with compound interest on the amount of those contributions is payable to or in respect of him under this Act, so much of the amount paid by him to the Board in accordance with </w:t>
      </w:r>
      <w:r w:rsidR="008B2950" w:rsidRPr="005071A1">
        <w:t>subsection (</w:t>
      </w:r>
      <w:r w:rsidRPr="005071A1">
        <w:t>1) as was paid by the Board to the Commonwealth, together with compound interest, in respect of the period that commenced on the date on which the employee paid that amount to the Board and ended on the date on which he ceased to be a contributor to the Provident Account, at the rate or rates applicable for the purposes of Part V is payable to or in respect of him out of the Provident Account.</w:t>
      </w:r>
    </w:p>
    <w:p w14:paraId="302C8B12" w14:textId="77777777" w:rsidR="00B33542" w:rsidRPr="005071A1" w:rsidRDefault="00B33542" w:rsidP="00B33542">
      <w:pPr>
        <w:pStyle w:val="subsection"/>
      </w:pPr>
      <w:r w:rsidRPr="005071A1">
        <w:tab/>
        <w:t>(7)</w:t>
      </w:r>
      <w:r w:rsidRPr="005071A1">
        <w:tab/>
        <w:t xml:space="preserve">Where an amount payable out of the Provident Account is greater than the amount that, but for </w:t>
      </w:r>
      <w:r w:rsidR="008B2950" w:rsidRPr="005071A1">
        <w:t>subsection (</w:t>
      </w:r>
      <w:r w:rsidRPr="005071A1">
        <w:t>4), would be payable, there is payable to the Provident Account by the Commonwealth an amount equal to the difference between the amounts.</w:t>
      </w:r>
    </w:p>
    <w:p w14:paraId="37DFF0A1" w14:textId="77777777" w:rsidR="00B33542" w:rsidRPr="005071A1" w:rsidRDefault="00B33542" w:rsidP="00B33542">
      <w:pPr>
        <w:pStyle w:val="subsection"/>
      </w:pPr>
      <w:r w:rsidRPr="005071A1">
        <w:tab/>
        <w:t>(8)</w:t>
      </w:r>
      <w:r w:rsidRPr="005071A1">
        <w:tab/>
        <w:t xml:space="preserve">Where an amount is payable out of the Provident Account under </w:t>
      </w:r>
      <w:r w:rsidR="008B2950" w:rsidRPr="005071A1">
        <w:t>subsection (</w:t>
      </w:r>
      <w:r w:rsidRPr="005071A1">
        <w:t>6), there is payable to the Provident Account by the Commonwealth an amount equal to that amount.</w:t>
      </w:r>
    </w:p>
    <w:p w14:paraId="251F2815" w14:textId="77777777" w:rsidR="00B33542" w:rsidRPr="005071A1" w:rsidRDefault="00B33542" w:rsidP="002477D1">
      <w:pPr>
        <w:pStyle w:val="ActHead3"/>
        <w:pageBreakBefore/>
      </w:pPr>
      <w:bookmarkStart w:id="153" w:name="_Toc185577535"/>
      <w:r w:rsidRPr="004510F0">
        <w:rPr>
          <w:rStyle w:val="CharDivNo"/>
        </w:rPr>
        <w:lastRenderedPageBreak/>
        <w:t>Division</w:t>
      </w:r>
      <w:r w:rsidR="008B2950" w:rsidRPr="004510F0">
        <w:rPr>
          <w:rStyle w:val="CharDivNo"/>
        </w:rPr>
        <w:t> </w:t>
      </w:r>
      <w:r w:rsidRPr="004510F0">
        <w:rPr>
          <w:rStyle w:val="CharDivNo"/>
        </w:rPr>
        <w:t>4</w:t>
      </w:r>
      <w:r w:rsidRPr="005071A1">
        <w:t>—</w:t>
      </w:r>
      <w:r w:rsidRPr="004510F0">
        <w:rPr>
          <w:rStyle w:val="CharDivText"/>
        </w:rPr>
        <w:t>Miscellaneous</w:t>
      </w:r>
      <w:bookmarkEnd w:id="153"/>
    </w:p>
    <w:p w14:paraId="37516E11" w14:textId="77777777" w:rsidR="00B33542" w:rsidRPr="005071A1" w:rsidRDefault="00B33542" w:rsidP="00B33542">
      <w:pPr>
        <w:pStyle w:val="ActHead5"/>
      </w:pPr>
      <w:bookmarkStart w:id="154" w:name="_Toc185577536"/>
      <w:r w:rsidRPr="004510F0">
        <w:rPr>
          <w:rStyle w:val="CharSectno"/>
        </w:rPr>
        <w:t>100M</w:t>
      </w:r>
      <w:r w:rsidRPr="005071A1">
        <w:t xml:space="preserve">  Full</w:t>
      </w:r>
      <w:r w:rsidR="004510F0">
        <w:noBreakHyphen/>
      </w:r>
      <w:r w:rsidRPr="005071A1">
        <w:t>time employment otherwise than as contributor to superannuation scheme</w:t>
      </w:r>
      <w:bookmarkEnd w:id="154"/>
    </w:p>
    <w:p w14:paraId="49F8641B" w14:textId="77777777" w:rsidR="00B33542" w:rsidRPr="005071A1" w:rsidRDefault="00B33542" w:rsidP="00B33542">
      <w:pPr>
        <w:pStyle w:val="subsection"/>
      </w:pPr>
      <w:r w:rsidRPr="005071A1">
        <w:tab/>
      </w:r>
      <w:r w:rsidRPr="005071A1">
        <w:tab/>
        <w:t>Where:</w:t>
      </w:r>
    </w:p>
    <w:p w14:paraId="59254928" w14:textId="77777777" w:rsidR="00B33542" w:rsidRPr="005071A1" w:rsidRDefault="00B33542" w:rsidP="00B33542">
      <w:pPr>
        <w:pStyle w:val="paragraph"/>
      </w:pPr>
      <w:r w:rsidRPr="005071A1">
        <w:tab/>
        <w:t>(a)</w:t>
      </w:r>
      <w:r w:rsidRPr="005071A1">
        <w:tab/>
        <w:t xml:space="preserve">a person is employed by the Commonwealth as set out in </w:t>
      </w:r>
      <w:r w:rsidR="008B2950" w:rsidRPr="005071A1">
        <w:t>paragraph (</w:t>
      </w:r>
      <w:r w:rsidRPr="005071A1">
        <w:t xml:space="preserve">a) of </w:t>
      </w:r>
      <w:r w:rsidR="008B2950" w:rsidRPr="005071A1">
        <w:t>subsection (</w:t>
      </w:r>
      <w:r w:rsidRPr="005071A1">
        <w:t>5) of section</w:t>
      </w:r>
      <w:r w:rsidR="008B2950" w:rsidRPr="005071A1">
        <w:t> </w:t>
      </w:r>
      <w:r w:rsidRPr="005071A1">
        <w:t>4;</w:t>
      </w:r>
    </w:p>
    <w:p w14:paraId="06746C36" w14:textId="77777777" w:rsidR="00B33542" w:rsidRPr="005071A1" w:rsidRDefault="00B33542" w:rsidP="00B33542">
      <w:pPr>
        <w:pStyle w:val="paragraph"/>
      </w:pPr>
      <w:r w:rsidRPr="005071A1">
        <w:tab/>
        <w:t>(b)</w:t>
      </w:r>
      <w:r w:rsidRPr="005071A1">
        <w:tab/>
        <w:t xml:space="preserve">the person became so employed in circumstances specified in a determination made for the purposes of the definition of </w:t>
      </w:r>
      <w:r w:rsidRPr="005071A1">
        <w:rPr>
          <w:b/>
          <w:i/>
        </w:rPr>
        <w:t>relevant employee</w:t>
      </w:r>
      <w:r w:rsidRPr="005071A1">
        <w:t xml:space="preserve"> in </w:t>
      </w:r>
      <w:r w:rsidR="008B2950" w:rsidRPr="005071A1">
        <w:t>subsection (</w:t>
      </w:r>
      <w:r w:rsidRPr="005071A1">
        <w:t xml:space="preserve">1) of </w:t>
      </w:r>
      <w:r w:rsidR="004510F0">
        <w:t>section 1</w:t>
      </w:r>
      <w:r w:rsidRPr="005071A1">
        <w:t>00A; and</w:t>
      </w:r>
    </w:p>
    <w:p w14:paraId="3B67FD94" w14:textId="77777777" w:rsidR="00B33542" w:rsidRPr="005071A1" w:rsidRDefault="00B33542" w:rsidP="00B33542">
      <w:pPr>
        <w:pStyle w:val="paragraph"/>
      </w:pPr>
      <w:r w:rsidRPr="005071A1">
        <w:tab/>
        <w:t>(c)</w:t>
      </w:r>
      <w:r w:rsidRPr="005071A1">
        <w:tab/>
        <w:t>during a continuous period that ended immediately before he became so employed, the person:</w:t>
      </w:r>
    </w:p>
    <w:p w14:paraId="1F77E5D1" w14:textId="77777777" w:rsidR="00B33542" w:rsidRPr="005071A1" w:rsidRDefault="00B33542" w:rsidP="00B33542">
      <w:pPr>
        <w:pStyle w:val="paragraphsub"/>
      </w:pPr>
      <w:r w:rsidRPr="005071A1">
        <w:tab/>
        <w:t>(i)</w:t>
      </w:r>
      <w:r w:rsidRPr="005071A1">
        <w:tab/>
        <w:t>was employed by the employer by whom he was employed immediately before he became so employed by the Commonwealth;</w:t>
      </w:r>
    </w:p>
    <w:p w14:paraId="55B84E9A" w14:textId="77777777" w:rsidR="00B33542" w:rsidRPr="005071A1" w:rsidRDefault="00B33542" w:rsidP="00B33542">
      <w:pPr>
        <w:pStyle w:val="paragraphsub"/>
      </w:pPr>
      <w:r w:rsidRPr="005071A1">
        <w:tab/>
        <w:t>(ii)</w:t>
      </w:r>
      <w:r w:rsidRPr="005071A1">
        <w:tab/>
        <w:t>was required by the terms of his employment to give the whole of his time to the duties of his employment; and</w:t>
      </w:r>
    </w:p>
    <w:p w14:paraId="1AAC5552" w14:textId="77777777" w:rsidR="00B33542" w:rsidRPr="005071A1" w:rsidRDefault="00B33542" w:rsidP="00B33542">
      <w:pPr>
        <w:pStyle w:val="paragraphsub"/>
        <w:keepNext/>
      </w:pPr>
      <w:r w:rsidRPr="005071A1">
        <w:tab/>
        <w:t>(iii)</w:t>
      </w:r>
      <w:r w:rsidRPr="005071A1">
        <w:tab/>
        <w:t>was not a member of a superannuation scheme;</w:t>
      </w:r>
    </w:p>
    <w:p w14:paraId="6051E96D" w14:textId="77777777" w:rsidR="00B33542" w:rsidRPr="005071A1" w:rsidRDefault="00B33542" w:rsidP="00B33542">
      <w:pPr>
        <w:pStyle w:val="subsection2"/>
      </w:pPr>
      <w:r w:rsidRPr="005071A1">
        <w:t xml:space="preserve">his employment during that period shall be treated, for the purposes of applying </w:t>
      </w:r>
      <w:r w:rsidR="008B2950" w:rsidRPr="005071A1">
        <w:t>subsection (</w:t>
      </w:r>
      <w:r w:rsidRPr="005071A1">
        <w:t>5) of section</w:t>
      </w:r>
      <w:r w:rsidR="008B2950" w:rsidRPr="005071A1">
        <w:t> </w:t>
      </w:r>
      <w:r w:rsidRPr="005071A1">
        <w:t>4 to and in relation to him, as if it were employment by the Commonwealth.</w:t>
      </w:r>
    </w:p>
    <w:p w14:paraId="4174F51B" w14:textId="77777777" w:rsidR="00B33542" w:rsidRPr="005071A1" w:rsidRDefault="00B33542" w:rsidP="00B33542">
      <w:pPr>
        <w:pStyle w:val="ActHead5"/>
      </w:pPr>
      <w:bookmarkStart w:id="155" w:name="_Toc185577537"/>
      <w:r w:rsidRPr="004510F0">
        <w:rPr>
          <w:rStyle w:val="CharSectno"/>
        </w:rPr>
        <w:t>100N</w:t>
      </w:r>
      <w:r w:rsidRPr="005071A1">
        <w:t xml:space="preserve">  Prescribed employee to furnish Board with authority to obtain certain information</w:t>
      </w:r>
      <w:bookmarkEnd w:id="155"/>
    </w:p>
    <w:p w14:paraId="3EEBE5F9" w14:textId="77777777" w:rsidR="00B33542" w:rsidRPr="005071A1" w:rsidRDefault="00B33542" w:rsidP="00B33542">
      <w:pPr>
        <w:pStyle w:val="subsection"/>
      </w:pPr>
      <w:r w:rsidRPr="005071A1">
        <w:tab/>
      </w:r>
      <w:r w:rsidRPr="005071A1">
        <w:tab/>
        <w:t>A person who is a prescribed employee for the purposes of Division</w:t>
      </w:r>
      <w:r w:rsidR="008B2950" w:rsidRPr="005071A1">
        <w:t> </w:t>
      </w:r>
      <w:r w:rsidRPr="005071A1">
        <w:t xml:space="preserve">2 shall furnish to the Board, before the expiration of 3 months after the date on which he became an employee, or before such time as the Board in special circumstances allows, an authority in writing authorizing the Board to obtain such </w:t>
      </w:r>
      <w:r w:rsidRPr="005071A1">
        <w:lastRenderedPageBreak/>
        <w:t xml:space="preserve">information from his previous employer or from any person administering the superannuation scheme applicable in relation to his previous employment as the Board considers necessary to enable it to make determinations under </w:t>
      </w:r>
      <w:r w:rsidR="004510F0">
        <w:t>section 1</w:t>
      </w:r>
      <w:r w:rsidRPr="005071A1">
        <w:t>00C in respect of the person.</w:t>
      </w:r>
    </w:p>
    <w:p w14:paraId="7AE26123" w14:textId="77777777" w:rsidR="00B33542" w:rsidRPr="005071A1" w:rsidRDefault="00B33542" w:rsidP="00B33542">
      <w:pPr>
        <w:pStyle w:val="ActHead5"/>
      </w:pPr>
      <w:bookmarkStart w:id="156" w:name="_Toc185577538"/>
      <w:r w:rsidRPr="004510F0">
        <w:rPr>
          <w:rStyle w:val="CharSectno"/>
        </w:rPr>
        <w:t>100P</w:t>
      </w:r>
      <w:r w:rsidRPr="005071A1">
        <w:t xml:space="preserve">  References to Board</w:t>
      </w:r>
      <w:bookmarkEnd w:id="156"/>
    </w:p>
    <w:p w14:paraId="59B57A31" w14:textId="77777777" w:rsidR="00B33542" w:rsidRPr="005071A1" w:rsidRDefault="00B33542" w:rsidP="00B33542">
      <w:pPr>
        <w:pStyle w:val="subsection"/>
      </w:pPr>
      <w:r w:rsidRPr="005071A1">
        <w:tab/>
      </w:r>
      <w:r w:rsidRPr="005071A1">
        <w:tab/>
        <w:t>On and after 1</w:t>
      </w:r>
      <w:r w:rsidR="008B2950" w:rsidRPr="005071A1">
        <w:t> </w:t>
      </w:r>
      <w:r w:rsidRPr="005071A1">
        <w:t>July 1976, any reference in this Part to the Board shall, unless the context otherwise requires, be read as including a reference to the Commissioner for Superannuation.</w:t>
      </w:r>
    </w:p>
    <w:p w14:paraId="221D9B05" w14:textId="77777777" w:rsidR="00B33542" w:rsidRPr="005071A1" w:rsidRDefault="00B33542" w:rsidP="002477D1">
      <w:pPr>
        <w:pStyle w:val="ActHead2"/>
        <w:pageBreakBefore/>
      </w:pPr>
      <w:bookmarkStart w:id="157" w:name="_Toc185577539"/>
      <w:r w:rsidRPr="004510F0">
        <w:rPr>
          <w:rStyle w:val="CharPartNo"/>
        </w:rPr>
        <w:lastRenderedPageBreak/>
        <w:t>Part VII</w:t>
      </w:r>
      <w:r w:rsidRPr="005071A1">
        <w:t>—</w:t>
      </w:r>
      <w:r w:rsidRPr="004510F0">
        <w:rPr>
          <w:rStyle w:val="CharPartText"/>
        </w:rPr>
        <w:t>Special provisions in relation to certain former State employees</w:t>
      </w:r>
      <w:bookmarkEnd w:id="157"/>
    </w:p>
    <w:p w14:paraId="64D0D3E6" w14:textId="77777777" w:rsidR="00B33542" w:rsidRPr="005071A1" w:rsidRDefault="009B7AF5" w:rsidP="00B33542">
      <w:pPr>
        <w:pStyle w:val="Header"/>
      </w:pPr>
      <w:r w:rsidRPr="004510F0">
        <w:rPr>
          <w:rStyle w:val="CharDivNo"/>
        </w:rPr>
        <w:t xml:space="preserve"> </w:t>
      </w:r>
      <w:r w:rsidRPr="004510F0">
        <w:rPr>
          <w:rStyle w:val="CharDivText"/>
        </w:rPr>
        <w:t xml:space="preserve"> </w:t>
      </w:r>
    </w:p>
    <w:p w14:paraId="3A5E0A87" w14:textId="77777777" w:rsidR="00B33542" w:rsidRPr="005071A1" w:rsidRDefault="00B33542" w:rsidP="00B33542">
      <w:pPr>
        <w:pStyle w:val="ActHead5"/>
      </w:pPr>
      <w:bookmarkStart w:id="158" w:name="_Toc185577540"/>
      <w:r w:rsidRPr="004510F0">
        <w:rPr>
          <w:rStyle w:val="CharSectno"/>
        </w:rPr>
        <w:t>101</w:t>
      </w:r>
      <w:r w:rsidRPr="005071A1">
        <w:t xml:space="preserve">  Definitions</w:t>
      </w:r>
      <w:bookmarkEnd w:id="158"/>
    </w:p>
    <w:p w14:paraId="44C6AD11" w14:textId="77777777" w:rsidR="00B33542" w:rsidRPr="005071A1" w:rsidRDefault="00B33542" w:rsidP="00B33542">
      <w:pPr>
        <w:pStyle w:val="subsection"/>
      </w:pPr>
      <w:r w:rsidRPr="005071A1">
        <w:tab/>
      </w:r>
      <w:r w:rsidRPr="005071A1">
        <w:tab/>
        <w:t>In this Part, unless the contrary intention appears:</w:t>
      </w:r>
    </w:p>
    <w:p w14:paraId="14EA3EB8" w14:textId="77777777" w:rsidR="00B33542" w:rsidRPr="005071A1" w:rsidRDefault="00B33542" w:rsidP="00B33542">
      <w:pPr>
        <w:pStyle w:val="Definition"/>
      </w:pPr>
      <w:r w:rsidRPr="005071A1">
        <w:rPr>
          <w:b/>
          <w:i/>
        </w:rPr>
        <w:t>State employee</w:t>
      </w:r>
      <w:r w:rsidRPr="005071A1">
        <w:t xml:space="preserve"> means a person who became an employee before 1</w:t>
      </w:r>
      <w:r w:rsidR="008B2950" w:rsidRPr="005071A1">
        <w:t> </w:t>
      </w:r>
      <w:r w:rsidRPr="005071A1">
        <w:t>November 1951, and was, immediately before becoming an employee, a contributor to a State Fund.</w:t>
      </w:r>
    </w:p>
    <w:p w14:paraId="7974CEA4" w14:textId="77777777" w:rsidR="00B33542" w:rsidRPr="005071A1" w:rsidRDefault="00B33542" w:rsidP="00B33542">
      <w:pPr>
        <w:pStyle w:val="Definition"/>
      </w:pPr>
      <w:r w:rsidRPr="005071A1">
        <w:rPr>
          <w:b/>
          <w:i/>
        </w:rPr>
        <w:t>State Fund</w:t>
      </w:r>
      <w:r w:rsidRPr="005071A1">
        <w:t xml:space="preserve"> means any fund or account established under the law of a State to provide superannuation or other similar benefits for persons employed in the State Public Service.</w:t>
      </w:r>
    </w:p>
    <w:p w14:paraId="11285374" w14:textId="77777777" w:rsidR="00B33542" w:rsidRPr="005071A1" w:rsidRDefault="00B33542" w:rsidP="00B33542">
      <w:pPr>
        <w:pStyle w:val="Definition"/>
      </w:pPr>
      <w:r w:rsidRPr="005071A1">
        <w:rPr>
          <w:b/>
          <w:i/>
        </w:rPr>
        <w:t>State Public Service</w:t>
      </w:r>
      <w:r w:rsidRPr="005071A1">
        <w:t xml:space="preserve"> means Public, Railway or other Service of a State, and includes, in relation to a person appointed or employed under Division</w:t>
      </w:r>
      <w:r w:rsidR="008B2950" w:rsidRPr="005071A1">
        <w:t> </w:t>
      </w:r>
      <w:r w:rsidRPr="005071A1">
        <w:t>9A or 9B of Part III of the Commonwealth Public Service Act, any Service which is a State Public Service for the purposes of that Division.</w:t>
      </w:r>
    </w:p>
    <w:p w14:paraId="531655F1" w14:textId="77777777" w:rsidR="00B33542" w:rsidRPr="005071A1" w:rsidRDefault="00B33542" w:rsidP="00B33542">
      <w:pPr>
        <w:pStyle w:val="Definition"/>
      </w:pPr>
      <w:r w:rsidRPr="005071A1">
        <w:rPr>
          <w:b/>
          <w:i/>
        </w:rPr>
        <w:t>the Commonwealth Public Service Act</w:t>
      </w:r>
      <w:r w:rsidRPr="005071A1">
        <w:t xml:space="preserve"> means the </w:t>
      </w:r>
      <w:r w:rsidRPr="005071A1">
        <w:rPr>
          <w:i/>
        </w:rPr>
        <w:t>Commonwealth Public Service Act 1922</w:t>
      </w:r>
      <w:r w:rsidR="004510F0">
        <w:rPr>
          <w:i/>
        </w:rPr>
        <w:noBreakHyphen/>
      </w:r>
      <w:r w:rsidRPr="005071A1">
        <w:rPr>
          <w:i/>
        </w:rPr>
        <w:t>1943</w:t>
      </w:r>
      <w:r w:rsidRPr="005071A1">
        <w:t xml:space="preserve">, as amended by the </w:t>
      </w:r>
      <w:r w:rsidRPr="005071A1">
        <w:rPr>
          <w:i/>
        </w:rPr>
        <w:t>Re</w:t>
      </w:r>
      <w:r w:rsidR="004510F0">
        <w:rPr>
          <w:i/>
        </w:rPr>
        <w:noBreakHyphen/>
      </w:r>
      <w:r w:rsidRPr="005071A1">
        <w:rPr>
          <w:i/>
        </w:rPr>
        <w:t xml:space="preserve">establishment and Employment Act 1945 </w:t>
      </w:r>
      <w:r w:rsidRPr="005071A1">
        <w:t xml:space="preserve">and the </w:t>
      </w:r>
      <w:r w:rsidRPr="005071A1">
        <w:rPr>
          <w:i/>
        </w:rPr>
        <w:t xml:space="preserve">Commonwealth Public Service Act 1945 </w:t>
      </w:r>
      <w:r w:rsidRPr="005071A1">
        <w:t>or by any later Act.</w:t>
      </w:r>
    </w:p>
    <w:p w14:paraId="1AEBDF5C" w14:textId="77777777" w:rsidR="00B33542" w:rsidRPr="005071A1" w:rsidRDefault="00B33542" w:rsidP="00B33542">
      <w:pPr>
        <w:pStyle w:val="ActHead5"/>
      </w:pPr>
      <w:bookmarkStart w:id="159" w:name="_Toc185577541"/>
      <w:r w:rsidRPr="004510F0">
        <w:rPr>
          <w:rStyle w:val="CharSectno"/>
        </w:rPr>
        <w:t>102</w:t>
      </w:r>
      <w:r w:rsidRPr="005071A1">
        <w:t xml:space="preserve">  Superannuation rights and obligations of persons formerly employed by States</w:t>
      </w:r>
      <w:bookmarkEnd w:id="159"/>
    </w:p>
    <w:p w14:paraId="65E499F8" w14:textId="77777777" w:rsidR="00B33542" w:rsidRPr="005071A1" w:rsidRDefault="00B33542" w:rsidP="00B33542">
      <w:pPr>
        <w:pStyle w:val="subsection"/>
      </w:pPr>
      <w:r w:rsidRPr="005071A1">
        <w:tab/>
        <w:t>(1)</w:t>
      </w:r>
      <w:r w:rsidRPr="005071A1">
        <w:tab/>
        <w:t>Notwithstanding the provisions of section</w:t>
      </w:r>
      <w:r w:rsidR="008B2950" w:rsidRPr="005071A1">
        <w:t> </w:t>
      </w:r>
      <w:r w:rsidRPr="005071A1">
        <w:t xml:space="preserve">5, a State employee who, within three months after the date of his becoming an employee, </w:t>
      </w:r>
      <w:r w:rsidRPr="005071A1">
        <w:lastRenderedPageBreak/>
        <w:t>elects to contribute in accordance with this section and pays to the Board the contributions refunded to him from the State Fund upon his resignation from the State Public Service, shall be liable to make, and, from and including that date, shall be deemed to have been liable to make, contributions to the Fund for so many units of pension (including, where necessary, a fraction of a unit) as the Board determines will entitle that employee to benefits equivalent to those to which he would have been entitled if he had continued to contribute to the State Fund at the rate at which he was, immediately prior to that date, contributing to the State Fund, and his contributions for those units of pensions shall be at the same rate.</w:t>
      </w:r>
    </w:p>
    <w:p w14:paraId="0DF3BF39" w14:textId="77777777" w:rsidR="00B33542" w:rsidRPr="005071A1" w:rsidRDefault="00B33542" w:rsidP="00B33542">
      <w:pPr>
        <w:pStyle w:val="subsection"/>
        <w:keepNext/>
      </w:pPr>
      <w:r w:rsidRPr="005071A1">
        <w:tab/>
        <w:t>(2)</w:t>
      </w:r>
      <w:r w:rsidRPr="005071A1">
        <w:tab/>
        <w:t xml:space="preserve">Subject to this Act, a State employee referred to in </w:t>
      </w:r>
      <w:r w:rsidR="008B2950" w:rsidRPr="005071A1">
        <w:t>subsection (</w:t>
      </w:r>
      <w:r w:rsidRPr="005071A1">
        <w:t>1) shall for all purposes of this Act be deemed to be a contributor:</w:t>
      </w:r>
    </w:p>
    <w:p w14:paraId="5AFBB869" w14:textId="77777777" w:rsidR="00B33542" w:rsidRPr="005071A1" w:rsidRDefault="00B33542" w:rsidP="00B33542">
      <w:pPr>
        <w:pStyle w:val="paragraph"/>
      </w:pPr>
      <w:r w:rsidRPr="005071A1">
        <w:tab/>
        <w:t>(a)</w:t>
      </w:r>
      <w:r w:rsidRPr="005071A1">
        <w:tab/>
        <w:t>in the case of a female employee who contributed to a State Fund for pension on retirement at the age of fifty</w:t>
      </w:r>
      <w:r w:rsidR="004510F0">
        <w:noBreakHyphen/>
      </w:r>
      <w:r w:rsidRPr="005071A1">
        <w:t>five years—at rates based on a retiring age of sixty years; and</w:t>
      </w:r>
    </w:p>
    <w:p w14:paraId="05DE71A9" w14:textId="77777777" w:rsidR="00B33542" w:rsidRPr="005071A1" w:rsidRDefault="00B33542" w:rsidP="00B33542">
      <w:pPr>
        <w:pStyle w:val="paragraph"/>
      </w:pPr>
      <w:r w:rsidRPr="005071A1">
        <w:tab/>
        <w:t>(b)</w:t>
      </w:r>
      <w:r w:rsidRPr="005071A1">
        <w:tab/>
        <w:t>in any other case—at rates based on the same retiring age as the age at which the employee was, under the law of the State, entitled to retire on full pension benefit.</w:t>
      </w:r>
    </w:p>
    <w:p w14:paraId="41BB07E2" w14:textId="77777777" w:rsidR="00B33542" w:rsidRPr="005071A1" w:rsidRDefault="00B33542" w:rsidP="00B33542">
      <w:pPr>
        <w:pStyle w:val="subsection"/>
      </w:pPr>
      <w:r w:rsidRPr="005071A1">
        <w:tab/>
        <w:t>(4)</w:t>
      </w:r>
      <w:r w:rsidRPr="005071A1">
        <w:tab/>
        <w:t xml:space="preserve">Nothing in </w:t>
      </w:r>
      <w:r w:rsidR="008B2950" w:rsidRPr="005071A1">
        <w:t>subsection (</w:t>
      </w:r>
      <w:r w:rsidRPr="005071A1">
        <w:t>1) shall affect the obligation of any such State employee to contribute, in accordance with the provisions of this Act, for or in respect of units of pension in excess of those referred to in that subsection but if, at the date of his becoming an employee, he is required by section</w:t>
      </w:r>
      <w:r w:rsidR="008B2950" w:rsidRPr="005071A1">
        <w:t> </w:t>
      </w:r>
      <w:r w:rsidRPr="005071A1">
        <w:t>20 to contribute for any additional units of pension, he shall not, if he has attained the age of forty years, contribute for or in respect of those units unless, within a period of six months after that date, he satisfies the Board that he is not suffering from any physical or mental defect likely to render him incapable of performing his duties before attaining the maximum age for retirement.</w:t>
      </w:r>
    </w:p>
    <w:p w14:paraId="3F2A3860" w14:textId="77777777" w:rsidR="00B33542" w:rsidRPr="005071A1" w:rsidRDefault="00B33542" w:rsidP="00B33542">
      <w:pPr>
        <w:pStyle w:val="ActHead5"/>
      </w:pPr>
      <w:bookmarkStart w:id="160" w:name="_Toc185577542"/>
      <w:r w:rsidRPr="004510F0">
        <w:rPr>
          <w:rStyle w:val="CharSectno"/>
        </w:rPr>
        <w:lastRenderedPageBreak/>
        <w:t>104</w:t>
      </w:r>
      <w:r w:rsidRPr="005071A1">
        <w:t xml:space="preserve">  Payments on retrenchment, resignation, dismissal or discharge</w:t>
      </w:r>
      <w:bookmarkEnd w:id="160"/>
    </w:p>
    <w:p w14:paraId="51C19B75" w14:textId="77777777" w:rsidR="00B33542" w:rsidRPr="005071A1" w:rsidRDefault="00B33542" w:rsidP="00B33542">
      <w:pPr>
        <w:pStyle w:val="subsection"/>
      </w:pPr>
      <w:r w:rsidRPr="005071A1">
        <w:tab/>
        <w:t>(1)</w:t>
      </w:r>
      <w:r w:rsidRPr="005071A1">
        <w:tab/>
        <w:t>In the application of section</w:t>
      </w:r>
      <w:r w:rsidR="008B2950" w:rsidRPr="005071A1">
        <w:t> </w:t>
      </w:r>
      <w:r w:rsidRPr="005071A1">
        <w:t xml:space="preserve">50 to a State employee referred to in </w:t>
      </w:r>
      <w:r w:rsidR="004510F0">
        <w:t>section 1</w:t>
      </w:r>
      <w:r w:rsidRPr="005071A1">
        <w:t>02:</w:t>
      </w:r>
    </w:p>
    <w:p w14:paraId="0B75B684" w14:textId="77777777" w:rsidR="00B33542" w:rsidRPr="005071A1" w:rsidRDefault="00B33542" w:rsidP="00B33542">
      <w:pPr>
        <w:pStyle w:val="paragraph"/>
      </w:pPr>
      <w:r w:rsidRPr="005071A1">
        <w:tab/>
        <w:t>(a)</w:t>
      </w:r>
      <w:r w:rsidRPr="005071A1">
        <w:tab/>
        <w:t xml:space="preserve">the contributions refunded to him and paid by him to the Board in accordance with the provisions of </w:t>
      </w:r>
      <w:r w:rsidR="004510F0">
        <w:t>section 1</w:t>
      </w:r>
      <w:r w:rsidRPr="005071A1">
        <w:t>02 shall be deemed to be contributions made by him to the Fund; and</w:t>
      </w:r>
    </w:p>
    <w:p w14:paraId="3DE7A5B8" w14:textId="77777777" w:rsidR="00B33542" w:rsidRPr="005071A1" w:rsidRDefault="00B33542" w:rsidP="00B33542">
      <w:pPr>
        <w:pStyle w:val="paragraph"/>
      </w:pPr>
      <w:r w:rsidRPr="005071A1">
        <w:tab/>
        <w:t>(b)</w:t>
      </w:r>
      <w:r w:rsidRPr="005071A1">
        <w:tab/>
        <w:t>the period during which he was contributing to a State Fund shall be taken into account as if it were a period during which he was contributing to the Fund.</w:t>
      </w:r>
    </w:p>
    <w:p w14:paraId="7ACD4D6C" w14:textId="77777777" w:rsidR="00B33542" w:rsidRPr="005071A1" w:rsidRDefault="00B33542" w:rsidP="00B33542">
      <w:pPr>
        <w:pStyle w:val="subsection"/>
      </w:pPr>
      <w:r w:rsidRPr="005071A1">
        <w:tab/>
        <w:t>(2)</w:t>
      </w:r>
      <w:r w:rsidRPr="005071A1">
        <w:tab/>
        <w:t>In the application of section</w:t>
      </w:r>
      <w:r w:rsidR="008B2950" w:rsidRPr="005071A1">
        <w:t> </w:t>
      </w:r>
      <w:r w:rsidRPr="005071A1">
        <w:t xml:space="preserve">51 to a State employee referred to in </w:t>
      </w:r>
      <w:r w:rsidR="004510F0">
        <w:t>section 1</w:t>
      </w:r>
      <w:r w:rsidRPr="005071A1">
        <w:t xml:space="preserve">02, the contributions refunded to him and paid by him to the Board in accordance with the provisions of </w:t>
      </w:r>
      <w:r w:rsidR="004510F0">
        <w:t>section 1</w:t>
      </w:r>
      <w:r w:rsidRPr="005071A1">
        <w:t>02 shall be deemed to be contributions made by him to the Fund.</w:t>
      </w:r>
    </w:p>
    <w:p w14:paraId="31201050" w14:textId="77777777" w:rsidR="00B33542" w:rsidRPr="005071A1" w:rsidRDefault="00B33542" w:rsidP="00B33542">
      <w:pPr>
        <w:pStyle w:val="ActHead5"/>
      </w:pPr>
      <w:bookmarkStart w:id="161" w:name="_Toc185577543"/>
      <w:r w:rsidRPr="004510F0">
        <w:rPr>
          <w:rStyle w:val="CharSectno"/>
        </w:rPr>
        <w:t>105</w:t>
      </w:r>
      <w:r w:rsidRPr="005071A1">
        <w:t xml:space="preserve">  Certain amounts to be paid out of Consolidated Revenue Fund to Superannuation Fund</w:t>
      </w:r>
      <w:bookmarkEnd w:id="161"/>
    </w:p>
    <w:p w14:paraId="361E8C14" w14:textId="77777777" w:rsidR="00B33542" w:rsidRPr="005071A1" w:rsidRDefault="00B33542" w:rsidP="00B33542">
      <w:pPr>
        <w:pStyle w:val="subsection"/>
      </w:pPr>
      <w:r w:rsidRPr="005071A1">
        <w:tab/>
        <w:t>(1)</w:t>
      </w:r>
      <w:r w:rsidRPr="005071A1">
        <w:tab/>
        <w:t xml:space="preserve">Where a State employee referred to in </w:t>
      </w:r>
      <w:r w:rsidR="004510F0">
        <w:t>section 1</w:t>
      </w:r>
      <w:r w:rsidRPr="005071A1">
        <w:t>02 is retired on the ground of invalidity, or physical or mental incapacity to perform his duties, or dies, within five years after his becoming an employee, any pension payable to or in respect of that State employee under this Act shall be paid from the Fund, and the Commonwealth shall pay to the Fund the amount by which the proportion of the pension equivalent to the contributions made by or in respect of the State employee is less than the amount of the pension.</w:t>
      </w:r>
    </w:p>
    <w:p w14:paraId="4CF0ABE3" w14:textId="77777777" w:rsidR="00B33542" w:rsidRPr="005071A1" w:rsidRDefault="00B33542" w:rsidP="00B33542">
      <w:pPr>
        <w:pStyle w:val="subsection"/>
      </w:pPr>
      <w:r w:rsidRPr="005071A1">
        <w:tab/>
        <w:t>(2)</w:t>
      </w:r>
      <w:r w:rsidRPr="005071A1">
        <w:tab/>
        <w:t>This section does not have effect on and after 1</w:t>
      </w:r>
      <w:r w:rsidR="008B2950" w:rsidRPr="005071A1">
        <w:t> </w:t>
      </w:r>
      <w:r w:rsidRPr="005071A1">
        <w:t>July 1976.</w:t>
      </w:r>
    </w:p>
    <w:p w14:paraId="47FF0E63" w14:textId="77777777" w:rsidR="00B33542" w:rsidRPr="005071A1" w:rsidRDefault="00B33542" w:rsidP="00B33542">
      <w:pPr>
        <w:pStyle w:val="ActHead5"/>
      </w:pPr>
      <w:bookmarkStart w:id="162" w:name="_Toc185577544"/>
      <w:r w:rsidRPr="004510F0">
        <w:rPr>
          <w:rStyle w:val="CharSectno"/>
        </w:rPr>
        <w:lastRenderedPageBreak/>
        <w:t>106</w:t>
      </w:r>
      <w:r w:rsidRPr="005071A1">
        <w:t xml:space="preserve">  Increased contributions out of Consolidated Revenue Fund</w:t>
      </w:r>
      <w:bookmarkEnd w:id="162"/>
    </w:p>
    <w:p w14:paraId="1ED7CD86" w14:textId="77777777" w:rsidR="00B33542" w:rsidRPr="005071A1" w:rsidRDefault="00B33542" w:rsidP="00B33542">
      <w:pPr>
        <w:pStyle w:val="subsection"/>
      </w:pPr>
      <w:r w:rsidRPr="005071A1">
        <w:tab/>
        <w:t>(1)</w:t>
      </w:r>
      <w:r w:rsidRPr="005071A1">
        <w:tab/>
        <w:t xml:space="preserve">Where any pension becomes payable to or in respect of a State employee referred to in </w:t>
      </w:r>
      <w:r w:rsidR="004510F0">
        <w:t>section 1</w:t>
      </w:r>
      <w:r w:rsidRPr="005071A1">
        <w:t>02, any payment which the Commonwealth is required, by section</w:t>
      </w:r>
      <w:r w:rsidR="008B2950" w:rsidRPr="005071A1">
        <w:t> </w:t>
      </w:r>
      <w:r w:rsidRPr="005071A1">
        <w:t>33, to pay to the Fund in respect of that State employee shall be increased by such amount as the Board determines to be necessary by reason of that State employee having made contributions at rates less than the rate specified in the Third Schedule.</w:t>
      </w:r>
    </w:p>
    <w:p w14:paraId="57F45430" w14:textId="77777777" w:rsidR="00B33542" w:rsidRPr="005071A1" w:rsidRDefault="00B33542" w:rsidP="00B33542">
      <w:pPr>
        <w:pStyle w:val="subsection"/>
      </w:pPr>
      <w:r w:rsidRPr="005071A1">
        <w:tab/>
        <w:t>(2)</w:t>
      </w:r>
      <w:r w:rsidRPr="005071A1">
        <w:tab/>
        <w:t>This section does not have effect on and after 1</w:t>
      </w:r>
      <w:r w:rsidR="008B2950" w:rsidRPr="005071A1">
        <w:t> </w:t>
      </w:r>
      <w:r w:rsidRPr="005071A1">
        <w:t>July 1976.</w:t>
      </w:r>
    </w:p>
    <w:p w14:paraId="534E8C5A" w14:textId="77777777" w:rsidR="00B33542" w:rsidRPr="005071A1" w:rsidRDefault="00B33542" w:rsidP="00B33542">
      <w:pPr>
        <w:pStyle w:val="ActHead5"/>
      </w:pPr>
      <w:bookmarkStart w:id="163" w:name="_Toc185577545"/>
      <w:r w:rsidRPr="004510F0">
        <w:rPr>
          <w:rStyle w:val="CharSectno"/>
        </w:rPr>
        <w:t>107</w:t>
      </w:r>
      <w:r w:rsidRPr="005071A1">
        <w:t xml:space="preserve">  Payment into the Fund of amounts received in respect of past contributions</w:t>
      </w:r>
      <w:bookmarkEnd w:id="163"/>
    </w:p>
    <w:p w14:paraId="076B4D83" w14:textId="77777777" w:rsidR="00B33542" w:rsidRPr="005071A1" w:rsidRDefault="00B33542" w:rsidP="00B33542">
      <w:pPr>
        <w:pStyle w:val="subsection"/>
      </w:pPr>
      <w:r w:rsidRPr="005071A1">
        <w:tab/>
      </w:r>
      <w:r w:rsidRPr="005071A1">
        <w:tab/>
        <w:t xml:space="preserve">Any contributions refunded to a State employee and paid by him to the Board in pursuance of </w:t>
      </w:r>
      <w:r w:rsidR="004510F0">
        <w:t>section 1</w:t>
      </w:r>
      <w:r w:rsidRPr="005071A1">
        <w:t>02 shall be paid into and form part of the Fund.</w:t>
      </w:r>
    </w:p>
    <w:p w14:paraId="3A8954E2" w14:textId="77777777" w:rsidR="00B33542" w:rsidRPr="005071A1" w:rsidRDefault="00B33542" w:rsidP="002477D1">
      <w:pPr>
        <w:pStyle w:val="ActHead2"/>
        <w:pageBreakBefore/>
      </w:pPr>
      <w:bookmarkStart w:id="164" w:name="_Toc185577546"/>
      <w:r w:rsidRPr="004510F0">
        <w:rPr>
          <w:rStyle w:val="CharPartNo"/>
        </w:rPr>
        <w:lastRenderedPageBreak/>
        <w:t>Part VIIA</w:t>
      </w:r>
      <w:r w:rsidRPr="005071A1">
        <w:t>—</w:t>
      </w:r>
      <w:r w:rsidRPr="004510F0">
        <w:rPr>
          <w:rStyle w:val="CharPartText"/>
        </w:rPr>
        <w:t>Special provisions in relation to certain employees who transfer from State employment</w:t>
      </w:r>
      <w:bookmarkEnd w:id="164"/>
    </w:p>
    <w:p w14:paraId="418A4814" w14:textId="77777777" w:rsidR="00B33542" w:rsidRPr="005071A1" w:rsidRDefault="00B33542" w:rsidP="00B33542">
      <w:pPr>
        <w:pStyle w:val="ActHead3"/>
      </w:pPr>
      <w:bookmarkStart w:id="165" w:name="_Toc185577547"/>
      <w:r w:rsidRPr="004510F0">
        <w:rPr>
          <w:rStyle w:val="CharDivNo"/>
        </w:rPr>
        <w:t>Division</w:t>
      </w:r>
      <w:r w:rsidR="008B2950" w:rsidRPr="004510F0">
        <w:rPr>
          <w:rStyle w:val="CharDivNo"/>
        </w:rPr>
        <w:t> </w:t>
      </w:r>
      <w:r w:rsidRPr="004510F0">
        <w:rPr>
          <w:rStyle w:val="CharDivNo"/>
        </w:rPr>
        <w:t>1</w:t>
      </w:r>
      <w:r w:rsidRPr="005071A1">
        <w:t>—</w:t>
      </w:r>
      <w:r w:rsidRPr="004510F0">
        <w:rPr>
          <w:rStyle w:val="CharDivText"/>
        </w:rPr>
        <w:t>Preliminary</w:t>
      </w:r>
      <w:bookmarkEnd w:id="165"/>
    </w:p>
    <w:p w14:paraId="70FC0945" w14:textId="77777777" w:rsidR="00B33542" w:rsidRPr="005071A1" w:rsidRDefault="00B33542" w:rsidP="00B33542">
      <w:pPr>
        <w:pStyle w:val="ActHead5"/>
      </w:pPr>
      <w:bookmarkStart w:id="166" w:name="_Toc185577548"/>
      <w:r w:rsidRPr="004510F0">
        <w:rPr>
          <w:rStyle w:val="CharSectno"/>
        </w:rPr>
        <w:t>107A</w:t>
      </w:r>
      <w:r w:rsidRPr="005071A1">
        <w:t xml:space="preserve">  Interpretation</w:t>
      </w:r>
      <w:bookmarkEnd w:id="166"/>
    </w:p>
    <w:p w14:paraId="0FFC8C63" w14:textId="77777777" w:rsidR="00B33542" w:rsidRPr="005071A1" w:rsidRDefault="00B33542" w:rsidP="00B33542">
      <w:pPr>
        <w:pStyle w:val="subsection"/>
      </w:pPr>
      <w:r w:rsidRPr="005071A1">
        <w:tab/>
        <w:t>(1)</w:t>
      </w:r>
      <w:r w:rsidRPr="005071A1">
        <w:tab/>
        <w:t>In this Part, unless the contrary intention appears:</w:t>
      </w:r>
    </w:p>
    <w:p w14:paraId="66A2703A" w14:textId="77777777" w:rsidR="00B33542" w:rsidRPr="005071A1" w:rsidRDefault="00B33542" w:rsidP="00B33542">
      <w:pPr>
        <w:pStyle w:val="Definition"/>
      </w:pPr>
      <w:r w:rsidRPr="005071A1">
        <w:rPr>
          <w:b/>
          <w:i/>
        </w:rPr>
        <w:t>prescribed amount</w:t>
      </w:r>
      <w:r w:rsidRPr="005071A1">
        <w:t>, in relation to a State employee, means the amount paid to the employee from the State Fund upon his ceasing to be a contributor to that fund other than any amount so paid:</w:t>
      </w:r>
    </w:p>
    <w:p w14:paraId="00B85F1B" w14:textId="77777777" w:rsidR="00B33542" w:rsidRPr="005071A1" w:rsidRDefault="00B33542" w:rsidP="00B33542">
      <w:pPr>
        <w:pStyle w:val="paragraph"/>
      </w:pPr>
      <w:r w:rsidRPr="005071A1">
        <w:tab/>
        <w:t>(a)</w:t>
      </w:r>
      <w:r w:rsidRPr="005071A1">
        <w:tab/>
        <w:t>in respect of contributions paid by him to the State Fund for reserve units of pension;</w:t>
      </w:r>
    </w:p>
    <w:p w14:paraId="3C252FDA" w14:textId="77777777" w:rsidR="00B33542" w:rsidRPr="005071A1" w:rsidRDefault="00B33542" w:rsidP="00B33542">
      <w:pPr>
        <w:pStyle w:val="paragraph"/>
      </w:pPr>
      <w:r w:rsidRPr="005071A1">
        <w:tab/>
        <w:t>(b)</w:t>
      </w:r>
      <w:r w:rsidRPr="005071A1">
        <w:tab/>
        <w:t>in respect of contributions paid by him to the State Fund by way of voluntary savings; or</w:t>
      </w:r>
    </w:p>
    <w:p w14:paraId="79A99C01" w14:textId="77777777" w:rsidR="00B33542" w:rsidRPr="005071A1" w:rsidRDefault="00B33542" w:rsidP="00B33542">
      <w:pPr>
        <w:pStyle w:val="paragraph"/>
      </w:pPr>
      <w:r w:rsidRPr="005071A1">
        <w:tab/>
        <w:t>(c)</w:t>
      </w:r>
      <w:r w:rsidRPr="005071A1">
        <w:tab/>
        <w:t>that is of a kind determined by the Board to be excluded from the prescribed amount.</w:t>
      </w:r>
    </w:p>
    <w:p w14:paraId="7AD2C78C" w14:textId="77777777" w:rsidR="00B33542" w:rsidRPr="005071A1" w:rsidRDefault="00B33542" w:rsidP="00B33542">
      <w:pPr>
        <w:pStyle w:val="Definition"/>
      </w:pPr>
      <w:r w:rsidRPr="005071A1">
        <w:rPr>
          <w:b/>
          <w:i/>
        </w:rPr>
        <w:t>relevant date</w:t>
      </w:r>
      <w:r w:rsidRPr="005071A1">
        <w:t>, in relation to a State employee, means the date on which he becomes employed by the Commonwealth or an approved authority.</w:t>
      </w:r>
    </w:p>
    <w:p w14:paraId="033E495D" w14:textId="77777777" w:rsidR="00B33542" w:rsidRPr="005071A1" w:rsidRDefault="00B33542" w:rsidP="00B33542">
      <w:pPr>
        <w:pStyle w:val="Definition"/>
      </w:pPr>
      <w:r w:rsidRPr="005071A1">
        <w:rPr>
          <w:b/>
          <w:i/>
        </w:rPr>
        <w:t>State employee</w:t>
      </w:r>
      <w:r w:rsidRPr="005071A1">
        <w:t xml:space="preserve"> means a person who:</w:t>
      </w:r>
    </w:p>
    <w:p w14:paraId="07911FDF" w14:textId="77777777" w:rsidR="00B33542" w:rsidRPr="005071A1" w:rsidRDefault="00B33542" w:rsidP="00B33542">
      <w:pPr>
        <w:pStyle w:val="paragraph"/>
      </w:pPr>
      <w:r w:rsidRPr="005071A1">
        <w:tab/>
        <w:t>(a)</w:t>
      </w:r>
      <w:r w:rsidRPr="005071A1">
        <w:tab/>
        <w:t>becomes employed by the Commonwealth or by an approved authority before 1</w:t>
      </w:r>
      <w:r w:rsidR="008B2950" w:rsidRPr="005071A1">
        <w:t> </w:t>
      </w:r>
      <w:r w:rsidRPr="005071A1">
        <w:t>July 1976 in such circumstances as are specified by the Minister by a determination in writing made for the purposes of this definition, whether before or after his becoming so employed; and</w:t>
      </w:r>
    </w:p>
    <w:p w14:paraId="6580727F" w14:textId="77777777" w:rsidR="00B33542" w:rsidRPr="005071A1" w:rsidRDefault="00B33542" w:rsidP="00B33542">
      <w:pPr>
        <w:pStyle w:val="paragraph"/>
      </w:pPr>
      <w:r w:rsidRPr="005071A1">
        <w:lastRenderedPageBreak/>
        <w:tab/>
        <w:t>(b)</w:t>
      </w:r>
      <w:r w:rsidRPr="005071A1">
        <w:tab/>
        <w:t>was, immediately before the relevant date, a contributor to a State Fund.</w:t>
      </w:r>
    </w:p>
    <w:p w14:paraId="0BB563B9" w14:textId="77777777" w:rsidR="00B33542" w:rsidRPr="005071A1" w:rsidRDefault="00B33542" w:rsidP="006B7F7B">
      <w:pPr>
        <w:pStyle w:val="Definition"/>
        <w:keepLines/>
      </w:pPr>
      <w:r w:rsidRPr="005071A1">
        <w:rPr>
          <w:b/>
          <w:i/>
        </w:rPr>
        <w:t>State Fund</w:t>
      </w:r>
      <w:r w:rsidRPr="005071A1">
        <w:t xml:space="preserve"> means a fund or account established under the law of a State to provide superannuation or other similar benefits for persons employed in the Public Service, the Railway Service or any other service of that State.</w:t>
      </w:r>
    </w:p>
    <w:p w14:paraId="48BF627C" w14:textId="77777777" w:rsidR="00B33542" w:rsidRPr="005071A1" w:rsidRDefault="00B33542" w:rsidP="00B33542">
      <w:pPr>
        <w:pStyle w:val="subsection"/>
      </w:pPr>
      <w:r w:rsidRPr="005071A1">
        <w:tab/>
        <w:t>(2)</w:t>
      </w:r>
      <w:r w:rsidRPr="005071A1">
        <w:tab/>
        <w:t>In this Part, a reference to contributions paid by a State employee to a State Fund for reserve units of pension is a reference to contributions paid by a State employee to a State Fund that are of a similar nature to contributions under this Act for reserve units of pension.</w:t>
      </w:r>
    </w:p>
    <w:p w14:paraId="71320450" w14:textId="77777777" w:rsidR="00B33542" w:rsidRPr="005071A1" w:rsidRDefault="00B33542" w:rsidP="00B33542">
      <w:pPr>
        <w:pStyle w:val="subsection"/>
        <w:keepNext/>
      </w:pPr>
      <w:r w:rsidRPr="005071A1">
        <w:tab/>
        <w:t>(3)</w:t>
      </w:r>
      <w:r w:rsidRPr="005071A1">
        <w:tab/>
        <w:t>In determining, for the purposes of this Part, the number of units of pension (including, where necessary, a fraction of a unit) that will entitle a State employee to benefits equivalent to those related to contributions to the State Fund, the Board shall disregard:</w:t>
      </w:r>
    </w:p>
    <w:p w14:paraId="26DC6607" w14:textId="77777777" w:rsidR="00B33542" w:rsidRPr="005071A1" w:rsidRDefault="00B33542" w:rsidP="00B33542">
      <w:pPr>
        <w:pStyle w:val="paragraph"/>
      </w:pPr>
      <w:r w:rsidRPr="005071A1">
        <w:tab/>
        <w:t>(b)</w:t>
      </w:r>
      <w:r w:rsidRPr="005071A1">
        <w:tab/>
        <w:t>the provisions of this Act that authorize the payment, in any circumstances, of benefits to or in relation to the spouse or a dependant of a contributor to the Fund; and</w:t>
      </w:r>
    </w:p>
    <w:p w14:paraId="7042E2D9" w14:textId="77777777" w:rsidR="00B33542" w:rsidRPr="005071A1" w:rsidRDefault="00B33542" w:rsidP="00B33542">
      <w:pPr>
        <w:pStyle w:val="paragraph"/>
      </w:pPr>
      <w:r w:rsidRPr="005071A1">
        <w:tab/>
        <w:t>(c)</w:t>
      </w:r>
      <w:r w:rsidRPr="005071A1">
        <w:tab/>
        <w:t>the rules governing the operation of the State Fund that authorize the payment, in any circumstances, of benefits to or in relation to the spouse or a dependant of a contributor to the State Fund.</w:t>
      </w:r>
    </w:p>
    <w:p w14:paraId="51058389" w14:textId="77777777" w:rsidR="00B33542" w:rsidRPr="005071A1" w:rsidRDefault="00B33542" w:rsidP="00B33542">
      <w:pPr>
        <w:pStyle w:val="subsection"/>
      </w:pPr>
      <w:r w:rsidRPr="005071A1">
        <w:tab/>
        <w:t>(4)</w:t>
      </w:r>
      <w:r w:rsidRPr="005071A1">
        <w:tab/>
        <w:t>In the application of a Part of this Act other than this Part to or in relation to a State employee:</w:t>
      </w:r>
    </w:p>
    <w:p w14:paraId="5B93FD67" w14:textId="77777777" w:rsidR="00B33542" w:rsidRPr="005071A1" w:rsidRDefault="00B33542" w:rsidP="00B33542">
      <w:pPr>
        <w:pStyle w:val="paragraph"/>
      </w:pPr>
      <w:r w:rsidRPr="005071A1">
        <w:tab/>
        <w:t>(a)</w:t>
      </w:r>
      <w:r w:rsidRPr="005071A1">
        <w:tab/>
        <w:t>a reference in such a Part to an employee as defined by section</w:t>
      </w:r>
      <w:r w:rsidR="008B2950" w:rsidRPr="005071A1">
        <w:t> </w:t>
      </w:r>
      <w:r w:rsidRPr="005071A1">
        <w:t>4 shall be read as including a reference to a State employee; and</w:t>
      </w:r>
    </w:p>
    <w:p w14:paraId="576D4211" w14:textId="77777777" w:rsidR="00B33542" w:rsidRPr="005071A1" w:rsidRDefault="00B33542" w:rsidP="00B33542">
      <w:pPr>
        <w:pStyle w:val="paragraph"/>
      </w:pPr>
      <w:r w:rsidRPr="005071A1">
        <w:tab/>
        <w:t>(b)</w:t>
      </w:r>
      <w:r w:rsidRPr="005071A1">
        <w:tab/>
        <w:t>a State employee shall be deemed to have become an employee for the purposes of this Act on the relevant date.</w:t>
      </w:r>
    </w:p>
    <w:p w14:paraId="158C645D" w14:textId="77777777" w:rsidR="00B33542" w:rsidRPr="005071A1" w:rsidRDefault="00B33542" w:rsidP="002477D1">
      <w:pPr>
        <w:pStyle w:val="ActHead3"/>
        <w:pageBreakBefore/>
      </w:pPr>
      <w:bookmarkStart w:id="167" w:name="_Toc185577549"/>
      <w:r w:rsidRPr="004510F0">
        <w:rPr>
          <w:rStyle w:val="CharDivNo"/>
        </w:rPr>
        <w:lastRenderedPageBreak/>
        <w:t>Division</w:t>
      </w:r>
      <w:r w:rsidR="008B2950" w:rsidRPr="004510F0">
        <w:rPr>
          <w:rStyle w:val="CharDivNo"/>
        </w:rPr>
        <w:t> </w:t>
      </w:r>
      <w:r w:rsidRPr="004510F0">
        <w:rPr>
          <w:rStyle w:val="CharDivNo"/>
        </w:rPr>
        <w:t>2</w:t>
      </w:r>
      <w:r w:rsidRPr="005071A1">
        <w:t>—</w:t>
      </w:r>
      <w:r w:rsidRPr="004510F0">
        <w:rPr>
          <w:rStyle w:val="CharDivText"/>
        </w:rPr>
        <w:t>The Superannuation Fund</w:t>
      </w:r>
      <w:bookmarkEnd w:id="167"/>
    </w:p>
    <w:p w14:paraId="45F303A0" w14:textId="77777777" w:rsidR="00B33542" w:rsidRPr="005071A1" w:rsidRDefault="00B33542" w:rsidP="00B33542">
      <w:pPr>
        <w:pStyle w:val="ActHead5"/>
      </w:pPr>
      <w:bookmarkStart w:id="168" w:name="_Toc185577550"/>
      <w:r w:rsidRPr="004510F0">
        <w:rPr>
          <w:rStyle w:val="CharSectno"/>
        </w:rPr>
        <w:t>107B</w:t>
      </w:r>
      <w:r w:rsidRPr="005071A1">
        <w:t xml:space="preserve">  Definition</w:t>
      </w:r>
      <w:bookmarkEnd w:id="168"/>
    </w:p>
    <w:p w14:paraId="16DEE1AD" w14:textId="77777777" w:rsidR="00B33542" w:rsidRPr="005071A1" w:rsidRDefault="00B33542" w:rsidP="00B33542">
      <w:pPr>
        <w:pStyle w:val="subsection"/>
      </w:pPr>
      <w:r w:rsidRPr="005071A1">
        <w:tab/>
      </w:r>
      <w:r w:rsidRPr="005071A1">
        <w:tab/>
        <w:t xml:space="preserve">In this Division, unless the contrary intention appears, </w:t>
      </w:r>
      <w:r w:rsidRPr="005071A1">
        <w:rPr>
          <w:b/>
          <w:i/>
        </w:rPr>
        <w:t>prescribed employee</w:t>
      </w:r>
      <w:r w:rsidRPr="005071A1">
        <w:t xml:space="preserve"> means a State employee who has made an election, and a payment to the Board, in accordance with </w:t>
      </w:r>
      <w:r w:rsidR="008B2950" w:rsidRPr="005071A1">
        <w:t>subsection (</w:t>
      </w:r>
      <w:r w:rsidRPr="005071A1">
        <w:t xml:space="preserve">2) of </w:t>
      </w:r>
      <w:r w:rsidR="004510F0">
        <w:t>section 1</w:t>
      </w:r>
      <w:r w:rsidRPr="005071A1">
        <w:t>07C.</w:t>
      </w:r>
    </w:p>
    <w:p w14:paraId="7F84676F" w14:textId="77777777" w:rsidR="00B33542" w:rsidRPr="005071A1" w:rsidRDefault="00B33542" w:rsidP="00B33542">
      <w:pPr>
        <w:pStyle w:val="ActHead5"/>
      </w:pPr>
      <w:bookmarkStart w:id="169" w:name="_Toc185577551"/>
      <w:r w:rsidRPr="004510F0">
        <w:rPr>
          <w:rStyle w:val="CharSectno"/>
        </w:rPr>
        <w:t>107C</w:t>
      </w:r>
      <w:r w:rsidRPr="005071A1">
        <w:t xml:space="preserve">  Contributions for pension by State employees</w:t>
      </w:r>
      <w:bookmarkEnd w:id="169"/>
    </w:p>
    <w:p w14:paraId="1581195E" w14:textId="77777777" w:rsidR="00B33542" w:rsidRPr="005071A1" w:rsidRDefault="00B33542" w:rsidP="00B33542">
      <w:pPr>
        <w:pStyle w:val="subsection"/>
      </w:pPr>
      <w:r w:rsidRPr="005071A1">
        <w:tab/>
        <w:t>(1)</w:t>
      </w:r>
      <w:r w:rsidRPr="005071A1">
        <w:tab/>
        <w:t>This Division does not apply to a State employee whose contributions to the State Fund were of a similar nature to contributions under this Act to the Provident Account.</w:t>
      </w:r>
    </w:p>
    <w:p w14:paraId="14B6F15C" w14:textId="77777777" w:rsidR="00B33542" w:rsidRPr="005071A1" w:rsidRDefault="00B33542" w:rsidP="00B33542">
      <w:pPr>
        <w:pStyle w:val="subsection"/>
      </w:pPr>
      <w:r w:rsidRPr="005071A1">
        <w:tab/>
        <w:t>(2)</w:t>
      </w:r>
      <w:r w:rsidRPr="005071A1">
        <w:tab/>
        <w:t>A State employee may elect, within 3 months after the relevant date or within such further period as the Board allows, to contribute to the Fund in accordance with this section and may pay to the Board an amount equal to the prescribed amount within that period or within such further period as the Board allows, but any election made after the pay</w:t>
      </w:r>
      <w:r w:rsidR="004510F0">
        <w:noBreakHyphen/>
      </w:r>
      <w:r w:rsidRPr="005071A1">
        <w:t>day last preceding 1</w:t>
      </w:r>
      <w:r w:rsidR="008B2950" w:rsidRPr="005071A1">
        <w:t> </w:t>
      </w:r>
      <w:r w:rsidRPr="005071A1">
        <w:t>July 1976 shall be deemed to have been made on that pay</w:t>
      </w:r>
      <w:r w:rsidR="004510F0">
        <w:noBreakHyphen/>
      </w:r>
      <w:r w:rsidRPr="005071A1">
        <w:t>day.</w:t>
      </w:r>
    </w:p>
    <w:p w14:paraId="49561177" w14:textId="77777777" w:rsidR="00B33542" w:rsidRPr="005071A1" w:rsidRDefault="00B33542" w:rsidP="00B33542">
      <w:pPr>
        <w:pStyle w:val="subsection"/>
      </w:pPr>
      <w:r w:rsidRPr="005071A1">
        <w:tab/>
        <w:t>(3)</w:t>
      </w:r>
      <w:r w:rsidRPr="005071A1">
        <w:tab/>
        <w:t>Notwithstanding section</w:t>
      </w:r>
      <w:r w:rsidR="008B2950" w:rsidRPr="005071A1">
        <w:t> </w:t>
      </w:r>
      <w:r w:rsidRPr="005071A1">
        <w:t xml:space="preserve">5, a prescribed employee shall be liable to make, and, from and including the relevant date, shall be deemed to have been liable to make, contributions to the Fund for so many units of pension (including, where necessary, a fraction of a unit) as the Board determines to be the number of units that will entitle him to benefits equivalent to those to which he would have been entitled if he had continued to contribute to the State Fund at the rate at which he was contributing to the State Fund immediately </w:t>
      </w:r>
      <w:r w:rsidRPr="005071A1">
        <w:lastRenderedPageBreak/>
        <w:t>before the relevant date, and his contributions for those units of pension shall be at that rate.</w:t>
      </w:r>
    </w:p>
    <w:p w14:paraId="05E8E12B" w14:textId="77777777" w:rsidR="00B33542" w:rsidRPr="005071A1" w:rsidRDefault="00B33542" w:rsidP="00B33542">
      <w:pPr>
        <w:pStyle w:val="subsection"/>
      </w:pPr>
      <w:r w:rsidRPr="005071A1">
        <w:tab/>
        <w:t>(4)</w:t>
      </w:r>
      <w:r w:rsidRPr="005071A1">
        <w:tab/>
        <w:t>Where a prescribed employee had, in accordance with the law of the State concerned, deferred making certain contributions to the State Fund:</w:t>
      </w:r>
    </w:p>
    <w:p w14:paraId="5212E76A" w14:textId="77777777" w:rsidR="00B33542" w:rsidRPr="005071A1" w:rsidRDefault="00B33542" w:rsidP="00B33542">
      <w:pPr>
        <w:pStyle w:val="paragraph"/>
      </w:pPr>
      <w:r w:rsidRPr="005071A1">
        <w:tab/>
        <w:t>(a)</w:t>
      </w:r>
      <w:r w:rsidRPr="005071A1">
        <w:tab/>
        <w:t xml:space="preserve">the number of units of pension to be determined by the Board under </w:t>
      </w:r>
      <w:r w:rsidR="008B2950" w:rsidRPr="005071A1">
        <w:t>subsection (</w:t>
      </w:r>
      <w:r w:rsidRPr="005071A1">
        <w:t>3) in relation to him shall include so many units of pension (including, where necessary, a fraction of a unit) as the Board determines to be the number of units that will entitle him to benefits equivalent to those to which he would have become entitled, under the law of the State as in force immediately before the relevant date, if he had continued to contribute to the State Fund and had paid those deferred contributions, together with any interest payable in respect of those deferred contributions, in accordance with that law as so in force; and</w:t>
      </w:r>
    </w:p>
    <w:p w14:paraId="3A44C193" w14:textId="77777777" w:rsidR="00B33542" w:rsidRPr="005071A1" w:rsidRDefault="00B33542" w:rsidP="00B33542">
      <w:pPr>
        <w:pStyle w:val="paragraph"/>
      </w:pPr>
      <w:r w:rsidRPr="005071A1">
        <w:tab/>
        <w:t>(b)</w:t>
      </w:r>
      <w:r w:rsidRPr="005071A1">
        <w:tab/>
        <w:t xml:space="preserve">pension is not payable in respect of the units of pension determined in accordance with </w:t>
      </w:r>
      <w:r w:rsidR="008B2950" w:rsidRPr="005071A1">
        <w:t>paragraph (</w:t>
      </w:r>
      <w:r w:rsidRPr="005071A1">
        <w:t>a) unless and until there has been paid to the Fund, or, on or after 1</w:t>
      </w:r>
      <w:r w:rsidR="008B2950" w:rsidRPr="005071A1">
        <w:t> </w:t>
      </w:r>
      <w:r w:rsidRPr="005071A1">
        <w:t>July 1976, to the new Superannuation Fund, for the purposes of this subsection, an amount equal to the sum of the contributions and interest that would, if the employee had continued to be a contributor to the State Fund and had ceased to be such a contributor on the day on which he ceases to be a contributor to the Fund, have been payable to the State Fund in relation to those deferred contributions for the purpose of enabling benefits to be payable in respect of those deferred contributions.</w:t>
      </w:r>
    </w:p>
    <w:p w14:paraId="7AC2E5BD" w14:textId="77777777" w:rsidR="00B33542" w:rsidRPr="005071A1" w:rsidRDefault="00B33542" w:rsidP="00B33542">
      <w:pPr>
        <w:pStyle w:val="subsection"/>
      </w:pPr>
      <w:r w:rsidRPr="005071A1">
        <w:tab/>
        <w:t>(5)</w:t>
      </w:r>
      <w:r w:rsidRPr="005071A1">
        <w:tab/>
        <w:t>Where the number of units of pension for which a prescribed employee is, upon becoming an employee for the purposes of this Act, liable to contribute to the Fund by virtue of section</w:t>
      </w:r>
      <w:r w:rsidR="008B2950" w:rsidRPr="005071A1">
        <w:t> </w:t>
      </w:r>
      <w:r w:rsidRPr="005071A1">
        <w:t xml:space="preserve">20 exceeds the number of units of pension for which he is liable to contribute to the Fund by virtue of </w:t>
      </w:r>
      <w:r w:rsidR="008B2950" w:rsidRPr="005071A1">
        <w:t>subsection (</w:t>
      </w:r>
      <w:r w:rsidRPr="005071A1">
        <w:t xml:space="preserve">3) of this section, that </w:t>
      </w:r>
      <w:r w:rsidRPr="005071A1">
        <w:lastRenderedPageBreak/>
        <w:t xml:space="preserve">subsection does not affect his liability to contribute for the excess (in this subsection referred to as </w:t>
      </w:r>
      <w:r w:rsidRPr="005071A1">
        <w:rPr>
          <w:b/>
          <w:i/>
        </w:rPr>
        <w:t>additional units of pension</w:t>
      </w:r>
      <w:r w:rsidRPr="005071A1">
        <w:t>), but, if he attained the age of 40 years before the relevant date section</w:t>
      </w:r>
      <w:r w:rsidR="008B2950" w:rsidRPr="005071A1">
        <w:t> </w:t>
      </w:r>
      <w:r w:rsidRPr="005071A1">
        <w:t>20A applies to and in relation to those additional units of pension as if they were additional units of pension for which he is required to contribute by reason of an increase in his salary since the attainment by him of the age of 40 years.</w:t>
      </w:r>
    </w:p>
    <w:p w14:paraId="21F46C7D" w14:textId="77777777" w:rsidR="00B33542" w:rsidRPr="005071A1" w:rsidRDefault="00B33542" w:rsidP="00B33542">
      <w:pPr>
        <w:pStyle w:val="subsection"/>
      </w:pPr>
      <w:r w:rsidRPr="005071A1">
        <w:tab/>
        <w:t>(6)</w:t>
      </w:r>
      <w:r w:rsidRPr="005071A1">
        <w:tab/>
        <w:t>Where, immediately before the relevant date, the benefits for which a prescribed employee was entitled to contribute to the State Fund exceeded the benefits for which he was contributing to that fund:</w:t>
      </w:r>
    </w:p>
    <w:p w14:paraId="38F2AF62" w14:textId="77777777" w:rsidR="00B33542" w:rsidRPr="005071A1" w:rsidRDefault="00B33542" w:rsidP="00B33542">
      <w:pPr>
        <w:pStyle w:val="paragraph"/>
      </w:pPr>
      <w:r w:rsidRPr="005071A1">
        <w:tab/>
        <w:t>(a)</w:t>
      </w:r>
      <w:r w:rsidRPr="005071A1">
        <w:tab/>
      </w:r>
      <w:r w:rsidR="008B2950" w:rsidRPr="005071A1">
        <w:t>subsection (</w:t>
      </w:r>
      <w:r w:rsidRPr="005071A1">
        <w:t xml:space="preserve">5) applies in relation to him as if the reference to the number of units of pension for which he is liable to contribute to the Fund by virtue of </w:t>
      </w:r>
      <w:r w:rsidR="008B2950" w:rsidRPr="005071A1">
        <w:t>subsection (</w:t>
      </w:r>
      <w:r w:rsidRPr="005071A1">
        <w:t>3) were a reference to the number of units of pension (including, where necessary, a fraction of a unit) determined by the Board to be the number of units that will entitle him to benefits equivalent to those first</w:t>
      </w:r>
      <w:r w:rsidR="004510F0">
        <w:noBreakHyphen/>
      </w:r>
      <w:r w:rsidRPr="005071A1">
        <w:t>mentioned benefits; and</w:t>
      </w:r>
    </w:p>
    <w:p w14:paraId="513F1060" w14:textId="77777777" w:rsidR="00B33542" w:rsidRPr="005071A1" w:rsidRDefault="00B33542" w:rsidP="00B33542">
      <w:pPr>
        <w:pStyle w:val="paragraph"/>
      </w:pPr>
      <w:r w:rsidRPr="005071A1">
        <w:tab/>
        <w:t>(b)</w:t>
      </w:r>
      <w:r w:rsidRPr="005071A1">
        <w:tab/>
        <w:t xml:space="preserve">subject to </w:t>
      </w:r>
      <w:r w:rsidR="008B2950" w:rsidRPr="005071A1">
        <w:t>subsection (</w:t>
      </w:r>
      <w:r w:rsidRPr="005071A1">
        <w:t>7), he may, at any time while he is a contributor to the Fund, but not later than 12</w:t>
      </w:r>
      <w:r w:rsidR="008B2950" w:rsidRPr="005071A1">
        <w:t> </w:t>
      </w:r>
      <w:r w:rsidRPr="005071A1">
        <w:t>February 1976, elect to contribute to the Fund for so many additional units of pension (including, where necessary, a fraction of a unit) as the Board determines to be the number of units that will entitle him to benefits equivalent to that excess.</w:t>
      </w:r>
    </w:p>
    <w:p w14:paraId="7B64218A" w14:textId="77777777" w:rsidR="00B33542" w:rsidRPr="005071A1" w:rsidRDefault="00B33542" w:rsidP="00B33542">
      <w:pPr>
        <w:pStyle w:val="subsection"/>
      </w:pPr>
      <w:r w:rsidRPr="005071A1">
        <w:tab/>
        <w:t>(7)</w:t>
      </w:r>
      <w:r w:rsidRPr="005071A1">
        <w:tab/>
        <w:t xml:space="preserve">An election under </w:t>
      </w:r>
      <w:r w:rsidR="008B2950" w:rsidRPr="005071A1">
        <w:t>paragraph (</w:t>
      </w:r>
      <w:r w:rsidRPr="005071A1">
        <w:t xml:space="preserve">b) of </w:t>
      </w:r>
      <w:r w:rsidR="008B2950" w:rsidRPr="005071A1">
        <w:t>subsection (</w:t>
      </w:r>
      <w:r w:rsidRPr="005071A1">
        <w:t xml:space="preserve">6) does not have effect in relation to a prescribed employee unless, not later than 6 months after the date on which the election is made, he satisfies the Board that he is not suffering from any physical or mental defect (not being a defect that, in the opinion of the Board, is the result of the service of the employee as a member of the Forces as defined in </w:t>
      </w:r>
      <w:r w:rsidR="008B2950" w:rsidRPr="005071A1">
        <w:t>subsection (</w:t>
      </w:r>
      <w:r w:rsidRPr="005071A1">
        <w:t xml:space="preserve">2) of </w:t>
      </w:r>
      <w:r w:rsidR="004510F0">
        <w:t>section 1</w:t>
      </w:r>
      <w:r w:rsidRPr="005071A1">
        <w:t xml:space="preserve">47) likely to render him incapable of </w:t>
      </w:r>
      <w:r w:rsidRPr="005071A1">
        <w:lastRenderedPageBreak/>
        <w:t>performing his duties before attaining the maximum age for retirement.</w:t>
      </w:r>
    </w:p>
    <w:p w14:paraId="4B67B633" w14:textId="77777777" w:rsidR="00B33542" w:rsidRPr="005071A1" w:rsidRDefault="00B33542" w:rsidP="00B33542">
      <w:pPr>
        <w:pStyle w:val="subsection"/>
      </w:pPr>
      <w:r w:rsidRPr="005071A1">
        <w:tab/>
        <w:t>(8)</w:t>
      </w:r>
      <w:r w:rsidRPr="005071A1">
        <w:tab/>
        <w:t>A prescribed employee shall, for the purposes of this Act, be deemed to be a contributor:</w:t>
      </w:r>
    </w:p>
    <w:p w14:paraId="64C5A129" w14:textId="77777777" w:rsidR="00B33542" w:rsidRPr="005071A1" w:rsidRDefault="00B33542" w:rsidP="00B33542">
      <w:pPr>
        <w:pStyle w:val="paragraph"/>
      </w:pPr>
      <w:r w:rsidRPr="005071A1">
        <w:tab/>
        <w:t>(a)</w:t>
      </w:r>
      <w:r w:rsidRPr="005071A1">
        <w:tab/>
        <w:t>in the case of an employee who contributed to the State Fund for pension on retirement at the age of 60 years or of a female employee who contributed to the State Fund for pension on retirement at the age of 55 years—at rates based on a retiring age of 60 years; or</w:t>
      </w:r>
    </w:p>
    <w:p w14:paraId="0CC48B8C" w14:textId="77777777" w:rsidR="00B33542" w:rsidRPr="005071A1" w:rsidRDefault="00B33542" w:rsidP="00B33542">
      <w:pPr>
        <w:pStyle w:val="paragraph"/>
      </w:pPr>
      <w:r w:rsidRPr="005071A1">
        <w:tab/>
        <w:t>(b)</w:t>
      </w:r>
      <w:r w:rsidRPr="005071A1">
        <w:tab/>
        <w:t>in any other case—at rates based on a retiring age of 65 years.</w:t>
      </w:r>
    </w:p>
    <w:p w14:paraId="6B2A31AE" w14:textId="77777777" w:rsidR="00B33542" w:rsidRPr="005071A1" w:rsidRDefault="00B33542" w:rsidP="00B33542">
      <w:pPr>
        <w:pStyle w:val="subsection"/>
      </w:pPr>
      <w:r w:rsidRPr="005071A1">
        <w:tab/>
        <w:t>(9)</w:t>
      </w:r>
      <w:r w:rsidRPr="005071A1">
        <w:tab/>
        <w:t xml:space="preserve">Subject to </w:t>
      </w:r>
      <w:r w:rsidR="008B2950" w:rsidRPr="005071A1">
        <w:t>subsection (</w:t>
      </w:r>
      <w:r w:rsidRPr="005071A1">
        <w:t xml:space="preserve">10), where at any time, the number of units of pension for which a prescribed employee is liable to contribute under </w:t>
      </w:r>
      <w:r w:rsidR="008B2950" w:rsidRPr="005071A1">
        <w:t>subsection (</w:t>
      </w:r>
      <w:r w:rsidRPr="005071A1">
        <w:t>3) exceeds the number of units of pension for which the employee would, apart from that subsection, be required to contribute under section</w:t>
      </w:r>
      <w:r w:rsidR="008B2950" w:rsidRPr="005071A1">
        <w:t> </w:t>
      </w:r>
      <w:r w:rsidRPr="005071A1">
        <w:t>20, the employee is not entitled to contribute for any units, other than reserve units, in excess of the first</w:t>
      </w:r>
      <w:r w:rsidR="004510F0">
        <w:noBreakHyphen/>
      </w:r>
      <w:r w:rsidRPr="005071A1">
        <w:t>mentioned number of units.</w:t>
      </w:r>
    </w:p>
    <w:p w14:paraId="4CC0C66A" w14:textId="77777777" w:rsidR="00B33542" w:rsidRPr="005071A1" w:rsidRDefault="00B33542" w:rsidP="00B33542">
      <w:pPr>
        <w:pStyle w:val="subsection"/>
      </w:pPr>
      <w:r w:rsidRPr="005071A1">
        <w:tab/>
        <w:t>(10)</w:t>
      </w:r>
      <w:r w:rsidRPr="005071A1">
        <w:tab/>
        <w:t xml:space="preserve">Notwithstanding </w:t>
      </w:r>
      <w:r w:rsidR="008B2950" w:rsidRPr="005071A1">
        <w:t>subsection (</w:t>
      </w:r>
      <w:r w:rsidRPr="005071A1">
        <w:t>9) of this section, section</w:t>
      </w:r>
      <w:r w:rsidR="008B2950" w:rsidRPr="005071A1">
        <w:t> </w:t>
      </w:r>
      <w:r w:rsidRPr="005071A1">
        <w:t xml:space="preserve">20B applies, subject to </w:t>
      </w:r>
      <w:r w:rsidR="008B2950" w:rsidRPr="005071A1">
        <w:t>subsection (</w:t>
      </w:r>
      <w:r w:rsidRPr="005071A1">
        <w:t>11) of this section, to and in relation to a prescribed employee in respect of a reduction of his salary or of the prescribed amount referred to in section</w:t>
      </w:r>
      <w:r w:rsidR="008B2950" w:rsidRPr="005071A1">
        <w:t> </w:t>
      </w:r>
      <w:r w:rsidRPr="005071A1">
        <w:t>20.</w:t>
      </w:r>
    </w:p>
    <w:p w14:paraId="1A88A10F" w14:textId="77777777" w:rsidR="00B33542" w:rsidRPr="005071A1" w:rsidRDefault="00B33542" w:rsidP="00B33542">
      <w:pPr>
        <w:pStyle w:val="subsection"/>
      </w:pPr>
      <w:r w:rsidRPr="005071A1">
        <w:tab/>
        <w:t>(11)</w:t>
      </w:r>
      <w:r w:rsidRPr="005071A1">
        <w:tab/>
        <w:t xml:space="preserve">Nothing in this Act shall be taken to require or permit a reduction in the number of units of pension for which a prescribed employee is a contributor to a number that is less than the number of units of pension for which he is liable to contribute under </w:t>
      </w:r>
      <w:r w:rsidR="008B2950" w:rsidRPr="005071A1">
        <w:t>subsection (</w:t>
      </w:r>
      <w:r w:rsidRPr="005071A1">
        <w:t>3).</w:t>
      </w:r>
    </w:p>
    <w:p w14:paraId="06977A0B" w14:textId="77777777" w:rsidR="00B33542" w:rsidRPr="005071A1" w:rsidRDefault="00B33542" w:rsidP="00B33542">
      <w:pPr>
        <w:pStyle w:val="subsection"/>
      </w:pPr>
      <w:r w:rsidRPr="005071A1">
        <w:tab/>
        <w:t>(12)</w:t>
      </w:r>
      <w:r w:rsidRPr="005071A1">
        <w:tab/>
        <w:t xml:space="preserve">For the purposes of this section, a reference to the rate at which a prescribed employee was contributing to the State Fund does not include the rate of any contributions that were being paid by him to the State Fund in relation to an amount of a kind referred to in </w:t>
      </w:r>
      <w:r w:rsidR="008B2950" w:rsidRPr="005071A1">
        <w:lastRenderedPageBreak/>
        <w:t>paragraph (</w:t>
      </w:r>
      <w:r w:rsidRPr="005071A1">
        <w:t xml:space="preserve">a), (b) or (c) of the definition of </w:t>
      </w:r>
      <w:r w:rsidRPr="005071A1">
        <w:rPr>
          <w:b/>
          <w:i/>
        </w:rPr>
        <w:t>prescribed amount</w:t>
      </w:r>
      <w:r w:rsidRPr="005071A1">
        <w:t xml:space="preserve"> in </w:t>
      </w:r>
      <w:r w:rsidR="008B2950" w:rsidRPr="005071A1">
        <w:t>subsection (</w:t>
      </w:r>
      <w:r w:rsidRPr="005071A1">
        <w:t xml:space="preserve">1) of </w:t>
      </w:r>
      <w:r w:rsidR="004510F0">
        <w:t>section 1</w:t>
      </w:r>
      <w:r w:rsidRPr="005071A1">
        <w:t>07A.</w:t>
      </w:r>
    </w:p>
    <w:p w14:paraId="7C31B74F" w14:textId="77777777" w:rsidR="00B33542" w:rsidRPr="005071A1" w:rsidRDefault="00B33542" w:rsidP="00B33542">
      <w:pPr>
        <w:pStyle w:val="ActHead5"/>
      </w:pPr>
      <w:bookmarkStart w:id="170" w:name="_Toc185577552"/>
      <w:r w:rsidRPr="004510F0">
        <w:rPr>
          <w:rStyle w:val="CharSectno"/>
        </w:rPr>
        <w:t>107D</w:t>
      </w:r>
      <w:r w:rsidRPr="005071A1">
        <w:t xml:space="preserve">  Prescribed employees contributing for restricted benefits</w:t>
      </w:r>
      <w:bookmarkEnd w:id="170"/>
    </w:p>
    <w:p w14:paraId="1A523E33" w14:textId="77777777" w:rsidR="00B33542" w:rsidRPr="005071A1" w:rsidRDefault="00B33542" w:rsidP="00B33542">
      <w:pPr>
        <w:pStyle w:val="subsection"/>
      </w:pPr>
      <w:r w:rsidRPr="005071A1">
        <w:tab/>
        <w:t>(1)</w:t>
      </w:r>
      <w:r w:rsidRPr="005071A1">
        <w:tab/>
        <w:t>Where a prescribed employee was contributing to the State Fund for benefits declared by the regulations to be restricted benefits:</w:t>
      </w:r>
    </w:p>
    <w:p w14:paraId="6028DE9A" w14:textId="77777777" w:rsidR="00B33542" w:rsidRPr="005071A1" w:rsidRDefault="00B33542" w:rsidP="00B33542">
      <w:pPr>
        <w:pStyle w:val="paragraph"/>
      </w:pPr>
      <w:r w:rsidRPr="005071A1">
        <w:tab/>
        <w:t>(a)</w:t>
      </w:r>
      <w:r w:rsidRPr="005071A1">
        <w:tab/>
        <w:t>benefits in respect of the units of pension for which he is liable to contribute under this Act are only payable to or in relation to him in the circumstances in which benefits would have been payable to or in relation to him out of the State Fund under the law of the State as in force at the relevant date if he had continued to contribute to the State Fund for those restricted benefits; and</w:t>
      </w:r>
    </w:p>
    <w:p w14:paraId="1AF09D01" w14:textId="77777777" w:rsidR="00B33542" w:rsidRPr="005071A1" w:rsidRDefault="00B33542" w:rsidP="00B33542">
      <w:pPr>
        <w:pStyle w:val="paragraph"/>
      </w:pPr>
      <w:r w:rsidRPr="005071A1">
        <w:tab/>
        <w:t>(b)</w:t>
      </w:r>
      <w:r w:rsidRPr="005071A1">
        <w:tab/>
        <w:t>the benefits that are payable in respect of those units to or in relation to him in any such circumstances are the benefits determined by the Board to be the equivalent of the benefits that would be payable to or in relation to him out of the State Fund under the law of the State as in force at the relevant date if he had continued to contribute to the State Fund for those restricted benefits at the same rate as the rate at which he was contributing for them immediately before the relevant date.</w:t>
      </w:r>
    </w:p>
    <w:p w14:paraId="1BC3E7C9" w14:textId="77777777" w:rsidR="00B33542" w:rsidRPr="005071A1" w:rsidRDefault="00B33542" w:rsidP="00B33542">
      <w:pPr>
        <w:pStyle w:val="subsection"/>
      </w:pPr>
      <w:r w:rsidRPr="005071A1">
        <w:tab/>
        <w:t>(2)</w:t>
      </w:r>
      <w:r w:rsidRPr="005071A1">
        <w:tab/>
      </w:r>
      <w:r w:rsidR="008B2950" w:rsidRPr="005071A1">
        <w:t>Subsection (</w:t>
      </w:r>
      <w:r w:rsidRPr="005071A1">
        <w:t>1) does not apply to a prescribed employee who has satisfied the Board that he is not suffering from any physical or mental defect likely to render him incapable of performing his duties before attaining the maximum age for retirement.</w:t>
      </w:r>
    </w:p>
    <w:p w14:paraId="459FDB3E" w14:textId="77777777" w:rsidR="00B33542" w:rsidRPr="005071A1" w:rsidRDefault="00B33542" w:rsidP="00B33542">
      <w:pPr>
        <w:pStyle w:val="ActHead5"/>
      </w:pPr>
      <w:bookmarkStart w:id="171" w:name="_Toc185577553"/>
      <w:r w:rsidRPr="004510F0">
        <w:rPr>
          <w:rStyle w:val="CharSectno"/>
        </w:rPr>
        <w:lastRenderedPageBreak/>
        <w:t>107E</w:t>
      </w:r>
      <w:r w:rsidRPr="005071A1">
        <w:t xml:space="preserve">  Prescribed amount paid to Board</w:t>
      </w:r>
      <w:bookmarkEnd w:id="171"/>
    </w:p>
    <w:p w14:paraId="20AAAF78" w14:textId="77777777" w:rsidR="00B33542" w:rsidRPr="005071A1" w:rsidRDefault="00B33542" w:rsidP="00B33542">
      <w:pPr>
        <w:pStyle w:val="subsection"/>
      </w:pPr>
      <w:r w:rsidRPr="005071A1">
        <w:tab/>
      </w:r>
      <w:r w:rsidRPr="005071A1">
        <w:tab/>
        <w:t xml:space="preserve">Upon the payment by a prescribed employee to the Board under </w:t>
      </w:r>
      <w:r w:rsidR="008B2950" w:rsidRPr="005071A1">
        <w:t>subsection (</w:t>
      </w:r>
      <w:r w:rsidRPr="005071A1">
        <w:t xml:space="preserve">2) of </w:t>
      </w:r>
      <w:r w:rsidR="004510F0">
        <w:t>section 1</w:t>
      </w:r>
      <w:r w:rsidRPr="005071A1">
        <w:t>07C of an amount equal to the prescribed amount:</w:t>
      </w:r>
    </w:p>
    <w:p w14:paraId="4F1A4F2E" w14:textId="77777777" w:rsidR="00B33542" w:rsidRPr="005071A1" w:rsidRDefault="00B33542" w:rsidP="00B33542">
      <w:pPr>
        <w:pStyle w:val="paragraph"/>
      </w:pPr>
      <w:r w:rsidRPr="005071A1">
        <w:tab/>
        <w:t>(a)</w:t>
      </w:r>
      <w:r w:rsidRPr="005071A1">
        <w:tab/>
        <w:t>an amount equal to so much of the prescribed amount as was based upon the contributions made by him to the State Fund or on interest payable in respect of those contributions shall be paid by the Board to the Fund, or, on or after 1</w:t>
      </w:r>
      <w:r w:rsidR="008B2950" w:rsidRPr="005071A1">
        <w:t> </w:t>
      </w:r>
      <w:r w:rsidRPr="005071A1">
        <w:t>July 1976, to the new Superannuation Fund, and, when so paid, shall be deemed, for the purposes of this Act, to be contributions made to the Fund by the prescribed employee; and</w:t>
      </w:r>
    </w:p>
    <w:p w14:paraId="3F5C8794" w14:textId="77777777" w:rsidR="00B33542" w:rsidRPr="005071A1" w:rsidRDefault="00B33542" w:rsidP="00B33542">
      <w:pPr>
        <w:pStyle w:val="paragraph"/>
      </w:pPr>
      <w:r w:rsidRPr="005071A1">
        <w:tab/>
        <w:t>(b)</w:t>
      </w:r>
      <w:r w:rsidRPr="005071A1">
        <w:tab/>
        <w:t>an amount equal to so much (if any) of the prescribed amount as was not based upon contributions made by him to the State Fund shall be paid by the Board to the Commonwealth.</w:t>
      </w:r>
    </w:p>
    <w:p w14:paraId="5BCA19DF" w14:textId="77777777" w:rsidR="00B33542" w:rsidRPr="005071A1" w:rsidRDefault="00B33542" w:rsidP="00B33542">
      <w:pPr>
        <w:pStyle w:val="ActHead5"/>
      </w:pPr>
      <w:bookmarkStart w:id="172" w:name="_Toc185577554"/>
      <w:r w:rsidRPr="004510F0">
        <w:rPr>
          <w:rStyle w:val="CharSectno"/>
        </w:rPr>
        <w:t>107F</w:t>
      </w:r>
      <w:r w:rsidRPr="005071A1">
        <w:t xml:space="preserve">  Refunds of contributions to prescribed employees</w:t>
      </w:r>
      <w:bookmarkEnd w:id="172"/>
    </w:p>
    <w:p w14:paraId="734F696F" w14:textId="77777777" w:rsidR="00B33542" w:rsidRPr="005071A1" w:rsidRDefault="00B33542" w:rsidP="00B33542">
      <w:pPr>
        <w:pStyle w:val="subsection"/>
      </w:pPr>
      <w:r w:rsidRPr="005071A1">
        <w:tab/>
      </w:r>
      <w:r w:rsidRPr="005071A1">
        <w:tab/>
        <w:t>Where a prescribed employee ceases to be a contributor to the Fund and, by virtue of any provision of this Act, there is payable to or in relation to him a refund of the contributions paid by him to the Fund:</w:t>
      </w:r>
    </w:p>
    <w:p w14:paraId="488CB6F8" w14:textId="77777777" w:rsidR="00B33542" w:rsidRPr="005071A1" w:rsidRDefault="00B33542" w:rsidP="00B33542">
      <w:pPr>
        <w:pStyle w:val="paragraph"/>
      </w:pPr>
      <w:r w:rsidRPr="005071A1">
        <w:tab/>
        <w:t>(a)</w:t>
      </w:r>
      <w:r w:rsidRPr="005071A1">
        <w:tab/>
        <w:t xml:space="preserve">there is payable out of the Fund to or in relation to that prescribed employee, in addition to that refund of contributions, an amount equal to the amount that was paid by the Board to the Commonwealth in accordance with </w:t>
      </w:r>
      <w:r w:rsidR="008B2950" w:rsidRPr="005071A1">
        <w:t>paragraph (</w:t>
      </w:r>
      <w:r w:rsidRPr="005071A1">
        <w:t xml:space="preserve">b) of </w:t>
      </w:r>
      <w:r w:rsidR="004510F0">
        <w:t>section 1</w:t>
      </w:r>
      <w:r w:rsidRPr="005071A1">
        <w:t>07E; and</w:t>
      </w:r>
    </w:p>
    <w:p w14:paraId="59541472" w14:textId="77777777" w:rsidR="00B33542" w:rsidRPr="005071A1" w:rsidRDefault="00B33542" w:rsidP="00B33542">
      <w:pPr>
        <w:pStyle w:val="paragraph"/>
      </w:pPr>
      <w:r w:rsidRPr="005071A1">
        <w:tab/>
        <w:t>(b)</w:t>
      </w:r>
      <w:r w:rsidRPr="005071A1">
        <w:tab/>
        <w:t xml:space="preserve">an amount equal to the amount payable out of the Fund in accordance with </w:t>
      </w:r>
      <w:r w:rsidR="008B2950" w:rsidRPr="005071A1">
        <w:t>paragraph (</w:t>
      </w:r>
      <w:r w:rsidRPr="005071A1">
        <w:t>a) is payable to the Fund out of the Consolidated Revenue Fund.</w:t>
      </w:r>
    </w:p>
    <w:p w14:paraId="09A136C7" w14:textId="77777777" w:rsidR="00B33542" w:rsidRPr="005071A1" w:rsidRDefault="00B33542" w:rsidP="00B33542">
      <w:pPr>
        <w:pStyle w:val="ActHead5"/>
      </w:pPr>
      <w:bookmarkStart w:id="173" w:name="_Toc185577555"/>
      <w:r w:rsidRPr="004510F0">
        <w:rPr>
          <w:rStyle w:val="CharSectno"/>
        </w:rPr>
        <w:t>107G</w:t>
      </w:r>
      <w:r w:rsidRPr="005071A1">
        <w:t xml:space="preserve">  Preservation of other superannuation rights</w:t>
      </w:r>
      <w:bookmarkEnd w:id="173"/>
    </w:p>
    <w:p w14:paraId="08BF3036" w14:textId="77777777" w:rsidR="00B33542" w:rsidRPr="005071A1" w:rsidRDefault="00B33542" w:rsidP="00B33542">
      <w:pPr>
        <w:pStyle w:val="subsection"/>
      </w:pPr>
      <w:r w:rsidRPr="005071A1">
        <w:tab/>
      </w:r>
      <w:r w:rsidRPr="005071A1">
        <w:tab/>
        <w:t>In the application of Division</w:t>
      </w:r>
      <w:r w:rsidR="008B2950" w:rsidRPr="005071A1">
        <w:t> </w:t>
      </w:r>
      <w:r w:rsidRPr="005071A1">
        <w:t xml:space="preserve">2 of Part XA to and in relation to a prescribed employee, a reference in that Division to the number of </w:t>
      </w:r>
      <w:r w:rsidRPr="005071A1">
        <w:lastRenderedPageBreak/>
        <w:t xml:space="preserve">units of pension for which he would, but for that Division, be required to contribute to the Fund shall be read as not including the number of units of pension for which he is contributing to the Fund by virtue of </w:t>
      </w:r>
      <w:r w:rsidR="008B2950" w:rsidRPr="005071A1">
        <w:t>subsection (</w:t>
      </w:r>
      <w:r w:rsidRPr="005071A1">
        <w:t xml:space="preserve">3), or </w:t>
      </w:r>
      <w:r w:rsidR="008B2950" w:rsidRPr="005071A1">
        <w:t>paragraph (</w:t>
      </w:r>
      <w:r w:rsidRPr="005071A1">
        <w:t xml:space="preserve">b) of </w:t>
      </w:r>
      <w:r w:rsidR="008B2950" w:rsidRPr="005071A1">
        <w:t>subsection (</w:t>
      </w:r>
      <w:r w:rsidRPr="005071A1">
        <w:t xml:space="preserve">6), of </w:t>
      </w:r>
      <w:r w:rsidR="004510F0">
        <w:t>section 1</w:t>
      </w:r>
      <w:r w:rsidRPr="005071A1">
        <w:t>07C.</w:t>
      </w:r>
    </w:p>
    <w:p w14:paraId="29A938C6" w14:textId="77777777" w:rsidR="00B33542" w:rsidRPr="005071A1" w:rsidRDefault="00B33542" w:rsidP="00B33542">
      <w:pPr>
        <w:pStyle w:val="ActHead5"/>
      </w:pPr>
      <w:bookmarkStart w:id="174" w:name="_Toc185577556"/>
      <w:r w:rsidRPr="004510F0">
        <w:rPr>
          <w:rStyle w:val="CharSectno"/>
        </w:rPr>
        <w:t>107H</w:t>
      </w:r>
      <w:r w:rsidRPr="005071A1">
        <w:t xml:space="preserve">  Increased contributions by the Commonwealth</w:t>
      </w:r>
      <w:bookmarkEnd w:id="174"/>
    </w:p>
    <w:p w14:paraId="5BF3BD66" w14:textId="77777777" w:rsidR="00B33542" w:rsidRPr="005071A1" w:rsidRDefault="00B33542" w:rsidP="00B33542">
      <w:pPr>
        <w:pStyle w:val="subsection"/>
      </w:pPr>
      <w:r w:rsidRPr="005071A1">
        <w:tab/>
      </w:r>
      <w:r w:rsidRPr="005071A1">
        <w:tab/>
        <w:t>Where a pension becomes payable to or in relation to a prescribed employee, each payment that is required by section</w:t>
      </w:r>
      <w:r w:rsidR="008B2950" w:rsidRPr="005071A1">
        <w:t> </w:t>
      </w:r>
      <w:r w:rsidRPr="005071A1">
        <w:t>33 to be made by the Commonwealth to the Fund in respect of that prescribed employee shall be increased by such amount (if any) as the Board determines to be necessary by reason of the prescribed employee having contributed to the Fund at rates less than those at which, but for this Part, he would have been required to contribute.</w:t>
      </w:r>
    </w:p>
    <w:p w14:paraId="30B5D81C" w14:textId="77777777" w:rsidR="00B33542" w:rsidRPr="005071A1" w:rsidRDefault="00B33542" w:rsidP="00B33542">
      <w:pPr>
        <w:pStyle w:val="ActHead5"/>
      </w:pPr>
      <w:bookmarkStart w:id="175" w:name="_Toc185577557"/>
      <w:r w:rsidRPr="004510F0">
        <w:rPr>
          <w:rStyle w:val="CharSectno"/>
        </w:rPr>
        <w:t>107J</w:t>
      </w:r>
      <w:r w:rsidRPr="005071A1">
        <w:t xml:space="preserve">  Certain amounts to be paid by the Commonwealth to the Fund</w:t>
      </w:r>
      <w:bookmarkEnd w:id="175"/>
    </w:p>
    <w:p w14:paraId="4B306CC8" w14:textId="77777777" w:rsidR="00B33542" w:rsidRPr="005071A1" w:rsidRDefault="00B33542" w:rsidP="00B33542">
      <w:pPr>
        <w:pStyle w:val="subsection"/>
      </w:pPr>
      <w:r w:rsidRPr="005071A1">
        <w:tab/>
      </w:r>
      <w:r w:rsidRPr="005071A1">
        <w:tab/>
        <w:t>Where, within 5 years after the relevant date, a prescribed employee is retired on the ground of invalidity or of physical or mental incapacity to perform his duties or a prescribed employee dies, and a pension is payable to or in relation to him, the pension shall be paid from the Fund and there is payable to the Fund out of the Consolidated Revenue Fund an amount equal to the amount by which the proportion of each payment of the pension equivalent to the contributions made by or in respect of the prescribed employee is less than the proportion of each payment of the pension that is payable otherwise than by the Commonwealth under section</w:t>
      </w:r>
      <w:r w:rsidR="008B2950" w:rsidRPr="005071A1">
        <w:t> </w:t>
      </w:r>
      <w:r w:rsidRPr="005071A1">
        <w:t>33.</w:t>
      </w:r>
    </w:p>
    <w:p w14:paraId="1BCA20DB" w14:textId="77777777" w:rsidR="00B33542" w:rsidRPr="005071A1" w:rsidRDefault="00B33542" w:rsidP="00B33542">
      <w:pPr>
        <w:pStyle w:val="ActHead5"/>
      </w:pPr>
      <w:bookmarkStart w:id="176" w:name="_Toc185577558"/>
      <w:r w:rsidRPr="004510F0">
        <w:rPr>
          <w:rStyle w:val="CharSectno"/>
        </w:rPr>
        <w:lastRenderedPageBreak/>
        <w:t>107K</w:t>
      </w:r>
      <w:r w:rsidRPr="005071A1">
        <w:t xml:space="preserve">  Rights of certain State employees</w:t>
      </w:r>
      <w:bookmarkEnd w:id="176"/>
    </w:p>
    <w:p w14:paraId="345B3020" w14:textId="77777777" w:rsidR="00B33542" w:rsidRPr="005071A1" w:rsidRDefault="00B33542" w:rsidP="00B33542">
      <w:pPr>
        <w:pStyle w:val="subsection"/>
      </w:pPr>
      <w:r w:rsidRPr="005071A1">
        <w:tab/>
        <w:t>(1)</w:t>
      </w:r>
      <w:r w:rsidRPr="005071A1">
        <w:tab/>
        <w:t>This section applies to a State employee (other than a prescribed employee) who is, or, but for this section, would be, a contributor to the Fund.</w:t>
      </w:r>
    </w:p>
    <w:p w14:paraId="295208CE" w14:textId="77777777" w:rsidR="00B33542" w:rsidRPr="005071A1" w:rsidRDefault="00B33542" w:rsidP="00B33542">
      <w:pPr>
        <w:pStyle w:val="subsection"/>
      </w:pPr>
      <w:r w:rsidRPr="005071A1">
        <w:tab/>
        <w:t>(2)</w:t>
      </w:r>
      <w:r w:rsidRPr="005071A1">
        <w:tab/>
        <w:t>If at any time the number of units of pension for which a State employee to whom this section applies would, but for this section, be required by section</w:t>
      </w:r>
      <w:r w:rsidR="008B2950" w:rsidRPr="005071A1">
        <w:t> </w:t>
      </w:r>
      <w:r w:rsidRPr="005071A1">
        <w:t>20 to contribute to the Fund does not exceed the number of units of pension (including, where necessary, a fraction of a unit) determined by the Board to be the number of units of pension that would entitle that employee to benefits equivalent to the benefits to which he would be entitled under the law of the State as in force at the relevant date if he had continued to contribute to the State Fund at the rate at which he was contributing to the State Fund immediately before the relevant date, the employee shall not be required or permitted to contribute to the Fund at that time in respect of units of pension.</w:t>
      </w:r>
    </w:p>
    <w:p w14:paraId="4B287DC2" w14:textId="77777777" w:rsidR="00B33542" w:rsidRPr="005071A1" w:rsidRDefault="00B33542" w:rsidP="00B33542">
      <w:pPr>
        <w:pStyle w:val="subsection"/>
      </w:pPr>
      <w:r w:rsidRPr="005071A1">
        <w:tab/>
        <w:t>(3)</w:t>
      </w:r>
      <w:r w:rsidRPr="005071A1">
        <w:tab/>
        <w:t>If at any time the number of units of pension for which a State employee to whom this section applies would, but for this section, be required by section</w:t>
      </w:r>
      <w:r w:rsidR="008B2950" w:rsidRPr="005071A1">
        <w:t> </w:t>
      </w:r>
      <w:r w:rsidRPr="005071A1">
        <w:t xml:space="preserve">20 to contribute to the Fund exceeds the number of units of pension determined by the Board for the purpose of </w:t>
      </w:r>
      <w:r w:rsidR="008B2950" w:rsidRPr="005071A1">
        <w:t>subsection (</w:t>
      </w:r>
      <w:r w:rsidRPr="005071A1">
        <w:t>2), the employee shall not be required or permitted to contribute to the Fund at that time in respect of a number of units of pension greater than the excess.</w:t>
      </w:r>
    </w:p>
    <w:p w14:paraId="6B6D5AC8" w14:textId="77777777" w:rsidR="00B33542" w:rsidRPr="005071A1" w:rsidRDefault="00B33542" w:rsidP="00B33542">
      <w:pPr>
        <w:pStyle w:val="subsection"/>
      </w:pPr>
      <w:r w:rsidRPr="005071A1">
        <w:tab/>
        <w:t>(4)</w:t>
      </w:r>
      <w:r w:rsidRPr="005071A1">
        <w:tab/>
        <w:t>In the application of Division</w:t>
      </w:r>
      <w:r w:rsidR="008B2950" w:rsidRPr="005071A1">
        <w:t> </w:t>
      </w:r>
      <w:r w:rsidRPr="005071A1">
        <w:t xml:space="preserve">2 of Part XA to and in relation to a State employee to whom this section applies, a reference in that Division to the number of units of pension for which he would, but for that Division, be required to contribute to the Fund shall be read as a reference to the number of units of pension ascertained by subtracting from the number of units of pension for which he would, but for this section and for that Division, be required to contribute to the Fund the number of units of pension determined by the Board for the purpose of </w:t>
      </w:r>
      <w:r w:rsidR="008B2950" w:rsidRPr="005071A1">
        <w:t>subsection (</w:t>
      </w:r>
      <w:r w:rsidRPr="005071A1">
        <w:t>2).</w:t>
      </w:r>
    </w:p>
    <w:p w14:paraId="5D40ACA8" w14:textId="77777777" w:rsidR="00B33542" w:rsidRPr="005071A1" w:rsidRDefault="004510F0" w:rsidP="002477D1">
      <w:pPr>
        <w:pStyle w:val="ActHead3"/>
        <w:pageBreakBefore/>
      </w:pPr>
      <w:bookmarkStart w:id="177" w:name="_Toc185577559"/>
      <w:r w:rsidRPr="004510F0">
        <w:rPr>
          <w:rStyle w:val="CharDivNo"/>
        </w:rPr>
        <w:lastRenderedPageBreak/>
        <w:t>Division 3</w:t>
      </w:r>
      <w:r w:rsidR="00B33542" w:rsidRPr="005071A1">
        <w:t>—</w:t>
      </w:r>
      <w:r w:rsidR="00B33542" w:rsidRPr="004510F0">
        <w:rPr>
          <w:rStyle w:val="CharDivText"/>
        </w:rPr>
        <w:t>The Provident Account</w:t>
      </w:r>
      <w:bookmarkEnd w:id="177"/>
    </w:p>
    <w:p w14:paraId="152C8891" w14:textId="77777777" w:rsidR="00B33542" w:rsidRPr="005071A1" w:rsidRDefault="00B33542" w:rsidP="00B33542">
      <w:pPr>
        <w:pStyle w:val="ActHead5"/>
      </w:pPr>
      <w:bookmarkStart w:id="178" w:name="_Toc185577560"/>
      <w:r w:rsidRPr="004510F0">
        <w:rPr>
          <w:rStyle w:val="CharSectno"/>
        </w:rPr>
        <w:t>107L</w:t>
      </w:r>
      <w:r w:rsidRPr="005071A1">
        <w:t xml:space="preserve">  Definition</w:t>
      </w:r>
      <w:bookmarkEnd w:id="178"/>
    </w:p>
    <w:p w14:paraId="687FECDA" w14:textId="77777777" w:rsidR="00B33542" w:rsidRPr="005071A1" w:rsidRDefault="00B33542" w:rsidP="00B33542">
      <w:pPr>
        <w:pStyle w:val="subsection"/>
      </w:pPr>
      <w:r w:rsidRPr="005071A1">
        <w:tab/>
      </w:r>
      <w:r w:rsidRPr="005071A1">
        <w:tab/>
        <w:t xml:space="preserve">In this Division, unless the contrary intention appears, </w:t>
      </w:r>
      <w:r w:rsidRPr="005071A1">
        <w:rPr>
          <w:b/>
          <w:i/>
        </w:rPr>
        <w:t>prescribed employee</w:t>
      </w:r>
      <w:r w:rsidRPr="005071A1">
        <w:t xml:space="preserve"> means a State employee who has made an election, and a payment to the Board, in accordance with </w:t>
      </w:r>
      <w:r w:rsidR="008B2950" w:rsidRPr="005071A1">
        <w:t>subsection (</w:t>
      </w:r>
      <w:r w:rsidRPr="005071A1">
        <w:t xml:space="preserve">2) of </w:t>
      </w:r>
      <w:r w:rsidR="004510F0">
        <w:t>section 1</w:t>
      </w:r>
      <w:r w:rsidRPr="005071A1">
        <w:t>07M.</w:t>
      </w:r>
    </w:p>
    <w:p w14:paraId="0EAE60A8" w14:textId="77777777" w:rsidR="00B33542" w:rsidRPr="005071A1" w:rsidRDefault="00B33542" w:rsidP="00B33542">
      <w:pPr>
        <w:pStyle w:val="ActHead5"/>
      </w:pPr>
      <w:bookmarkStart w:id="179" w:name="_Toc185577561"/>
      <w:r w:rsidRPr="004510F0">
        <w:rPr>
          <w:rStyle w:val="CharSectno"/>
        </w:rPr>
        <w:t>107M</w:t>
      </w:r>
      <w:r w:rsidRPr="005071A1">
        <w:t xml:space="preserve">  Provident Account contributions by State employees</w:t>
      </w:r>
      <w:bookmarkEnd w:id="179"/>
    </w:p>
    <w:p w14:paraId="52BED15D" w14:textId="77777777" w:rsidR="00B33542" w:rsidRPr="005071A1" w:rsidRDefault="00B33542" w:rsidP="00B33542">
      <w:pPr>
        <w:pStyle w:val="subsection"/>
      </w:pPr>
      <w:r w:rsidRPr="005071A1">
        <w:tab/>
        <w:t>(1)</w:t>
      </w:r>
      <w:r w:rsidRPr="005071A1">
        <w:tab/>
        <w:t>This section applies to a State employee whose contributions to the State Fund were of a similar nature to contributions under this Act to the Provident Account.</w:t>
      </w:r>
    </w:p>
    <w:p w14:paraId="7D72CFCC" w14:textId="77777777" w:rsidR="00B33542" w:rsidRPr="005071A1" w:rsidRDefault="00B33542" w:rsidP="00B33542">
      <w:pPr>
        <w:pStyle w:val="subsection"/>
      </w:pPr>
      <w:r w:rsidRPr="005071A1">
        <w:tab/>
        <w:t>(2)</w:t>
      </w:r>
      <w:r w:rsidRPr="005071A1">
        <w:tab/>
        <w:t>A State employee to whom this section applies may elect, within 3 months after the relevant date or within such further period as the Board allows, to contribute to the Provident Account in accordance with this section and may pay to the Board an amount equal to the prescribed amount within that period or within such further period as the Board allows, but any election made after the pay</w:t>
      </w:r>
      <w:r w:rsidR="004510F0">
        <w:noBreakHyphen/>
      </w:r>
      <w:r w:rsidRPr="005071A1">
        <w:t>day last preceding 1</w:t>
      </w:r>
      <w:r w:rsidR="008B2950" w:rsidRPr="005071A1">
        <w:t> </w:t>
      </w:r>
      <w:r w:rsidRPr="005071A1">
        <w:t>July 1976 shall be deemed to have been made on that pay</w:t>
      </w:r>
      <w:r w:rsidR="004510F0">
        <w:noBreakHyphen/>
      </w:r>
      <w:r w:rsidRPr="005071A1">
        <w:t>day.</w:t>
      </w:r>
    </w:p>
    <w:p w14:paraId="389ABE58" w14:textId="77777777" w:rsidR="00B33542" w:rsidRPr="005071A1" w:rsidRDefault="00B33542" w:rsidP="00B33542">
      <w:pPr>
        <w:pStyle w:val="subsection"/>
      </w:pPr>
      <w:r w:rsidRPr="005071A1">
        <w:tab/>
        <w:t>(3)</w:t>
      </w:r>
      <w:r w:rsidRPr="005071A1">
        <w:tab/>
        <w:t>Notwithstanding section</w:t>
      </w:r>
      <w:r w:rsidR="008B2950" w:rsidRPr="005071A1">
        <w:t> </w:t>
      </w:r>
      <w:r w:rsidRPr="005071A1">
        <w:t>5, a prescribed employee shall be liable to make, and, from and including the relevant date, shall be deemed to have been liable to make, contributions to the Provident Account in accordance with Part V.</w:t>
      </w:r>
    </w:p>
    <w:p w14:paraId="23850BEA" w14:textId="77777777" w:rsidR="00B33542" w:rsidRPr="005071A1" w:rsidRDefault="00B33542" w:rsidP="00B33542">
      <w:pPr>
        <w:pStyle w:val="subsection"/>
      </w:pPr>
      <w:r w:rsidRPr="005071A1">
        <w:tab/>
        <w:t>(4)</w:t>
      </w:r>
      <w:r w:rsidRPr="005071A1">
        <w:tab/>
        <w:t xml:space="preserve">Upon the payment by a prescribed employee to the Board under </w:t>
      </w:r>
      <w:r w:rsidR="008B2950" w:rsidRPr="005071A1">
        <w:t>subsection (</w:t>
      </w:r>
      <w:r w:rsidRPr="005071A1">
        <w:t>2) of an amount equal to the prescribed amount:</w:t>
      </w:r>
    </w:p>
    <w:p w14:paraId="4226D099" w14:textId="77777777" w:rsidR="00B33542" w:rsidRPr="005071A1" w:rsidRDefault="00B33542" w:rsidP="00B33542">
      <w:pPr>
        <w:pStyle w:val="paragraph"/>
      </w:pPr>
      <w:r w:rsidRPr="005071A1">
        <w:tab/>
        <w:t>(a)</w:t>
      </w:r>
      <w:r w:rsidRPr="005071A1">
        <w:tab/>
        <w:t xml:space="preserve">an amount equal to so much of the prescribed amount as was based upon the contributions made by him to the State Fund </w:t>
      </w:r>
      <w:r w:rsidRPr="005071A1">
        <w:lastRenderedPageBreak/>
        <w:t>or on interest payable in respect of those contributions shall be paid by the Board to the Provident Account, or, on or after 1</w:t>
      </w:r>
      <w:r w:rsidR="008B2950" w:rsidRPr="005071A1">
        <w:t> </w:t>
      </w:r>
      <w:r w:rsidRPr="005071A1">
        <w:t>July 1976, to the new Superannuation Fund, and, when so paid, shall be deemed, for the purposes of this Act, to be contributions paid to the Provident Account by the employee; and</w:t>
      </w:r>
    </w:p>
    <w:p w14:paraId="661D4716" w14:textId="77777777" w:rsidR="00B33542" w:rsidRPr="005071A1" w:rsidRDefault="00B33542" w:rsidP="00B33542">
      <w:pPr>
        <w:pStyle w:val="paragraph"/>
      </w:pPr>
      <w:r w:rsidRPr="005071A1">
        <w:tab/>
        <w:t>(b)</w:t>
      </w:r>
      <w:r w:rsidRPr="005071A1">
        <w:tab/>
        <w:t>an amount equal to so much of the prescribed amount as was not so based shall be paid by the Board to the Commonwealth.</w:t>
      </w:r>
    </w:p>
    <w:p w14:paraId="0C3CF81A" w14:textId="77777777" w:rsidR="00B33542" w:rsidRPr="005071A1" w:rsidRDefault="00B33542" w:rsidP="00B33542">
      <w:pPr>
        <w:pStyle w:val="subsection"/>
        <w:keepNext/>
      </w:pPr>
      <w:r w:rsidRPr="005071A1">
        <w:tab/>
        <w:t>(5)</w:t>
      </w:r>
      <w:r w:rsidRPr="005071A1">
        <w:tab/>
        <w:t>Where a sum is payable under section</w:t>
      </w:r>
      <w:r w:rsidR="008B2950" w:rsidRPr="005071A1">
        <w:t> </w:t>
      </w:r>
      <w:r w:rsidRPr="005071A1">
        <w:t xml:space="preserve">82 or 83 to or in relation to a prescribed employee, that section shall be read as if the sum referred to in </w:t>
      </w:r>
      <w:r w:rsidR="008B2950" w:rsidRPr="005071A1">
        <w:t>subsection (</w:t>
      </w:r>
      <w:r w:rsidRPr="005071A1">
        <w:t>1) of that section were the sum calculated by adding an amount equal to 3 times the aggregate of:</w:t>
      </w:r>
    </w:p>
    <w:p w14:paraId="1A06C082" w14:textId="77777777" w:rsidR="00B33542" w:rsidRPr="005071A1" w:rsidRDefault="00B33542" w:rsidP="00B33542">
      <w:pPr>
        <w:pStyle w:val="paragraph"/>
      </w:pPr>
      <w:r w:rsidRPr="005071A1">
        <w:tab/>
        <w:t>(a)</w:t>
      </w:r>
      <w:r w:rsidRPr="005071A1">
        <w:tab/>
        <w:t>the contributions paid by him to the Provident Account under section</w:t>
      </w:r>
      <w:r w:rsidR="008B2950" w:rsidRPr="005071A1">
        <w:t> </w:t>
      </w:r>
      <w:r w:rsidRPr="005071A1">
        <w:t>80; and</w:t>
      </w:r>
    </w:p>
    <w:p w14:paraId="10140482" w14:textId="77777777" w:rsidR="00B33542" w:rsidRPr="005071A1" w:rsidRDefault="00B33542" w:rsidP="00B33542">
      <w:pPr>
        <w:pStyle w:val="paragraph"/>
        <w:keepNext/>
      </w:pPr>
      <w:r w:rsidRPr="005071A1">
        <w:tab/>
        <w:t>(b)</w:t>
      </w:r>
      <w:r w:rsidRPr="005071A1">
        <w:tab/>
        <w:t>compound interest on those contributions at the rate or rates applicable for the purposes of Part V;</w:t>
      </w:r>
    </w:p>
    <w:p w14:paraId="6AFDBB6D" w14:textId="77777777" w:rsidR="00B33542" w:rsidRPr="005071A1" w:rsidRDefault="00B33542" w:rsidP="00B33542">
      <w:pPr>
        <w:pStyle w:val="subsection2"/>
      </w:pPr>
      <w:r w:rsidRPr="005071A1">
        <w:t xml:space="preserve">to an amount ascertained in accordance with </w:t>
      </w:r>
      <w:r w:rsidR="008B2950" w:rsidRPr="005071A1">
        <w:t>paragraph (</w:t>
      </w:r>
      <w:r w:rsidRPr="005071A1">
        <w:t>c), (d) or (e), whichever is applicable, that is to say:</w:t>
      </w:r>
    </w:p>
    <w:p w14:paraId="230C3A63" w14:textId="77777777" w:rsidR="00B33542" w:rsidRPr="005071A1" w:rsidRDefault="00B33542" w:rsidP="00B33542">
      <w:pPr>
        <w:pStyle w:val="paragraph"/>
      </w:pPr>
      <w:r w:rsidRPr="005071A1">
        <w:tab/>
        <w:t>(c)</w:t>
      </w:r>
      <w:r w:rsidRPr="005071A1">
        <w:tab/>
        <w:t xml:space="preserve">if </w:t>
      </w:r>
      <w:r w:rsidR="008B2950" w:rsidRPr="005071A1">
        <w:t>subsection (</w:t>
      </w:r>
      <w:r w:rsidRPr="005071A1">
        <w:t xml:space="preserve">6) applies in relation to the employee—an amount ascertained by multiplying by the factor applicable in accordance with </w:t>
      </w:r>
      <w:r w:rsidR="008B2950" w:rsidRPr="005071A1">
        <w:t>subsection (</w:t>
      </w:r>
      <w:r w:rsidRPr="005071A1">
        <w:t xml:space="preserve">6) in relation to the employee the aggregate of the amount paid to the Provident Account, or to the new Superannuation Fund, in respect of the employee under </w:t>
      </w:r>
      <w:r w:rsidR="008B2950" w:rsidRPr="005071A1">
        <w:t>paragraph (</w:t>
      </w:r>
      <w:r w:rsidRPr="005071A1">
        <w:t xml:space="preserve">a) of </w:t>
      </w:r>
      <w:r w:rsidR="008B2950" w:rsidRPr="005071A1">
        <w:t>subsection (</w:t>
      </w:r>
      <w:r w:rsidRPr="005071A1">
        <w:t xml:space="preserve">4) and compound interest on that amount as provided in </w:t>
      </w:r>
      <w:r w:rsidR="008B2950" w:rsidRPr="005071A1">
        <w:t>subsection (</w:t>
      </w:r>
      <w:r w:rsidRPr="005071A1">
        <w:t>8);</w:t>
      </w:r>
    </w:p>
    <w:p w14:paraId="2728B01F" w14:textId="77777777" w:rsidR="00B33542" w:rsidRPr="005071A1" w:rsidRDefault="00B33542" w:rsidP="00B33542">
      <w:pPr>
        <w:pStyle w:val="paragraph"/>
      </w:pPr>
      <w:r w:rsidRPr="005071A1">
        <w:tab/>
        <w:t>(d)</w:t>
      </w:r>
      <w:r w:rsidRPr="005071A1">
        <w:tab/>
        <w:t xml:space="preserve">if </w:t>
      </w:r>
      <w:r w:rsidR="008B2950" w:rsidRPr="005071A1">
        <w:t>subsection (</w:t>
      </w:r>
      <w:r w:rsidRPr="005071A1">
        <w:t xml:space="preserve">7) applies in relation to the employee—in respect of each part, as determined in accordance with </w:t>
      </w:r>
      <w:r w:rsidR="008B2950" w:rsidRPr="005071A1">
        <w:t>subsection (</w:t>
      </w:r>
      <w:r w:rsidRPr="005071A1">
        <w:t xml:space="preserve">7), of the amount paid by the Board to the Provident Account, or to the new Superannuation Fund, in respect of the employee under </w:t>
      </w:r>
      <w:r w:rsidR="008B2950" w:rsidRPr="005071A1">
        <w:t>paragraph (</w:t>
      </w:r>
      <w:r w:rsidRPr="005071A1">
        <w:t xml:space="preserve">a) of </w:t>
      </w:r>
      <w:r w:rsidR="008B2950" w:rsidRPr="005071A1">
        <w:t>subsection (</w:t>
      </w:r>
      <w:r w:rsidRPr="005071A1">
        <w:t>4):</w:t>
      </w:r>
    </w:p>
    <w:p w14:paraId="5EF96C07" w14:textId="77777777" w:rsidR="00B33542" w:rsidRPr="005071A1" w:rsidRDefault="00B33542" w:rsidP="00B33542">
      <w:pPr>
        <w:pStyle w:val="paragraphsub"/>
      </w:pPr>
      <w:r w:rsidRPr="005071A1">
        <w:lastRenderedPageBreak/>
        <w:tab/>
        <w:t>(i)</w:t>
      </w:r>
      <w:r w:rsidRPr="005071A1">
        <w:tab/>
        <w:t xml:space="preserve">if </w:t>
      </w:r>
      <w:r w:rsidR="008B2950" w:rsidRPr="005071A1">
        <w:t>paragraph (</w:t>
      </w:r>
      <w:r w:rsidRPr="005071A1">
        <w:t xml:space="preserve">c) of </w:t>
      </w:r>
      <w:r w:rsidR="008B2950" w:rsidRPr="005071A1">
        <w:t>subsection (</w:t>
      </w:r>
      <w:r w:rsidRPr="005071A1">
        <w:t xml:space="preserve">7) applies in relation to the part—an amount ascertained by multiplying by the factor applicable, in accordance with </w:t>
      </w:r>
      <w:r w:rsidR="008B2950" w:rsidRPr="005071A1">
        <w:t>subsection (</w:t>
      </w:r>
      <w:r w:rsidRPr="005071A1">
        <w:t>7) in relation to that part, the aggregate of the amount of that part and compound interest on that last</w:t>
      </w:r>
      <w:r w:rsidR="004510F0">
        <w:noBreakHyphen/>
      </w:r>
      <w:r w:rsidRPr="005071A1">
        <w:t xml:space="preserve">mentioned amount as provided in </w:t>
      </w:r>
      <w:r w:rsidR="008B2950" w:rsidRPr="005071A1">
        <w:t>subsection (</w:t>
      </w:r>
      <w:r w:rsidRPr="005071A1">
        <w:t>8); or</w:t>
      </w:r>
    </w:p>
    <w:p w14:paraId="21B22F6C" w14:textId="77777777" w:rsidR="00B33542" w:rsidRPr="005071A1" w:rsidRDefault="00B33542" w:rsidP="00B33542">
      <w:pPr>
        <w:pStyle w:val="paragraphsub"/>
      </w:pPr>
      <w:r w:rsidRPr="005071A1">
        <w:tab/>
        <w:t>(ii)</w:t>
      </w:r>
      <w:r w:rsidRPr="005071A1">
        <w:tab/>
        <w:t>in any other case—an amount ascertained by aggregating the amount of that part and compound interest on that last</w:t>
      </w:r>
      <w:r w:rsidR="004510F0">
        <w:noBreakHyphen/>
      </w:r>
      <w:r w:rsidRPr="005071A1">
        <w:t xml:space="preserve">mentioned amount as provided in </w:t>
      </w:r>
      <w:r w:rsidR="008B2950" w:rsidRPr="005071A1">
        <w:t>subsection (</w:t>
      </w:r>
      <w:r w:rsidRPr="005071A1">
        <w:t>8); or</w:t>
      </w:r>
    </w:p>
    <w:p w14:paraId="4BD204C5" w14:textId="77777777" w:rsidR="00B33542" w:rsidRPr="005071A1" w:rsidRDefault="00B33542" w:rsidP="00B33542">
      <w:pPr>
        <w:pStyle w:val="paragraph"/>
      </w:pPr>
      <w:r w:rsidRPr="005071A1">
        <w:tab/>
        <w:t>(e)</w:t>
      </w:r>
      <w:r w:rsidRPr="005071A1">
        <w:tab/>
        <w:t xml:space="preserve">in any other case—an amount ascertained by aggregating the amount paid to the Provident Account in respect of the employee under </w:t>
      </w:r>
      <w:r w:rsidR="008B2950" w:rsidRPr="005071A1">
        <w:t>paragraph (</w:t>
      </w:r>
      <w:r w:rsidRPr="005071A1">
        <w:t xml:space="preserve">a) of </w:t>
      </w:r>
      <w:r w:rsidR="008B2950" w:rsidRPr="005071A1">
        <w:t>subsection (</w:t>
      </w:r>
      <w:r w:rsidRPr="005071A1">
        <w:t xml:space="preserve">4) and compound interest on that amount as provided in </w:t>
      </w:r>
      <w:r w:rsidR="008B2950" w:rsidRPr="005071A1">
        <w:t>subsection (</w:t>
      </w:r>
      <w:r w:rsidRPr="005071A1">
        <w:t>8).</w:t>
      </w:r>
    </w:p>
    <w:p w14:paraId="530DDECB" w14:textId="77777777" w:rsidR="00B33542" w:rsidRPr="005071A1" w:rsidRDefault="00B33542" w:rsidP="00B33542">
      <w:pPr>
        <w:pStyle w:val="subsection"/>
      </w:pPr>
      <w:r w:rsidRPr="005071A1">
        <w:tab/>
        <w:t>(6)</w:t>
      </w:r>
      <w:r w:rsidRPr="005071A1">
        <w:tab/>
        <w:t xml:space="preserve">Subject to </w:t>
      </w:r>
      <w:r w:rsidR="008B2950" w:rsidRPr="005071A1">
        <w:t>subsection (</w:t>
      </w:r>
      <w:r w:rsidRPr="005071A1">
        <w:t>7), where a prescribed employee would, under the law in force in the State on the day immediately before the relevant date, have been entitled to be paid from the State Fund, upon ceasing to be a contributor to the State Fund upon attaining the age for his retirement, an amount calculated by reference, among other things, to the amount ascertained by multiplying the sum of his contributions to the State Fund by a particular factor:</w:t>
      </w:r>
    </w:p>
    <w:p w14:paraId="5628FACB" w14:textId="77777777" w:rsidR="00B33542" w:rsidRPr="005071A1" w:rsidRDefault="00B33542" w:rsidP="00B33542">
      <w:pPr>
        <w:pStyle w:val="paragraph"/>
      </w:pPr>
      <w:r w:rsidRPr="005071A1">
        <w:tab/>
        <w:t>(a)</w:t>
      </w:r>
      <w:r w:rsidRPr="005071A1">
        <w:tab/>
        <w:t>this subsection applies in relation to the employee; and</w:t>
      </w:r>
    </w:p>
    <w:p w14:paraId="7D2A30E8" w14:textId="77777777" w:rsidR="00B33542" w:rsidRPr="005071A1" w:rsidRDefault="00B33542" w:rsidP="00B33542">
      <w:pPr>
        <w:pStyle w:val="paragraph"/>
      </w:pPr>
      <w:r w:rsidRPr="005071A1">
        <w:tab/>
        <w:t>(b)</w:t>
      </w:r>
      <w:r w:rsidRPr="005071A1">
        <w:tab/>
        <w:t xml:space="preserve">that factor is the factor applicable in relation to the employee for the purposes of </w:t>
      </w:r>
      <w:r w:rsidR="008B2950" w:rsidRPr="005071A1">
        <w:t>paragraph (</w:t>
      </w:r>
      <w:r w:rsidRPr="005071A1">
        <w:t xml:space="preserve">c) of </w:t>
      </w:r>
      <w:r w:rsidR="008B2950" w:rsidRPr="005071A1">
        <w:t>subsection (</w:t>
      </w:r>
      <w:r w:rsidRPr="005071A1">
        <w:t>5).</w:t>
      </w:r>
    </w:p>
    <w:p w14:paraId="56A33B73" w14:textId="77777777" w:rsidR="00B33542" w:rsidRPr="005071A1" w:rsidRDefault="00B33542" w:rsidP="00B33542">
      <w:pPr>
        <w:pStyle w:val="subsection"/>
      </w:pPr>
      <w:r w:rsidRPr="005071A1">
        <w:tab/>
        <w:t>(7)</w:t>
      </w:r>
      <w:r w:rsidRPr="005071A1">
        <w:tab/>
        <w:t xml:space="preserve">Where the amount paid to the Provident Account, or to the new Superannuation Fund, in respect of a prescribed employee under </w:t>
      </w:r>
      <w:r w:rsidR="008B2950" w:rsidRPr="005071A1">
        <w:t>paragraph (</w:t>
      </w:r>
      <w:r w:rsidRPr="005071A1">
        <w:t xml:space="preserve">a) of </w:t>
      </w:r>
      <w:r w:rsidR="008B2950" w:rsidRPr="005071A1">
        <w:t>subsection (</w:t>
      </w:r>
      <w:r w:rsidRPr="005071A1">
        <w:t>4) was based on the employee’s interests in 2 or more separate accounts forming part of the State Fund:</w:t>
      </w:r>
    </w:p>
    <w:p w14:paraId="4F2C9EB1" w14:textId="77777777" w:rsidR="00B33542" w:rsidRPr="005071A1" w:rsidRDefault="00B33542" w:rsidP="00B33542">
      <w:pPr>
        <w:pStyle w:val="paragraph"/>
      </w:pPr>
      <w:r w:rsidRPr="005071A1">
        <w:lastRenderedPageBreak/>
        <w:tab/>
        <w:t>(a)</w:t>
      </w:r>
      <w:r w:rsidRPr="005071A1">
        <w:tab/>
        <w:t>the amount so paid by the Board shall, for the purposes of this section, be deemed to consist of parts each of which comprises the part of the amount so paid that is based on his interest in 1 of those accounts;</w:t>
      </w:r>
    </w:p>
    <w:p w14:paraId="7DD0C610" w14:textId="77777777" w:rsidR="00B33542" w:rsidRPr="005071A1" w:rsidRDefault="00B33542" w:rsidP="00B33542">
      <w:pPr>
        <w:pStyle w:val="paragraph"/>
      </w:pPr>
      <w:r w:rsidRPr="005071A1">
        <w:tab/>
        <w:t>(b)</w:t>
      </w:r>
      <w:r w:rsidRPr="005071A1">
        <w:tab/>
        <w:t>this subsection applies in relation to the employee; and</w:t>
      </w:r>
    </w:p>
    <w:p w14:paraId="4D4B44E1" w14:textId="77777777" w:rsidR="00B33542" w:rsidRPr="005071A1" w:rsidRDefault="00B33542" w:rsidP="00B33542">
      <w:pPr>
        <w:pStyle w:val="paragraph"/>
      </w:pPr>
      <w:r w:rsidRPr="005071A1">
        <w:tab/>
        <w:t>(c)</w:t>
      </w:r>
      <w:r w:rsidRPr="005071A1">
        <w:tab/>
        <w:t>if the employee would, under the law in force in the State on the day immediately before the relevant date, have been entitled to be paid from the State Fund upon ceasing to be a contributor to that Fund upon attaining the age for his retirement an amount ascertained by multiplying the amount of his interest in that account by a particular factor:</w:t>
      </w:r>
    </w:p>
    <w:p w14:paraId="5B9E4953" w14:textId="77777777" w:rsidR="00B33542" w:rsidRPr="005071A1" w:rsidRDefault="00B33542" w:rsidP="00B33542">
      <w:pPr>
        <w:pStyle w:val="paragraphsub"/>
      </w:pPr>
      <w:r w:rsidRPr="005071A1">
        <w:tab/>
        <w:t>(i)</w:t>
      </w:r>
      <w:r w:rsidRPr="005071A1">
        <w:tab/>
        <w:t>this paragraph applies in relation to the part of the amount so paid that is based on his interest in that account; and</w:t>
      </w:r>
    </w:p>
    <w:p w14:paraId="626FC9F8" w14:textId="77777777" w:rsidR="00B33542" w:rsidRPr="005071A1" w:rsidRDefault="00B33542" w:rsidP="00B33542">
      <w:pPr>
        <w:pStyle w:val="paragraphsub"/>
      </w:pPr>
      <w:r w:rsidRPr="005071A1">
        <w:tab/>
        <w:t>(ii)</w:t>
      </w:r>
      <w:r w:rsidRPr="005071A1">
        <w:tab/>
        <w:t xml:space="preserve">that factor is the factor applicable, for the purposes of </w:t>
      </w:r>
      <w:r w:rsidR="008B2950" w:rsidRPr="005071A1">
        <w:t>subparagraph (</w:t>
      </w:r>
      <w:r w:rsidRPr="005071A1">
        <w:t xml:space="preserve">i) of </w:t>
      </w:r>
      <w:r w:rsidR="008B2950" w:rsidRPr="005071A1">
        <w:t>paragraph (</w:t>
      </w:r>
      <w:r w:rsidRPr="005071A1">
        <w:t xml:space="preserve">d) of </w:t>
      </w:r>
      <w:r w:rsidR="008B2950" w:rsidRPr="005071A1">
        <w:t>subsection (</w:t>
      </w:r>
      <w:r w:rsidRPr="005071A1">
        <w:t>5), in relation to that part of the amount so paid.</w:t>
      </w:r>
    </w:p>
    <w:p w14:paraId="75A4209B" w14:textId="77777777" w:rsidR="00B33542" w:rsidRPr="005071A1" w:rsidRDefault="00B33542" w:rsidP="00B33542">
      <w:pPr>
        <w:pStyle w:val="subsection"/>
      </w:pPr>
      <w:r w:rsidRPr="005071A1">
        <w:tab/>
        <w:t>(8)</w:t>
      </w:r>
      <w:r w:rsidRPr="005071A1">
        <w:tab/>
        <w:t xml:space="preserve">In </w:t>
      </w:r>
      <w:r w:rsidR="008B2950" w:rsidRPr="005071A1">
        <w:t>paragraphs (</w:t>
      </w:r>
      <w:r w:rsidRPr="005071A1">
        <w:t xml:space="preserve">c), (d) and (e) of </w:t>
      </w:r>
      <w:r w:rsidR="008B2950" w:rsidRPr="005071A1">
        <w:t>subsection (</w:t>
      </w:r>
      <w:r w:rsidRPr="005071A1">
        <w:t xml:space="preserve">5), a reference to compound interest on an amount, or a part of an amount, paid to the Provident Account, or to the new Superannuation Fund, in respect of a prescribed employee under </w:t>
      </w:r>
      <w:r w:rsidR="008B2950" w:rsidRPr="005071A1">
        <w:t>paragraph (</w:t>
      </w:r>
      <w:r w:rsidRPr="005071A1">
        <w:t xml:space="preserve">a) of </w:t>
      </w:r>
      <w:r w:rsidR="008B2950" w:rsidRPr="005071A1">
        <w:t>subsection (</w:t>
      </w:r>
      <w:r w:rsidRPr="005071A1">
        <w:t xml:space="preserve">4) is a reference to compound interest on that amount, or on that part of that amount, as the case requires, in respect of the period that commenced on the date on which the employee paid an amount equal to the prescribed amount to the Board in pursuance of </w:t>
      </w:r>
      <w:r w:rsidR="008B2950" w:rsidRPr="005071A1">
        <w:t>subsection (</w:t>
      </w:r>
      <w:r w:rsidRPr="005071A1">
        <w:t>2) and ended on the date on which he ceased to be a contributor to the Provident Account, at the rate or rates applicable for the purposes of Part V.</w:t>
      </w:r>
    </w:p>
    <w:p w14:paraId="3483E1A1" w14:textId="77777777" w:rsidR="00B33542" w:rsidRPr="005071A1" w:rsidRDefault="00B33542" w:rsidP="00B33542">
      <w:pPr>
        <w:pStyle w:val="subsection"/>
      </w:pPr>
      <w:r w:rsidRPr="005071A1">
        <w:tab/>
        <w:t>(9)</w:t>
      </w:r>
      <w:r w:rsidRPr="005071A1">
        <w:tab/>
        <w:t xml:space="preserve">Where a prescribed employee ceases to be a contributor to the Provident Account in such circumstances that an amount equal to the contributions paid by him to the Provident Account together with compound interest on the amount of those contributions is payable to or in respect of him, so much of the amount paid by him </w:t>
      </w:r>
      <w:r w:rsidRPr="005071A1">
        <w:lastRenderedPageBreak/>
        <w:t xml:space="preserve">to the Board in pursuance of </w:t>
      </w:r>
      <w:r w:rsidR="008B2950" w:rsidRPr="005071A1">
        <w:t>subsection (</w:t>
      </w:r>
      <w:r w:rsidRPr="005071A1">
        <w:t>2) as was paid by the Board to the Commonwealth, together with compound interest, in respect of the period that commenced on the date on which the employee paid that amount to the Board and ended on the date on which he ceased to be a contributor to the Provident Account, at the rate or rates applicable for the purposes of Part V, is payable to or in respect of him out of the Provident Account.</w:t>
      </w:r>
    </w:p>
    <w:p w14:paraId="4273B920" w14:textId="77777777" w:rsidR="00B33542" w:rsidRPr="005071A1" w:rsidRDefault="00B33542" w:rsidP="00B33542">
      <w:pPr>
        <w:pStyle w:val="subsection"/>
      </w:pPr>
      <w:r w:rsidRPr="005071A1">
        <w:tab/>
        <w:t>(10)</w:t>
      </w:r>
      <w:r w:rsidRPr="005071A1">
        <w:tab/>
        <w:t xml:space="preserve">Where an amount payable out of the Provident Account is greater than the amount that, but for </w:t>
      </w:r>
      <w:r w:rsidR="008B2950" w:rsidRPr="005071A1">
        <w:t>subsection (</w:t>
      </w:r>
      <w:r w:rsidRPr="005071A1">
        <w:t>5), would be payable, there is payable to the Provident Account by the Commonwealth an amount equal to the difference between the amounts.</w:t>
      </w:r>
    </w:p>
    <w:p w14:paraId="6C91E015" w14:textId="77777777" w:rsidR="00B33542" w:rsidRPr="005071A1" w:rsidRDefault="00B33542" w:rsidP="00B33542">
      <w:pPr>
        <w:pStyle w:val="subsection"/>
      </w:pPr>
      <w:r w:rsidRPr="005071A1">
        <w:tab/>
        <w:t>(11)</w:t>
      </w:r>
      <w:r w:rsidRPr="005071A1">
        <w:tab/>
        <w:t xml:space="preserve">Where an amount is payable out of the Provident Account under </w:t>
      </w:r>
      <w:r w:rsidR="008B2950" w:rsidRPr="005071A1">
        <w:t>subsection (</w:t>
      </w:r>
      <w:r w:rsidRPr="005071A1">
        <w:t>9), an amount equal to that amount is payable to the Provident Account by the Commonwealth.</w:t>
      </w:r>
    </w:p>
    <w:p w14:paraId="334E6F34" w14:textId="77777777" w:rsidR="00B33542" w:rsidRPr="005071A1" w:rsidRDefault="00B33542" w:rsidP="002477D1">
      <w:pPr>
        <w:pStyle w:val="ActHead3"/>
        <w:pageBreakBefore/>
      </w:pPr>
      <w:bookmarkStart w:id="180" w:name="_Toc185577562"/>
      <w:r w:rsidRPr="004510F0">
        <w:rPr>
          <w:rStyle w:val="CharDivNo"/>
        </w:rPr>
        <w:lastRenderedPageBreak/>
        <w:t>Division</w:t>
      </w:r>
      <w:r w:rsidR="008B2950" w:rsidRPr="004510F0">
        <w:rPr>
          <w:rStyle w:val="CharDivNo"/>
        </w:rPr>
        <w:t> </w:t>
      </w:r>
      <w:r w:rsidRPr="004510F0">
        <w:rPr>
          <w:rStyle w:val="CharDivNo"/>
        </w:rPr>
        <w:t>4</w:t>
      </w:r>
      <w:r w:rsidRPr="005071A1">
        <w:t>—</w:t>
      </w:r>
      <w:r w:rsidRPr="004510F0">
        <w:rPr>
          <w:rStyle w:val="CharDivText"/>
        </w:rPr>
        <w:t>Miscellaneous</w:t>
      </w:r>
      <w:bookmarkEnd w:id="180"/>
    </w:p>
    <w:p w14:paraId="630CF52E" w14:textId="77777777" w:rsidR="00B33542" w:rsidRPr="005071A1" w:rsidRDefault="00B33542" w:rsidP="00B33542">
      <w:pPr>
        <w:pStyle w:val="ActHead5"/>
      </w:pPr>
      <w:bookmarkStart w:id="181" w:name="_Toc185577563"/>
      <w:r w:rsidRPr="004510F0">
        <w:rPr>
          <w:rStyle w:val="CharSectno"/>
        </w:rPr>
        <w:t>107N</w:t>
      </w:r>
      <w:r w:rsidRPr="005071A1">
        <w:t xml:space="preserve">  Full</w:t>
      </w:r>
      <w:r w:rsidR="004510F0">
        <w:noBreakHyphen/>
      </w:r>
      <w:r w:rsidRPr="005071A1">
        <w:t>time employment otherwise than as contributor to State Fund</w:t>
      </w:r>
      <w:bookmarkEnd w:id="181"/>
    </w:p>
    <w:p w14:paraId="0326D702" w14:textId="77777777" w:rsidR="00B33542" w:rsidRPr="005071A1" w:rsidRDefault="00B33542" w:rsidP="00B33542">
      <w:pPr>
        <w:pStyle w:val="subsection"/>
      </w:pPr>
      <w:r w:rsidRPr="005071A1">
        <w:tab/>
      </w:r>
      <w:r w:rsidRPr="005071A1">
        <w:tab/>
        <w:t>Where:</w:t>
      </w:r>
    </w:p>
    <w:p w14:paraId="04130D6B" w14:textId="77777777" w:rsidR="00B33542" w:rsidRPr="005071A1" w:rsidRDefault="00B33542" w:rsidP="00B33542">
      <w:pPr>
        <w:pStyle w:val="paragraph"/>
      </w:pPr>
      <w:r w:rsidRPr="005071A1">
        <w:tab/>
        <w:t>(a)</w:t>
      </w:r>
      <w:r w:rsidRPr="005071A1">
        <w:tab/>
        <w:t xml:space="preserve">a person is employed by the Commonwealth as set out in </w:t>
      </w:r>
      <w:r w:rsidR="008B2950" w:rsidRPr="005071A1">
        <w:t>paragraph (</w:t>
      </w:r>
      <w:r w:rsidRPr="005071A1">
        <w:t xml:space="preserve">a) of </w:t>
      </w:r>
      <w:r w:rsidR="008B2950" w:rsidRPr="005071A1">
        <w:t>subsection (</w:t>
      </w:r>
      <w:r w:rsidRPr="005071A1">
        <w:t>5) of section</w:t>
      </w:r>
      <w:r w:rsidR="008B2950" w:rsidRPr="005071A1">
        <w:t> </w:t>
      </w:r>
      <w:r w:rsidRPr="005071A1">
        <w:t>4;</w:t>
      </w:r>
    </w:p>
    <w:p w14:paraId="69F6835C" w14:textId="77777777" w:rsidR="00B33542" w:rsidRPr="005071A1" w:rsidRDefault="00B33542" w:rsidP="00B33542">
      <w:pPr>
        <w:pStyle w:val="paragraph"/>
      </w:pPr>
      <w:r w:rsidRPr="005071A1">
        <w:tab/>
        <w:t>(b)</w:t>
      </w:r>
      <w:r w:rsidRPr="005071A1">
        <w:tab/>
        <w:t xml:space="preserve">the person became so employed in circumstances specified in a determination made for the purposes of the definition of </w:t>
      </w:r>
      <w:r w:rsidRPr="005071A1">
        <w:rPr>
          <w:b/>
          <w:i/>
        </w:rPr>
        <w:t>State employee</w:t>
      </w:r>
      <w:r w:rsidRPr="005071A1">
        <w:t xml:space="preserve"> in </w:t>
      </w:r>
      <w:r w:rsidR="008B2950" w:rsidRPr="005071A1">
        <w:t>subsection (</w:t>
      </w:r>
      <w:r w:rsidRPr="005071A1">
        <w:t xml:space="preserve">1) of </w:t>
      </w:r>
      <w:r w:rsidR="004510F0">
        <w:t>section 1</w:t>
      </w:r>
      <w:r w:rsidRPr="005071A1">
        <w:t>07A; and</w:t>
      </w:r>
    </w:p>
    <w:p w14:paraId="311A47D1" w14:textId="77777777" w:rsidR="00B33542" w:rsidRPr="005071A1" w:rsidRDefault="00B33542" w:rsidP="00B33542">
      <w:pPr>
        <w:pStyle w:val="paragraph"/>
      </w:pPr>
      <w:r w:rsidRPr="005071A1">
        <w:tab/>
        <w:t>(c)</w:t>
      </w:r>
      <w:r w:rsidRPr="005071A1">
        <w:tab/>
        <w:t>during a continuous period that ended immediately before he became so employed, the person:</w:t>
      </w:r>
    </w:p>
    <w:p w14:paraId="5841DA97" w14:textId="77777777" w:rsidR="00B33542" w:rsidRPr="005071A1" w:rsidRDefault="00B33542" w:rsidP="00B33542">
      <w:pPr>
        <w:pStyle w:val="paragraphsub"/>
      </w:pPr>
      <w:r w:rsidRPr="005071A1">
        <w:tab/>
        <w:t>(i)</w:t>
      </w:r>
      <w:r w:rsidRPr="005071A1">
        <w:tab/>
        <w:t>was employed by the employer by whom he was employed immediately before he became so employed by the Commonwealth;</w:t>
      </w:r>
    </w:p>
    <w:p w14:paraId="716BBF80" w14:textId="77777777" w:rsidR="00B33542" w:rsidRPr="005071A1" w:rsidRDefault="00B33542" w:rsidP="00B33542">
      <w:pPr>
        <w:pStyle w:val="paragraphsub"/>
      </w:pPr>
      <w:r w:rsidRPr="005071A1">
        <w:tab/>
        <w:t>(ii)</w:t>
      </w:r>
      <w:r w:rsidRPr="005071A1">
        <w:tab/>
        <w:t>was required by the terms of his employment to give the whole of his time to the duties of his employment; and</w:t>
      </w:r>
    </w:p>
    <w:p w14:paraId="4D9E79E0" w14:textId="77777777" w:rsidR="00B33542" w:rsidRPr="005071A1" w:rsidRDefault="00B33542" w:rsidP="00B33542">
      <w:pPr>
        <w:pStyle w:val="paragraphsub"/>
        <w:keepNext/>
      </w:pPr>
      <w:r w:rsidRPr="005071A1">
        <w:tab/>
        <w:t>(iii)</w:t>
      </w:r>
      <w:r w:rsidRPr="005071A1">
        <w:tab/>
        <w:t>was not a contributor to the State Fund;</w:t>
      </w:r>
    </w:p>
    <w:p w14:paraId="53B66143" w14:textId="77777777" w:rsidR="00B33542" w:rsidRPr="005071A1" w:rsidRDefault="00B33542" w:rsidP="00B33542">
      <w:pPr>
        <w:pStyle w:val="subsection2"/>
      </w:pPr>
      <w:r w:rsidRPr="005071A1">
        <w:t xml:space="preserve">his employment during that period shall be treated, for the purposes of applying </w:t>
      </w:r>
      <w:r w:rsidR="008B2950" w:rsidRPr="005071A1">
        <w:t>subsection (</w:t>
      </w:r>
      <w:r w:rsidRPr="005071A1">
        <w:t>5) of section</w:t>
      </w:r>
      <w:r w:rsidR="008B2950" w:rsidRPr="005071A1">
        <w:t> </w:t>
      </w:r>
      <w:r w:rsidRPr="005071A1">
        <w:t>4 to and in relation to him, as if it were employment by the Commonwealth.</w:t>
      </w:r>
    </w:p>
    <w:p w14:paraId="16BE2DD8" w14:textId="77777777" w:rsidR="00B33542" w:rsidRPr="005071A1" w:rsidRDefault="00B33542" w:rsidP="00B33542">
      <w:pPr>
        <w:pStyle w:val="ActHead5"/>
      </w:pPr>
      <w:bookmarkStart w:id="182" w:name="_Toc185577564"/>
      <w:r w:rsidRPr="004510F0">
        <w:rPr>
          <w:rStyle w:val="CharSectno"/>
        </w:rPr>
        <w:t>107P</w:t>
      </w:r>
      <w:r w:rsidRPr="005071A1">
        <w:t xml:space="preserve">  References to Board</w:t>
      </w:r>
      <w:bookmarkEnd w:id="182"/>
    </w:p>
    <w:p w14:paraId="18F17D88" w14:textId="77777777" w:rsidR="00B33542" w:rsidRPr="005071A1" w:rsidRDefault="00B33542" w:rsidP="00B33542">
      <w:pPr>
        <w:pStyle w:val="subsection"/>
      </w:pPr>
      <w:r w:rsidRPr="005071A1">
        <w:tab/>
      </w:r>
      <w:r w:rsidRPr="005071A1">
        <w:tab/>
        <w:t>On and after 1</w:t>
      </w:r>
      <w:r w:rsidR="008B2950" w:rsidRPr="005071A1">
        <w:t> </w:t>
      </w:r>
      <w:r w:rsidRPr="005071A1">
        <w:t>July 1976, any reference in this Part to the Board shall, unless the context otherwise requires, be read as including a reference to the Commissioner for Superannuation.</w:t>
      </w:r>
    </w:p>
    <w:p w14:paraId="03697784" w14:textId="77777777" w:rsidR="00B33542" w:rsidRPr="005071A1" w:rsidRDefault="00B33542" w:rsidP="002477D1">
      <w:pPr>
        <w:pStyle w:val="ActHead2"/>
        <w:pageBreakBefore/>
      </w:pPr>
      <w:bookmarkStart w:id="183" w:name="_Toc185577565"/>
      <w:r w:rsidRPr="004510F0">
        <w:rPr>
          <w:rStyle w:val="CharPartNo"/>
        </w:rPr>
        <w:lastRenderedPageBreak/>
        <w:t>Part VIII</w:t>
      </w:r>
      <w:r w:rsidRPr="005071A1">
        <w:t>—</w:t>
      </w:r>
      <w:r w:rsidRPr="004510F0">
        <w:rPr>
          <w:rStyle w:val="CharPartText"/>
        </w:rPr>
        <w:t>Special provisions in relation to certain former contributors to Public Service Superannuation Funds</w:t>
      </w:r>
      <w:bookmarkEnd w:id="183"/>
    </w:p>
    <w:p w14:paraId="001AC3C5" w14:textId="77777777" w:rsidR="00B33542" w:rsidRPr="005071A1" w:rsidRDefault="009B7AF5" w:rsidP="00B33542">
      <w:pPr>
        <w:pStyle w:val="Header"/>
      </w:pPr>
      <w:r w:rsidRPr="004510F0">
        <w:rPr>
          <w:rStyle w:val="CharDivNo"/>
        </w:rPr>
        <w:t xml:space="preserve"> </w:t>
      </w:r>
      <w:r w:rsidRPr="004510F0">
        <w:rPr>
          <w:rStyle w:val="CharDivText"/>
        </w:rPr>
        <w:t xml:space="preserve"> </w:t>
      </w:r>
    </w:p>
    <w:p w14:paraId="1DD5149D" w14:textId="77777777" w:rsidR="00B33542" w:rsidRPr="005071A1" w:rsidRDefault="00B33542" w:rsidP="00B33542">
      <w:pPr>
        <w:pStyle w:val="ActHead5"/>
      </w:pPr>
      <w:bookmarkStart w:id="184" w:name="_Toc185577566"/>
      <w:r w:rsidRPr="004510F0">
        <w:rPr>
          <w:rStyle w:val="CharSectno"/>
        </w:rPr>
        <w:t>108</w:t>
      </w:r>
      <w:r w:rsidRPr="005071A1">
        <w:t xml:space="preserve">  Interpretation</w:t>
      </w:r>
      <w:bookmarkEnd w:id="184"/>
    </w:p>
    <w:p w14:paraId="12849FC9" w14:textId="77777777" w:rsidR="00B33542" w:rsidRPr="005071A1" w:rsidRDefault="00B33542" w:rsidP="00B33542">
      <w:pPr>
        <w:pStyle w:val="subsection"/>
      </w:pPr>
      <w:r w:rsidRPr="005071A1">
        <w:tab/>
        <w:t>(1)</w:t>
      </w:r>
      <w:r w:rsidRPr="005071A1">
        <w:tab/>
        <w:t xml:space="preserve">In this Part, </w:t>
      </w:r>
      <w:r w:rsidRPr="005071A1">
        <w:rPr>
          <w:b/>
          <w:i/>
        </w:rPr>
        <w:t>Public Service Superannuation Fund</w:t>
      </w:r>
      <w:r w:rsidRPr="005071A1">
        <w:t xml:space="preserve"> means a fund or account established under the law of a State to provide superannuation or other similar benefits for persons employed in the Public Service of that State and includes such other funds or accounts as are specified by regulations made for the purposes of this section before the commencement of the </w:t>
      </w:r>
      <w:r w:rsidRPr="005071A1">
        <w:rPr>
          <w:i/>
        </w:rPr>
        <w:t xml:space="preserve">Superannuation Act 1971 </w:t>
      </w:r>
      <w:r w:rsidRPr="005071A1">
        <w:t>to be Public Service Superannuation Funds for the purposes of this Act.</w:t>
      </w:r>
    </w:p>
    <w:p w14:paraId="04F28E3B" w14:textId="77777777" w:rsidR="00B33542" w:rsidRPr="005071A1" w:rsidRDefault="00B33542" w:rsidP="00B33542">
      <w:pPr>
        <w:pStyle w:val="subsection"/>
      </w:pPr>
      <w:r w:rsidRPr="005071A1">
        <w:tab/>
        <w:t>(2)</w:t>
      </w:r>
      <w:r w:rsidRPr="005071A1">
        <w:tab/>
        <w:t>For the purposes of this Part, regard shall not be had to so much (if any) of the amount refunded to a person from a Public Service Superannuation Fund upon his ceasing to be a contributor to that Fund as was refunded to him in respect of contributions paid by him to that Fund that were of a similar nature to contributions under this Act for reserve units of pension.</w:t>
      </w:r>
    </w:p>
    <w:p w14:paraId="6847275A" w14:textId="77777777" w:rsidR="00B33542" w:rsidRPr="005071A1" w:rsidRDefault="00B33542" w:rsidP="00B33542">
      <w:pPr>
        <w:pStyle w:val="ActHead5"/>
      </w:pPr>
      <w:bookmarkStart w:id="185" w:name="_Toc185577567"/>
      <w:r w:rsidRPr="004510F0">
        <w:rPr>
          <w:rStyle w:val="CharSectno"/>
        </w:rPr>
        <w:t>108A</w:t>
      </w:r>
      <w:r w:rsidRPr="005071A1">
        <w:t xml:space="preserve">  Application</w:t>
      </w:r>
      <w:bookmarkEnd w:id="185"/>
    </w:p>
    <w:p w14:paraId="0CBD9133" w14:textId="77777777" w:rsidR="00B33542" w:rsidRPr="005071A1" w:rsidRDefault="00B33542" w:rsidP="00B33542">
      <w:pPr>
        <w:pStyle w:val="subsection"/>
      </w:pPr>
      <w:r w:rsidRPr="005071A1">
        <w:tab/>
      </w:r>
      <w:r w:rsidRPr="005071A1">
        <w:tab/>
        <w:t>This Part does not apply to or in relation to an employee who is a State employee for the purposes of Part VIIA.</w:t>
      </w:r>
    </w:p>
    <w:p w14:paraId="5F77FB69" w14:textId="77777777" w:rsidR="00B33542" w:rsidRPr="005071A1" w:rsidRDefault="00B33542" w:rsidP="00B33542">
      <w:pPr>
        <w:pStyle w:val="ActHead5"/>
      </w:pPr>
      <w:bookmarkStart w:id="186" w:name="_Toc185577568"/>
      <w:r w:rsidRPr="004510F0">
        <w:rPr>
          <w:rStyle w:val="CharSectno"/>
        </w:rPr>
        <w:lastRenderedPageBreak/>
        <w:t>109</w:t>
      </w:r>
      <w:r w:rsidRPr="005071A1">
        <w:t xml:space="preserve">  Former contributors to Public Service Superannuation Funds who elect to pay refunds to Board</w:t>
      </w:r>
      <w:bookmarkEnd w:id="186"/>
    </w:p>
    <w:p w14:paraId="18F4D997" w14:textId="77777777" w:rsidR="00B33542" w:rsidRPr="005071A1" w:rsidRDefault="00B33542" w:rsidP="00B33542">
      <w:pPr>
        <w:pStyle w:val="subsection"/>
      </w:pPr>
      <w:r w:rsidRPr="005071A1">
        <w:tab/>
        <w:t>(1)</w:t>
      </w:r>
      <w:r w:rsidRPr="005071A1">
        <w:tab/>
        <w:t>Where:</w:t>
      </w:r>
    </w:p>
    <w:p w14:paraId="044C45A8" w14:textId="77777777" w:rsidR="00B33542" w:rsidRPr="005071A1" w:rsidRDefault="00B33542" w:rsidP="00B33542">
      <w:pPr>
        <w:pStyle w:val="paragraph"/>
      </w:pPr>
      <w:r w:rsidRPr="005071A1">
        <w:tab/>
        <w:t>(a)</w:t>
      </w:r>
      <w:r w:rsidRPr="005071A1">
        <w:tab/>
        <w:t xml:space="preserve">an employee who becomes a contributor after the commencement of the </w:t>
      </w:r>
      <w:r w:rsidRPr="005071A1">
        <w:rPr>
          <w:i/>
        </w:rPr>
        <w:t xml:space="preserve">Superannuation Act 1971 </w:t>
      </w:r>
      <w:r w:rsidRPr="005071A1">
        <w:t>was, immediately before becoming an employee, a contributor to a Public Service Superannuation Fund;</w:t>
      </w:r>
    </w:p>
    <w:p w14:paraId="7D1902AA" w14:textId="77777777" w:rsidR="00B33542" w:rsidRPr="005071A1" w:rsidRDefault="00B33542" w:rsidP="00B33542">
      <w:pPr>
        <w:pStyle w:val="paragraph"/>
      </w:pPr>
      <w:r w:rsidRPr="005071A1">
        <w:tab/>
        <w:t>(b)</w:t>
      </w:r>
      <w:r w:rsidRPr="005071A1">
        <w:tab/>
        <w:t>he elects within three months after becoming an employee to pay to the Board an amount equal to the amount refunded to him from the Public Service Superannuation Fund upon his ceasing to be a contributor to that Fund; and</w:t>
      </w:r>
    </w:p>
    <w:p w14:paraId="43881C48" w14:textId="77777777" w:rsidR="00B33542" w:rsidRPr="005071A1" w:rsidRDefault="00B33542" w:rsidP="00B33542">
      <w:pPr>
        <w:pStyle w:val="paragraph"/>
        <w:keepNext/>
      </w:pPr>
      <w:r w:rsidRPr="005071A1">
        <w:tab/>
        <w:t>(c)</w:t>
      </w:r>
      <w:r w:rsidRPr="005071A1">
        <w:tab/>
        <w:t>that amount has, before the expiration of three months after he became an employee, been paid to the Board;</w:t>
      </w:r>
    </w:p>
    <w:p w14:paraId="57B1DEFB" w14:textId="77777777" w:rsidR="00B33542" w:rsidRPr="005071A1" w:rsidRDefault="00B33542" w:rsidP="00B33542">
      <w:pPr>
        <w:pStyle w:val="subsection2"/>
      </w:pPr>
      <w:r w:rsidRPr="005071A1">
        <w:t>the succeeding provisions of this section have effect.</w:t>
      </w:r>
    </w:p>
    <w:p w14:paraId="5DC42171" w14:textId="77777777" w:rsidR="00B33542" w:rsidRPr="005071A1" w:rsidRDefault="00B33542" w:rsidP="00B33542">
      <w:pPr>
        <w:pStyle w:val="subsection"/>
      </w:pPr>
      <w:r w:rsidRPr="005071A1">
        <w:tab/>
        <w:t>(2)</w:t>
      </w:r>
      <w:r w:rsidRPr="005071A1">
        <w:tab/>
        <w:t xml:space="preserve">The Board may, if it is satisfied that there are special circumstances that justify it in so doing, extend the period for the making of an election and the payment of an amount to the Board under </w:t>
      </w:r>
      <w:r w:rsidR="008B2950" w:rsidRPr="005071A1">
        <w:t>subsection (</w:t>
      </w:r>
      <w:r w:rsidRPr="005071A1">
        <w:t>1).</w:t>
      </w:r>
    </w:p>
    <w:p w14:paraId="4843D939" w14:textId="77777777" w:rsidR="00B33542" w:rsidRPr="005071A1" w:rsidRDefault="00B33542" w:rsidP="00B33542">
      <w:pPr>
        <w:pStyle w:val="subsection"/>
      </w:pPr>
      <w:r w:rsidRPr="005071A1">
        <w:tab/>
        <w:t>(3)</w:t>
      </w:r>
      <w:r w:rsidRPr="005071A1">
        <w:tab/>
        <w:t>The Board shall determine the number of units of pension (including, where necessary, a fraction of a unit of pension) that was equivalent, as at the date on which the employee became a contributor, to the amount refunded to the employee from the Public Service Superannuation Fund upon his ceasing to be a contributor to that Fund, and the employee shall be deemed to be a contributor for that number of units of pension but is not required to make contributions for or in respect of those units of pension.</w:t>
      </w:r>
    </w:p>
    <w:p w14:paraId="6DF12C22" w14:textId="77777777" w:rsidR="00B33542" w:rsidRPr="005071A1" w:rsidRDefault="00B33542" w:rsidP="00B33542">
      <w:pPr>
        <w:pStyle w:val="subsection"/>
      </w:pPr>
      <w:r w:rsidRPr="005071A1">
        <w:tab/>
        <w:t>(4)</w:t>
      </w:r>
      <w:r w:rsidRPr="005071A1">
        <w:tab/>
        <w:t>An amount paid to the Board under this section shall be paid by the Board to the Fund and, when so paid, shall be deemed, for the purposes of this Act, to be contributions made to the Fund by the employee.</w:t>
      </w:r>
    </w:p>
    <w:p w14:paraId="5836F8AE" w14:textId="77777777" w:rsidR="00B33542" w:rsidRPr="005071A1" w:rsidRDefault="00B33542" w:rsidP="00B33542">
      <w:pPr>
        <w:pStyle w:val="subsection"/>
      </w:pPr>
      <w:r w:rsidRPr="005071A1">
        <w:lastRenderedPageBreak/>
        <w:tab/>
        <w:t>(5)</w:t>
      </w:r>
      <w:r w:rsidRPr="005071A1">
        <w:tab/>
        <w:t xml:space="preserve">If at any time the number of units of pension for which an employee to whom </w:t>
      </w:r>
      <w:r w:rsidR="008B2950" w:rsidRPr="005071A1">
        <w:t>subsection (</w:t>
      </w:r>
      <w:r w:rsidRPr="005071A1">
        <w:t xml:space="preserve">1) applies would, but for this section, be required to contribute to the Fund does not exceed the number of units of pension specified in the determination made by the Board in relation to him under </w:t>
      </w:r>
      <w:r w:rsidR="008B2950" w:rsidRPr="005071A1">
        <w:t>subsection (</w:t>
      </w:r>
      <w:r w:rsidRPr="005071A1">
        <w:t>3), the employees shall not be required or permitted to contribute to the Fund at that time in respect of units of pension.</w:t>
      </w:r>
    </w:p>
    <w:p w14:paraId="4FEF0D71" w14:textId="77777777" w:rsidR="00B33542" w:rsidRPr="005071A1" w:rsidRDefault="00B33542" w:rsidP="00B33542">
      <w:pPr>
        <w:pStyle w:val="subsection"/>
      </w:pPr>
      <w:r w:rsidRPr="005071A1">
        <w:tab/>
        <w:t>(6)</w:t>
      </w:r>
      <w:r w:rsidRPr="005071A1">
        <w:tab/>
        <w:t xml:space="preserve">If at any time the number of units of pension for which an employee to whom </w:t>
      </w:r>
      <w:r w:rsidR="008B2950" w:rsidRPr="005071A1">
        <w:t>subsection (</w:t>
      </w:r>
      <w:r w:rsidRPr="005071A1">
        <w:t xml:space="preserve">1) applies would, but for this section, be required to contribute to the Fund exceeds the number of units of pension specified in the determination made by the Board in relation to him under </w:t>
      </w:r>
      <w:r w:rsidR="008B2950" w:rsidRPr="005071A1">
        <w:t>subsection (</w:t>
      </w:r>
      <w:r w:rsidRPr="005071A1">
        <w:t>3), the employee shall not be required or permitted to contribute to the Fund at that time in respect of a number of units of pension greater than the excess.</w:t>
      </w:r>
    </w:p>
    <w:p w14:paraId="20E386EA" w14:textId="77777777" w:rsidR="00B33542" w:rsidRPr="005071A1" w:rsidRDefault="00B33542" w:rsidP="00B33542">
      <w:pPr>
        <w:pStyle w:val="subsection"/>
      </w:pPr>
      <w:r w:rsidRPr="005071A1">
        <w:tab/>
        <w:t>(7)</w:t>
      </w:r>
      <w:r w:rsidRPr="005071A1">
        <w:tab/>
        <w:t xml:space="preserve">Nothing in this Act shall be taken to require or permit a reduction in the number of units of pension for which an employee to whom </w:t>
      </w:r>
      <w:r w:rsidR="008B2950" w:rsidRPr="005071A1">
        <w:t>subsection (</w:t>
      </w:r>
      <w:r w:rsidRPr="005071A1">
        <w:t xml:space="preserve">1) applies is a contributor to a number that is less than the number of units of pension that are specified in the determination made by the Board in relation to him under </w:t>
      </w:r>
      <w:r w:rsidR="008B2950" w:rsidRPr="005071A1">
        <w:t>subsection (</w:t>
      </w:r>
      <w:r w:rsidRPr="005071A1">
        <w:t>3).</w:t>
      </w:r>
    </w:p>
    <w:p w14:paraId="53BB70D6" w14:textId="77777777" w:rsidR="00B33542" w:rsidRPr="005071A1" w:rsidRDefault="00B33542" w:rsidP="00B33542">
      <w:pPr>
        <w:pStyle w:val="ActHead5"/>
      </w:pPr>
      <w:bookmarkStart w:id="187" w:name="_Toc185577569"/>
      <w:r w:rsidRPr="004510F0">
        <w:rPr>
          <w:rStyle w:val="CharSectno"/>
        </w:rPr>
        <w:t>110</w:t>
      </w:r>
      <w:r w:rsidRPr="005071A1">
        <w:t xml:space="preserve">  Former contributors to Public Service Superannuation Funds who do not elect to pay refunds to Board</w:t>
      </w:r>
      <w:bookmarkEnd w:id="187"/>
    </w:p>
    <w:p w14:paraId="58E49390" w14:textId="77777777" w:rsidR="00B33542" w:rsidRPr="005071A1" w:rsidRDefault="00B33542" w:rsidP="00B33542">
      <w:pPr>
        <w:pStyle w:val="subsection"/>
        <w:keepNext/>
      </w:pPr>
      <w:r w:rsidRPr="005071A1">
        <w:tab/>
        <w:t>(1)</w:t>
      </w:r>
      <w:r w:rsidRPr="005071A1">
        <w:tab/>
        <w:t>Where:</w:t>
      </w:r>
    </w:p>
    <w:p w14:paraId="53FDE2A3" w14:textId="77777777" w:rsidR="00B33542" w:rsidRPr="005071A1" w:rsidRDefault="00B33542" w:rsidP="00B33542">
      <w:pPr>
        <w:pStyle w:val="paragraph"/>
      </w:pPr>
      <w:r w:rsidRPr="005071A1">
        <w:tab/>
        <w:t>(a)</w:t>
      </w:r>
      <w:r w:rsidRPr="005071A1">
        <w:tab/>
        <w:t xml:space="preserve">an employee who becomes a contributor after the commencement of the </w:t>
      </w:r>
      <w:r w:rsidRPr="005071A1">
        <w:rPr>
          <w:i/>
        </w:rPr>
        <w:t xml:space="preserve">Superannuation Act 1971 </w:t>
      </w:r>
      <w:r w:rsidRPr="005071A1">
        <w:t>was, immediately before becoming an employee, a contributor to a Public Service Superannuation Fund; and</w:t>
      </w:r>
    </w:p>
    <w:p w14:paraId="4DEC7390" w14:textId="77777777" w:rsidR="00B33542" w:rsidRPr="005071A1" w:rsidRDefault="00B33542" w:rsidP="00B33542">
      <w:pPr>
        <w:pStyle w:val="paragraph"/>
        <w:keepNext/>
      </w:pPr>
      <w:r w:rsidRPr="005071A1">
        <w:tab/>
        <w:t>(b)</w:t>
      </w:r>
      <w:r w:rsidRPr="005071A1">
        <w:tab/>
      </w:r>
      <w:r w:rsidR="004510F0">
        <w:t>section 1</w:t>
      </w:r>
      <w:r w:rsidRPr="005071A1">
        <w:t>09 does not apply in relation to him;</w:t>
      </w:r>
    </w:p>
    <w:p w14:paraId="031A27D1" w14:textId="77777777" w:rsidR="00B33542" w:rsidRPr="005071A1" w:rsidRDefault="00B33542" w:rsidP="00B33542">
      <w:pPr>
        <w:pStyle w:val="subsection2"/>
      </w:pPr>
      <w:r w:rsidRPr="005071A1">
        <w:t>the succeeding provisions of this section have effect.</w:t>
      </w:r>
    </w:p>
    <w:p w14:paraId="1D7641DD" w14:textId="77777777" w:rsidR="00B33542" w:rsidRPr="005071A1" w:rsidRDefault="00B33542" w:rsidP="00B33542">
      <w:pPr>
        <w:pStyle w:val="subsection"/>
      </w:pPr>
      <w:r w:rsidRPr="005071A1">
        <w:lastRenderedPageBreak/>
        <w:tab/>
        <w:t>(2)</w:t>
      </w:r>
      <w:r w:rsidRPr="005071A1">
        <w:tab/>
        <w:t>If at any time the number of units of pension for which the employee would, but for this section, be required to contribute to the Fund does not exceed such number of units of pension (including, where necessary, a fraction of a unit of pension) as the Board determines to have been equivalent, as at the date on which he became a contributor, to the amount refunded to him from the Public Service Superannuation Fund upon his ceasing to be a contributor to that Fund, the employee shall not be required or permitted to contribute to the Fund at that time in respect of units of pension.</w:t>
      </w:r>
    </w:p>
    <w:p w14:paraId="5CC972F5" w14:textId="77777777" w:rsidR="00B33542" w:rsidRPr="005071A1" w:rsidRDefault="0086505B" w:rsidP="00B33542">
      <w:pPr>
        <w:pStyle w:val="subsection"/>
      </w:pPr>
      <w:r w:rsidRPr="005071A1">
        <w:tab/>
      </w:r>
      <w:r w:rsidR="00B33542" w:rsidRPr="005071A1">
        <w:t>(3)</w:t>
      </w:r>
      <w:r w:rsidR="00B33542" w:rsidRPr="005071A1">
        <w:tab/>
        <w:t xml:space="preserve">If at any time the number of units of pension for which the employee would, but for this section, be required to contribute to the Fund exceeds the number of units of pension that are specified in the determination made by the Board in relation to him under </w:t>
      </w:r>
      <w:r w:rsidR="008B2950" w:rsidRPr="005071A1">
        <w:t>subsection (</w:t>
      </w:r>
      <w:r w:rsidR="00B33542" w:rsidRPr="005071A1">
        <w:t>2), the employee shall not be required or permitted to contribute to the Fund at that time in respect of a number of units of pension greater than the excess.</w:t>
      </w:r>
    </w:p>
    <w:p w14:paraId="374C1046" w14:textId="77777777" w:rsidR="00B33542" w:rsidRPr="005071A1" w:rsidRDefault="00B33542" w:rsidP="00B33542">
      <w:pPr>
        <w:pStyle w:val="ActHead5"/>
      </w:pPr>
      <w:bookmarkStart w:id="188" w:name="_Toc185577570"/>
      <w:r w:rsidRPr="004510F0">
        <w:rPr>
          <w:rStyle w:val="CharSectno"/>
        </w:rPr>
        <w:t>110A</w:t>
      </w:r>
      <w:r w:rsidRPr="005071A1">
        <w:t xml:space="preserve">  Determination in respect of employee who has not elected under section</w:t>
      </w:r>
      <w:r w:rsidR="008B2950" w:rsidRPr="005071A1">
        <w:t> </w:t>
      </w:r>
      <w:r w:rsidRPr="005071A1">
        <w:t>24</w:t>
      </w:r>
      <w:bookmarkEnd w:id="188"/>
    </w:p>
    <w:p w14:paraId="7C191D26" w14:textId="77777777" w:rsidR="00B33542" w:rsidRPr="005071A1" w:rsidRDefault="00B33542" w:rsidP="00B33542">
      <w:pPr>
        <w:pStyle w:val="subsection"/>
      </w:pPr>
      <w:r w:rsidRPr="005071A1">
        <w:tab/>
      </w:r>
      <w:r w:rsidRPr="005071A1">
        <w:tab/>
        <w:t xml:space="preserve">A determination made for the purposes of </w:t>
      </w:r>
      <w:r w:rsidR="004510F0">
        <w:t>section 1</w:t>
      </w:r>
      <w:r w:rsidRPr="005071A1">
        <w:t>09 or 110 in relation to an employee who has not made an election under section</w:t>
      </w:r>
      <w:r w:rsidR="008B2950" w:rsidRPr="005071A1">
        <w:t> </w:t>
      </w:r>
      <w:r w:rsidRPr="005071A1">
        <w:t>24 may specify different numbers of units of pension as having been equivalent to the amount refunded to him from the Public Service Superannuation Fund upon his ceasing to be a contributor to that Fund, according to whether or not the employee makes such an election after the determination is made.</w:t>
      </w:r>
    </w:p>
    <w:p w14:paraId="6A804532" w14:textId="77777777" w:rsidR="00B33542" w:rsidRPr="005071A1" w:rsidRDefault="00B33542" w:rsidP="00B33542">
      <w:pPr>
        <w:pStyle w:val="ActHead5"/>
      </w:pPr>
      <w:bookmarkStart w:id="189" w:name="_Toc185577571"/>
      <w:r w:rsidRPr="004510F0">
        <w:rPr>
          <w:rStyle w:val="CharSectno"/>
        </w:rPr>
        <w:t>110B</w:t>
      </w:r>
      <w:r w:rsidRPr="005071A1">
        <w:t xml:space="preserve">  Board to make determinations on actuarial advice</w:t>
      </w:r>
      <w:bookmarkEnd w:id="189"/>
    </w:p>
    <w:p w14:paraId="55EB7BE2" w14:textId="77777777" w:rsidR="00B33542" w:rsidRPr="005071A1" w:rsidRDefault="00B33542" w:rsidP="00B33542">
      <w:pPr>
        <w:pStyle w:val="subsection"/>
      </w:pPr>
      <w:r w:rsidRPr="005071A1">
        <w:tab/>
        <w:t>(1)</w:t>
      </w:r>
      <w:r w:rsidRPr="005071A1">
        <w:tab/>
        <w:t>The Board shall make a determination for the purposes of this Part only after receiving advice in writing from an actuary.</w:t>
      </w:r>
    </w:p>
    <w:p w14:paraId="45FC7C72" w14:textId="77777777" w:rsidR="00B33542" w:rsidRPr="005071A1" w:rsidRDefault="00B33542" w:rsidP="00B33542">
      <w:pPr>
        <w:pStyle w:val="subsection"/>
      </w:pPr>
      <w:r w:rsidRPr="005071A1">
        <w:lastRenderedPageBreak/>
        <w:tab/>
        <w:t>(2)</w:t>
      </w:r>
      <w:r w:rsidRPr="005071A1">
        <w:tab/>
        <w:t>Where, in pursuance of this Part, the Board has power to make a determination in relation to a matter, the power shall be construed as including a power, exercisable in the like manner and subject to the like conditions (if any), to vary a determination so made.</w:t>
      </w:r>
    </w:p>
    <w:p w14:paraId="023EF81C" w14:textId="77777777" w:rsidR="00B33542" w:rsidRPr="005071A1" w:rsidRDefault="00B33542" w:rsidP="00B33542">
      <w:pPr>
        <w:pStyle w:val="subsection"/>
      </w:pPr>
      <w:r w:rsidRPr="005071A1">
        <w:tab/>
        <w:t>(3)</w:t>
      </w:r>
      <w:r w:rsidRPr="005071A1">
        <w:tab/>
        <w:t xml:space="preserve">In furnishing advice to the Board in relation to the determination by the Board, for the purposes of </w:t>
      </w:r>
      <w:r w:rsidR="004510F0">
        <w:t>section 1</w:t>
      </w:r>
      <w:r w:rsidRPr="005071A1">
        <w:t xml:space="preserve">09 or </w:t>
      </w:r>
      <w:r w:rsidR="004510F0">
        <w:t>section 1</w:t>
      </w:r>
      <w:r w:rsidRPr="005071A1">
        <w:t>10, of the number of units of pension that were equivalent to an amount refunded to a person from a Public Service Superannuation Fund, an actuary shall have regard to actuarial principles and practice and shall take into account all relevant matters, including:</w:t>
      </w:r>
    </w:p>
    <w:p w14:paraId="44C103B8" w14:textId="77777777" w:rsidR="00B33542" w:rsidRPr="005071A1" w:rsidRDefault="00B33542" w:rsidP="00B33542">
      <w:pPr>
        <w:pStyle w:val="paragraph"/>
      </w:pPr>
      <w:r w:rsidRPr="005071A1">
        <w:tab/>
        <w:t>(a)</w:t>
      </w:r>
      <w:r w:rsidRPr="005071A1">
        <w:tab/>
        <w:t>the age of the person at the date on which he became a contributor;</w:t>
      </w:r>
    </w:p>
    <w:p w14:paraId="3BB87081" w14:textId="77777777" w:rsidR="00B33542" w:rsidRPr="005071A1" w:rsidRDefault="00B33542" w:rsidP="00B33542">
      <w:pPr>
        <w:pStyle w:val="paragraph"/>
      </w:pPr>
      <w:r w:rsidRPr="005071A1">
        <w:tab/>
        <w:t>(b)</w:t>
      </w:r>
      <w:r w:rsidRPr="005071A1">
        <w:tab/>
        <w:t>whether the person has made an election under section</w:t>
      </w:r>
      <w:r w:rsidR="008B2950" w:rsidRPr="005071A1">
        <w:t> </w:t>
      </w:r>
      <w:r w:rsidRPr="005071A1">
        <w:t>24;</w:t>
      </w:r>
    </w:p>
    <w:p w14:paraId="2DC0DA5C" w14:textId="77777777" w:rsidR="00B33542" w:rsidRPr="005071A1" w:rsidRDefault="00B33542" w:rsidP="00B33542">
      <w:pPr>
        <w:pStyle w:val="paragraph"/>
      </w:pPr>
      <w:r w:rsidRPr="005071A1">
        <w:tab/>
        <w:t>(c)</w:t>
      </w:r>
      <w:r w:rsidRPr="005071A1">
        <w:tab/>
        <w:t>the respective rates of mortality, invalidity and withdrawal from the Fund that are assumed, for the purposes of the advice, to apply in relation to the class of contributors in which the person is included; and</w:t>
      </w:r>
    </w:p>
    <w:p w14:paraId="5A85B890" w14:textId="77777777" w:rsidR="00B33542" w:rsidRPr="005071A1" w:rsidRDefault="00B33542" w:rsidP="00B33542">
      <w:pPr>
        <w:pStyle w:val="paragraph"/>
      </w:pPr>
      <w:r w:rsidRPr="005071A1">
        <w:tab/>
        <w:t>(d)</w:t>
      </w:r>
      <w:r w:rsidRPr="005071A1">
        <w:tab/>
        <w:t>the rates of interest that it is assumed, for the purposes of the advice, will be earned by the assets of the Fund.</w:t>
      </w:r>
    </w:p>
    <w:p w14:paraId="57064E8B" w14:textId="77777777" w:rsidR="00B33542" w:rsidRPr="005071A1" w:rsidRDefault="00B33542" w:rsidP="00B33542">
      <w:pPr>
        <w:pStyle w:val="subsection"/>
      </w:pPr>
      <w:r w:rsidRPr="005071A1">
        <w:tab/>
        <w:t>(4)</w:t>
      </w:r>
      <w:r w:rsidRPr="005071A1">
        <w:tab/>
        <w:t>For the purpose of any advice to be furnished to the Board by an actuary in relation to the determination of the number of units of pension that were equivalent to an amount refunded to a person from a Public Service Superannuation Fund, the amount so refunded shall be treated as if it were increased by an amount equal to two and one</w:t>
      </w:r>
      <w:r w:rsidR="004510F0">
        <w:noBreakHyphen/>
      </w:r>
      <w:r w:rsidRPr="005071A1">
        <w:t>half times that amount.</w:t>
      </w:r>
    </w:p>
    <w:p w14:paraId="2800095B" w14:textId="77777777" w:rsidR="00B33542" w:rsidRPr="005071A1" w:rsidRDefault="00B33542" w:rsidP="00B33542">
      <w:pPr>
        <w:pStyle w:val="ActHead5"/>
      </w:pPr>
      <w:bookmarkStart w:id="190" w:name="_Toc185577572"/>
      <w:r w:rsidRPr="004510F0">
        <w:rPr>
          <w:rStyle w:val="CharSectno"/>
        </w:rPr>
        <w:t>110C</w:t>
      </w:r>
      <w:r w:rsidRPr="005071A1">
        <w:t xml:space="preserve">  Part VIII not to apply in certain cases</w:t>
      </w:r>
      <w:bookmarkEnd w:id="190"/>
    </w:p>
    <w:p w14:paraId="2473C040" w14:textId="77777777" w:rsidR="00B33542" w:rsidRPr="005071A1" w:rsidRDefault="00B33542" w:rsidP="00B33542">
      <w:pPr>
        <w:pStyle w:val="subsection"/>
      </w:pPr>
      <w:r w:rsidRPr="005071A1">
        <w:tab/>
        <w:t>(1)</w:t>
      </w:r>
      <w:r w:rsidRPr="005071A1">
        <w:tab/>
        <w:t xml:space="preserve">This Part does not apply in relation to an employee if, but for the refund to him of an amount from a Public Service Superannuation Fund, a transfer value referred to in </w:t>
      </w:r>
      <w:r w:rsidR="008B2950" w:rsidRPr="005071A1">
        <w:t>paragraph (</w:t>
      </w:r>
      <w:r w:rsidRPr="005071A1">
        <w:t xml:space="preserve">b), or a prescribed </w:t>
      </w:r>
      <w:r w:rsidRPr="005071A1">
        <w:lastRenderedPageBreak/>
        <w:t xml:space="preserve">pension referred to in </w:t>
      </w:r>
      <w:r w:rsidR="008B2950" w:rsidRPr="005071A1">
        <w:t>paragraph (</w:t>
      </w:r>
      <w:r w:rsidRPr="005071A1">
        <w:t xml:space="preserve">d), of </w:t>
      </w:r>
      <w:r w:rsidR="008B2950" w:rsidRPr="005071A1">
        <w:t>subsection (</w:t>
      </w:r>
      <w:r w:rsidRPr="005071A1">
        <w:t xml:space="preserve">1) of </w:t>
      </w:r>
      <w:r w:rsidR="004510F0">
        <w:t>section 1</w:t>
      </w:r>
      <w:r w:rsidRPr="005071A1">
        <w:t xml:space="preserve">19H would have become payable to or in respect of him or deferred benefits referred to in </w:t>
      </w:r>
      <w:r w:rsidR="008B2950" w:rsidRPr="005071A1">
        <w:t>paragraph (</w:t>
      </w:r>
      <w:r w:rsidRPr="005071A1">
        <w:t>f) of that subsection would have become applicable in respect of him.</w:t>
      </w:r>
    </w:p>
    <w:p w14:paraId="07A32913" w14:textId="77777777" w:rsidR="00B33542" w:rsidRPr="005071A1" w:rsidRDefault="00B33542" w:rsidP="00B33542">
      <w:pPr>
        <w:pStyle w:val="subsection"/>
      </w:pPr>
      <w:r w:rsidRPr="005071A1">
        <w:tab/>
        <w:t>(2)</w:t>
      </w:r>
      <w:r w:rsidRPr="005071A1">
        <w:tab/>
        <w:t xml:space="preserve">Where the application of this </w:t>
      </w:r>
      <w:r w:rsidR="00E872CC" w:rsidRPr="005071A1">
        <w:t>Part i</w:t>
      </w:r>
      <w:r w:rsidRPr="005071A1">
        <w:t xml:space="preserve">n relation to an employee is not excluded by reason of </w:t>
      </w:r>
      <w:r w:rsidR="008B2950" w:rsidRPr="005071A1">
        <w:t>subsection (</w:t>
      </w:r>
      <w:r w:rsidRPr="005071A1">
        <w:t xml:space="preserve">1) of this section but </w:t>
      </w:r>
      <w:r w:rsidR="004510F0">
        <w:t>section 1</w:t>
      </w:r>
      <w:r w:rsidRPr="005071A1">
        <w:t xml:space="preserve">19H applies in relation to him, </w:t>
      </w:r>
      <w:r w:rsidR="008B2950" w:rsidRPr="005071A1">
        <w:t>subsections (</w:t>
      </w:r>
      <w:r w:rsidRPr="005071A1">
        <w:t xml:space="preserve">5) and (6) of </w:t>
      </w:r>
      <w:r w:rsidR="004510F0">
        <w:t>section 1</w:t>
      </w:r>
      <w:r w:rsidRPr="005071A1">
        <w:t xml:space="preserve">09 and </w:t>
      </w:r>
      <w:r w:rsidR="004510F0">
        <w:t>section 1</w:t>
      </w:r>
      <w:r w:rsidRPr="005071A1">
        <w:t>10 do not apply in relation to him.</w:t>
      </w:r>
    </w:p>
    <w:p w14:paraId="196B7EDE" w14:textId="77777777" w:rsidR="00B33542" w:rsidRPr="005071A1" w:rsidRDefault="00B33542" w:rsidP="00B33542">
      <w:pPr>
        <w:pStyle w:val="ActHead5"/>
      </w:pPr>
      <w:bookmarkStart w:id="191" w:name="_Toc185577573"/>
      <w:r w:rsidRPr="004510F0">
        <w:rPr>
          <w:rStyle w:val="CharSectno"/>
        </w:rPr>
        <w:t>110D</w:t>
      </w:r>
      <w:r w:rsidRPr="005071A1">
        <w:t xml:space="preserve">  Application of this Part on and after 1</w:t>
      </w:r>
      <w:r w:rsidR="008B2950" w:rsidRPr="005071A1">
        <w:t> </w:t>
      </w:r>
      <w:r w:rsidRPr="005071A1">
        <w:t>July 1976</w:t>
      </w:r>
      <w:bookmarkEnd w:id="191"/>
    </w:p>
    <w:p w14:paraId="4BEED0A2" w14:textId="77777777" w:rsidR="00B33542" w:rsidRPr="005071A1" w:rsidRDefault="00B33542" w:rsidP="00B33542">
      <w:pPr>
        <w:pStyle w:val="subsection"/>
      </w:pPr>
      <w:r w:rsidRPr="005071A1">
        <w:tab/>
      </w:r>
      <w:r w:rsidRPr="005071A1">
        <w:tab/>
        <w:t>On and after 1</w:t>
      </w:r>
      <w:r w:rsidR="008B2950" w:rsidRPr="005071A1">
        <w:t> </w:t>
      </w:r>
      <w:r w:rsidRPr="005071A1">
        <w:t>July 1976:</w:t>
      </w:r>
    </w:p>
    <w:p w14:paraId="23C6A35B" w14:textId="77777777" w:rsidR="00B33542" w:rsidRPr="005071A1" w:rsidRDefault="00B33542" w:rsidP="00B33542">
      <w:pPr>
        <w:pStyle w:val="paragraph"/>
      </w:pPr>
      <w:r w:rsidRPr="005071A1">
        <w:tab/>
        <w:t>(a)</w:t>
      </w:r>
      <w:r w:rsidRPr="005071A1">
        <w:tab/>
        <w:t>a reference in this Part to the Board shall be read as including a reference to the Commissioner for Superannuation; and</w:t>
      </w:r>
    </w:p>
    <w:p w14:paraId="16759EFF" w14:textId="77777777" w:rsidR="00B33542" w:rsidRPr="005071A1" w:rsidRDefault="00B33542" w:rsidP="00B33542">
      <w:pPr>
        <w:pStyle w:val="paragraph"/>
      </w:pPr>
      <w:r w:rsidRPr="005071A1">
        <w:tab/>
        <w:t>(b)</w:t>
      </w:r>
      <w:r w:rsidRPr="005071A1">
        <w:tab/>
        <w:t xml:space="preserve">the first reference in </w:t>
      </w:r>
      <w:r w:rsidR="008B2950" w:rsidRPr="005071A1">
        <w:t>subsection (</w:t>
      </w:r>
      <w:r w:rsidRPr="005071A1">
        <w:t xml:space="preserve">4) of </w:t>
      </w:r>
      <w:r w:rsidR="004510F0">
        <w:t>section 1</w:t>
      </w:r>
      <w:r w:rsidRPr="005071A1">
        <w:t>09 to the Fund shall be read as a reference to the new Superannuation Fund.</w:t>
      </w:r>
    </w:p>
    <w:p w14:paraId="3961544F" w14:textId="77777777" w:rsidR="00B33542" w:rsidRPr="005071A1" w:rsidRDefault="00B33542" w:rsidP="002477D1">
      <w:pPr>
        <w:pStyle w:val="ActHead2"/>
        <w:pageBreakBefore/>
      </w:pPr>
      <w:bookmarkStart w:id="192" w:name="_Toc185577574"/>
      <w:r w:rsidRPr="004510F0">
        <w:rPr>
          <w:rStyle w:val="CharPartNo"/>
        </w:rPr>
        <w:lastRenderedPageBreak/>
        <w:t>Part IX</w:t>
      </w:r>
      <w:r w:rsidRPr="005071A1">
        <w:t>—</w:t>
      </w:r>
      <w:r w:rsidRPr="004510F0">
        <w:rPr>
          <w:rStyle w:val="CharPartText"/>
        </w:rPr>
        <w:t>Special provisions in relation to certain former contributors to the Defence Forces Retirement Benefits Fund</w:t>
      </w:r>
      <w:bookmarkEnd w:id="192"/>
    </w:p>
    <w:p w14:paraId="65EC32F6" w14:textId="77777777" w:rsidR="00B33542" w:rsidRPr="005071A1" w:rsidRDefault="009B7AF5" w:rsidP="00B33542">
      <w:pPr>
        <w:pStyle w:val="Header"/>
      </w:pPr>
      <w:r w:rsidRPr="004510F0">
        <w:rPr>
          <w:rStyle w:val="CharDivNo"/>
        </w:rPr>
        <w:t xml:space="preserve"> </w:t>
      </w:r>
      <w:r w:rsidRPr="004510F0">
        <w:rPr>
          <w:rStyle w:val="CharDivText"/>
        </w:rPr>
        <w:t xml:space="preserve"> </w:t>
      </w:r>
    </w:p>
    <w:p w14:paraId="316C0686" w14:textId="77777777" w:rsidR="00B33542" w:rsidRPr="005071A1" w:rsidRDefault="00B33542" w:rsidP="00B33542">
      <w:pPr>
        <w:pStyle w:val="ActHead5"/>
      </w:pPr>
      <w:bookmarkStart w:id="193" w:name="_Toc185577575"/>
      <w:r w:rsidRPr="004510F0">
        <w:rPr>
          <w:rStyle w:val="CharSectno"/>
        </w:rPr>
        <w:t>111</w:t>
      </w:r>
      <w:r w:rsidRPr="005071A1">
        <w:t xml:space="preserve">  Application of Part</w:t>
      </w:r>
      <w:bookmarkEnd w:id="193"/>
    </w:p>
    <w:p w14:paraId="1842FF86" w14:textId="77777777" w:rsidR="00B33542" w:rsidRPr="005071A1" w:rsidRDefault="00B33542" w:rsidP="00B33542">
      <w:pPr>
        <w:pStyle w:val="subsection"/>
      </w:pPr>
      <w:r w:rsidRPr="005071A1">
        <w:tab/>
        <w:t>(1)</w:t>
      </w:r>
      <w:r w:rsidRPr="005071A1">
        <w:tab/>
        <w:t>This Part applies to a person:</w:t>
      </w:r>
    </w:p>
    <w:p w14:paraId="5D517E09" w14:textId="77777777" w:rsidR="00B33542" w:rsidRPr="005071A1" w:rsidRDefault="00B33542" w:rsidP="00B33542">
      <w:pPr>
        <w:pStyle w:val="paragraph"/>
      </w:pPr>
      <w:r w:rsidRPr="005071A1">
        <w:tab/>
        <w:t>(a)</w:t>
      </w:r>
      <w:r w:rsidRPr="005071A1">
        <w:tab/>
        <w:t>who, immediately after ceasing to be a member of the Defence Force of the Commonwealth, becomes employed by the Commonwealth or by an approved authority otherwise than as a casual, exempt or temporary employee; and</w:t>
      </w:r>
    </w:p>
    <w:p w14:paraId="1A5D0E9E" w14:textId="77777777" w:rsidR="00B33542" w:rsidRPr="005071A1" w:rsidRDefault="00B33542" w:rsidP="00B33542">
      <w:pPr>
        <w:pStyle w:val="paragraph"/>
      </w:pPr>
      <w:r w:rsidRPr="005071A1">
        <w:tab/>
        <w:t>(b)</w:t>
      </w:r>
      <w:r w:rsidRPr="005071A1">
        <w:tab/>
        <w:t xml:space="preserve">in respect of whom an amount is paid from the Defence Forces Retirement Benefits Fund into the Fund under </w:t>
      </w:r>
      <w:r w:rsidR="004510F0">
        <w:t>Division 3</w:t>
      </w:r>
      <w:r w:rsidRPr="005071A1">
        <w:t xml:space="preserve"> of Part V of the </w:t>
      </w:r>
      <w:r w:rsidRPr="005071A1">
        <w:rPr>
          <w:i/>
        </w:rPr>
        <w:t>Defence Forces Retirement Benefits Act 1948</w:t>
      </w:r>
      <w:r w:rsidR="004510F0">
        <w:rPr>
          <w:i/>
        </w:rPr>
        <w:noBreakHyphen/>
      </w:r>
      <w:r w:rsidRPr="005071A1">
        <w:rPr>
          <w:i/>
        </w:rPr>
        <w:t>1959</w:t>
      </w:r>
      <w:r w:rsidRPr="005071A1">
        <w:t>.</w:t>
      </w:r>
    </w:p>
    <w:p w14:paraId="7F0673B9" w14:textId="77777777" w:rsidR="00B33542" w:rsidRPr="005071A1" w:rsidRDefault="00B33542" w:rsidP="00B33542">
      <w:pPr>
        <w:pStyle w:val="subsection"/>
      </w:pPr>
      <w:r w:rsidRPr="005071A1">
        <w:tab/>
        <w:t>(2)</w:t>
      </w:r>
      <w:r w:rsidRPr="005071A1">
        <w:tab/>
        <w:t>This Part also applies to a person:</w:t>
      </w:r>
    </w:p>
    <w:p w14:paraId="3592867B" w14:textId="77777777" w:rsidR="00B33542" w:rsidRPr="005071A1" w:rsidRDefault="00B33542" w:rsidP="00B33542">
      <w:pPr>
        <w:pStyle w:val="paragraph"/>
      </w:pPr>
      <w:r w:rsidRPr="005071A1">
        <w:tab/>
        <w:t>(a)</w:t>
      </w:r>
      <w:r w:rsidRPr="005071A1">
        <w:tab/>
        <w:t>who, immediately after ceasing to be a member of the Defence Force of the Commonwealth, becomes employed by the Commonwealth or by an approved authority otherwise than in a permanent capacity and is, by the terms of his employment, required to give the whole of his time to the duties of his employment;</w:t>
      </w:r>
    </w:p>
    <w:p w14:paraId="513DE357" w14:textId="77777777" w:rsidR="00B33542" w:rsidRPr="005071A1" w:rsidRDefault="00B33542" w:rsidP="00B33542">
      <w:pPr>
        <w:pStyle w:val="paragraph"/>
      </w:pPr>
      <w:r w:rsidRPr="005071A1">
        <w:tab/>
        <w:t>(b)</w:t>
      </w:r>
      <w:r w:rsidRPr="005071A1">
        <w:tab/>
        <w:t>who, immediately before becoming so employed, had had not less than three years’ continuous service as a member of the Defence Force of the Commonwealth;</w:t>
      </w:r>
    </w:p>
    <w:p w14:paraId="4E476575" w14:textId="77777777" w:rsidR="00B33542" w:rsidRPr="005071A1" w:rsidRDefault="00B33542" w:rsidP="00B33542">
      <w:pPr>
        <w:pStyle w:val="paragraph"/>
      </w:pPr>
      <w:r w:rsidRPr="005071A1">
        <w:tab/>
        <w:t>(c)</w:t>
      </w:r>
      <w:r w:rsidRPr="005071A1">
        <w:tab/>
        <w:t>in respect of whom:</w:t>
      </w:r>
    </w:p>
    <w:p w14:paraId="240C2614" w14:textId="77777777" w:rsidR="00B33542" w:rsidRPr="005071A1" w:rsidRDefault="00B33542" w:rsidP="00B33542">
      <w:pPr>
        <w:pStyle w:val="paragraphsub"/>
      </w:pPr>
      <w:r w:rsidRPr="005071A1">
        <w:tab/>
        <w:t>(i)</w:t>
      </w:r>
      <w:r w:rsidRPr="005071A1">
        <w:tab/>
        <w:t xml:space="preserve">in the case of a person employed by the Commonwealth otherwise than under the </w:t>
      </w:r>
      <w:r w:rsidRPr="005071A1">
        <w:rPr>
          <w:i/>
        </w:rPr>
        <w:t xml:space="preserve">Australian Security </w:t>
      </w:r>
      <w:r w:rsidRPr="005071A1">
        <w:rPr>
          <w:i/>
        </w:rPr>
        <w:lastRenderedPageBreak/>
        <w:t>Intelligence Organization Act 1956</w:t>
      </w:r>
      <w:r w:rsidRPr="005071A1">
        <w:t>—the Public Service Board, or, on appeal from the Public Service Board, the Minister;</w:t>
      </w:r>
    </w:p>
    <w:p w14:paraId="011D8850" w14:textId="77777777" w:rsidR="00B33542" w:rsidRPr="005071A1" w:rsidRDefault="00B33542" w:rsidP="00B33542">
      <w:pPr>
        <w:pStyle w:val="paragraphsub"/>
      </w:pPr>
      <w:r w:rsidRPr="005071A1">
        <w:tab/>
        <w:t>(ii)</w:t>
      </w:r>
      <w:r w:rsidRPr="005071A1">
        <w:tab/>
        <w:t>in the case of a person employed by an approved authority—that approved authority; or</w:t>
      </w:r>
    </w:p>
    <w:p w14:paraId="65031DA2" w14:textId="77777777" w:rsidR="00B33542" w:rsidRPr="005071A1" w:rsidRDefault="00B33542" w:rsidP="00B33542">
      <w:pPr>
        <w:pStyle w:val="paragraphsub"/>
        <w:keepNext/>
      </w:pPr>
      <w:r w:rsidRPr="005071A1">
        <w:tab/>
        <w:t>(iii)</w:t>
      </w:r>
      <w:r w:rsidRPr="005071A1">
        <w:tab/>
        <w:t xml:space="preserve">in the case of a person employed under the </w:t>
      </w:r>
      <w:r w:rsidRPr="005071A1">
        <w:rPr>
          <w:i/>
        </w:rPr>
        <w:t>Australian Security Intelligence Organization Act 1956</w:t>
      </w:r>
      <w:r w:rsidRPr="005071A1">
        <w:t>—the Director</w:t>
      </w:r>
      <w:r w:rsidR="004510F0">
        <w:noBreakHyphen/>
      </w:r>
      <w:r w:rsidRPr="005071A1">
        <w:t>General of Security;</w:t>
      </w:r>
    </w:p>
    <w:p w14:paraId="4394AF03" w14:textId="77777777" w:rsidR="00B33542" w:rsidRPr="005071A1" w:rsidRDefault="00B33542" w:rsidP="00B33542">
      <w:pPr>
        <w:pStyle w:val="paragraph"/>
      </w:pPr>
      <w:r w:rsidRPr="005071A1">
        <w:tab/>
      </w:r>
      <w:r w:rsidRPr="005071A1">
        <w:tab/>
        <w:t>certifies that that person’s employment is likely to be continued for a period of at least seven years; and</w:t>
      </w:r>
    </w:p>
    <w:p w14:paraId="3A0ADF41" w14:textId="77777777" w:rsidR="00B33542" w:rsidRPr="005071A1" w:rsidRDefault="00B33542" w:rsidP="00B33542">
      <w:pPr>
        <w:pStyle w:val="paragraph"/>
      </w:pPr>
      <w:r w:rsidRPr="005071A1">
        <w:tab/>
        <w:t>(d)</w:t>
      </w:r>
      <w:r w:rsidRPr="005071A1">
        <w:tab/>
        <w:t xml:space="preserve">in respect of whom an amount is paid from the Defence Forces Retirement Benefits Fund into the Fund under </w:t>
      </w:r>
      <w:r w:rsidR="004510F0">
        <w:t>Division 3</w:t>
      </w:r>
      <w:r w:rsidRPr="005071A1">
        <w:t xml:space="preserve"> of Part V of the </w:t>
      </w:r>
      <w:r w:rsidRPr="005071A1">
        <w:rPr>
          <w:i/>
        </w:rPr>
        <w:t>Defence Forces Retirement Benefits Act 1948</w:t>
      </w:r>
      <w:r w:rsidR="004510F0">
        <w:rPr>
          <w:i/>
        </w:rPr>
        <w:noBreakHyphen/>
      </w:r>
      <w:r w:rsidRPr="005071A1">
        <w:rPr>
          <w:i/>
        </w:rPr>
        <w:t>1959</w:t>
      </w:r>
      <w:r w:rsidRPr="005071A1">
        <w:t>.</w:t>
      </w:r>
    </w:p>
    <w:p w14:paraId="4E23A04C" w14:textId="77777777" w:rsidR="00B33542" w:rsidRPr="005071A1" w:rsidRDefault="00B33542" w:rsidP="00B33542">
      <w:pPr>
        <w:pStyle w:val="subsection"/>
      </w:pPr>
      <w:r w:rsidRPr="005071A1">
        <w:tab/>
        <w:t>(3)</w:t>
      </w:r>
      <w:r w:rsidRPr="005071A1">
        <w:tab/>
        <w:t xml:space="preserve">Notwithstanding </w:t>
      </w:r>
      <w:r w:rsidR="008B2950" w:rsidRPr="005071A1">
        <w:t>subsections (</w:t>
      </w:r>
      <w:r w:rsidRPr="005071A1">
        <w:t xml:space="preserve">1) and (2), this Part does not apply to a person who becomes employed by the Commonwealth or by an approved authority after the commencement of the </w:t>
      </w:r>
      <w:r w:rsidRPr="005071A1">
        <w:rPr>
          <w:i/>
        </w:rPr>
        <w:t>Superannuation Act 1971</w:t>
      </w:r>
      <w:r w:rsidRPr="005071A1">
        <w:t>.</w:t>
      </w:r>
    </w:p>
    <w:p w14:paraId="47C95BBA" w14:textId="77777777" w:rsidR="00B33542" w:rsidRPr="005071A1" w:rsidRDefault="00B33542" w:rsidP="00B33542">
      <w:pPr>
        <w:pStyle w:val="ActHead5"/>
      </w:pPr>
      <w:bookmarkStart w:id="194" w:name="_Toc185577576"/>
      <w:r w:rsidRPr="004510F0">
        <w:rPr>
          <w:rStyle w:val="CharSectno"/>
        </w:rPr>
        <w:t>112</w:t>
      </w:r>
      <w:r w:rsidRPr="005071A1">
        <w:t xml:space="preserve">  Contributions</w:t>
      </w:r>
      <w:bookmarkEnd w:id="194"/>
    </w:p>
    <w:p w14:paraId="12D0B96D" w14:textId="77777777" w:rsidR="00B33542" w:rsidRPr="005071A1" w:rsidRDefault="00B33542" w:rsidP="00B33542">
      <w:pPr>
        <w:pStyle w:val="subsection"/>
      </w:pPr>
      <w:r w:rsidRPr="005071A1">
        <w:tab/>
        <w:t>(1)</w:t>
      </w:r>
      <w:r w:rsidRPr="005071A1">
        <w:tab/>
        <w:t>A person to whom this Part applies shall contribute to the Fund from the date on which he becomes employed by the Commonwealth or, where he is employed by an approved authority, by that authority, and, if he is not an employee, he shall be deemed to be an employee, for the purposes of this Act, on and after that date.</w:t>
      </w:r>
    </w:p>
    <w:p w14:paraId="6C664FAE" w14:textId="77777777" w:rsidR="00B33542" w:rsidRPr="005071A1" w:rsidRDefault="00B33542" w:rsidP="00B33542">
      <w:pPr>
        <w:pStyle w:val="subsection"/>
      </w:pPr>
      <w:r w:rsidRPr="005071A1">
        <w:tab/>
        <w:t>(2)</w:t>
      </w:r>
      <w:r w:rsidRPr="005071A1">
        <w:tab/>
        <w:t>Section</w:t>
      </w:r>
      <w:r w:rsidR="008B2950" w:rsidRPr="005071A1">
        <w:t> </w:t>
      </w:r>
      <w:r w:rsidRPr="005071A1">
        <w:t>5 does not apply to a person to whom this Part applies.</w:t>
      </w:r>
    </w:p>
    <w:p w14:paraId="2C0BB22F" w14:textId="77777777" w:rsidR="00B33542" w:rsidRPr="005071A1" w:rsidRDefault="00B33542" w:rsidP="00B33542">
      <w:pPr>
        <w:pStyle w:val="subsection"/>
      </w:pPr>
      <w:r w:rsidRPr="005071A1">
        <w:tab/>
        <w:t>(3)</w:t>
      </w:r>
      <w:r w:rsidRPr="005071A1">
        <w:tab/>
        <w:t xml:space="preserve">Subject to </w:t>
      </w:r>
      <w:r w:rsidR="004510F0">
        <w:t>section 1</w:t>
      </w:r>
      <w:r w:rsidRPr="005071A1">
        <w:t xml:space="preserve">13, a person to whom this Part applies shall contribute to the Fund for so many units of pension (including, where necessary, a fraction of a unit) as the Board determines will entitle that person to benefits equivalent to those to which he </w:t>
      </w:r>
      <w:r w:rsidRPr="005071A1">
        <w:lastRenderedPageBreak/>
        <w:t>would have been entitled if his contributions to the Defence Forces Retirement Benefits Fund had been contributions to the Superannuation Fund based on a retiring age of sixty years.</w:t>
      </w:r>
    </w:p>
    <w:p w14:paraId="57BF852C" w14:textId="77777777" w:rsidR="00B33542" w:rsidRPr="005071A1" w:rsidRDefault="00B33542" w:rsidP="00B33542">
      <w:pPr>
        <w:pStyle w:val="subsection"/>
      </w:pPr>
      <w:r w:rsidRPr="005071A1">
        <w:tab/>
        <w:t>(4)</w:t>
      </w:r>
      <w:r w:rsidRPr="005071A1">
        <w:tab/>
        <w:t xml:space="preserve">The amount of contribution to be paid fortnightly by a person to whom this Part applies for the units of pension for which he is required to contribute under </w:t>
      </w:r>
      <w:r w:rsidR="008B2950" w:rsidRPr="005071A1">
        <w:t>subsection (</w:t>
      </w:r>
      <w:r w:rsidRPr="005071A1">
        <w:t>3) is the amount which, immediately before he ceased to be a member of the Defence Force, he was contributing, in respect of each fortnightly period, to the Defence Forces Retirement Benefits Fund, and, for the purposes of this Act, contributions in respect of those units shall be deemed to be made at rates based on a retiring age of sixty years.</w:t>
      </w:r>
    </w:p>
    <w:p w14:paraId="6964C97D" w14:textId="77777777" w:rsidR="00B33542" w:rsidRPr="005071A1" w:rsidRDefault="00B33542" w:rsidP="00B33542">
      <w:pPr>
        <w:pStyle w:val="subsection"/>
      </w:pPr>
      <w:r w:rsidRPr="005071A1">
        <w:tab/>
        <w:t>(5)</w:t>
      </w:r>
      <w:r w:rsidRPr="005071A1">
        <w:tab/>
        <w:t xml:space="preserve">In the application of </w:t>
      </w:r>
      <w:r w:rsidR="008B2950" w:rsidRPr="005071A1">
        <w:t>subsection (</w:t>
      </w:r>
      <w:r w:rsidRPr="005071A1">
        <w:t>1) of section</w:t>
      </w:r>
      <w:r w:rsidR="008B2950" w:rsidRPr="005071A1">
        <w:t> </w:t>
      </w:r>
      <w:r w:rsidRPr="005071A1">
        <w:t xml:space="preserve">46, and of </w:t>
      </w:r>
      <w:r w:rsidR="008B2950" w:rsidRPr="005071A1">
        <w:t>subsection (</w:t>
      </w:r>
      <w:r w:rsidRPr="005071A1">
        <w:t>1) of section</w:t>
      </w:r>
      <w:r w:rsidR="008B2950" w:rsidRPr="005071A1">
        <w:t> </w:t>
      </w:r>
      <w:r w:rsidRPr="005071A1">
        <w:t xml:space="preserve">47, of this Act to the pension of a widow of a person to whom this Part applies and who made an election under </w:t>
      </w:r>
      <w:r w:rsidR="008B2950" w:rsidRPr="005071A1">
        <w:t>subsection (</w:t>
      </w:r>
      <w:r w:rsidRPr="005071A1">
        <w:t>6) of section</w:t>
      </w:r>
      <w:r w:rsidR="008B2950" w:rsidRPr="005071A1">
        <w:t> </w:t>
      </w:r>
      <w:r w:rsidRPr="005071A1">
        <w:t xml:space="preserve">47, or </w:t>
      </w:r>
      <w:r w:rsidR="008B2950" w:rsidRPr="005071A1">
        <w:t>subsection (</w:t>
      </w:r>
      <w:r w:rsidRPr="005071A1">
        <w:t>4) of section</w:t>
      </w:r>
      <w:r w:rsidR="008B2950" w:rsidRPr="005071A1">
        <w:t> </w:t>
      </w:r>
      <w:r w:rsidRPr="005071A1">
        <w:t xml:space="preserve">48, of the </w:t>
      </w:r>
      <w:r w:rsidRPr="005071A1">
        <w:rPr>
          <w:i/>
        </w:rPr>
        <w:t>Defence Forces Retirement Benefits Act 1959</w:t>
      </w:r>
      <w:r w:rsidRPr="005071A1">
        <w:t xml:space="preserve">, the reference in </w:t>
      </w:r>
      <w:r w:rsidR="008B2950" w:rsidRPr="005071A1">
        <w:t>paragraph (</w:t>
      </w:r>
      <w:r w:rsidRPr="005071A1">
        <w:t>a) of each of the two first</w:t>
      </w:r>
      <w:r w:rsidR="004510F0">
        <w:noBreakHyphen/>
      </w:r>
      <w:r w:rsidRPr="005071A1">
        <w:t>mentioned subsections to five</w:t>
      </w:r>
      <w:r w:rsidR="004510F0">
        <w:noBreakHyphen/>
      </w:r>
      <w:r w:rsidRPr="005071A1">
        <w:t>eighths of the pension for which her husband was contributing at the time of his death, or that was payable to her husband at the time of his death, as the case may be, shall be read as a reference to one</w:t>
      </w:r>
      <w:r w:rsidR="004510F0">
        <w:noBreakHyphen/>
      </w:r>
      <w:r w:rsidRPr="005071A1">
        <w:t>half of that pension.</w:t>
      </w:r>
    </w:p>
    <w:p w14:paraId="5A92BED0" w14:textId="77777777" w:rsidR="00B33542" w:rsidRPr="005071A1" w:rsidRDefault="00B33542" w:rsidP="00B33542">
      <w:pPr>
        <w:pStyle w:val="ActHead5"/>
      </w:pPr>
      <w:bookmarkStart w:id="195" w:name="_Toc185577577"/>
      <w:r w:rsidRPr="004510F0">
        <w:rPr>
          <w:rStyle w:val="CharSectno"/>
        </w:rPr>
        <w:t>113</w:t>
      </w:r>
      <w:r w:rsidRPr="005071A1">
        <w:t xml:space="preserve">  Additional contributions</w:t>
      </w:r>
      <w:bookmarkEnd w:id="195"/>
    </w:p>
    <w:p w14:paraId="4AAF1BCF" w14:textId="77777777" w:rsidR="00B33542" w:rsidRPr="005071A1" w:rsidRDefault="00B33542" w:rsidP="00B33542">
      <w:pPr>
        <w:pStyle w:val="subsection"/>
      </w:pPr>
      <w:r w:rsidRPr="005071A1">
        <w:tab/>
        <w:t>(1)</w:t>
      </w:r>
      <w:r w:rsidRPr="005071A1">
        <w:tab/>
        <w:t xml:space="preserve">Subject to </w:t>
      </w:r>
      <w:r w:rsidR="008B2950" w:rsidRPr="005071A1">
        <w:t>subsection (</w:t>
      </w:r>
      <w:r w:rsidRPr="005071A1">
        <w:t xml:space="preserve">2), </w:t>
      </w:r>
      <w:r w:rsidR="004510F0">
        <w:t>section 1</w:t>
      </w:r>
      <w:r w:rsidRPr="005071A1">
        <w:t>12 does not affect the obligation or right (if any) of a person to whom this Part applies to contribute, in accordance with this Act, for units of pension additional to those for which he is required to contribute under that section.</w:t>
      </w:r>
    </w:p>
    <w:p w14:paraId="3ACAC3C5" w14:textId="77777777" w:rsidR="00B33542" w:rsidRPr="005071A1" w:rsidRDefault="00B33542" w:rsidP="00B33542">
      <w:pPr>
        <w:pStyle w:val="subsection"/>
      </w:pPr>
      <w:r w:rsidRPr="005071A1">
        <w:tab/>
        <w:t>(2)</w:t>
      </w:r>
      <w:r w:rsidRPr="005071A1">
        <w:tab/>
        <w:t xml:space="preserve">In the case of a person to whom this Part applies who was a contributor for limited benefits under the </w:t>
      </w:r>
      <w:r w:rsidRPr="005071A1">
        <w:rPr>
          <w:i/>
        </w:rPr>
        <w:t>Defence Forces Retirement Benefits Act 1948</w:t>
      </w:r>
      <w:r w:rsidR="004510F0">
        <w:rPr>
          <w:i/>
        </w:rPr>
        <w:noBreakHyphen/>
      </w:r>
      <w:r w:rsidRPr="005071A1">
        <w:rPr>
          <w:i/>
        </w:rPr>
        <w:t>1959</w:t>
      </w:r>
      <w:r w:rsidRPr="005071A1">
        <w:t xml:space="preserve">, the number of additional units </w:t>
      </w:r>
      <w:r w:rsidRPr="005071A1">
        <w:lastRenderedPageBreak/>
        <w:t>of pension for which that person would otherwise have the obligation or right to contribute shall be reduced by such number of units of pension as the Board determines to be equivalent to the benefits to which that person would have been entitled under that Act in respect of his deferred pay if he had continued to contribute under that Act and had been a contributor for full benefits under that Act.</w:t>
      </w:r>
    </w:p>
    <w:p w14:paraId="0FC521CE" w14:textId="77777777" w:rsidR="00B33542" w:rsidRPr="005071A1" w:rsidRDefault="00B33542" w:rsidP="00B33542">
      <w:pPr>
        <w:pStyle w:val="ActHead5"/>
      </w:pPr>
      <w:bookmarkStart w:id="196" w:name="_Toc185577578"/>
      <w:r w:rsidRPr="004510F0">
        <w:rPr>
          <w:rStyle w:val="CharSectno"/>
        </w:rPr>
        <w:t>114</w:t>
      </w:r>
      <w:r w:rsidRPr="005071A1">
        <w:t xml:space="preserve">  Date of becoming an employee or contributor for certain purposes</w:t>
      </w:r>
      <w:bookmarkEnd w:id="196"/>
    </w:p>
    <w:p w14:paraId="18AE8905" w14:textId="77777777" w:rsidR="00B33542" w:rsidRPr="005071A1" w:rsidRDefault="00B33542" w:rsidP="00B33542">
      <w:pPr>
        <w:pStyle w:val="subsection"/>
      </w:pPr>
      <w:r w:rsidRPr="005071A1">
        <w:tab/>
        <w:t>(1)</w:t>
      </w:r>
      <w:r w:rsidRPr="005071A1">
        <w:tab/>
        <w:t>A person to whom this Part applies shall, for the purposes of section</w:t>
      </w:r>
      <w:r w:rsidR="008B2950" w:rsidRPr="005071A1">
        <w:t> </w:t>
      </w:r>
      <w:r w:rsidRPr="005071A1">
        <w:t>20, be deemed to have been an employee, and for the purposes of section</w:t>
      </w:r>
      <w:r w:rsidR="008B2950" w:rsidRPr="005071A1">
        <w:t> </w:t>
      </w:r>
      <w:r w:rsidRPr="005071A1">
        <w:t>50, be deemed to have been a contributor to the Fund:</w:t>
      </w:r>
    </w:p>
    <w:p w14:paraId="7ACB4C98" w14:textId="77777777" w:rsidR="00B33542" w:rsidRPr="005071A1" w:rsidRDefault="00B33542" w:rsidP="00B33542">
      <w:pPr>
        <w:pStyle w:val="paragraph"/>
      </w:pPr>
      <w:r w:rsidRPr="005071A1">
        <w:tab/>
        <w:t>(a)</w:t>
      </w:r>
      <w:r w:rsidRPr="005071A1">
        <w:tab/>
        <w:t xml:space="preserve">if he is not a person to whom </w:t>
      </w:r>
      <w:r w:rsidR="008B2950" w:rsidRPr="005071A1">
        <w:t>paragraph (</w:t>
      </w:r>
      <w:r w:rsidRPr="005071A1">
        <w:t>b) applies—on and from the date of commencement of his contributions to the Defence Forces Retirement Benefits Fund; or</w:t>
      </w:r>
    </w:p>
    <w:p w14:paraId="644663DE" w14:textId="77777777" w:rsidR="00B33542" w:rsidRPr="005071A1" w:rsidRDefault="00B33542" w:rsidP="00B33542">
      <w:pPr>
        <w:pStyle w:val="paragraph"/>
      </w:pPr>
      <w:r w:rsidRPr="005071A1">
        <w:tab/>
        <w:t>(b)</w:t>
      </w:r>
      <w:r w:rsidRPr="005071A1">
        <w:tab/>
        <w:t>if he was a contributor to the Fund immediately before the date of commencement of his contributions to the Defence Forces Retirement Benefits Fund and the reserve value held by the Fund in respect of his contributions to the Fund was paid from the Fund to the Defence Forces Retirement Benefits Fund in pursuance of section</w:t>
      </w:r>
      <w:r w:rsidR="008B2950" w:rsidRPr="005071A1">
        <w:t> </w:t>
      </w:r>
      <w:r w:rsidRPr="005071A1">
        <w:t xml:space="preserve">82 of the </w:t>
      </w:r>
      <w:r w:rsidRPr="005071A1">
        <w:rPr>
          <w:i/>
        </w:rPr>
        <w:t>Defence Forces Retirement Benefits Act 1948</w:t>
      </w:r>
      <w:r w:rsidRPr="005071A1">
        <w:t>—on and from the date of commencement of those contributions to the Fund.</w:t>
      </w:r>
    </w:p>
    <w:p w14:paraId="7B723734" w14:textId="77777777" w:rsidR="00B33542" w:rsidRPr="005071A1" w:rsidRDefault="00B33542" w:rsidP="00B33542">
      <w:pPr>
        <w:pStyle w:val="subsection"/>
      </w:pPr>
      <w:r w:rsidRPr="005071A1">
        <w:tab/>
        <w:t>(2)</w:t>
      </w:r>
      <w:r w:rsidRPr="005071A1">
        <w:tab/>
        <w:t xml:space="preserve">For the purposes of this Act, contributions paid, or, for the purposes of the </w:t>
      </w:r>
      <w:r w:rsidRPr="005071A1">
        <w:rPr>
          <w:i/>
        </w:rPr>
        <w:t>Defence Forces Retirement Benefits Act 1948</w:t>
      </w:r>
      <w:r w:rsidR="004510F0">
        <w:rPr>
          <w:i/>
        </w:rPr>
        <w:noBreakHyphen/>
      </w:r>
      <w:r w:rsidRPr="005071A1">
        <w:rPr>
          <w:i/>
        </w:rPr>
        <w:t>1952</w:t>
      </w:r>
      <w:r w:rsidRPr="005071A1">
        <w:t>, deemed to have been paid, to the Defence Forces Retirement Benefits Fund by a person to whom this Part applies shall be deemed to be contributions paid by that person to the Fund under this Act.</w:t>
      </w:r>
    </w:p>
    <w:p w14:paraId="67BCB3E2" w14:textId="77777777" w:rsidR="00B33542" w:rsidRPr="005071A1" w:rsidRDefault="00B33542" w:rsidP="00B33542">
      <w:pPr>
        <w:pStyle w:val="subsection"/>
      </w:pPr>
      <w:r w:rsidRPr="005071A1">
        <w:lastRenderedPageBreak/>
        <w:tab/>
        <w:t>(3)</w:t>
      </w:r>
      <w:r w:rsidRPr="005071A1">
        <w:tab/>
        <w:t xml:space="preserve">For the purposes of </w:t>
      </w:r>
      <w:r w:rsidR="008B2950" w:rsidRPr="005071A1">
        <w:t>subsection (</w:t>
      </w:r>
      <w:r w:rsidRPr="005071A1">
        <w:t xml:space="preserve">1), the date of commencement of a person’s contributions to the Defence Forces Retirement Benefits Fund is the date of commencement of his contributions to that Fund which were taken into account for the purpose of determining the amount payable, in respect of him, from that Fund into the Fund, and contributions which were not taken into account for that purpose shall not be taken into account for the purposes of </w:t>
      </w:r>
      <w:r w:rsidR="008B2950" w:rsidRPr="005071A1">
        <w:t>subsection (</w:t>
      </w:r>
      <w:r w:rsidRPr="005071A1">
        <w:t>2).</w:t>
      </w:r>
    </w:p>
    <w:p w14:paraId="4D4DD7D1" w14:textId="77777777" w:rsidR="00B33542" w:rsidRPr="005071A1" w:rsidRDefault="00B33542" w:rsidP="00B33542">
      <w:pPr>
        <w:pStyle w:val="ActHead5"/>
      </w:pPr>
      <w:bookmarkStart w:id="197" w:name="_Toc185577579"/>
      <w:r w:rsidRPr="004510F0">
        <w:rPr>
          <w:rStyle w:val="CharSectno"/>
        </w:rPr>
        <w:t>115</w:t>
      </w:r>
      <w:r w:rsidRPr="005071A1">
        <w:t xml:space="preserve">  Certain amounts to be paid out of Consolidated Revenue Fund to the Superannuation Fund</w:t>
      </w:r>
      <w:bookmarkEnd w:id="197"/>
    </w:p>
    <w:p w14:paraId="3E5D4A49" w14:textId="77777777" w:rsidR="00B33542" w:rsidRPr="005071A1" w:rsidRDefault="00B33542" w:rsidP="00B33542">
      <w:pPr>
        <w:pStyle w:val="subsection"/>
      </w:pPr>
      <w:r w:rsidRPr="005071A1">
        <w:tab/>
        <w:t>(1)</w:t>
      </w:r>
      <w:r w:rsidRPr="005071A1">
        <w:tab/>
        <w:t>Where, within five years after he becomes an employee, a person to whom this Part applies dies or is retired on the ground of invalidity or of physical or mental incapacity to perform his duties, any pension payable to or in respect of that person under this Act shall be paid from the Fund, and the Commonwealth shall pay to the Fund the amount by which the proportion of the pension equivalent to the contributions made by or in respect of the person is less than the amount of the pension.</w:t>
      </w:r>
    </w:p>
    <w:p w14:paraId="1BF7B8CD" w14:textId="77777777" w:rsidR="00B33542" w:rsidRPr="005071A1" w:rsidRDefault="00B33542" w:rsidP="00B33542">
      <w:pPr>
        <w:pStyle w:val="subsection"/>
      </w:pPr>
      <w:r w:rsidRPr="005071A1">
        <w:tab/>
        <w:t>(2)</w:t>
      </w:r>
      <w:r w:rsidRPr="005071A1">
        <w:tab/>
        <w:t>This section does not have effect on and after 1</w:t>
      </w:r>
      <w:r w:rsidR="008B2950" w:rsidRPr="005071A1">
        <w:t> </w:t>
      </w:r>
      <w:r w:rsidRPr="005071A1">
        <w:t>July 1976.</w:t>
      </w:r>
    </w:p>
    <w:p w14:paraId="097941A1" w14:textId="77777777" w:rsidR="00B33542" w:rsidRPr="005071A1" w:rsidRDefault="00B33542" w:rsidP="002477D1">
      <w:pPr>
        <w:pStyle w:val="ActHead2"/>
        <w:pageBreakBefore/>
      </w:pPr>
      <w:bookmarkStart w:id="198" w:name="_Toc185577580"/>
      <w:r w:rsidRPr="004510F0">
        <w:rPr>
          <w:rStyle w:val="CharPartNo"/>
        </w:rPr>
        <w:lastRenderedPageBreak/>
        <w:t>Part X</w:t>
      </w:r>
      <w:r w:rsidRPr="005071A1">
        <w:t>—</w:t>
      </w:r>
      <w:r w:rsidRPr="004510F0">
        <w:rPr>
          <w:rStyle w:val="CharPartText"/>
        </w:rPr>
        <w:t xml:space="preserve">Special provisions in relation to certain members of the Police Force of the </w:t>
      </w:r>
      <w:smartTag w:uri="urn:schemas-microsoft-com:office:smarttags" w:element="place">
        <w:smartTag w:uri="urn:schemas-microsoft-com:office:smarttags" w:element="State">
          <w:r w:rsidRPr="004510F0">
            <w:rPr>
              <w:rStyle w:val="CharPartText"/>
            </w:rPr>
            <w:t>Australian Capital Territory</w:t>
          </w:r>
        </w:smartTag>
      </w:smartTag>
      <w:bookmarkEnd w:id="198"/>
    </w:p>
    <w:p w14:paraId="0BD776F6" w14:textId="77777777" w:rsidR="00B33542" w:rsidRPr="005071A1" w:rsidRDefault="009B7AF5" w:rsidP="00B33542">
      <w:pPr>
        <w:pStyle w:val="Header"/>
      </w:pPr>
      <w:r w:rsidRPr="004510F0">
        <w:rPr>
          <w:rStyle w:val="CharDivNo"/>
        </w:rPr>
        <w:t xml:space="preserve"> </w:t>
      </w:r>
      <w:r w:rsidRPr="004510F0">
        <w:rPr>
          <w:rStyle w:val="CharDivText"/>
        </w:rPr>
        <w:t xml:space="preserve"> </w:t>
      </w:r>
    </w:p>
    <w:p w14:paraId="63FB7B0E" w14:textId="77777777" w:rsidR="00B33542" w:rsidRPr="005071A1" w:rsidRDefault="00B33542" w:rsidP="00B33542">
      <w:pPr>
        <w:pStyle w:val="ActHead5"/>
      </w:pPr>
      <w:bookmarkStart w:id="199" w:name="_Toc185577581"/>
      <w:r w:rsidRPr="004510F0">
        <w:rPr>
          <w:rStyle w:val="CharSectno"/>
        </w:rPr>
        <w:t>116</w:t>
      </w:r>
      <w:r w:rsidRPr="005071A1">
        <w:t xml:space="preserve">  Interpretation</w:t>
      </w:r>
      <w:bookmarkEnd w:id="199"/>
    </w:p>
    <w:p w14:paraId="41ACB110" w14:textId="77777777" w:rsidR="00B33542" w:rsidRPr="005071A1" w:rsidRDefault="00B33542" w:rsidP="00B33542">
      <w:pPr>
        <w:pStyle w:val="subsection"/>
      </w:pPr>
      <w:r w:rsidRPr="005071A1">
        <w:tab/>
        <w:t>(1)</w:t>
      </w:r>
      <w:r w:rsidRPr="005071A1">
        <w:tab/>
        <w:t>In this Part, unless the contrary intention appears:</w:t>
      </w:r>
    </w:p>
    <w:p w14:paraId="191178A6" w14:textId="77777777" w:rsidR="00B33542" w:rsidRPr="005071A1" w:rsidRDefault="00B33542" w:rsidP="00B33542">
      <w:pPr>
        <w:pStyle w:val="Definition"/>
      </w:pPr>
      <w:r w:rsidRPr="005071A1">
        <w:rPr>
          <w:b/>
          <w:i/>
        </w:rPr>
        <w:t>person to whom this Part applies</w:t>
      </w:r>
      <w:r w:rsidRPr="005071A1">
        <w:t xml:space="preserve"> means a person from whose pay there were being deducted, immediately before the commencement of this section, sums under </w:t>
      </w:r>
      <w:r w:rsidR="004510F0">
        <w:t>section 1</w:t>
      </w:r>
      <w:r w:rsidRPr="005071A1">
        <w:t>7 of the Ordinance and who, within three months after the commencement of this section, makes an election having the effect of an election to contribute to the Fund.</w:t>
      </w:r>
    </w:p>
    <w:p w14:paraId="4E4E36DF" w14:textId="77777777" w:rsidR="00B33542" w:rsidRPr="005071A1" w:rsidRDefault="00B33542" w:rsidP="00B33542">
      <w:pPr>
        <w:pStyle w:val="Definition"/>
      </w:pPr>
      <w:r w:rsidRPr="005071A1">
        <w:rPr>
          <w:b/>
          <w:i/>
        </w:rPr>
        <w:t>the Ordinance</w:t>
      </w:r>
      <w:r w:rsidRPr="005071A1">
        <w:t xml:space="preserve"> means the </w:t>
      </w:r>
      <w:r w:rsidRPr="005071A1">
        <w:rPr>
          <w:i/>
        </w:rPr>
        <w:t>Police Superannuation Ordinance 1928</w:t>
      </w:r>
      <w:r w:rsidR="004510F0">
        <w:rPr>
          <w:i/>
        </w:rPr>
        <w:noBreakHyphen/>
      </w:r>
      <w:r w:rsidRPr="005071A1">
        <w:rPr>
          <w:i/>
        </w:rPr>
        <w:t xml:space="preserve">1950 </w:t>
      </w:r>
      <w:r w:rsidRPr="005071A1">
        <w:t xml:space="preserve">of the </w:t>
      </w:r>
      <w:smartTag w:uri="urn:schemas-microsoft-com:office:smarttags" w:element="place">
        <w:smartTag w:uri="urn:schemas-microsoft-com:office:smarttags" w:element="State">
          <w:r w:rsidRPr="005071A1">
            <w:t>Australian Capital Territory</w:t>
          </w:r>
        </w:smartTag>
      </w:smartTag>
      <w:r w:rsidRPr="005071A1">
        <w:t>.</w:t>
      </w:r>
    </w:p>
    <w:p w14:paraId="299BD631" w14:textId="77777777" w:rsidR="00B33542" w:rsidRPr="005071A1" w:rsidRDefault="00B33542" w:rsidP="00B33542">
      <w:pPr>
        <w:pStyle w:val="subsection"/>
      </w:pPr>
      <w:r w:rsidRPr="005071A1">
        <w:tab/>
        <w:t>(2)</w:t>
      </w:r>
      <w:r w:rsidRPr="005071A1">
        <w:tab/>
        <w:t xml:space="preserve">In this Part, any reference to sums deducted from the pay of a person under </w:t>
      </w:r>
      <w:r w:rsidR="004510F0">
        <w:t>section 1</w:t>
      </w:r>
      <w:r w:rsidRPr="005071A1">
        <w:t>7 of the Ordinance includes a reference to contributions made by a person under section</w:t>
      </w:r>
      <w:r w:rsidR="008B2950" w:rsidRPr="005071A1">
        <w:t> </w:t>
      </w:r>
      <w:r w:rsidRPr="005071A1">
        <w:t>3 of the Ordinance.</w:t>
      </w:r>
    </w:p>
    <w:p w14:paraId="5A74CCB9" w14:textId="77777777" w:rsidR="00B33542" w:rsidRPr="005071A1" w:rsidRDefault="00B33542" w:rsidP="00B33542">
      <w:pPr>
        <w:pStyle w:val="ActHead5"/>
      </w:pPr>
      <w:bookmarkStart w:id="200" w:name="_Toc185577582"/>
      <w:r w:rsidRPr="004510F0">
        <w:rPr>
          <w:rStyle w:val="CharSectno"/>
        </w:rPr>
        <w:t>117</w:t>
      </w:r>
      <w:r w:rsidRPr="005071A1">
        <w:t xml:space="preserve">  Superannuation rights and obligations of certain members of the </w:t>
      </w:r>
      <w:smartTag w:uri="urn:schemas-microsoft-com:office:smarttags" w:element="place">
        <w:smartTag w:uri="urn:schemas-microsoft-com:office:smarttags" w:element="State">
          <w:r w:rsidRPr="005071A1">
            <w:t>Australian Capital Territory</w:t>
          </w:r>
        </w:smartTag>
      </w:smartTag>
      <w:r w:rsidRPr="005071A1">
        <w:t xml:space="preserve"> Police Force</w:t>
      </w:r>
      <w:bookmarkEnd w:id="200"/>
    </w:p>
    <w:p w14:paraId="4DDEB484" w14:textId="77777777" w:rsidR="00B33542" w:rsidRPr="005071A1" w:rsidRDefault="00B33542" w:rsidP="00B33542">
      <w:pPr>
        <w:pStyle w:val="subsection"/>
      </w:pPr>
      <w:r w:rsidRPr="005071A1">
        <w:tab/>
        <w:t>(1)</w:t>
      </w:r>
      <w:r w:rsidRPr="005071A1">
        <w:tab/>
        <w:t xml:space="preserve">A person to whom this Part applies shall be deemed to be an employee and is liable to contribute to the Fund for so many units of pension (including, where necessary, a fraction of a unit) as the Board determines will entitle that person to benefits equivalent to those to which he would have been entitled if sums had continued to be deducted from his pay under </w:t>
      </w:r>
      <w:r w:rsidR="004510F0">
        <w:t>section 1</w:t>
      </w:r>
      <w:r w:rsidRPr="005071A1">
        <w:t xml:space="preserve">7 of the Ordinance in the amounts in which they were, immediately before the </w:t>
      </w:r>
      <w:r w:rsidRPr="005071A1">
        <w:lastRenderedPageBreak/>
        <w:t>commencement of this section, being deducted, and his contributions for those units shall be in the same amounts.</w:t>
      </w:r>
    </w:p>
    <w:p w14:paraId="73C00796" w14:textId="77777777" w:rsidR="00B33542" w:rsidRPr="005071A1" w:rsidRDefault="00B33542" w:rsidP="00B33542">
      <w:pPr>
        <w:pStyle w:val="subsection"/>
      </w:pPr>
      <w:r w:rsidRPr="005071A1">
        <w:tab/>
        <w:t>(2)</w:t>
      </w:r>
      <w:r w:rsidRPr="005071A1">
        <w:tab/>
        <w:t>Section</w:t>
      </w:r>
      <w:r w:rsidR="008B2950" w:rsidRPr="005071A1">
        <w:t> </w:t>
      </w:r>
      <w:r w:rsidRPr="005071A1">
        <w:t>5 does not apply to a person to whom this Part applies.</w:t>
      </w:r>
    </w:p>
    <w:p w14:paraId="28F00B51" w14:textId="77777777" w:rsidR="00B33542" w:rsidRPr="005071A1" w:rsidRDefault="00B33542" w:rsidP="00B33542">
      <w:pPr>
        <w:pStyle w:val="subsection"/>
      </w:pPr>
      <w:r w:rsidRPr="005071A1">
        <w:tab/>
        <w:t>(3)</w:t>
      </w:r>
      <w:r w:rsidRPr="005071A1">
        <w:tab/>
        <w:t>Subject to this Act, a person to whom this Part applies shall for all purposes of this Act be deemed to be a contributor:</w:t>
      </w:r>
    </w:p>
    <w:p w14:paraId="1BEEE5CA" w14:textId="77777777" w:rsidR="00B33542" w:rsidRPr="005071A1" w:rsidRDefault="00B33542" w:rsidP="00B33542">
      <w:pPr>
        <w:pStyle w:val="paragraph"/>
      </w:pPr>
      <w:r w:rsidRPr="005071A1">
        <w:tab/>
        <w:t>(a)</w:t>
      </w:r>
      <w:r w:rsidRPr="005071A1">
        <w:tab/>
        <w:t xml:space="preserve">in the case of such a person whose age for compulsory retirement under </w:t>
      </w:r>
      <w:r w:rsidR="008B2950" w:rsidRPr="005071A1">
        <w:t>subsection (</w:t>
      </w:r>
      <w:r w:rsidRPr="005071A1">
        <w:t>1) of section</w:t>
      </w:r>
      <w:r w:rsidR="008B2950" w:rsidRPr="005071A1">
        <w:t> </w:t>
      </w:r>
      <w:r w:rsidRPr="005071A1">
        <w:t>6 of the Ordinance was fifty</w:t>
      </w:r>
      <w:r w:rsidR="004510F0">
        <w:noBreakHyphen/>
      </w:r>
      <w:r w:rsidRPr="005071A1">
        <w:t>five or sixty years—at rates based on a retiring age of sixty years; and</w:t>
      </w:r>
    </w:p>
    <w:p w14:paraId="36F2352C" w14:textId="77777777" w:rsidR="00B33542" w:rsidRPr="005071A1" w:rsidRDefault="00B33542" w:rsidP="00B33542">
      <w:pPr>
        <w:pStyle w:val="paragraph"/>
      </w:pPr>
      <w:r w:rsidRPr="005071A1">
        <w:tab/>
        <w:t>(b)</w:t>
      </w:r>
      <w:r w:rsidRPr="005071A1">
        <w:tab/>
        <w:t>in any other case—at rates based on a retiring age of sixty</w:t>
      </w:r>
      <w:r w:rsidR="004510F0">
        <w:noBreakHyphen/>
      </w:r>
      <w:r w:rsidRPr="005071A1">
        <w:t>five years.</w:t>
      </w:r>
    </w:p>
    <w:p w14:paraId="04EEBB12" w14:textId="77777777" w:rsidR="00B33542" w:rsidRPr="005071A1" w:rsidRDefault="00B33542" w:rsidP="00B33542">
      <w:pPr>
        <w:pStyle w:val="subsection"/>
      </w:pPr>
      <w:r w:rsidRPr="005071A1">
        <w:tab/>
        <w:t>(4)</w:t>
      </w:r>
      <w:r w:rsidRPr="005071A1">
        <w:tab/>
      </w:r>
      <w:r w:rsidR="008B2950" w:rsidRPr="005071A1">
        <w:t>Subsection (</w:t>
      </w:r>
      <w:r w:rsidRPr="005071A1">
        <w:t>1) does not affect the obligation or right of a person to whom this Part applies to contribute, in accordance with this Act, for units of pension in excess of those for which he is required to contribute under that subsection.</w:t>
      </w:r>
    </w:p>
    <w:p w14:paraId="558B4C19" w14:textId="77777777" w:rsidR="00B33542" w:rsidRPr="005071A1" w:rsidRDefault="00B33542" w:rsidP="00B33542">
      <w:pPr>
        <w:pStyle w:val="ActHead5"/>
      </w:pPr>
      <w:bookmarkStart w:id="201" w:name="_Toc185577583"/>
      <w:r w:rsidRPr="004510F0">
        <w:rPr>
          <w:rStyle w:val="CharSectno"/>
        </w:rPr>
        <w:t>118</w:t>
      </w:r>
      <w:r w:rsidRPr="005071A1">
        <w:t xml:space="preserve">  Retrenchment</w:t>
      </w:r>
      <w:bookmarkEnd w:id="201"/>
    </w:p>
    <w:p w14:paraId="5BF33B83" w14:textId="77777777" w:rsidR="00B33542" w:rsidRPr="005071A1" w:rsidRDefault="00B33542" w:rsidP="00B33542">
      <w:pPr>
        <w:pStyle w:val="subsection"/>
      </w:pPr>
      <w:r w:rsidRPr="005071A1">
        <w:tab/>
        <w:t>(1)</w:t>
      </w:r>
      <w:r w:rsidRPr="005071A1">
        <w:tab/>
        <w:t>A person to whom this Part applies shall, for the purposes of section</w:t>
      </w:r>
      <w:r w:rsidR="008B2950" w:rsidRPr="005071A1">
        <w:t> </w:t>
      </w:r>
      <w:r w:rsidRPr="005071A1">
        <w:t xml:space="preserve">50 of this Act, be deemed to have been a contributor to the Fund from and including the date on which sums deducted from his pay under </w:t>
      </w:r>
      <w:r w:rsidR="004510F0">
        <w:t>section 1</w:t>
      </w:r>
      <w:r w:rsidRPr="005071A1">
        <w:t>7 of the Ordinance commenced to be deducted.</w:t>
      </w:r>
    </w:p>
    <w:p w14:paraId="1D3F0807" w14:textId="77777777" w:rsidR="00B33542" w:rsidRPr="005071A1" w:rsidRDefault="00B33542" w:rsidP="00B33542">
      <w:pPr>
        <w:pStyle w:val="subsection"/>
      </w:pPr>
      <w:r w:rsidRPr="005071A1">
        <w:tab/>
        <w:t>(2)</w:t>
      </w:r>
      <w:r w:rsidRPr="005071A1">
        <w:tab/>
        <w:t xml:space="preserve">For the purposes of this Act, sums deducted under </w:t>
      </w:r>
      <w:r w:rsidR="004510F0">
        <w:t>section 1</w:t>
      </w:r>
      <w:r w:rsidRPr="005071A1">
        <w:t>7 of the Ordinance from the pay of a person to whom this Part applies shall be deemed to be contributions paid by that person to the Fund.</w:t>
      </w:r>
    </w:p>
    <w:p w14:paraId="1623BC8D" w14:textId="77777777" w:rsidR="00B33542" w:rsidRPr="005071A1" w:rsidRDefault="00B33542" w:rsidP="00B33542">
      <w:pPr>
        <w:pStyle w:val="ActHead5"/>
      </w:pPr>
      <w:bookmarkStart w:id="202" w:name="_Toc185577584"/>
      <w:r w:rsidRPr="004510F0">
        <w:rPr>
          <w:rStyle w:val="CharSectno"/>
        </w:rPr>
        <w:lastRenderedPageBreak/>
        <w:t>119</w:t>
      </w:r>
      <w:r w:rsidRPr="005071A1">
        <w:t xml:space="preserve">  Payments to be made out of Consolidated Revenue Fund to the Superannuation Fund</w:t>
      </w:r>
      <w:bookmarkEnd w:id="202"/>
    </w:p>
    <w:p w14:paraId="7405360D" w14:textId="77777777" w:rsidR="00B33542" w:rsidRPr="005071A1" w:rsidRDefault="00B33542" w:rsidP="00B33542">
      <w:pPr>
        <w:pStyle w:val="subsection"/>
      </w:pPr>
      <w:r w:rsidRPr="005071A1">
        <w:tab/>
        <w:t>(1)</w:t>
      </w:r>
      <w:r w:rsidRPr="005071A1">
        <w:tab/>
        <w:t xml:space="preserve">The Commonwealth shall pay to the Fund an amount equal to the total of the sums deducted under </w:t>
      </w:r>
      <w:r w:rsidR="004510F0">
        <w:t>section 1</w:t>
      </w:r>
      <w:r w:rsidRPr="005071A1">
        <w:t>7 of the Ordinance from the pay of persons to whom this Part applies and the contributions made under section</w:t>
      </w:r>
      <w:r w:rsidR="008B2950" w:rsidRPr="005071A1">
        <w:t> </w:t>
      </w:r>
      <w:r w:rsidRPr="005071A1">
        <w:t>3 of the Ordinance by persons to whom this Part applies.</w:t>
      </w:r>
    </w:p>
    <w:p w14:paraId="06F77FD8" w14:textId="77777777" w:rsidR="00B33542" w:rsidRPr="005071A1" w:rsidRDefault="00B33542" w:rsidP="00B33542">
      <w:pPr>
        <w:pStyle w:val="subsection"/>
      </w:pPr>
      <w:r w:rsidRPr="005071A1">
        <w:tab/>
        <w:t>(2)</w:t>
      </w:r>
      <w:r w:rsidRPr="005071A1">
        <w:tab/>
        <w:t xml:space="preserve">Where a person to whom this Part applies is retired on the ground of invalidity or physical or mental incapacity to perform his duties, or dies, within five years after the commencement of this section, the Commonwealth shall pay to the Fund the amount by which the proportion of any pension payable to him equivalent to the total of the sums deducted from his pay under </w:t>
      </w:r>
      <w:r w:rsidR="004510F0">
        <w:t>section 1</w:t>
      </w:r>
      <w:r w:rsidRPr="005071A1">
        <w:t>7 of the Ordinance and the amount of the contributions made by him to the Fund is less than the amount of the pension.</w:t>
      </w:r>
    </w:p>
    <w:p w14:paraId="5FF04354" w14:textId="77777777" w:rsidR="00B33542" w:rsidRPr="005071A1" w:rsidRDefault="00B33542" w:rsidP="00B33542">
      <w:pPr>
        <w:pStyle w:val="subsection"/>
      </w:pPr>
      <w:r w:rsidRPr="005071A1">
        <w:tab/>
        <w:t>(3)</w:t>
      </w:r>
      <w:r w:rsidRPr="005071A1">
        <w:tab/>
        <w:t>Where a pension becomes payable to or in respect of a person to whom this Part applies, any payment that the Commonwealth is required by Division</w:t>
      </w:r>
      <w:r w:rsidR="008B2950" w:rsidRPr="005071A1">
        <w:t> </w:t>
      </w:r>
      <w:r w:rsidRPr="005071A1">
        <w:t xml:space="preserve">6 of Part III to pay to the Fund in respect of that person shall be increased by such an amount (if any) as the Board determines to be appropriate having regard to the contributions and payments made to the Fund for or in respect of units of pension referred to in </w:t>
      </w:r>
      <w:r w:rsidR="008B2950" w:rsidRPr="005071A1">
        <w:t>subsection (</w:t>
      </w:r>
      <w:r w:rsidRPr="005071A1">
        <w:t xml:space="preserve">1) of </w:t>
      </w:r>
      <w:r w:rsidR="004510F0">
        <w:t>section 1</w:t>
      </w:r>
      <w:r w:rsidRPr="005071A1">
        <w:t>17.</w:t>
      </w:r>
    </w:p>
    <w:p w14:paraId="1F53E0C2" w14:textId="77777777" w:rsidR="00B33542" w:rsidRPr="005071A1" w:rsidRDefault="00B33542" w:rsidP="00B33542">
      <w:pPr>
        <w:pStyle w:val="subsection"/>
      </w:pPr>
      <w:r w:rsidRPr="005071A1">
        <w:tab/>
        <w:t>(4)</w:t>
      </w:r>
      <w:r w:rsidRPr="005071A1">
        <w:tab/>
        <w:t>This section does not have effect on and after 1</w:t>
      </w:r>
      <w:r w:rsidR="008B2950" w:rsidRPr="005071A1">
        <w:t> </w:t>
      </w:r>
      <w:r w:rsidRPr="005071A1">
        <w:t>July 1976.</w:t>
      </w:r>
    </w:p>
    <w:p w14:paraId="6FE233E3" w14:textId="77777777" w:rsidR="00B33542" w:rsidRPr="005071A1" w:rsidRDefault="00B33542" w:rsidP="002477D1">
      <w:pPr>
        <w:pStyle w:val="ActHead2"/>
        <w:pageBreakBefore/>
      </w:pPr>
      <w:bookmarkStart w:id="203" w:name="_Toc185577585"/>
      <w:r w:rsidRPr="004510F0">
        <w:rPr>
          <w:rStyle w:val="CharPartNo"/>
        </w:rPr>
        <w:lastRenderedPageBreak/>
        <w:t>Part XA</w:t>
      </w:r>
      <w:r w:rsidRPr="005071A1">
        <w:t>—</w:t>
      </w:r>
      <w:r w:rsidRPr="004510F0">
        <w:rPr>
          <w:rStyle w:val="CharPartText"/>
        </w:rPr>
        <w:t>Preservation of rights of certain contributors and former contributors</w:t>
      </w:r>
      <w:bookmarkEnd w:id="203"/>
    </w:p>
    <w:p w14:paraId="53ED7B42" w14:textId="77777777" w:rsidR="00B33542" w:rsidRPr="005071A1" w:rsidRDefault="00B33542" w:rsidP="00B33542">
      <w:pPr>
        <w:pStyle w:val="ActHead3"/>
      </w:pPr>
      <w:bookmarkStart w:id="204" w:name="_Toc185577586"/>
      <w:r w:rsidRPr="004510F0">
        <w:rPr>
          <w:rStyle w:val="CharDivNo"/>
        </w:rPr>
        <w:t>Division</w:t>
      </w:r>
      <w:r w:rsidR="008B2950" w:rsidRPr="004510F0">
        <w:rPr>
          <w:rStyle w:val="CharDivNo"/>
        </w:rPr>
        <w:t> </w:t>
      </w:r>
      <w:r w:rsidRPr="004510F0">
        <w:rPr>
          <w:rStyle w:val="CharDivNo"/>
        </w:rPr>
        <w:t>1</w:t>
      </w:r>
      <w:r w:rsidRPr="005071A1">
        <w:t>—</w:t>
      </w:r>
      <w:r w:rsidRPr="004510F0">
        <w:rPr>
          <w:rStyle w:val="CharDivText"/>
        </w:rPr>
        <w:t>Preliminary</w:t>
      </w:r>
      <w:bookmarkEnd w:id="204"/>
    </w:p>
    <w:p w14:paraId="589E6D1D" w14:textId="77777777" w:rsidR="00B33542" w:rsidRPr="005071A1" w:rsidRDefault="00B33542" w:rsidP="00B33542">
      <w:pPr>
        <w:pStyle w:val="ActHead5"/>
      </w:pPr>
      <w:bookmarkStart w:id="205" w:name="_Toc185577587"/>
      <w:r w:rsidRPr="004510F0">
        <w:rPr>
          <w:rStyle w:val="CharSectno"/>
        </w:rPr>
        <w:t>119A</w:t>
      </w:r>
      <w:r w:rsidRPr="005071A1">
        <w:t xml:space="preserve">  Interpretation</w:t>
      </w:r>
      <w:bookmarkEnd w:id="205"/>
    </w:p>
    <w:p w14:paraId="50CCDF14" w14:textId="77777777" w:rsidR="00B33542" w:rsidRPr="005071A1" w:rsidRDefault="00B33542" w:rsidP="00B33542">
      <w:pPr>
        <w:pStyle w:val="subsection"/>
      </w:pPr>
      <w:r w:rsidRPr="005071A1">
        <w:tab/>
        <w:t>(1)</w:t>
      </w:r>
      <w:r w:rsidRPr="005071A1">
        <w:tab/>
        <w:t>In this Part, unless the contrary intention appears:</w:t>
      </w:r>
    </w:p>
    <w:p w14:paraId="5E96F188" w14:textId="77777777" w:rsidR="00B33542" w:rsidRPr="005071A1" w:rsidRDefault="00B33542" w:rsidP="00B33542">
      <w:pPr>
        <w:pStyle w:val="Definition"/>
      </w:pPr>
      <w:r w:rsidRPr="005071A1">
        <w:rPr>
          <w:b/>
          <w:i/>
        </w:rPr>
        <w:t>employment</w:t>
      </w:r>
      <w:r w:rsidRPr="005071A1">
        <w:t xml:space="preserve"> means employment by the terms of which persons employed in that employment are required to give the whole of their time to the duties of their employment.</w:t>
      </w:r>
    </w:p>
    <w:p w14:paraId="5FBCE47E" w14:textId="77777777" w:rsidR="00B33542" w:rsidRPr="005071A1" w:rsidRDefault="00B33542" w:rsidP="00B33542">
      <w:pPr>
        <w:pStyle w:val="Definition"/>
      </w:pPr>
      <w:r w:rsidRPr="005071A1">
        <w:rPr>
          <w:b/>
          <w:i/>
        </w:rPr>
        <w:t>life policy</w:t>
      </w:r>
      <w:r w:rsidRPr="005071A1">
        <w:t xml:space="preserve"> has the same meaning as in the </w:t>
      </w:r>
      <w:r w:rsidRPr="005071A1">
        <w:rPr>
          <w:i/>
        </w:rPr>
        <w:t xml:space="preserve">Life Insurance Act 1945 </w:t>
      </w:r>
      <w:r w:rsidRPr="005071A1">
        <w:t xml:space="preserve">as in force immediately before the commencement of the </w:t>
      </w:r>
      <w:r w:rsidRPr="005071A1">
        <w:rPr>
          <w:i/>
        </w:rPr>
        <w:t>Life Insurance Act 1995</w:t>
      </w:r>
      <w:r w:rsidRPr="005071A1">
        <w:t>.</w:t>
      </w:r>
    </w:p>
    <w:p w14:paraId="6C9699CD" w14:textId="77777777" w:rsidR="00B33542" w:rsidRPr="005071A1" w:rsidRDefault="00D740A3" w:rsidP="00B33542">
      <w:pPr>
        <w:pStyle w:val="Definition"/>
      </w:pPr>
      <w:r w:rsidRPr="005071A1">
        <w:rPr>
          <w:b/>
          <w:i/>
        </w:rPr>
        <w:t>m</w:t>
      </w:r>
      <w:r w:rsidR="00B33542" w:rsidRPr="005071A1">
        <w:rPr>
          <w:b/>
          <w:i/>
        </w:rPr>
        <w:t>ember</w:t>
      </w:r>
      <w:r w:rsidR="00B33542" w:rsidRPr="005071A1">
        <w:t>, in relation to a superannuation scheme applying in relation to any employment, includes any person employed in that employment in respect of whom benefits are applicable under the scheme by reason of his being so employed, whether or not he has made contributions under the scheme.</w:t>
      </w:r>
    </w:p>
    <w:p w14:paraId="68973A1E" w14:textId="77777777" w:rsidR="00B33542" w:rsidRPr="005071A1" w:rsidRDefault="00B33542" w:rsidP="00B33542">
      <w:pPr>
        <w:pStyle w:val="Definition"/>
      </w:pPr>
      <w:r w:rsidRPr="005071A1">
        <w:rPr>
          <w:b/>
          <w:i/>
        </w:rPr>
        <w:t>the rules</w:t>
      </w:r>
      <w:r w:rsidRPr="005071A1">
        <w:t>, in relation to a superannuation scheme, means the rules governing the operation of the scheme, whether contained in a law or in a trust deed or other instrument.</w:t>
      </w:r>
    </w:p>
    <w:p w14:paraId="0C9D796D" w14:textId="77777777" w:rsidR="00B33542" w:rsidRPr="005071A1" w:rsidRDefault="00B33542" w:rsidP="00B33542">
      <w:pPr>
        <w:pStyle w:val="subsection"/>
      </w:pPr>
      <w:r w:rsidRPr="005071A1">
        <w:tab/>
        <w:t>(2)</w:t>
      </w:r>
      <w:r w:rsidRPr="005071A1">
        <w:tab/>
        <w:t>For the purposes of this Part, the membership by a person of a House of the Parliament of the Commonwealth or of a State shall be treated as if it were employment of the person by the Commonwealth or by that State, as the case may be.</w:t>
      </w:r>
    </w:p>
    <w:p w14:paraId="10480CFD" w14:textId="77777777" w:rsidR="00B33542" w:rsidRPr="005071A1" w:rsidRDefault="00B33542" w:rsidP="00B33542">
      <w:pPr>
        <w:pStyle w:val="subsection"/>
      </w:pPr>
      <w:r w:rsidRPr="005071A1">
        <w:lastRenderedPageBreak/>
        <w:tab/>
        <w:t>(2A)</w:t>
      </w:r>
      <w:r w:rsidRPr="005071A1">
        <w:tab/>
        <w:t xml:space="preserve">For the purposes of this Part, the membership by a person of the </w:t>
      </w:r>
      <w:r w:rsidR="00F83505" w:rsidRPr="005071A1">
        <w:t>Legislative Assembly of the Northern Territory</w:t>
      </w:r>
      <w:r w:rsidRPr="005071A1">
        <w:t xml:space="preserve"> or a legislative or advisory body prescribed for the purposes of section</w:t>
      </w:r>
      <w:r w:rsidR="008B2950" w:rsidRPr="005071A1">
        <w:t> </w:t>
      </w:r>
      <w:r w:rsidRPr="005071A1">
        <w:t xml:space="preserve">47C of the </w:t>
      </w:r>
      <w:r w:rsidRPr="005071A1">
        <w:rPr>
          <w:i/>
        </w:rPr>
        <w:t>Public Service Act 1922</w:t>
      </w:r>
      <w:r w:rsidR="004510F0">
        <w:rPr>
          <w:i/>
        </w:rPr>
        <w:noBreakHyphen/>
      </w:r>
      <w:r w:rsidRPr="005071A1">
        <w:rPr>
          <w:i/>
        </w:rPr>
        <w:t xml:space="preserve">1974 </w:t>
      </w:r>
      <w:r w:rsidRPr="005071A1">
        <w:t>shall be treated as if it were employment of the person by the Commonwealth.</w:t>
      </w:r>
    </w:p>
    <w:p w14:paraId="3726F6D7" w14:textId="77777777" w:rsidR="00B33542" w:rsidRPr="005071A1" w:rsidRDefault="00B33542" w:rsidP="00B33542">
      <w:pPr>
        <w:pStyle w:val="subsection"/>
      </w:pPr>
      <w:r w:rsidRPr="005071A1">
        <w:tab/>
        <w:t>(3)</w:t>
      </w:r>
      <w:r w:rsidRPr="005071A1">
        <w:tab/>
        <w:t>A reference in this Part to a superannuation scheme shall be read as a reference to a superannuation or retirement scheme, however established, and, unless the contrary intention appears, shall be read as including a reference to:</w:t>
      </w:r>
    </w:p>
    <w:p w14:paraId="6CD86108" w14:textId="77777777" w:rsidR="00B33542" w:rsidRPr="005071A1" w:rsidRDefault="00B33542" w:rsidP="00B33542">
      <w:pPr>
        <w:pStyle w:val="paragraph"/>
      </w:pPr>
      <w:r w:rsidRPr="005071A1">
        <w:tab/>
        <w:t>(a)</w:t>
      </w:r>
      <w:r w:rsidRPr="005071A1">
        <w:tab/>
        <w:t>the superannuation scheme constituted by the provisions of this Act relating to the Fund; and</w:t>
      </w:r>
    </w:p>
    <w:p w14:paraId="440F6252" w14:textId="77777777" w:rsidR="00B33542" w:rsidRPr="005071A1" w:rsidRDefault="00B33542" w:rsidP="00B33542">
      <w:pPr>
        <w:pStyle w:val="paragraph"/>
      </w:pPr>
      <w:r w:rsidRPr="005071A1">
        <w:tab/>
        <w:t>(b)</w:t>
      </w:r>
      <w:r w:rsidRPr="005071A1">
        <w:tab/>
        <w:t>the retirement scheme constituted by the provisions of this Act relating to the Provident Account.</w:t>
      </w:r>
    </w:p>
    <w:p w14:paraId="1D3BCBB8" w14:textId="77777777" w:rsidR="00B33542" w:rsidRPr="005071A1" w:rsidRDefault="00B33542" w:rsidP="00B33542">
      <w:pPr>
        <w:pStyle w:val="subsection"/>
      </w:pPr>
      <w:r w:rsidRPr="005071A1">
        <w:tab/>
        <w:t>(4)</w:t>
      </w:r>
      <w:r w:rsidRPr="005071A1">
        <w:tab/>
        <w:t>For the purposes of this Part, a benefit payable to or in respect of an employee under a superannuation scheme shall not be taken to have been based partly upon contributions under the scheme by the employer by reason only that the benefit included interest upon contributions made under the scheme by the employee.</w:t>
      </w:r>
    </w:p>
    <w:p w14:paraId="1A0302D9" w14:textId="77777777" w:rsidR="00B33542" w:rsidRPr="005071A1" w:rsidRDefault="00B33542" w:rsidP="00B33542">
      <w:pPr>
        <w:pStyle w:val="ActHead5"/>
      </w:pPr>
      <w:bookmarkStart w:id="206" w:name="_Toc185577588"/>
      <w:r w:rsidRPr="004510F0">
        <w:rPr>
          <w:rStyle w:val="CharSectno"/>
        </w:rPr>
        <w:t>119B</w:t>
      </w:r>
      <w:r w:rsidRPr="005071A1">
        <w:t xml:space="preserve">  Determinations by the Board</w:t>
      </w:r>
      <w:bookmarkEnd w:id="206"/>
    </w:p>
    <w:p w14:paraId="009110BC" w14:textId="77777777" w:rsidR="00B33542" w:rsidRPr="005071A1" w:rsidRDefault="00B33542" w:rsidP="00B33542">
      <w:pPr>
        <w:pStyle w:val="subsection"/>
      </w:pPr>
      <w:r w:rsidRPr="005071A1">
        <w:tab/>
        <w:t>(1)</w:t>
      </w:r>
      <w:r w:rsidRPr="005071A1">
        <w:tab/>
        <w:t>The Board shall make a determination under this Part only after receiving advice in writing from an actuary.</w:t>
      </w:r>
    </w:p>
    <w:p w14:paraId="583B9DDD" w14:textId="77777777" w:rsidR="00B33542" w:rsidRPr="005071A1" w:rsidRDefault="00B33542" w:rsidP="00B33542">
      <w:pPr>
        <w:pStyle w:val="subsection"/>
      </w:pPr>
      <w:r w:rsidRPr="005071A1">
        <w:tab/>
        <w:t>(2)</w:t>
      </w:r>
      <w:r w:rsidRPr="005071A1">
        <w:tab/>
        <w:t>Where, in pursuance of this Part, the Board has power to make a determination in relation to a matter, the power shall be construed as including a power, exercisable in the like manner and subject to the like conditions (if any), to vary a determination so made.</w:t>
      </w:r>
    </w:p>
    <w:p w14:paraId="02240F84" w14:textId="77777777" w:rsidR="00B33542" w:rsidRPr="005071A1" w:rsidRDefault="00B33542" w:rsidP="002477D1">
      <w:pPr>
        <w:pStyle w:val="ActHead3"/>
        <w:pageBreakBefore/>
      </w:pPr>
      <w:bookmarkStart w:id="207" w:name="_Toc185577589"/>
      <w:r w:rsidRPr="004510F0">
        <w:rPr>
          <w:rStyle w:val="CharDivNo"/>
        </w:rPr>
        <w:lastRenderedPageBreak/>
        <w:t>Division</w:t>
      </w:r>
      <w:r w:rsidR="008B2950" w:rsidRPr="004510F0">
        <w:rPr>
          <w:rStyle w:val="CharDivNo"/>
        </w:rPr>
        <w:t> </w:t>
      </w:r>
      <w:r w:rsidRPr="004510F0">
        <w:rPr>
          <w:rStyle w:val="CharDivNo"/>
        </w:rPr>
        <w:t>2</w:t>
      </w:r>
      <w:r w:rsidRPr="005071A1">
        <w:t>—</w:t>
      </w:r>
      <w:r w:rsidRPr="004510F0">
        <w:rPr>
          <w:rStyle w:val="CharDivText"/>
        </w:rPr>
        <w:t>Employees who have preserved rights from previous employment</w:t>
      </w:r>
      <w:bookmarkEnd w:id="207"/>
    </w:p>
    <w:p w14:paraId="3C73ECEE" w14:textId="77777777" w:rsidR="00B33542" w:rsidRPr="005071A1" w:rsidRDefault="00B33542" w:rsidP="00B33542">
      <w:pPr>
        <w:pStyle w:val="ActHead5"/>
      </w:pPr>
      <w:bookmarkStart w:id="208" w:name="_Toc185577590"/>
      <w:r w:rsidRPr="004510F0">
        <w:rPr>
          <w:rStyle w:val="CharSectno"/>
        </w:rPr>
        <w:t>119C</w:t>
      </w:r>
      <w:r w:rsidRPr="005071A1">
        <w:t xml:space="preserve">  Application of Division to former contributors to Provident Account</w:t>
      </w:r>
      <w:bookmarkEnd w:id="208"/>
    </w:p>
    <w:p w14:paraId="46554639" w14:textId="77777777" w:rsidR="00B33542" w:rsidRPr="005071A1" w:rsidRDefault="00B33542" w:rsidP="00B33542">
      <w:pPr>
        <w:pStyle w:val="subsection"/>
      </w:pPr>
      <w:r w:rsidRPr="005071A1">
        <w:tab/>
      </w:r>
      <w:r w:rsidRPr="005071A1">
        <w:tab/>
        <w:t xml:space="preserve">Where a contributor to the Provident Account is allowed by the Board to contribute to the Fund under Part III, this Division other than </w:t>
      </w:r>
      <w:r w:rsidR="004510F0">
        <w:t>section 1</w:t>
      </w:r>
      <w:r w:rsidRPr="005071A1">
        <w:t>19G applies as if he had become an employee on the date on which he became a contributor to the Fund under that Part.</w:t>
      </w:r>
    </w:p>
    <w:p w14:paraId="5073C86E" w14:textId="77777777" w:rsidR="00B33542" w:rsidRPr="005071A1" w:rsidRDefault="00B33542" w:rsidP="00B33542">
      <w:pPr>
        <w:pStyle w:val="ActHead5"/>
      </w:pPr>
      <w:bookmarkStart w:id="209" w:name="_Toc185577591"/>
      <w:r w:rsidRPr="004510F0">
        <w:rPr>
          <w:rStyle w:val="CharSectno"/>
        </w:rPr>
        <w:t>119D</w:t>
      </w:r>
      <w:r w:rsidRPr="005071A1">
        <w:t xml:space="preserve">  Transfer value payable in respect of previous employment</w:t>
      </w:r>
      <w:bookmarkEnd w:id="209"/>
    </w:p>
    <w:p w14:paraId="04DD07FF" w14:textId="77777777" w:rsidR="00B33542" w:rsidRPr="005071A1" w:rsidRDefault="00B33542" w:rsidP="00B33542">
      <w:pPr>
        <w:pStyle w:val="subsection"/>
      </w:pPr>
      <w:r w:rsidRPr="005071A1">
        <w:tab/>
        <w:t>(1)</w:t>
      </w:r>
      <w:r w:rsidRPr="005071A1">
        <w:tab/>
        <w:t>In this Division:</w:t>
      </w:r>
    </w:p>
    <w:p w14:paraId="2E88618F" w14:textId="77777777" w:rsidR="00B33542" w:rsidRPr="005071A1" w:rsidRDefault="00B33542" w:rsidP="00B33542">
      <w:pPr>
        <w:pStyle w:val="paragraph"/>
      </w:pPr>
      <w:r w:rsidRPr="005071A1">
        <w:tab/>
        <w:t>(a)</w:t>
      </w:r>
      <w:r w:rsidRPr="005071A1">
        <w:tab/>
        <w:t>a reference, in relation to an employee, to a transfer value payable to or in respect of the employee under a superannuation scheme applicable in relation to any employment in which he was employed at any time before the date on which he became an employee is a reference:</w:t>
      </w:r>
    </w:p>
    <w:p w14:paraId="41136CF6" w14:textId="77777777" w:rsidR="00B33542" w:rsidRPr="005071A1" w:rsidRDefault="00B33542" w:rsidP="00B33542">
      <w:pPr>
        <w:pStyle w:val="paragraphsub"/>
      </w:pPr>
      <w:r w:rsidRPr="005071A1">
        <w:tab/>
        <w:t>(i)</w:t>
      </w:r>
      <w:r w:rsidRPr="005071A1">
        <w:tab/>
        <w:t>in the case of the superannuation scheme constituted by the provisions of this Act relating to the Fund or by the provisions of this Act relating to the Provident Account—to a lump sum payable to the employee under section</w:t>
      </w:r>
      <w:r w:rsidR="008B2950" w:rsidRPr="005071A1">
        <w:t> </w:t>
      </w:r>
      <w:r w:rsidRPr="005071A1">
        <w:t>50, a lump sum payable to the employee under section</w:t>
      </w:r>
      <w:r w:rsidR="008B2950" w:rsidRPr="005071A1">
        <w:t> </w:t>
      </w:r>
      <w:r w:rsidRPr="005071A1">
        <w:t xml:space="preserve">82 where his services are terminated owing to retrenchment or a transfer value payable in respect of the employee under </w:t>
      </w:r>
      <w:r w:rsidR="004510F0">
        <w:t>Division 3</w:t>
      </w:r>
      <w:r w:rsidRPr="005071A1">
        <w:t>;</w:t>
      </w:r>
    </w:p>
    <w:p w14:paraId="2147F42F" w14:textId="77777777" w:rsidR="00B33542" w:rsidRPr="005071A1" w:rsidRDefault="00B33542" w:rsidP="00B33542">
      <w:pPr>
        <w:pStyle w:val="paragraphsub"/>
      </w:pPr>
      <w:r w:rsidRPr="005071A1">
        <w:tab/>
        <w:t>(ii)</w:t>
      </w:r>
      <w:r w:rsidRPr="005071A1">
        <w:tab/>
        <w:t xml:space="preserve">in the case of the superannuation scheme constituted by the provisions of the </w:t>
      </w:r>
      <w:r w:rsidRPr="005071A1">
        <w:rPr>
          <w:i/>
        </w:rPr>
        <w:t>Defence Forces Retirement Benefits Act 1948</w:t>
      </w:r>
      <w:r w:rsidR="004510F0">
        <w:rPr>
          <w:i/>
        </w:rPr>
        <w:noBreakHyphen/>
      </w:r>
      <w:r w:rsidRPr="005071A1">
        <w:rPr>
          <w:i/>
        </w:rPr>
        <w:t xml:space="preserve">1971 </w:t>
      </w:r>
      <w:r w:rsidRPr="005071A1">
        <w:t>and the other Acts relating to retirement benefits for members of the Defence Force—</w:t>
      </w:r>
      <w:r w:rsidRPr="005071A1">
        <w:lastRenderedPageBreak/>
        <w:t xml:space="preserve">to a transfer value payable in respect of the employee under </w:t>
      </w:r>
      <w:r w:rsidR="004510F0">
        <w:t>Division 3</w:t>
      </w:r>
      <w:r w:rsidRPr="005071A1">
        <w:t xml:space="preserve"> of Part VIC of the </w:t>
      </w:r>
      <w:r w:rsidRPr="005071A1">
        <w:rPr>
          <w:i/>
        </w:rPr>
        <w:t>Defence Forces Retirement Benefits Act 1948</w:t>
      </w:r>
      <w:r w:rsidR="004510F0">
        <w:rPr>
          <w:i/>
        </w:rPr>
        <w:noBreakHyphen/>
      </w:r>
      <w:r w:rsidRPr="005071A1">
        <w:rPr>
          <w:i/>
        </w:rPr>
        <w:t xml:space="preserve">1971 </w:t>
      </w:r>
      <w:r w:rsidRPr="005071A1">
        <w:t>or to a refund of contributions and a gratuity payable to the employee;</w:t>
      </w:r>
    </w:p>
    <w:p w14:paraId="606F683E" w14:textId="77777777" w:rsidR="00B33542" w:rsidRPr="005071A1" w:rsidRDefault="00B33542" w:rsidP="00B33542">
      <w:pPr>
        <w:pStyle w:val="paragraphsub"/>
      </w:pPr>
      <w:r w:rsidRPr="005071A1">
        <w:tab/>
        <w:t>(iia)</w:t>
      </w:r>
      <w:r w:rsidRPr="005071A1">
        <w:tab/>
        <w:t xml:space="preserve">in the case of the superannuation scheme constituted by the provisions of the </w:t>
      </w:r>
      <w:r w:rsidRPr="005071A1">
        <w:rPr>
          <w:i/>
        </w:rPr>
        <w:t>Defence Force Retirement and Death Benefits Act 1973</w:t>
      </w:r>
      <w:r w:rsidRPr="005071A1">
        <w:t xml:space="preserve">—to a transfer value payable in respect of the employee under </w:t>
      </w:r>
      <w:r w:rsidR="004510F0">
        <w:t>Division 3</w:t>
      </w:r>
      <w:r w:rsidRPr="005071A1">
        <w:t xml:space="preserve"> of Part IX of that Act or to a refund of contributions and a lump sum payable under </w:t>
      </w:r>
      <w:r w:rsidR="008B2950" w:rsidRPr="005071A1">
        <w:t>subsection (</w:t>
      </w:r>
      <w:r w:rsidRPr="005071A1">
        <w:t>2) of section</w:t>
      </w:r>
      <w:r w:rsidR="008B2950" w:rsidRPr="005071A1">
        <w:t> </w:t>
      </w:r>
      <w:r w:rsidRPr="005071A1">
        <w:t>32 of that Act; and</w:t>
      </w:r>
    </w:p>
    <w:p w14:paraId="2CFF0311" w14:textId="77777777" w:rsidR="00B33542" w:rsidRPr="005071A1" w:rsidRDefault="00B33542" w:rsidP="00B33542">
      <w:pPr>
        <w:pStyle w:val="paragraphsub"/>
      </w:pPr>
      <w:r w:rsidRPr="005071A1">
        <w:tab/>
        <w:t>(iii)</w:t>
      </w:r>
      <w:r w:rsidRPr="005071A1">
        <w:tab/>
        <w:t>in the case of any other superannuation scheme—to a benefit by way of a lump sum payable to or in respect of the employee under that scheme upon the termination of the employment otherwise than on the ground of invalidity or of physical or mental incapacity to perform the duties of the employment, being a benefit that was based wholly upon contributions under the scheme by the employer or was based partly upon such contributions and partly upon contributions under the scheme by the employee; and</w:t>
      </w:r>
    </w:p>
    <w:p w14:paraId="4E257645" w14:textId="77777777" w:rsidR="00B33542" w:rsidRPr="005071A1" w:rsidRDefault="00B33542" w:rsidP="00B33542">
      <w:pPr>
        <w:pStyle w:val="paragraph"/>
      </w:pPr>
      <w:r w:rsidRPr="005071A1">
        <w:tab/>
        <w:t>(b)</w:t>
      </w:r>
      <w:r w:rsidRPr="005071A1">
        <w:tab/>
        <w:t xml:space="preserve">a reference to the amount of a transfer value to which </w:t>
      </w:r>
      <w:r w:rsidR="008B2950" w:rsidRPr="005071A1">
        <w:t>subparagraph (</w:t>
      </w:r>
      <w:r w:rsidRPr="005071A1">
        <w:t xml:space="preserve">iii) of </w:t>
      </w:r>
      <w:r w:rsidR="008B2950" w:rsidRPr="005071A1">
        <w:t>paragraph (</w:t>
      </w:r>
      <w:r w:rsidRPr="005071A1">
        <w:t>a) applies does not include a reference to any part of the lump sum that was based upon contributions by the employee that were of a similar nature to contributions under this Act for reserve units of pension.</w:t>
      </w:r>
    </w:p>
    <w:p w14:paraId="0E371FC5" w14:textId="77777777" w:rsidR="00B33542" w:rsidRPr="005071A1" w:rsidRDefault="00B33542" w:rsidP="00B33542">
      <w:pPr>
        <w:pStyle w:val="subsection"/>
      </w:pPr>
      <w:r w:rsidRPr="005071A1">
        <w:tab/>
        <w:t>(2)</w:t>
      </w:r>
      <w:r w:rsidRPr="005071A1">
        <w:tab/>
        <w:t>If, after a transfer value became payable to or in respect of a person under a superannuation scheme, an amount equal to the whole or any part of that transfer value was paid to a person administering another superannuation scheme (not being the superannuation scheme constituted by the provisions of this Act relating to the Fund or by the provisions of this Act relating to the Provident Account):</w:t>
      </w:r>
    </w:p>
    <w:p w14:paraId="73CA6EDA" w14:textId="77777777" w:rsidR="00B33542" w:rsidRPr="005071A1" w:rsidRDefault="00B33542" w:rsidP="00B33542">
      <w:pPr>
        <w:pStyle w:val="paragraph"/>
      </w:pPr>
      <w:r w:rsidRPr="005071A1">
        <w:lastRenderedPageBreak/>
        <w:tab/>
        <w:t>(a)</w:t>
      </w:r>
      <w:r w:rsidRPr="005071A1">
        <w:tab/>
        <w:t>where the whole of the transfer value was so paid—that transfer value shall be disregarded for the purposes of this Division; or</w:t>
      </w:r>
    </w:p>
    <w:p w14:paraId="380B9A6E" w14:textId="77777777" w:rsidR="00B33542" w:rsidRPr="005071A1" w:rsidRDefault="00B33542" w:rsidP="00B33542">
      <w:pPr>
        <w:pStyle w:val="paragraph"/>
      </w:pPr>
      <w:r w:rsidRPr="005071A1">
        <w:tab/>
        <w:t>(b)</w:t>
      </w:r>
      <w:r w:rsidRPr="005071A1">
        <w:tab/>
        <w:t>where part of the transfer value was so paid—the amount of that transfer value shall be deemed, for the purposes of this Division, to be reduced by the amount so paid.</w:t>
      </w:r>
    </w:p>
    <w:p w14:paraId="303043E8" w14:textId="77777777" w:rsidR="00B33542" w:rsidRPr="005071A1" w:rsidRDefault="00B33542" w:rsidP="00B33542">
      <w:pPr>
        <w:pStyle w:val="subsection"/>
      </w:pPr>
      <w:r w:rsidRPr="005071A1">
        <w:tab/>
        <w:t>(3)</w:t>
      </w:r>
      <w:r w:rsidRPr="005071A1">
        <w:tab/>
        <w:t xml:space="preserve">Subject to </w:t>
      </w:r>
      <w:r w:rsidR="008B2950" w:rsidRPr="005071A1">
        <w:t>subsection (</w:t>
      </w:r>
      <w:r w:rsidRPr="005071A1">
        <w:t>4), a transfer value shall be deemed, for the purposes of this Division, to have become payable in respect of a person under a superannuation scheme upon the termination of any employment if, upon the termination of that employment, he had the legal title to a life policy, or was entitled to have the legal title to a life policy assigned to him, being a policy the premiums for which were, while he was employed in that employment, paid in whole or in part by his employer, and, in that case, the surrender value of the policy as at the date of the termination of the employment shall be taken to be the amount of the transfer value.</w:t>
      </w:r>
    </w:p>
    <w:p w14:paraId="46A9DBDF" w14:textId="77777777" w:rsidR="00B33542" w:rsidRPr="005071A1" w:rsidRDefault="00B33542" w:rsidP="00B33542">
      <w:pPr>
        <w:pStyle w:val="subsection"/>
      </w:pPr>
      <w:r w:rsidRPr="005071A1">
        <w:tab/>
        <w:t>(4)</w:t>
      </w:r>
      <w:r w:rsidRPr="005071A1">
        <w:tab/>
        <w:t xml:space="preserve">Where a transfer value is, by virtue of </w:t>
      </w:r>
      <w:r w:rsidR="008B2950" w:rsidRPr="005071A1">
        <w:t>subsection (</w:t>
      </w:r>
      <w:r w:rsidRPr="005071A1">
        <w:t>3), to be deemed, for the purposes of this Division, to have become payable in respect of a person upon the termination of any employment by reason that, upon the termination of that employment, he had the legal title to a life policy, or was entitled to have the legal title to a life policy assigned to him, a transfer value shall not be deemed, for those purposes, to have become payable in respect of the person upon the termination of any previous employment by reason that, upon the termination of that previous employment, he had the legal title to that policy, or was entitled to have the legal title to that policy assigned to him.</w:t>
      </w:r>
    </w:p>
    <w:p w14:paraId="7D64C383" w14:textId="77777777" w:rsidR="00B33542" w:rsidRPr="005071A1" w:rsidRDefault="00B33542" w:rsidP="00B33542">
      <w:pPr>
        <w:pStyle w:val="ActHead5"/>
      </w:pPr>
      <w:bookmarkStart w:id="210" w:name="_Toc185577592"/>
      <w:r w:rsidRPr="004510F0">
        <w:rPr>
          <w:rStyle w:val="CharSectno"/>
        </w:rPr>
        <w:t>119E</w:t>
      </w:r>
      <w:r w:rsidRPr="005071A1">
        <w:t xml:space="preserve">  Pension payable in respect of previous employment</w:t>
      </w:r>
      <w:bookmarkEnd w:id="210"/>
    </w:p>
    <w:p w14:paraId="1DAD8010" w14:textId="77777777" w:rsidR="00B33542" w:rsidRPr="005071A1" w:rsidRDefault="00B33542" w:rsidP="00B33542">
      <w:pPr>
        <w:pStyle w:val="subsection"/>
      </w:pPr>
      <w:r w:rsidRPr="005071A1">
        <w:tab/>
      </w:r>
      <w:r w:rsidRPr="005071A1">
        <w:tab/>
        <w:t>In this Division:</w:t>
      </w:r>
    </w:p>
    <w:p w14:paraId="2416A8E0" w14:textId="77777777" w:rsidR="00B33542" w:rsidRPr="005071A1" w:rsidRDefault="00B33542" w:rsidP="00B33542">
      <w:pPr>
        <w:pStyle w:val="paragraph"/>
      </w:pPr>
      <w:r w:rsidRPr="005071A1">
        <w:lastRenderedPageBreak/>
        <w:tab/>
        <w:t>(a)</w:t>
      </w:r>
      <w:r w:rsidRPr="005071A1">
        <w:tab/>
        <w:t>a reference, in relation to an employee, to a prescribed pension payable to the employee under a superannuation scheme applicable in relation to any employment in which he was employed at any time before the date on which he became an employee is a reference:</w:t>
      </w:r>
    </w:p>
    <w:p w14:paraId="145962A8" w14:textId="77777777" w:rsidR="00B33542" w:rsidRPr="005071A1" w:rsidRDefault="00B33542" w:rsidP="00B33542">
      <w:pPr>
        <w:pStyle w:val="paragraphsub"/>
      </w:pPr>
      <w:r w:rsidRPr="005071A1">
        <w:tab/>
        <w:t>(i)</w:t>
      </w:r>
      <w:r w:rsidRPr="005071A1">
        <w:tab/>
        <w:t>in the case of the superannuation scheme constituted by the provisions of this Act relating to the Fund—to a pension payable to the employee under this Act; and</w:t>
      </w:r>
    </w:p>
    <w:p w14:paraId="442A933C" w14:textId="77777777" w:rsidR="00B33542" w:rsidRPr="005071A1" w:rsidRDefault="00B33542" w:rsidP="00B33542">
      <w:pPr>
        <w:pStyle w:val="paragraphsub"/>
        <w:keepNext/>
      </w:pPr>
      <w:r w:rsidRPr="005071A1">
        <w:tab/>
        <w:t>(ii)</w:t>
      </w:r>
      <w:r w:rsidRPr="005071A1">
        <w:tab/>
        <w:t>in the case of any other superannuation scheme—to a pension payable to the employee under that scheme that was based wholly upon contributions under the scheme by the employer or was based partly upon such contributions and partly upon contributions by the employee;</w:t>
      </w:r>
    </w:p>
    <w:p w14:paraId="305F3439" w14:textId="77777777" w:rsidR="00B33542" w:rsidRPr="005071A1" w:rsidRDefault="00B33542" w:rsidP="00B33542">
      <w:pPr>
        <w:pStyle w:val="paragraph"/>
      </w:pPr>
      <w:r w:rsidRPr="005071A1">
        <w:tab/>
      </w:r>
      <w:r w:rsidRPr="005071A1">
        <w:tab/>
        <w:t>but does not include a reference to a pension the payment of which was deferred; and</w:t>
      </w:r>
    </w:p>
    <w:p w14:paraId="4F6336DD" w14:textId="77777777" w:rsidR="00B33542" w:rsidRPr="005071A1" w:rsidRDefault="00B33542" w:rsidP="00B33542">
      <w:pPr>
        <w:pStyle w:val="paragraph"/>
      </w:pPr>
      <w:r w:rsidRPr="005071A1">
        <w:tab/>
        <w:t>(b)</w:t>
      </w:r>
      <w:r w:rsidRPr="005071A1">
        <w:tab/>
        <w:t xml:space="preserve">where a pension referred to in </w:t>
      </w:r>
      <w:r w:rsidR="008B2950" w:rsidRPr="005071A1">
        <w:t>paragraph (</w:t>
      </w:r>
      <w:r w:rsidRPr="005071A1">
        <w:t>a) was commuted, in whole or in part, for a lump sum after the pension became payable and before the date on which the person to whom the pension was payable became an employee, the pension shall, for the purposes of this Division, be treated as not having been so commuted.</w:t>
      </w:r>
    </w:p>
    <w:p w14:paraId="2C3C930E" w14:textId="77777777" w:rsidR="00B33542" w:rsidRPr="005071A1" w:rsidRDefault="00B33542" w:rsidP="00B33542">
      <w:pPr>
        <w:pStyle w:val="ActHead5"/>
      </w:pPr>
      <w:bookmarkStart w:id="211" w:name="_Toc185577593"/>
      <w:r w:rsidRPr="004510F0">
        <w:rPr>
          <w:rStyle w:val="CharSectno"/>
        </w:rPr>
        <w:t>119F</w:t>
      </w:r>
      <w:r w:rsidRPr="005071A1">
        <w:t xml:space="preserve">  Deferred benefits applicable in respect of previous employment</w:t>
      </w:r>
      <w:bookmarkEnd w:id="211"/>
    </w:p>
    <w:p w14:paraId="2AE2409A" w14:textId="77777777" w:rsidR="00B33542" w:rsidRPr="005071A1" w:rsidRDefault="00B33542" w:rsidP="00B33542">
      <w:pPr>
        <w:pStyle w:val="subsection"/>
      </w:pPr>
      <w:r w:rsidRPr="005071A1">
        <w:tab/>
      </w:r>
      <w:r w:rsidRPr="005071A1">
        <w:tab/>
        <w:t>In this Division, a reference, in relation to an employee, to deferred benefits applicable in respect of the employee under a superannuation scheme applicable in relation to any employment in which he was employed at any time before the date on which he became an employee is a reference:</w:t>
      </w:r>
    </w:p>
    <w:p w14:paraId="44D5167B" w14:textId="77777777" w:rsidR="00B33542" w:rsidRPr="005071A1" w:rsidRDefault="00B33542" w:rsidP="00B33542">
      <w:pPr>
        <w:pStyle w:val="paragraph"/>
      </w:pPr>
      <w:r w:rsidRPr="005071A1">
        <w:tab/>
        <w:t>(a)</w:t>
      </w:r>
      <w:r w:rsidRPr="005071A1">
        <w:tab/>
        <w:t xml:space="preserve">in the case of the superannuation scheme constituted by the provisions of this Act relating to the Fund or by the provisions of this Act relating to the Provident Account—to </w:t>
      </w:r>
      <w:r w:rsidRPr="005071A1">
        <w:lastRenderedPageBreak/>
        <w:t xml:space="preserve">deferred benefits applicable in respect of the employee under </w:t>
      </w:r>
      <w:r w:rsidR="004510F0">
        <w:t>Division 3</w:t>
      </w:r>
      <w:r w:rsidRPr="005071A1">
        <w:t>; and</w:t>
      </w:r>
    </w:p>
    <w:p w14:paraId="3DCC51EA" w14:textId="77777777" w:rsidR="00B33542" w:rsidRPr="005071A1" w:rsidRDefault="00B33542" w:rsidP="00B33542">
      <w:pPr>
        <w:pStyle w:val="paragraph"/>
      </w:pPr>
      <w:r w:rsidRPr="005071A1">
        <w:tab/>
        <w:t>(b)</w:t>
      </w:r>
      <w:r w:rsidRPr="005071A1">
        <w:tab/>
        <w:t>in the case of any other superannuation scheme—to benefits, whether by way of a lump sum or of a pension, applicable in respect of the employee under the scheme but not immediately payable, being benefits based wholly upon contributions under the scheme by the employer or based partly upon such contributions and partly upon contributions under the scheme by the employee.</w:t>
      </w:r>
    </w:p>
    <w:p w14:paraId="626F40B1" w14:textId="77777777" w:rsidR="00B33542" w:rsidRPr="005071A1" w:rsidRDefault="00B33542" w:rsidP="00B33542">
      <w:pPr>
        <w:pStyle w:val="ActHead5"/>
      </w:pPr>
      <w:bookmarkStart w:id="212" w:name="_Toc185577594"/>
      <w:r w:rsidRPr="004510F0">
        <w:rPr>
          <w:rStyle w:val="CharSectno"/>
        </w:rPr>
        <w:t>119G</w:t>
      </w:r>
      <w:r w:rsidRPr="005071A1">
        <w:t xml:space="preserve">  Declaration by employee who has previously been in employment</w:t>
      </w:r>
      <w:bookmarkEnd w:id="212"/>
    </w:p>
    <w:p w14:paraId="6111B977" w14:textId="77777777" w:rsidR="00B33542" w:rsidRPr="005071A1" w:rsidRDefault="00B33542" w:rsidP="00B33542">
      <w:pPr>
        <w:pStyle w:val="subsection"/>
      </w:pPr>
      <w:r w:rsidRPr="005071A1">
        <w:tab/>
        <w:t>(1)</w:t>
      </w:r>
      <w:r w:rsidRPr="005071A1">
        <w:tab/>
        <w:t>Where a person who has attained the age of twenty</w:t>
      </w:r>
      <w:r w:rsidR="004510F0">
        <w:noBreakHyphen/>
      </w:r>
      <w:r w:rsidRPr="005071A1">
        <w:t>one years becomes an employee, he shall, before the expiration of one month after the date on which he became an employee, or before such later time as the Board in special circumstances allows, furnish to the Board a declaration in writing in accordance with a form made available by the Board:</w:t>
      </w:r>
    </w:p>
    <w:p w14:paraId="0004EB0B" w14:textId="77777777" w:rsidR="00B33542" w:rsidRPr="005071A1" w:rsidRDefault="00B33542" w:rsidP="00B33542">
      <w:pPr>
        <w:pStyle w:val="paragraph"/>
      </w:pPr>
      <w:r w:rsidRPr="005071A1">
        <w:tab/>
        <w:t>(a)</w:t>
      </w:r>
      <w:r w:rsidRPr="005071A1">
        <w:tab/>
        <w:t xml:space="preserve">stating whether he has previously been in employment within or outside </w:t>
      </w:r>
      <w:smartTag w:uri="urn:schemas-microsoft-com:office:smarttags" w:element="place">
        <w:smartTag w:uri="urn:schemas-microsoft-com:office:smarttags" w:element="country-region">
          <w:r w:rsidRPr="005071A1">
            <w:t>Australia</w:t>
          </w:r>
        </w:smartTag>
      </w:smartTag>
      <w:r w:rsidRPr="005071A1">
        <w:t>; and</w:t>
      </w:r>
    </w:p>
    <w:p w14:paraId="57B9AC2F" w14:textId="77777777" w:rsidR="00B33542" w:rsidRPr="005071A1" w:rsidRDefault="00B33542" w:rsidP="00B33542">
      <w:pPr>
        <w:pStyle w:val="paragraph"/>
      </w:pPr>
      <w:r w:rsidRPr="005071A1">
        <w:tab/>
        <w:t>(b)</w:t>
      </w:r>
      <w:r w:rsidRPr="005071A1">
        <w:tab/>
        <w:t>if he has so previously been in employment, stating whether, upon the termination of that employment:</w:t>
      </w:r>
    </w:p>
    <w:p w14:paraId="090F60D8" w14:textId="77777777" w:rsidR="00B33542" w:rsidRPr="005071A1" w:rsidRDefault="00B33542" w:rsidP="00B33542">
      <w:pPr>
        <w:pStyle w:val="paragraphsub"/>
      </w:pPr>
      <w:r w:rsidRPr="005071A1">
        <w:tab/>
        <w:t>(i)</w:t>
      </w:r>
      <w:r w:rsidRPr="005071A1">
        <w:tab/>
        <w:t>a transfer value became payable to or in respect of him on or after the date of commencement of this section under a superannuation scheme applicable in relation to that employment;</w:t>
      </w:r>
    </w:p>
    <w:p w14:paraId="2E02F0AC" w14:textId="77777777" w:rsidR="00B33542" w:rsidRPr="005071A1" w:rsidRDefault="00B33542" w:rsidP="00B33542">
      <w:pPr>
        <w:pStyle w:val="paragraphsub"/>
      </w:pPr>
      <w:r w:rsidRPr="005071A1">
        <w:tab/>
        <w:t>(ii)</w:t>
      </w:r>
      <w:r w:rsidRPr="005071A1">
        <w:tab/>
        <w:t xml:space="preserve">a transfer value would have become so payable on or after that date but for an election or choice made, option exercised or other act or thing done by him, or he was entitled to make an election or choice, exercise an option or do any other act or thing as a result of which a </w:t>
      </w:r>
      <w:r w:rsidRPr="005071A1">
        <w:lastRenderedPageBreak/>
        <w:t>transfer value would have become so payable on or after that date but he did not make the election or choice, exercise the option or do the other act or thing;</w:t>
      </w:r>
    </w:p>
    <w:p w14:paraId="41D7C4C9" w14:textId="77777777" w:rsidR="00B33542" w:rsidRPr="005071A1" w:rsidRDefault="00B33542" w:rsidP="00B33542">
      <w:pPr>
        <w:pStyle w:val="paragraphsub"/>
      </w:pPr>
      <w:r w:rsidRPr="005071A1">
        <w:tab/>
        <w:t>(iii)</w:t>
      </w:r>
      <w:r w:rsidRPr="005071A1">
        <w:tab/>
        <w:t>a prescribed pension became payable to him under such a scheme;</w:t>
      </w:r>
    </w:p>
    <w:p w14:paraId="0DA525BE" w14:textId="77777777" w:rsidR="00B33542" w:rsidRPr="005071A1" w:rsidRDefault="00B33542" w:rsidP="00B33542">
      <w:pPr>
        <w:pStyle w:val="paragraphsub"/>
      </w:pPr>
      <w:r w:rsidRPr="005071A1">
        <w:tab/>
        <w:t>(iv)</w:t>
      </w:r>
      <w:r w:rsidRPr="005071A1">
        <w:tab/>
        <w:t>a prescribed pension would have become so payable on or after the date of commencement of this section but for an election or choice made, option exercised or other act or thing done by him, or he was entitled to make an election or choice, exercise an option or do any other act or thing as a result of which a prescribed pension would have become so payable on or after that date but he did not make the election or choice, exercise the option or do the other act or thing;</w:t>
      </w:r>
    </w:p>
    <w:p w14:paraId="13A5B1E2" w14:textId="77777777" w:rsidR="00B33542" w:rsidRPr="005071A1" w:rsidRDefault="00B33542" w:rsidP="00B33542">
      <w:pPr>
        <w:pStyle w:val="paragraphsub"/>
      </w:pPr>
      <w:r w:rsidRPr="005071A1">
        <w:tab/>
        <w:t>(v)</w:t>
      </w:r>
      <w:r w:rsidRPr="005071A1">
        <w:tab/>
        <w:t>any deferred benefits became applicable in respect of him on or after the date of commencement of this section under such a scheme;</w:t>
      </w:r>
    </w:p>
    <w:p w14:paraId="56A5E5FF" w14:textId="77777777" w:rsidR="00B33542" w:rsidRPr="005071A1" w:rsidRDefault="00B33542" w:rsidP="00B33542">
      <w:pPr>
        <w:pStyle w:val="paragraphsub"/>
      </w:pPr>
      <w:r w:rsidRPr="005071A1">
        <w:tab/>
        <w:t>(vi)</w:t>
      </w:r>
      <w:r w:rsidRPr="005071A1">
        <w:tab/>
        <w:t>any deferred benefits would have become so applicable on or after that date but for an election or choice made, option exercised or other act or thing done by him, or he was entitled to make an election or choice, exercise an option or do any other act or thing as a result of which any deferred benefits would have become so applicable on or after that date but he did not make the election or choice, exercise the option or do the other act or thing; or</w:t>
      </w:r>
    </w:p>
    <w:p w14:paraId="357538A3" w14:textId="77777777" w:rsidR="00B33542" w:rsidRPr="005071A1" w:rsidRDefault="00B33542" w:rsidP="00B33542">
      <w:pPr>
        <w:pStyle w:val="paragraphsub"/>
        <w:keepNext/>
      </w:pPr>
      <w:r w:rsidRPr="005071A1">
        <w:lastRenderedPageBreak/>
        <w:tab/>
        <w:t>(vii)</w:t>
      </w:r>
      <w:r w:rsidRPr="005071A1">
        <w:tab/>
        <w:t>in the case of a person who, immediately before becoming an employee, was a contributor to a Public Service Superannuation Fund within the meaning of Part VIII—a refund of the whole or any part of any contributions made by him to that Fund became payable;</w:t>
      </w:r>
    </w:p>
    <w:p w14:paraId="6D0A8640" w14:textId="77777777" w:rsidR="00B33542" w:rsidRPr="005071A1" w:rsidRDefault="00B33542" w:rsidP="00B33542">
      <w:pPr>
        <w:pStyle w:val="paragraph"/>
      </w:pPr>
      <w:r w:rsidRPr="005071A1">
        <w:tab/>
      </w:r>
      <w:r w:rsidRPr="005071A1">
        <w:tab/>
        <w:t>and, if so, setting out particulars of the transfer value, prescribed pension, deferred benefits or refund that became, or would have become, payable.</w:t>
      </w:r>
    </w:p>
    <w:p w14:paraId="47CD3891" w14:textId="77777777" w:rsidR="00B33542" w:rsidRPr="005071A1" w:rsidRDefault="00B33542" w:rsidP="00B33542">
      <w:pPr>
        <w:pStyle w:val="subsection"/>
      </w:pPr>
      <w:r w:rsidRPr="005071A1">
        <w:tab/>
        <w:t>(2)</w:t>
      </w:r>
      <w:r w:rsidRPr="005071A1">
        <w:tab/>
        <w:t xml:space="preserve">A person to whom </w:t>
      </w:r>
      <w:r w:rsidR="008B2950" w:rsidRPr="005071A1">
        <w:t>subsection (</w:t>
      </w:r>
      <w:r w:rsidRPr="005071A1">
        <w:t>1) applies shall furnish to the Board, within the period referred to in that subsection, an authority in writing authorizing the Board to obtain information in relation to any transfer value, prescribed pension, deferred benefits or refund referred to in that subsection from his previous employer or from any person administering the superannuation scheme applicable in relation to his previous employment.</w:t>
      </w:r>
    </w:p>
    <w:p w14:paraId="26FFDB22" w14:textId="77777777" w:rsidR="00B33542" w:rsidRPr="005071A1" w:rsidRDefault="00B33542" w:rsidP="00B33542">
      <w:pPr>
        <w:pStyle w:val="ActHead5"/>
      </w:pPr>
      <w:bookmarkStart w:id="213" w:name="_Toc185577595"/>
      <w:r w:rsidRPr="004510F0">
        <w:rPr>
          <w:rStyle w:val="CharSectno"/>
        </w:rPr>
        <w:t>119H</w:t>
      </w:r>
      <w:r w:rsidRPr="005071A1">
        <w:t xml:space="preserve">  Contributors with superannuation rights from previous employment</w:t>
      </w:r>
      <w:bookmarkEnd w:id="213"/>
    </w:p>
    <w:p w14:paraId="408673A1" w14:textId="77777777" w:rsidR="00B33542" w:rsidRPr="005071A1" w:rsidRDefault="00B33542" w:rsidP="00B33542">
      <w:pPr>
        <w:pStyle w:val="subsection"/>
      </w:pPr>
      <w:r w:rsidRPr="005071A1">
        <w:tab/>
        <w:t>(1)</w:t>
      </w:r>
      <w:r w:rsidRPr="005071A1">
        <w:tab/>
        <w:t xml:space="preserve">Where a person who, after the commencement of this section, becomes an employee and a contributor to the Fund or to the Provident Account has, at any time before becoming an employee, been in employment within or outside </w:t>
      </w:r>
      <w:smartTag w:uri="urn:schemas-microsoft-com:office:smarttags" w:element="place">
        <w:smartTag w:uri="urn:schemas-microsoft-com:office:smarttags" w:element="country-region">
          <w:r w:rsidRPr="005071A1">
            <w:t>Australia</w:t>
          </w:r>
        </w:smartTag>
      </w:smartTag>
      <w:r w:rsidRPr="005071A1">
        <w:t xml:space="preserve"> upon the termination of which:</w:t>
      </w:r>
    </w:p>
    <w:p w14:paraId="010EBDE3" w14:textId="77777777" w:rsidR="00B33542" w:rsidRPr="005071A1" w:rsidRDefault="00B33542" w:rsidP="00B33542">
      <w:pPr>
        <w:pStyle w:val="paragraph"/>
      </w:pPr>
      <w:r w:rsidRPr="005071A1">
        <w:tab/>
        <w:t>(a)</w:t>
      </w:r>
      <w:r w:rsidRPr="005071A1">
        <w:tab/>
        <w:t>a transfer value became payable to or in respect of him on or after the date of commencement of this section under a superannuation scheme applicable in relation to that employment;</w:t>
      </w:r>
    </w:p>
    <w:p w14:paraId="2D974B23" w14:textId="77777777" w:rsidR="00B33542" w:rsidRPr="005071A1" w:rsidRDefault="00B33542" w:rsidP="00B33542">
      <w:pPr>
        <w:pStyle w:val="paragraph"/>
      </w:pPr>
      <w:r w:rsidRPr="005071A1">
        <w:tab/>
        <w:t>(b)</w:t>
      </w:r>
      <w:r w:rsidRPr="005071A1">
        <w:tab/>
        <w:t xml:space="preserve">a transfer value would have become so payable on or after that date but for an election or choice made, option exercised or other act or thing done by him, or he was entitled to make </w:t>
      </w:r>
      <w:r w:rsidRPr="005071A1">
        <w:lastRenderedPageBreak/>
        <w:t>an election or choice, exercise an option or do any other act or thing as a result of which a transfer value would have become so payable on or after that date but he did not make the election or choice, exercise the option or do the other act or thing;</w:t>
      </w:r>
    </w:p>
    <w:p w14:paraId="202A54DC" w14:textId="77777777" w:rsidR="00B33542" w:rsidRPr="005071A1" w:rsidRDefault="00B33542" w:rsidP="00B33542">
      <w:pPr>
        <w:pStyle w:val="paragraph"/>
      </w:pPr>
      <w:r w:rsidRPr="005071A1">
        <w:tab/>
        <w:t>(c)</w:t>
      </w:r>
      <w:r w:rsidRPr="005071A1">
        <w:tab/>
        <w:t>a prescribed pension became payable to him under such a scheme;</w:t>
      </w:r>
    </w:p>
    <w:p w14:paraId="1306446B" w14:textId="77777777" w:rsidR="00B33542" w:rsidRPr="005071A1" w:rsidRDefault="00B33542" w:rsidP="00B33542">
      <w:pPr>
        <w:pStyle w:val="paragraph"/>
      </w:pPr>
      <w:r w:rsidRPr="005071A1">
        <w:tab/>
        <w:t>(d)</w:t>
      </w:r>
      <w:r w:rsidRPr="005071A1">
        <w:tab/>
        <w:t>a prescribed pension would have become so payable on or after the date of commencement of this section but for an election or choice made, option exercised or other act or thing done by him, or he was entitled to make an election or choice, exercise an option or do any other act or thing as a result of which a prescribed pension would have become so payable on or after that date but he did not make the election or choice, exercise the option or do the other act or thing;</w:t>
      </w:r>
    </w:p>
    <w:p w14:paraId="727B7973" w14:textId="77777777" w:rsidR="00B33542" w:rsidRPr="005071A1" w:rsidRDefault="00B33542" w:rsidP="00B33542">
      <w:pPr>
        <w:pStyle w:val="paragraph"/>
      </w:pPr>
      <w:r w:rsidRPr="005071A1">
        <w:tab/>
        <w:t>(e)</w:t>
      </w:r>
      <w:r w:rsidRPr="005071A1">
        <w:tab/>
        <w:t>any deferred benefits became applicable in respect of him on or after the date of commencement of this section under such a scheme; or</w:t>
      </w:r>
    </w:p>
    <w:p w14:paraId="05EF184B" w14:textId="77777777" w:rsidR="00B33542" w:rsidRPr="005071A1" w:rsidRDefault="00B33542" w:rsidP="00B33542">
      <w:pPr>
        <w:pStyle w:val="paragraph"/>
        <w:keepNext/>
      </w:pPr>
      <w:r w:rsidRPr="005071A1">
        <w:tab/>
        <w:t>(f)</w:t>
      </w:r>
      <w:r w:rsidRPr="005071A1">
        <w:tab/>
        <w:t>any deferred benefits would have become so applicable on or after that date but for an election or choice made, option exercised or other act or thing done by him, or he was entitled to make an election or choice, exercise an option or do any other act or thing as a result of which any deferred benefits would have become so applicable on or after that date but he did not make the election or choice, exercise the option or do the other act or thing;</w:t>
      </w:r>
    </w:p>
    <w:p w14:paraId="4083B982" w14:textId="77777777" w:rsidR="00B33542" w:rsidRPr="005071A1" w:rsidRDefault="00B33542" w:rsidP="00B33542">
      <w:pPr>
        <w:pStyle w:val="subsection2"/>
      </w:pPr>
      <w:r w:rsidRPr="005071A1">
        <w:t>the succeeding sections of this Division have effect.</w:t>
      </w:r>
    </w:p>
    <w:p w14:paraId="187075EA" w14:textId="77777777" w:rsidR="00B33542" w:rsidRPr="005071A1" w:rsidRDefault="00B33542" w:rsidP="00B33542">
      <w:pPr>
        <w:pStyle w:val="subsection"/>
      </w:pPr>
      <w:r w:rsidRPr="005071A1">
        <w:tab/>
        <w:t>(2)</w:t>
      </w:r>
      <w:r w:rsidRPr="005071A1">
        <w:tab/>
      </w:r>
      <w:r w:rsidR="008B2950" w:rsidRPr="005071A1">
        <w:t>Paragraph (</w:t>
      </w:r>
      <w:r w:rsidRPr="005071A1">
        <w:t xml:space="preserve">b) of </w:t>
      </w:r>
      <w:r w:rsidR="008B2950" w:rsidRPr="005071A1">
        <w:t>subsection (</w:t>
      </w:r>
      <w:r w:rsidRPr="005071A1">
        <w:t xml:space="preserve">1) shall not be taken to apply in relation to a person by reason of the doing of, or the failure to do, any act or thing if, as a result of the doing of the act or thing or as a result of the failure, </w:t>
      </w:r>
      <w:r w:rsidR="008B2950" w:rsidRPr="005071A1">
        <w:t>paragraph (</w:t>
      </w:r>
      <w:r w:rsidRPr="005071A1">
        <w:t xml:space="preserve">c) or </w:t>
      </w:r>
      <w:r w:rsidR="008B2950" w:rsidRPr="005071A1">
        <w:t>paragraph (</w:t>
      </w:r>
      <w:r w:rsidRPr="005071A1">
        <w:t>e) of that subsection applies in relation to him.</w:t>
      </w:r>
    </w:p>
    <w:p w14:paraId="2D6842A3" w14:textId="77777777" w:rsidR="00B33542" w:rsidRPr="005071A1" w:rsidRDefault="00B33542" w:rsidP="00B33542">
      <w:pPr>
        <w:pStyle w:val="subsection"/>
      </w:pPr>
      <w:r w:rsidRPr="005071A1">
        <w:lastRenderedPageBreak/>
        <w:tab/>
        <w:t>(3)</w:t>
      </w:r>
      <w:r w:rsidRPr="005071A1">
        <w:tab/>
      </w:r>
      <w:r w:rsidR="008B2950" w:rsidRPr="005071A1">
        <w:t>Paragraph (</w:t>
      </w:r>
      <w:r w:rsidRPr="005071A1">
        <w:t xml:space="preserve">d) of </w:t>
      </w:r>
      <w:r w:rsidR="008B2950" w:rsidRPr="005071A1">
        <w:t>subsection (</w:t>
      </w:r>
      <w:r w:rsidRPr="005071A1">
        <w:t xml:space="preserve">1) shall not be taken to apply in relation to a person by reason of the doing of, or the failure to do, any act or thing if, as a result of the doing of the act or thing or as a result of the failure, </w:t>
      </w:r>
      <w:r w:rsidR="008B2950" w:rsidRPr="005071A1">
        <w:t>paragraph (</w:t>
      </w:r>
      <w:r w:rsidRPr="005071A1">
        <w:t xml:space="preserve">a) or </w:t>
      </w:r>
      <w:r w:rsidR="008B2950" w:rsidRPr="005071A1">
        <w:t>paragraph (</w:t>
      </w:r>
      <w:r w:rsidRPr="005071A1">
        <w:t>e) of that subsection applies in relation to him.</w:t>
      </w:r>
    </w:p>
    <w:p w14:paraId="13D13CA3" w14:textId="77777777" w:rsidR="00B33542" w:rsidRPr="005071A1" w:rsidRDefault="00B33542" w:rsidP="00B33542">
      <w:pPr>
        <w:pStyle w:val="subsection"/>
      </w:pPr>
      <w:r w:rsidRPr="005071A1">
        <w:tab/>
        <w:t>(4)</w:t>
      </w:r>
      <w:r w:rsidRPr="005071A1">
        <w:tab/>
      </w:r>
      <w:r w:rsidR="008B2950" w:rsidRPr="005071A1">
        <w:t>Paragraph (</w:t>
      </w:r>
      <w:r w:rsidRPr="005071A1">
        <w:t xml:space="preserve">f) of </w:t>
      </w:r>
      <w:r w:rsidR="008B2950" w:rsidRPr="005071A1">
        <w:t>subsection (</w:t>
      </w:r>
      <w:r w:rsidRPr="005071A1">
        <w:t xml:space="preserve">1) shall not be taken to apply in relation to a person by reason of the doing of, or the failure to do, any act or thing if, as a result of the doing of the act or thing or as a result of the failure, </w:t>
      </w:r>
      <w:r w:rsidR="008B2950" w:rsidRPr="005071A1">
        <w:t>paragraph (</w:t>
      </w:r>
      <w:r w:rsidRPr="005071A1">
        <w:t xml:space="preserve">a) or </w:t>
      </w:r>
      <w:r w:rsidR="008B2950" w:rsidRPr="005071A1">
        <w:t>paragraph (</w:t>
      </w:r>
      <w:r w:rsidRPr="005071A1">
        <w:t>c) of that subsection applies in relation to him.</w:t>
      </w:r>
    </w:p>
    <w:p w14:paraId="5D0FEF63" w14:textId="77777777" w:rsidR="00B33542" w:rsidRPr="005071A1" w:rsidRDefault="00B33542" w:rsidP="00B33542">
      <w:pPr>
        <w:pStyle w:val="ActHead5"/>
      </w:pPr>
      <w:bookmarkStart w:id="214" w:name="_Toc185577596"/>
      <w:r w:rsidRPr="004510F0">
        <w:rPr>
          <w:rStyle w:val="CharSectno"/>
        </w:rPr>
        <w:t>119J</w:t>
      </w:r>
      <w:r w:rsidRPr="005071A1">
        <w:t xml:space="preserve">  Rights of contributors who elect to pay transfer value to Board</w:t>
      </w:r>
      <w:bookmarkEnd w:id="214"/>
    </w:p>
    <w:p w14:paraId="475F8F51" w14:textId="77777777" w:rsidR="00B33542" w:rsidRPr="005071A1" w:rsidRDefault="00B33542" w:rsidP="00B33542">
      <w:pPr>
        <w:pStyle w:val="subsection"/>
      </w:pPr>
      <w:r w:rsidRPr="005071A1">
        <w:tab/>
        <w:t>(1)</w:t>
      </w:r>
      <w:r w:rsidRPr="005071A1">
        <w:tab/>
        <w:t>If:</w:t>
      </w:r>
    </w:p>
    <w:p w14:paraId="3809F4E9" w14:textId="77777777" w:rsidR="00B33542" w:rsidRPr="005071A1" w:rsidRDefault="00B33542" w:rsidP="00B33542">
      <w:pPr>
        <w:pStyle w:val="paragraph"/>
      </w:pPr>
      <w:r w:rsidRPr="005071A1">
        <w:tab/>
        <w:t>(a)</w:t>
      </w:r>
      <w:r w:rsidRPr="005071A1">
        <w:tab/>
        <w:t xml:space="preserve">a transfer value or transfer values became payable to or in respect of the person in accordance with </w:t>
      </w:r>
      <w:r w:rsidR="008B2950" w:rsidRPr="005071A1">
        <w:t>paragraph (</w:t>
      </w:r>
      <w:r w:rsidRPr="005071A1">
        <w:t xml:space="preserve">a) of </w:t>
      </w:r>
      <w:r w:rsidR="008B2950" w:rsidRPr="005071A1">
        <w:t>subsection (</w:t>
      </w:r>
      <w:r w:rsidRPr="005071A1">
        <w:t xml:space="preserve">1) of </w:t>
      </w:r>
      <w:r w:rsidR="004510F0">
        <w:t>section 1</w:t>
      </w:r>
      <w:r w:rsidRPr="005071A1">
        <w:t>19H;</w:t>
      </w:r>
    </w:p>
    <w:p w14:paraId="71056A5B" w14:textId="77777777" w:rsidR="00B33542" w:rsidRPr="005071A1" w:rsidRDefault="00B33542" w:rsidP="00B33542">
      <w:pPr>
        <w:pStyle w:val="paragraph"/>
      </w:pPr>
      <w:r w:rsidRPr="005071A1">
        <w:tab/>
        <w:t>(b)</w:t>
      </w:r>
      <w:r w:rsidRPr="005071A1">
        <w:tab/>
        <w:t>the person elected before the date on which he became an employee, or elects not later than three months after that date, to pay to the Board an amount equal to the amount of that transfer value or, if two or more transfer values became payable, to the sum of the amounts of those transfer values; and</w:t>
      </w:r>
    </w:p>
    <w:p w14:paraId="77CE0B7C" w14:textId="77777777" w:rsidR="00B33542" w:rsidRPr="005071A1" w:rsidRDefault="00B33542" w:rsidP="00B33542">
      <w:pPr>
        <w:pStyle w:val="paragraph"/>
        <w:keepNext/>
      </w:pPr>
      <w:r w:rsidRPr="005071A1">
        <w:tab/>
        <w:t>(c)</w:t>
      </w:r>
      <w:r w:rsidRPr="005071A1">
        <w:tab/>
        <w:t>that amount has, before the expiration of that period of three months, been paid to the Board;</w:t>
      </w:r>
    </w:p>
    <w:p w14:paraId="369B7993" w14:textId="77777777" w:rsidR="00B33542" w:rsidRPr="005071A1" w:rsidRDefault="00B33542" w:rsidP="00B33542">
      <w:pPr>
        <w:pStyle w:val="subsection2"/>
      </w:pPr>
      <w:r w:rsidRPr="005071A1">
        <w:t>the succeeding provisions of this section have effect.</w:t>
      </w:r>
    </w:p>
    <w:p w14:paraId="0593DB0A" w14:textId="77777777" w:rsidR="00B33542" w:rsidRPr="005071A1" w:rsidRDefault="00B33542" w:rsidP="00B33542">
      <w:pPr>
        <w:pStyle w:val="subsection"/>
      </w:pPr>
      <w:r w:rsidRPr="005071A1">
        <w:tab/>
        <w:t>(2)</w:t>
      </w:r>
      <w:r w:rsidRPr="005071A1">
        <w:tab/>
        <w:t xml:space="preserve">The Board may, if it is satisfied that there are special circumstances that justify it in so doing, extend the period for the making of an election and the payment of an amount to the Board under </w:t>
      </w:r>
      <w:r w:rsidR="008B2950" w:rsidRPr="005071A1">
        <w:t>subsection (</w:t>
      </w:r>
      <w:r w:rsidRPr="005071A1">
        <w:t>1).</w:t>
      </w:r>
    </w:p>
    <w:p w14:paraId="1446D1EC" w14:textId="77777777" w:rsidR="00B33542" w:rsidRPr="005071A1" w:rsidRDefault="00B33542" w:rsidP="00B33542">
      <w:pPr>
        <w:pStyle w:val="subsection"/>
        <w:keepNext/>
      </w:pPr>
      <w:r w:rsidRPr="005071A1">
        <w:lastRenderedPageBreak/>
        <w:tab/>
        <w:t>(3)</w:t>
      </w:r>
      <w:r w:rsidRPr="005071A1">
        <w:tab/>
        <w:t>Where the person is a contributor to the Fund:</w:t>
      </w:r>
    </w:p>
    <w:p w14:paraId="7BF0028D" w14:textId="77777777" w:rsidR="00B33542" w:rsidRPr="005071A1" w:rsidRDefault="00B33542" w:rsidP="00B33542">
      <w:pPr>
        <w:pStyle w:val="paragraph"/>
      </w:pPr>
      <w:r w:rsidRPr="005071A1">
        <w:tab/>
        <w:t>(a)</w:t>
      </w:r>
      <w:r w:rsidRPr="005071A1">
        <w:tab/>
        <w:t>so much of the amount paid to the Board as is equal to the employee component of the transfer value, or to the sum of the employee components of the transfer values, as the case may be, shall be paid by the Board to the Fund and, when so paid:</w:t>
      </w:r>
    </w:p>
    <w:p w14:paraId="419EE7CA" w14:textId="77777777" w:rsidR="00B33542" w:rsidRPr="005071A1" w:rsidRDefault="00B33542" w:rsidP="00B33542">
      <w:pPr>
        <w:pStyle w:val="paragraphsub"/>
      </w:pPr>
      <w:r w:rsidRPr="005071A1">
        <w:tab/>
        <w:t>(i)</w:t>
      </w:r>
      <w:r w:rsidRPr="005071A1">
        <w:tab/>
        <w:t>shall be deemed, for the purposes of this Act other than section</w:t>
      </w:r>
      <w:r w:rsidR="008B2950" w:rsidRPr="005071A1">
        <w:t> </w:t>
      </w:r>
      <w:r w:rsidRPr="005071A1">
        <w:t>51 to be contributions made to the Fund by the person; and</w:t>
      </w:r>
    </w:p>
    <w:p w14:paraId="082F00EF" w14:textId="77777777" w:rsidR="00B33542" w:rsidRPr="005071A1" w:rsidRDefault="00B33542" w:rsidP="00B33542">
      <w:pPr>
        <w:pStyle w:val="paragraphsub"/>
      </w:pPr>
      <w:r w:rsidRPr="005071A1">
        <w:tab/>
        <w:t>(ii)</w:t>
      </w:r>
      <w:r w:rsidRPr="005071A1">
        <w:tab/>
        <w:t>shall, to the extent to which it was payable to the person upon the termination of the employment in respect of which the transfer value or any of the transfer values become payable irrespective of whether he engaged in further employment, be deemed, for the purposes of section</w:t>
      </w:r>
      <w:r w:rsidR="008B2950" w:rsidRPr="005071A1">
        <w:t> </w:t>
      </w:r>
      <w:r w:rsidRPr="005071A1">
        <w:t>51, to be contributions made to the Fund by the person;</w:t>
      </w:r>
    </w:p>
    <w:p w14:paraId="0E438E6B" w14:textId="77777777" w:rsidR="00B33542" w:rsidRPr="005071A1" w:rsidRDefault="00B33542" w:rsidP="00B33542">
      <w:pPr>
        <w:pStyle w:val="paragraph"/>
      </w:pPr>
      <w:r w:rsidRPr="005071A1">
        <w:tab/>
        <w:t>(b)</w:t>
      </w:r>
      <w:r w:rsidRPr="005071A1">
        <w:tab/>
        <w:t>the person shall be deemed, for the purposes of this Act, to have completed payment of contributions to the Fund for such number of units of pension (including, where necessary, a fraction of a unit of pension) as the Board determines to have been equivalent, as at the date on which the person became an employee, to the amount of the transfer value or the total of the amounts of the transfer values;</w:t>
      </w:r>
    </w:p>
    <w:p w14:paraId="50BB5E2F" w14:textId="77777777" w:rsidR="00B33542" w:rsidRPr="005071A1" w:rsidRDefault="00B33542" w:rsidP="00B33542">
      <w:pPr>
        <w:pStyle w:val="paragraph"/>
      </w:pPr>
      <w:r w:rsidRPr="005071A1">
        <w:tab/>
        <w:t>(c)</w:t>
      </w:r>
      <w:r w:rsidRPr="005071A1">
        <w:tab/>
        <w:t>if at any time the number of units of pension for which the person would, but for this Division, be required to contribute to the Fund does not exceed the sum of:</w:t>
      </w:r>
    </w:p>
    <w:p w14:paraId="3F191D92" w14:textId="77777777" w:rsidR="00B33542" w:rsidRPr="005071A1" w:rsidRDefault="00B33542" w:rsidP="00B33542">
      <w:pPr>
        <w:pStyle w:val="paragraphsub"/>
      </w:pPr>
      <w:r w:rsidRPr="005071A1">
        <w:tab/>
        <w:t>(i)</w:t>
      </w:r>
      <w:r w:rsidRPr="005071A1">
        <w:tab/>
        <w:t xml:space="preserve">the number of units of pension for which he is to be deemed by </w:t>
      </w:r>
      <w:r w:rsidR="008B2950" w:rsidRPr="005071A1">
        <w:t>paragraph (</w:t>
      </w:r>
      <w:r w:rsidRPr="005071A1">
        <w:t>b) to have completed payment of contributions;</w:t>
      </w:r>
    </w:p>
    <w:p w14:paraId="4190447A" w14:textId="77777777" w:rsidR="00B33542" w:rsidRPr="005071A1" w:rsidRDefault="00B33542" w:rsidP="00B33542">
      <w:pPr>
        <w:pStyle w:val="paragraphsub"/>
      </w:pPr>
      <w:r w:rsidRPr="005071A1">
        <w:tab/>
        <w:t>(ii)</w:t>
      </w:r>
      <w:r w:rsidRPr="005071A1">
        <w:tab/>
        <w:t xml:space="preserve">such number of units of pension (including, where necessary, a fraction of a unit of pension) as the Board determines to have been equivalent, as at the date on which the person became an employee, to the total of the amounts of any transfer values referred to in </w:t>
      </w:r>
      <w:r w:rsidR="008B2950" w:rsidRPr="005071A1">
        <w:lastRenderedPageBreak/>
        <w:t>paragraph (</w:t>
      </w:r>
      <w:r w:rsidRPr="005071A1">
        <w:t xml:space="preserve">b) of </w:t>
      </w:r>
      <w:r w:rsidR="008B2950" w:rsidRPr="005071A1">
        <w:t>subsection (</w:t>
      </w:r>
      <w:r w:rsidRPr="005071A1">
        <w:t xml:space="preserve">1) of </w:t>
      </w:r>
      <w:r w:rsidR="004510F0">
        <w:t>section 1</w:t>
      </w:r>
      <w:r w:rsidRPr="005071A1">
        <w:t>19H that would have become payable to or in respect of him;</w:t>
      </w:r>
    </w:p>
    <w:p w14:paraId="569FDF60" w14:textId="77777777" w:rsidR="00B33542" w:rsidRPr="005071A1" w:rsidRDefault="00B33542" w:rsidP="00B33542">
      <w:pPr>
        <w:pStyle w:val="paragraphsub"/>
      </w:pPr>
      <w:r w:rsidRPr="005071A1">
        <w:tab/>
        <w:t>(iii)</w:t>
      </w:r>
      <w:r w:rsidRPr="005071A1">
        <w:tab/>
        <w:t xml:space="preserve">such number of units of pension (including, where necessary, a fraction of a unit of pension) as the Board determines to have been equivalent, as at the date on which the person became an employee, to any pensions referred to in </w:t>
      </w:r>
      <w:r w:rsidR="008B2950" w:rsidRPr="005071A1">
        <w:t>paragraphs (</w:t>
      </w:r>
      <w:r w:rsidRPr="005071A1">
        <w:t>c) and (d) of that subsection that are, or would have become, payable to him;</w:t>
      </w:r>
    </w:p>
    <w:p w14:paraId="4E4944A9" w14:textId="77777777" w:rsidR="00B33542" w:rsidRPr="005071A1" w:rsidRDefault="00B33542" w:rsidP="00B33542">
      <w:pPr>
        <w:pStyle w:val="paragraphsub"/>
      </w:pPr>
      <w:r w:rsidRPr="005071A1">
        <w:tab/>
        <w:t>(iv)</w:t>
      </w:r>
      <w:r w:rsidRPr="005071A1">
        <w:tab/>
        <w:t xml:space="preserve">such number of units of pension (including, where necessary, a fraction of a unit of pension) as the Board determines to have been equivalent, as at the date on which the person became an employee, to any deferred benefits referred to in </w:t>
      </w:r>
      <w:r w:rsidR="008B2950" w:rsidRPr="005071A1">
        <w:t>paragraphs (</w:t>
      </w:r>
      <w:r w:rsidRPr="005071A1">
        <w:t>e) and (f) of that subsection that are, or would have become, applicable in respect of him; and</w:t>
      </w:r>
    </w:p>
    <w:p w14:paraId="6BDBD89D" w14:textId="77777777" w:rsidR="00B33542" w:rsidRPr="005071A1" w:rsidRDefault="00B33542" w:rsidP="00B33542">
      <w:pPr>
        <w:pStyle w:val="paragraphsub"/>
        <w:keepNext/>
      </w:pPr>
      <w:r w:rsidRPr="005071A1">
        <w:tab/>
        <w:t>(v)</w:t>
      </w:r>
      <w:r w:rsidRPr="005071A1">
        <w:tab/>
        <w:t xml:space="preserve">in the case of a person who becomes a contributor after the commencement of this section and was, immediately before becoming an employee, a contributor to a Public Service Superannuation Fund within the meaning of Part VIII, other than a person to whom that Part does not apply by reason of the operation of </w:t>
      </w:r>
      <w:r w:rsidR="008B2950" w:rsidRPr="005071A1">
        <w:t>subsection (</w:t>
      </w:r>
      <w:r w:rsidRPr="005071A1">
        <w:t xml:space="preserve">1) of </w:t>
      </w:r>
      <w:r w:rsidR="004510F0">
        <w:t>section 1</w:t>
      </w:r>
      <w:r w:rsidRPr="005071A1">
        <w:t xml:space="preserve">10C—the number of units of pension determined by the Board in relation to him under </w:t>
      </w:r>
      <w:r w:rsidR="008B2950" w:rsidRPr="005071A1">
        <w:t>subsection (</w:t>
      </w:r>
      <w:r w:rsidRPr="005071A1">
        <w:t xml:space="preserve">3) of </w:t>
      </w:r>
      <w:r w:rsidR="004510F0">
        <w:t>section 1</w:t>
      </w:r>
      <w:r w:rsidRPr="005071A1">
        <w:t xml:space="preserve">09 or, if that section does not apply in relation to him, the number of units of pension that would have been determined by the Board in relation to him under </w:t>
      </w:r>
      <w:r w:rsidR="008B2950" w:rsidRPr="005071A1">
        <w:t>subsection (</w:t>
      </w:r>
      <w:r w:rsidRPr="005071A1">
        <w:t xml:space="preserve">2) of </w:t>
      </w:r>
      <w:r w:rsidR="004510F0">
        <w:t>section 1</w:t>
      </w:r>
      <w:r w:rsidRPr="005071A1">
        <w:t>10 if that last</w:t>
      </w:r>
      <w:r w:rsidR="004510F0">
        <w:noBreakHyphen/>
      </w:r>
      <w:r w:rsidRPr="005071A1">
        <w:t>mentioned section were applicable in relation to him;</w:t>
      </w:r>
    </w:p>
    <w:p w14:paraId="6C11FB57" w14:textId="77777777" w:rsidR="00B33542" w:rsidRPr="005071A1" w:rsidRDefault="00B33542" w:rsidP="00B33542">
      <w:pPr>
        <w:pStyle w:val="paragraph"/>
      </w:pPr>
      <w:r w:rsidRPr="005071A1">
        <w:tab/>
      </w:r>
      <w:r w:rsidRPr="005071A1">
        <w:tab/>
        <w:t>the person shall not be required or permitted to contribute to the Fund at that time in respect of units of pension;</w:t>
      </w:r>
    </w:p>
    <w:p w14:paraId="08E41FA3" w14:textId="77777777" w:rsidR="00B33542" w:rsidRPr="005071A1" w:rsidRDefault="00B33542" w:rsidP="00B33542">
      <w:pPr>
        <w:pStyle w:val="paragraph"/>
      </w:pPr>
      <w:r w:rsidRPr="005071A1">
        <w:lastRenderedPageBreak/>
        <w:tab/>
        <w:t>(d)</w:t>
      </w:r>
      <w:r w:rsidRPr="005071A1">
        <w:tab/>
        <w:t xml:space="preserve">if at any time the number of units of pension for which the person would, but for this Division, be required to contribute to the Fund exceeds the sum referred to in </w:t>
      </w:r>
      <w:r w:rsidR="008B2950" w:rsidRPr="005071A1">
        <w:t>paragraph (</w:t>
      </w:r>
      <w:r w:rsidRPr="005071A1">
        <w:t>c), the person shall not be required or permitted to contribute to the Fund at that time in respect of a number of units of pension greater than the excess; and</w:t>
      </w:r>
    </w:p>
    <w:p w14:paraId="329E5A67" w14:textId="77777777" w:rsidR="00B33542" w:rsidRPr="005071A1" w:rsidRDefault="00B33542" w:rsidP="00B33542">
      <w:pPr>
        <w:pStyle w:val="paragraph"/>
      </w:pPr>
      <w:r w:rsidRPr="005071A1">
        <w:tab/>
        <w:t>(e)</w:t>
      </w:r>
      <w:r w:rsidRPr="005071A1">
        <w:tab/>
        <w:t xml:space="preserve">nothing in this Act shall be taken to require or permit a reduction in the number of units of pension for which the person is a contributor to a number that is less than the number of units of pension for which he is to be deemed by </w:t>
      </w:r>
      <w:r w:rsidR="008B2950" w:rsidRPr="005071A1">
        <w:t>paragraph (</w:t>
      </w:r>
      <w:r w:rsidRPr="005071A1">
        <w:t>b) to have completed payment of contributions.</w:t>
      </w:r>
    </w:p>
    <w:p w14:paraId="7FFEDF01" w14:textId="77777777" w:rsidR="00B33542" w:rsidRPr="005071A1" w:rsidRDefault="00B33542" w:rsidP="00B33542">
      <w:pPr>
        <w:pStyle w:val="subsection"/>
      </w:pPr>
      <w:r w:rsidRPr="005071A1">
        <w:tab/>
        <w:t>(4)</w:t>
      </w:r>
      <w:r w:rsidRPr="005071A1">
        <w:tab/>
        <w:t xml:space="preserve">A determination made for the purposes of </w:t>
      </w:r>
      <w:r w:rsidR="008B2950" w:rsidRPr="005071A1">
        <w:t>paragraph (</w:t>
      </w:r>
      <w:r w:rsidRPr="005071A1">
        <w:t xml:space="preserve">b) or </w:t>
      </w:r>
      <w:r w:rsidR="008B2950" w:rsidRPr="005071A1">
        <w:t>paragraph (</w:t>
      </w:r>
      <w:r w:rsidRPr="005071A1">
        <w:t xml:space="preserve">c) of </w:t>
      </w:r>
      <w:r w:rsidR="008B2950" w:rsidRPr="005071A1">
        <w:t>subsection (</w:t>
      </w:r>
      <w:r w:rsidRPr="005071A1">
        <w:t>3) in relation to a person who has not made an election under section</w:t>
      </w:r>
      <w:r w:rsidR="008B2950" w:rsidRPr="005071A1">
        <w:t> </w:t>
      </w:r>
      <w:r w:rsidRPr="005071A1">
        <w:t>24 may specify different numbers of units of pension as having been equivalent to the amount of a transfer value, or the total of the amounts of any transfer values, or as having been equivalent to any pension or deferred benefits, according to whether or not the person makes such an election after the determination is made.</w:t>
      </w:r>
    </w:p>
    <w:p w14:paraId="6FBE3567" w14:textId="77777777" w:rsidR="00B33542" w:rsidRPr="005071A1" w:rsidRDefault="00B33542" w:rsidP="00B33542">
      <w:pPr>
        <w:pStyle w:val="subsection"/>
        <w:keepNext/>
      </w:pPr>
      <w:r w:rsidRPr="005071A1">
        <w:tab/>
        <w:t>(5)</w:t>
      </w:r>
      <w:r w:rsidRPr="005071A1">
        <w:tab/>
        <w:t>Where:</w:t>
      </w:r>
    </w:p>
    <w:p w14:paraId="6F139CFD" w14:textId="77777777" w:rsidR="00B33542" w:rsidRPr="005071A1" w:rsidRDefault="00B33542" w:rsidP="00B33542">
      <w:pPr>
        <w:pStyle w:val="paragraph"/>
      </w:pPr>
      <w:r w:rsidRPr="005071A1">
        <w:tab/>
        <w:t>(a)</w:t>
      </w:r>
      <w:r w:rsidRPr="005071A1">
        <w:tab/>
        <w:t xml:space="preserve">a transfer value became payable to or in respect of a person in accordance with </w:t>
      </w:r>
      <w:r w:rsidR="008B2950" w:rsidRPr="005071A1">
        <w:t>paragraph (</w:t>
      </w:r>
      <w:r w:rsidRPr="005071A1">
        <w:t xml:space="preserve">a) of </w:t>
      </w:r>
      <w:r w:rsidR="008B2950" w:rsidRPr="005071A1">
        <w:t>subsection (</w:t>
      </w:r>
      <w:r w:rsidRPr="005071A1">
        <w:t xml:space="preserve">1) of </w:t>
      </w:r>
      <w:r w:rsidR="004510F0">
        <w:t>section 1</w:t>
      </w:r>
      <w:r w:rsidRPr="005071A1">
        <w:t>19H; and</w:t>
      </w:r>
    </w:p>
    <w:p w14:paraId="5E7A7764" w14:textId="77777777" w:rsidR="00B33542" w:rsidRPr="005071A1" w:rsidRDefault="00B33542" w:rsidP="00B33542">
      <w:pPr>
        <w:pStyle w:val="paragraph"/>
        <w:keepNext/>
      </w:pPr>
      <w:r w:rsidRPr="005071A1">
        <w:tab/>
        <w:t>(b)</w:t>
      </w:r>
      <w:r w:rsidRPr="005071A1">
        <w:tab/>
        <w:t xml:space="preserve">a transfer value of a greater amount would have become so payable but for the doing of, or the failure to do, any act or thing referred to in </w:t>
      </w:r>
      <w:r w:rsidR="008B2950" w:rsidRPr="005071A1">
        <w:t>paragraph (</w:t>
      </w:r>
      <w:r w:rsidRPr="005071A1">
        <w:t>b) of that subsection;</w:t>
      </w:r>
    </w:p>
    <w:p w14:paraId="1B431D4F" w14:textId="77777777" w:rsidR="00B33542" w:rsidRPr="005071A1" w:rsidRDefault="00B33542" w:rsidP="00B33542">
      <w:pPr>
        <w:pStyle w:val="subsection2"/>
      </w:pPr>
      <w:r w:rsidRPr="005071A1">
        <w:t>the amount of the last</w:t>
      </w:r>
      <w:r w:rsidR="004510F0">
        <w:noBreakHyphen/>
      </w:r>
      <w:r w:rsidRPr="005071A1">
        <w:t xml:space="preserve">mentioned transfer value shall be taken into account for the purposes of </w:t>
      </w:r>
      <w:r w:rsidR="008B2950" w:rsidRPr="005071A1">
        <w:t>subparagraph (</w:t>
      </w:r>
      <w:r w:rsidRPr="005071A1">
        <w:t xml:space="preserve">ii) of </w:t>
      </w:r>
      <w:r w:rsidR="008B2950" w:rsidRPr="005071A1">
        <w:t>paragraph (</w:t>
      </w:r>
      <w:r w:rsidRPr="005071A1">
        <w:t xml:space="preserve">c) of </w:t>
      </w:r>
      <w:r w:rsidR="008B2950" w:rsidRPr="005071A1">
        <w:t>subsection (</w:t>
      </w:r>
      <w:r w:rsidRPr="005071A1">
        <w:t>3) of this section only to the extent to which it was greater than the amount of the first</w:t>
      </w:r>
      <w:r w:rsidR="004510F0">
        <w:noBreakHyphen/>
      </w:r>
      <w:r w:rsidRPr="005071A1">
        <w:t>mentioned transfer value.</w:t>
      </w:r>
    </w:p>
    <w:p w14:paraId="78C81B57" w14:textId="77777777" w:rsidR="00B33542" w:rsidRPr="005071A1" w:rsidRDefault="00B33542" w:rsidP="00B33542">
      <w:pPr>
        <w:pStyle w:val="subsection"/>
      </w:pPr>
      <w:r w:rsidRPr="005071A1">
        <w:tab/>
        <w:t>(6)</w:t>
      </w:r>
      <w:r w:rsidRPr="005071A1">
        <w:tab/>
        <w:t>Where:</w:t>
      </w:r>
    </w:p>
    <w:p w14:paraId="2FCDC8ED" w14:textId="77777777" w:rsidR="00B33542" w:rsidRPr="005071A1" w:rsidRDefault="00B33542" w:rsidP="00B33542">
      <w:pPr>
        <w:pStyle w:val="paragraph"/>
      </w:pPr>
      <w:r w:rsidRPr="005071A1">
        <w:lastRenderedPageBreak/>
        <w:tab/>
        <w:t>(a)</w:t>
      </w:r>
      <w:r w:rsidRPr="005071A1">
        <w:tab/>
        <w:t xml:space="preserve">a transfer value became payable to or in respect of a person in accordance with </w:t>
      </w:r>
      <w:r w:rsidR="008B2950" w:rsidRPr="005071A1">
        <w:t>paragraph (</w:t>
      </w:r>
      <w:r w:rsidRPr="005071A1">
        <w:t xml:space="preserve">a) of </w:t>
      </w:r>
      <w:r w:rsidR="008B2950" w:rsidRPr="005071A1">
        <w:t>subsection (</w:t>
      </w:r>
      <w:r w:rsidRPr="005071A1">
        <w:t xml:space="preserve">1) of </w:t>
      </w:r>
      <w:r w:rsidR="004510F0">
        <w:t>section 1</w:t>
      </w:r>
      <w:r w:rsidRPr="005071A1">
        <w:t>19H; and</w:t>
      </w:r>
    </w:p>
    <w:p w14:paraId="04A1EA5E" w14:textId="77777777" w:rsidR="00B33542" w:rsidRPr="005071A1" w:rsidRDefault="00B33542" w:rsidP="00B33542">
      <w:pPr>
        <w:pStyle w:val="paragraph"/>
        <w:keepNext/>
      </w:pPr>
      <w:r w:rsidRPr="005071A1">
        <w:tab/>
        <w:t>(b)</w:t>
      </w:r>
      <w:r w:rsidRPr="005071A1">
        <w:tab/>
        <w:t xml:space="preserve">a transfer value of a smaller amount would have become so payable but for the doing of, or the failure to do, any act or thing referred to in </w:t>
      </w:r>
      <w:r w:rsidR="008B2950" w:rsidRPr="005071A1">
        <w:t>paragraph (</w:t>
      </w:r>
      <w:r w:rsidRPr="005071A1">
        <w:t>b) of that subsection;</w:t>
      </w:r>
    </w:p>
    <w:p w14:paraId="52A8C973" w14:textId="77777777" w:rsidR="00B33542" w:rsidRPr="005071A1" w:rsidRDefault="00B33542" w:rsidP="00B33542">
      <w:pPr>
        <w:pStyle w:val="subsection2"/>
      </w:pPr>
      <w:r w:rsidRPr="005071A1">
        <w:t>the amount of the last</w:t>
      </w:r>
      <w:r w:rsidR="004510F0">
        <w:noBreakHyphen/>
      </w:r>
      <w:r w:rsidRPr="005071A1">
        <w:t xml:space="preserve">mentioned transfer value shall not be taken into account for the purposes of </w:t>
      </w:r>
      <w:r w:rsidR="008B2950" w:rsidRPr="005071A1">
        <w:t>subparagraph (</w:t>
      </w:r>
      <w:r w:rsidRPr="005071A1">
        <w:t xml:space="preserve">ii) of </w:t>
      </w:r>
      <w:r w:rsidR="008B2950" w:rsidRPr="005071A1">
        <w:t>paragraph (</w:t>
      </w:r>
      <w:r w:rsidRPr="005071A1">
        <w:t xml:space="preserve">c) of </w:t>
      </w:r>
      <w:r w:rsidR="008B2950" w:rsidRPr="005071A1">
        <w:t>subsection (</w:t>
      </w:r>
      <w:r w:rsidRPr="005071A1">
        <w:t>3) of this section.</w:t>
      </w:r>
    </w:p>
    <w:p w14:paraId="30452E8C" w14:textId="77777777" w:rsidR="00B33542" w:rsidRPr="005071A1" w:rsidRDefault="00B33542" w:rsidP="00B33542">
      <w:pPr>
        <w:pStyle w:val="subsection"/>
      </w:pPr>
      <w:r w:rsidRPr="005071A1">
        <w:tab/>
        <w:t>(7)</w:t>
      </w:r>
      <w:r w:rsidRPr="005071A1">
        <w:tab/>
        <w:t>Where the person is a contributor to the Provident Account:</w:t>
      </w:r>
    </w:p>
    <w:p w14:paraId="69178EAB" w14:textId="77777777" w:rsidR="00B33542" w:rsidRPr="005071A1" w:rsidRDefault="00B33542" w:rsidP="00B33542">
      <w:pPr>
        <w:pStyle w:val="paragraph"/>
      </w:pPr>
      <w:r w:rsidRPr="005071A1">
        <w:tab/>
        <w:t>(a)</w:t>
      </w:r>
      <w:r w:rsidRPr="005071A1">
        <w:tab/>
        <w:t>so much of the amount paid to the Board as is equal to the employee component of the transfer value, or to the sum of the employee components of the transfer values, as the case may be, shall be paid by the Board into the Provident Account;</w:t>
      </w:r>
    </w:p>
    <w:p w14:paraId="47C91FD8" w14:textId="77777777" w:rsidR="00B33542" w:rsidRPr="005071A1" w:rsidRDefault="00B33542" w:rsidP="00B33542">
      <w:pPr>
        <w:pStyle w:val="paragraph"/>
      </w:pPr>
      <w:r w:rsidRPr="005071A1">
        <w:tab/>
        <w:t>(b)</w:t>
      </w:r>
      <w:r w:rsidRPr="005071A1">
        <w:tab/>
        <w:t>the amount so paid into the Provident Account shall, to the extent to which it was payable to the person upon the termination of the employment in respect of which the transfer value or any of the transfer values became payable irrespective of whether he engaged in further employment, be deemed, for the purposes of sections</w:t>
      </w:r>
      <w:r w:rsidR="008B2950" w:rsidRPr="005071A1">
        <w:t> </w:t>
      </w:r>
      <w:r w:rsidRPr="005071A1">
        <w:t>84 and 85, to be contributions made to the Provident Account by the person;</w:t>
      </w:r>
    </w:p>
    <w:p w14:paraId="09D786A0" w14:textId="77777777" w:rsidR="00B33542" w:rsidRPr="005071A1" w:rsidRDefault="00B33542" w:rsidP="00B33542">
      <w:pPr>
        <w:pStyle w:val="paragraph"/>
      </w:pPr>
      <w:r w:rsidRPr="005071A1">
        <w:tab/>
        <w:t>(c)</w:t>
      </w:r>
      <w:r w:rsidRPr="005071A1">
        <w:tab/>
        <w:t xml:space="preserve">subject to </w:t>
      </w:r>
      <w:r w:rsidR="008B2950" w:rsidRPr="005071A1">
        <w:t>paragraph (</w:t>
      </w:r>
      <w:r w:rsidRPr="005071A1">
        <w:t>d), one</w:t>
      </w:r>
      <w:r w:rsidR="004510F0">
        <w:noBreakHyphen/>
      </w:r>
      <w:r w:rsidRPr="005071A1">
        <w:t xml:space="preserve">third of the amount paid to the Board shall be deemed, for the purposes of </w:t>
      </w:r>
      <w:r w:rsidR="008B2950" w:rsidRPr="005071A1">
        <w:t>subsection (</w:t>
      </w:r>
      <w:r w:rsidRPr="005071A1">
        <w:t>1) of section</w:t>
      </w:r>
      <w:r w:rsidR="008B2950" w:rsidRPr="005071A1">
        <w:t> </w:t>
      </w:r>
      <w:r w:rsidRPr="005071A1">
        <w:t xml:space="preserve">82 and </w:t>
      </w:r>
      <w:r w:rsidR="008B2950" w:rsidRPr="005071A1">
        <w:t>subsection (</w:t>
      </w:r>
      <w:r w:rsidRPr="005071A1">
        <w:t>1) of section</w:t>
      </w:r>
      <w:r w:rsidR="008B2950" w:rsidRPr="005071A1">
        <w:t> </w:t>
      </w:r>
      <w:r w:rsidRPr="005071A1">
        <w:t>83 to be contributions made to the Provident Account by the person;</w:t>
      </w:r>
    </w:p>
    <w:p w14:paraId="2C5463D8" w14:textId="77777777" w:rsidR="00B33542" w:rsidRPr="005071A1" w:rsidRDefault="00B33542" w:rsidP="00B33542">
      <w:pPr>
        <w:pStyle w:val="paragraph"/>
      </w:pPr>
      <w:r w:rsidRPr="005071A1">
        <w:tab/>
        <w:t>(d)</w:t>
      </w:r>
      <w:r w:rsidRPr="005071A1">
        <w:tab/>
        <w:t xml:space="preserve">in calculating the sum payable under </w:t>
      </w:r>
      <w:r w:rsidR="008B2950" w:rsidRPr="005071A1">
        <w:t>subsection (</w:t>
      </w:r>
      <w:r w:rsidRPr="005071A1">
        <w:t>1) of section</w:t>
      </w:r>
      <w:r w:rsidR="008B2950" w:rsidRPr="005071A1">
        <w:t> </w:t>
      </w:r>
      <w:r w:rsidRPr="005071A1">
        <w:t xml:space="preserve">82 or </w:t>
      </w:r>
      <w:r w:rsidR="008B2950" w:rsidRPr="005071A1">
        <w:t>subsection (</w:t>
      </w:r>
      <w:r w:rsidRPr="005071A1">
        <w:t>1) of section</w:t>
      </w:r>
      <w:r w:rsidR="008B2950" w:rsidRPr="005071A1">
        <w:t> </w:t>
      </w:r>
      <w:r w:rsidRPr="005071A1">
        <w:t xml:space="preserve">83 for the purpose of ascertaining whether </w:t>
      </w:r>
      <w:r w:rsidR="008B2950" w:rsidRPr="005071A1">
        <w:t>subsection (</w:t>
      </w:r>
      <w:r w:rsidRPr="005071A1">
        <w:t>2) of section</w:t>
      </w:r>
      <w:r w:rsidR="008B2950" w:rsidRPr="005071A1">
        <w:t> </w:t>
      </w:r>
      <w:r w:rsidRPr="005071A1">
        <w:t xml:space="preserve">82 or </w:t>
      </w:r>
      <w:r w:rsidR="008B2950" w:rsidRPr="005071A1">
        <w:t>subsection (</w:t>
      </w:r>
      <w:r w:rsidRPr="005071A1">
        <w:t>2) of section</w:t>
      </w:r>
      <w:r w:rsidR="008B2950" w:rsidRPr="005071A1">
        <w:t> </w:t>
      </w:r>
      <w:r w:rsidRPr="005071A1">
        <w:t xml:space="preserve">83 applies in relation to the person or in relation to the widow or widower or the children of the </w:t>
      </w:r>
      <w:r w:rsidRPr="005071A1">
        <w:lastRenderedPageBreak/>
        <w:t xml:space="preserve">person, as the case may be, </w:t>
      </w:r>
      <w:r w:rsidR="008B2950" w:rsidRPr="005071A1">
        <w:t>paragraph (</w:t>
      </w:r>
      <w:r w:rsidRPr="005071A1">
        <w:t>c) of this subsection shall be disregarded; and</w:t>
      </w:r>
    </w:p>
    <w:p w14:paraId="3C872664" w14:textId="77777777" w:rsidR="00B33542" w:rsidRPr="005071A1" w:rsidRDefault="00B33542" w:rsidP="00B33542">
      <w:pPr>
        <w:pStyle w:val="paragraph"/>
      </w:pPr>
      <w:r w:rsidRPr="005071A1">
        <w:tab/>
        <w:t>(e)</w:t>
      </w:r>
      <w:r w:rsidRPr="005071A1">
        <w:tab/>
        <w:t xml:space="preserve">if </w:t>
      </w:r>
      <w:r w:rsidR="008B2950" w:rsidRPr="005071A1">
        <w:t>subsection (</w:t>
      </w:r>
      <w:r w:rsidRPr="005071A1">
        <w:t>2) of section</w:t>
      </w:r>
      <w:r w:rsidR="008B2950" w:rsidRPr="005071A1">
        <w:t> </w:t>
      </w:r>
      <w:r w:rsidRPr="005071A1">
        <w:t xml:space="preserve">82 or </w:t>
      </w:r>
      <w:r w:rsidR="008B2950" w:rsidRPr="005071A1">
        <w:t>subsection (</w:t>
      </w:r>
      <w:r w:rsidRPr="005071A1">
        <w:t>2) of section</w:t>
      </w:r>
      <w:r w:rsidR="008B2950" w:rsidRPr="005071A1">
        <w:t> </w:t>
      </w:r>
      <w:r w:rsidRPr="005071A1">
        <w:t>83 applies in relation to the person or in relation to the widow or widower or the children of the person, as the case may be:</w:t>
      </w:r>
    </w:p>
    <w:p w14:paraId="27D8AAC3" w14:textId="77777777" w:rsidR="00B33542" w:rsidRPr="005071A1" w:rsidRDefault="00B33542" w:rsidP="00B33542">
      <w:pPr>
        <w:pStyle w:val="paragraphsub"/>
      </w:pPr>
      <w:r w:rsidRPr="005071A1">
        <w:tab/>
        <w:t>(i)</w:t>
      </w:r>
      <w:r w:rsidRPr="005071A1">
        <w:tab/>
        <w:t xml:space="preserve">there shall be paid out of the Provident Account to the person, or to the widow, widower or children, in addition to the amount payable under that subsection, an amount equal to the amount paid to the Board together with compound interest on that amount, in respect of the period that commenced on the date on which the person became a contributor to the Provident Account and ended on the date on which he ceased to be such a contributor, at the rate or rates applicable under </w:t>
      </w:r>
      <w:r w:rsidR="008B2950" w:rsidRPr="005071A1">
        <w:t>subsection (</w:t>
      </w:r>
      <w:r w:rsidRPr="005071A1">
        <w:t>3) of section</w:t>
      </w:r>
      <w:r w:rsidR="008B2950" w:rsidRPr="005071A1">
        <w:t> </w:t>
      </w:r>
      <w:r w:rsidRPr="005071A1">
        <w:t>90; and</w:t>
      </w:r>
    </w:p>
    <w:p w14:paraId="3E1BCBEA" w14:textId="77777777" w:rsidR="00B33542" w:rsidRPr="005071A1" w:rsidRDefault="00B33542" w:rsidP="00B33542">
      <w:pPr>
        <w:pStyle w:val="paragraphsub"/>
      </w:pPr>
      <w:r w:rsidRPr="005071A1">
        <w:tab/>
        <w:t>(ii)</w:t>
      </w:r>
      <w:r w:rsidRPr="005071A1">
        <w:tab/>
        <w:t xml:space="preserve">the Commonwealth shall pay to the Provident Account an amount equal to so much of the amount paid under </w:t>
      </w:r>
      <w:r w:rsidR="008B2950" w:rsidRPr="005071A1">
        <w:t>subparagraph (</w:t>
      </w:r>
      <w:r w:rsidRPr="005071A1">
        <w:t>i) as bears to that amount the same proportion as the employer component of the transfer value or the sum of the employer components of the transfer values bears to the transfer value or to the sum of the transfer values, as the case may be.</w:t>
      </w:r>
    </w:p>
    <w:p w14:paraId="4B6A9803" w14:textId="77777777" w:rsidR="00B33542" w:rsidRPr="005071A1" w:rsidRDefault="00B33542" w:rsidP="00B33542">
      <w:pPr>
        <w:pStyle w:val="subsection"/>
      </w:pPr>
      <w:r w:rsidRPr="005071A1">
        <w:tab/>
        <w:t>(8)</w:t>
      </w:r>
      <w:r w:rsidRPr="005071A1">
        <w:tab/>
        <w:t>The Board shall pay to the Commonwealth so much of the amount paid to the Board as is equal to the employer component of the transfer value or to the sum of the employer components of the transfer values, as the case may be.</w:t>
      </w:r>
    </w:p>
    <w:p w14:paraId="53569A48" w14:textId="77777777" w:rsidR="00B33542" w:rsidRPr="005071A1" w:rsidRDefault="00B33542" w:rsidP="002028EB">
      <w:pPr>
        <w:pStyle w:val="subsection"/>
        <w:keepNext/>
      </w:pPr>
      <w:r w:rsidRPr="005071A1">
        <w:lastRenderedPageBreak/>
        <w:tab/>
        <w:t>(9)</w:t>
      </w:r>
      <w:r w:rsidRPr="005071A1">
        <w:tab/>
        <w:t>If:</w:t>
      </w:r>
    </w:p>
    <w:p w14:paraId="3C69AB47" w14:textId="77777777" w:rsidR="00B33542" w:rsidRPr="005071A1" w:rsidRDefault="00B33542" w:rsidP="002028EB">
      <w:pPr>
        <w:pStyle w:val="paragraph"/>
        <w:keepNext/>
      </w:pPr>
      <w:r w:rsidRPr="005071A1">
        <w:tab/>
        <w:t>(a)</w:t>
      </w:r>
      <w:r w:rsidRPr="005071A1">
        <w:tab/>
        <w:t>under the superannuation scheme applicable in relation to any previous employment of the person, the whole or any part of the employer component of a transfer value was payable to the person upon the termination of that employment irrespective of whether he engaged in further employment; and</w:t>
      </w:r>
    </w:p>
    <w:p w14:paraId="3CDC8495" w14:textId="77777777" w:rsidR="00B33542" w:rsidRPr="005071A1" w:rsidRDefault="00B33542" w:rsidP="00B33542">
      <w:pPr>
        <w:pStyle w:val="paragraph"/>
      </w:pPr>
      <w:r w:rsidRPr="005071A1">
        <w:tab/>
        <w:t>(b)</w:t>
      </w:r>
      <w:r w:rsidRPr="005071A1">
        <w:tab/>
        <w:t>the person ceases to be a contributor to the Fund or to the Provident Account and:</w:t>
      </w:r>
    </w:p>
    <w:p w14:paraId="72D70E09" w14:textId="77777777" w:rsidR="00B33542" w:rsidRPr="005071A1" w:rsidRDefault="00B33542" w:rsidP="00B33542">
      <w:pPr>
        <w:pStyle w:val="paragraphsub"/>
      </w:pPr>
      <w:r w:rsidRPr="005071A1">
        <w:tab/>
        <w:t>(i)</w:t>
      </w:r>
      <w:r w:rsidRPr="005071A1">
        <w:tab/>
        <w:t>in the case of a person who was a contributor to the Fund—a refund of the contributions paid by him to the Fund is payable to or in respect of him; or</w:t>
      </w:r>
    </w:p>
    <w:p w14:paraId="3F425B2B" w14:textId="77777777" w:rsidR="00B33542" w:rsidRPr="005071A1" w:rsidRDefault="00B33542" w:rsidP="00B33542">
      <w:pPr>
        <w:pStyle w:val="paragraphsub"/>
        <w:keepNext/>
      </w:pPr>
      <w:r w:rsidRPr="005071A1">
        <w:tab/>
        <w:t>(ii)</w:t>
      </w:r>
      <w:r w:rsidRPr="005071A1">
        <w:tab/>
        <w:t>in the case of a person who was a contributor to the Provident Account—an amount equal to the contributions paid by him to the Provident Account together with compound interest on the amount of those contributions is payable to or in respect of him;</w:t>
      </w:r>
    </w:p>
    <w:p w14:paraId="6FB049AC" w14:textId="77777777" w:rsidR="00B33542" w:rsidRPr="005071A1" w:rsidRDefault="00B33542" w:rsidP="00B33542">
      <w:pPr>
        <w:pStyle w:val="subsection2"/>
      </w:pPr>
      <w:r w:rsidRPr="005071A1">
        <w:t xml:space="preserve">so much of the amount paid to the Commonwealth under </w:t>
      </w:r>
      <w:r w:rsidR="008B2950" w:rsidRPr="005071A1">
        <w:t>subsection (</w:t>
      </w:r>
      <w:r w:rsidRPr="005071A1">
        <w:t xml:space="preserve">8) as is equal to the employer component of the transfer value or to that part of that employer component, as the case may be, together with, in the case of a person who was a contributor to the Provident Account, compound interest, in respect of the period that commenced on the date on which the person became a contributor to the Provident Account and ended on the date on which he ceased to be such a contributor, at the rate or rates applicable under </w:t>
      </w:r>
      <w:r w:rsidR="008B2950" w:rsidRPr="005071A1">
        <w:t>subsection (</w:t>
      </w:r>
      <w:r w:rsidRPr="005071A1">
        <w:t>3) of section</w:t>
      </w:r>
      <w:r w:rsidR="008B2950" w:rsidRPr="005071A1">
        <w:t> </w:t>
      </w:r>
      <w:r w:rsidRPr="005071A1">
        <w:t>90, is payable to or in respect of him out of the Fund or the Provident Account, as the case may be.</w:t>
      </w:r>
    </w:p>
    <w:p w14:paraId="59074F82" w14:textId="77777777" w:rsidR="00B33542" w:rsidRPr="005071A1" w:rsidRDefault="00B33542" w:rsidP="00B33542">
      <w:pPr>
        <w:pStyle w:val="subsection"/>
      </w:pPr>
      <w:r w:rsidRPr="005071A1">
        <w:tab/>
        <w:t>(10)</w:t>
      </w:r>
      <w:r w:rsidRPr="005071A1">
        <w:tab/>
        <w:t xml:space="preserve">Where an amount is payable out of the Fund or the Provident Account under </w:t>
      </w:r>
      <w:r w:rsidR="008B2950" w:rsidRPr="005071A1">
        <w:t>subsection (</w:t>
      </w:r>
      <w:r w:rsidRPr="005071A1">
        <w:t xml:space="preserve">9), the Commonwealth shall pay an </w:t>
      </w:r>
      <w:r w:rsidRPr="005071A1">
        <w:lastRenderedPageBreak/>
        <w:t>amount equal to that amount to the Fund or to the Provident Account, as the case may be.</w:t>
      </w:r>
    </w:p>
    <w:p w14:paraId="08820A2B" w14:textId="77777777" w:rsidR="00B33542" w:rsidRPr="005071A1" w:rsidRDefault="00B33542" w:rsidP="00B33542">
      <w:pPr>
        <w:pStyle w:val="subsection"/>
      </w:pPr>
      <w:r w:rsidRPr="005071A1">
        <w:tab/>
        <w:t>(11)</w:t>
      </w:r>
      <w:r w:rsidRPr="005071A1">
        <w:tab/>
        <w:t>For the purposes of this section:</w:t>
      </w:r>
    </w:p>
    <w:p w14:paraId="7FCCC239" w14:textId="77777777" w:rsidR="00B33542" w:rsidRPr="005071A1" w:rsidRDefault="00B33542" w:rsidP="00B33542">
      <w:pPr>
        <w:pStyle w:val="paragraph"/>
      </w:pPr>
      <w:r w:rsidRPr="005071A1">
        <w:tab/>
        <w:t>(a)</w:t>
      </w:r>
      <w:r w:rsidRPr="005071A1">
        <w:tab/>
        <w:t>the employee component of a transfer value payable to or in respect of a person is the part (if any) of that transfer value that was based upon contributions made by the person; and</w:t>
      </w:r>
    </w:p>
    <w:p w14:paraId="6D440428" w14:textId="77777777" w:rsidR="00B33542" w:rsidRPr="005071A1" w:rsidRDefault="00B33542" w:rsidP="00B33542">
      <w:pPr>
        <w:pStyle w:val="paragraph"/>
      </w:pPr>
      <w:r w:rsidRPr="005071A1">
        <w:tab/>
        <w:t>(b)</w:t>
      </w:r>
      <w:r w:rsidRPr="005071A1">
        <w:tab/>
        <w:t>the employer component of a transfer value payable to or in respect of a person is the part of that transfer value that was based upon contributions by an employer or employers of the person.</w:t>
      </w:r>
    </w:p>
    <w:p w14:paraId="656071AF" w14:textId="77777777" w:rsidR="00B33542" w:rsidRPr="005071A1" w:rsidRDefault="00B33542" w:rsidP="00B33542">
      <w:pPr>
        <w:pStyle w:val="ActHead5"/>
      </w:pPr>
      <w:bookmarkStart w:id="215" w:name="_Toc185577597"/>
      <w:r w:rsidRPr="004510F0">
        <w:rPr>
          <w:rStyle w:val="CharSectno"/>
        </w:rPr>
        <w:t>119K</w:t>
      </w:r>
      <w:r w:rsidRPr="005071A1">
        <w:t xml:space="preserve">  Rights of contributors in other cases</w:t>
      </w:r>
      <w:bookmarkEnd w:id="215"/>
    </w:p>
    <w:p w14:paraId="3FF629DB" w14:textId="77777777" w:rsidR="00B33542" w:rsidRPr="005071A1" w:rsidRDefault="00B33542" w:rsidP="00B33542">
      <w:pPr>
        <w:pStyle w:val="subsection"/>
      </w:pPr>
      <w:r w:rsidRPr="005071A1">
        <w:tab/>
        <w:t>(1)</w:t>
      </w:r>
      <w:r w:rsidRPr="005071A1">
        <w:tab/>
        <w:t>This section applies in relation to a person:</w:t>
      </w:r>
    </w:p>
    <w:p w14:paraId="61B083E2" w14:textId="77777777" w:rsidR="00B33542" w:rsidRPr="005071A1" w:rsidRDefault="00B33542" w:rsidP="00B33542">
      <w:pPr>
        <w:pStyle w:val="paragraph"/>
      </w:pPr>
      <w:r w:rsidRPr="005071A1">
        <w:tab/>
        <w:t>(a)</w:t>
      </w:r>
      <w:r w:rsidRPr="005071A1">
        <w:tab/>
        <w:t xml:space="preserve">in relation to whom </w:t>
      </w:r>
      <w:r w:rsidR="004510F0">
        <w:t>section 1</w:t>
      </w:r>
      <w:r w:rsidRPr="005071A1">
        <w:t>19H applies but in relation to whom the last preceding section does not apply; and</w:t>
      </w:r>
    </w:p>
    <w:p w14:paraId="4BC06053" w14:textId="77777777" w:rsidR="00B33542" w:rsidRPr="005071A1" w:rsidRDefault="00B33542" w:rsidP="00B33542">
      <w:pPr>
        <w:pStyle w:val="paragraph"/>
      </w:pPr>
      <w:r w:rsidRPr="005071A1">
        <w:tab/>
        <w:t>(b)</w:t>
      </w:r>
      <w:r w:rsidRPr="005071A1">
        <w:tab/>
        <w:t>who is a contributor to the Fund.</w:t>
      </w:r>
    </w:p>
    <w:p w14:paraId="2E3C2738" w14:textId="77777777" w:rsidR="00B33542" w:rsidRPr="005071A1" w:rsidRDefault="00B33542" w:rsidP="00B33542">
      <w:pPr>
        <w:pStyle w:val="subsection"/>
      </w:pPr>
      <w:r w:rsidRPr="005071A1">
        <w:tab/>
        <w:t>(2)</w:t>
      </w:r>
      <w:r w:rsidRPr="005071A1">
        <w:tab/>
        <w:t>If at any time the number of units of pension for which a person in relation to whom this section applies would, but for this Division, be required to contribute to the Fund does not exceed the sum of:</w:t>
      </w:r>
    </w:p>
    <w:p w14:paraId="54B96BBB" w14:textId="77777777" w:rsidR="00B33542" w:rsidRPr="005071A1" w:rsidRDefault="00B33542" w:rsidP="00B33542">
      <w:pPr>
        <w:pStyle w:val="paragraph"/>
      </w:pPr>
      <w:r w:rsidRPr="005071A1">
        <w:tab/>
        <w:t>(a)</w:t>
      </w:r>
      <w:r w:rsidRPr="005071A1">
        <w:tab/>
        <w:t xml:space="preserve">such number of units of pension (including, where necessary, a fraction of a unit of pension) as the Board determines to have been equivalent, as at the date on which the person became an employee, to the amount of any transfer value, or the total of the amounts of any transfer values, referred to in </w:t>
      </w:r>
      <w:r w:rsidR="008B2950" w:rsidRPr="005071A1">
        <w:t>paragraphs (</w:t>
      </w:r>
      <w:r w:rsidRPr="005071A1">
        <w:t xml:space="preserve">a) and (b) of </w:t>
      </w:r>
      <w:r w:rsidR="008B2950" w:rsidRPr="005071A1">
        <w:t>subsection (</w:t>
      </w:r>
      <w:r w:rsidRPr="005071A1">
        <w:t xml:space="preserve">1) of </w:t>
      </w:r>
      <w:r w:rsidR="004510F0">
        <w:t>section 1</w:t>
      </w:r>
      <w:r w:rsidRPr="005071A1">
        <w:t>19H that is or are, or would have become, payable to him;</w:t>
      </w:r>
    </w:p>
    <w:p w14:paraId="6866BD59" w14:textId="77777777" w:rsidR="00B33542" w:rsidRPr="005071A1" w:rsidRDefault="00B33542" w:rsidP="00B33542">
      <w:pPr>
        <w:pStyle w:val="paragraph"/>
      </w:pPr>
      <w:r w:rsidRPr="005071A1">
        <w:tab/>
        <w:t>(b)</w:t>
      </w:r>
      <w:r w:rsidRPr="005071A1">
        <w:tab/>
        <w:t xml:space="preserve">such number of units of pension (including, where necessary, a fraction of a unit of pension) as the Board determines to have been equivalent, as at the date on which the person became an employee, to any pension or pensions referred to in </w:t>
      </w:r>
      <w:r w:rsidR="008B2950" w:rsidRPr="005071A1">
        <w:t>paragraphs (</w:t>
      </w:r>
      <w:r w:rsidRPr="005071A1">
        <w:t>c) and (d) of that subsection that is or are, or would have become, payable to him;</w:t>
      </w:r>
    </w:p>
    <w:p w14:paraId="487AE60F" w14:textId="77777777" w:rsidR="00B33542" w:rsidRPr="005071A1" w:rsidRDefault="00B33542" w:rsidP="00B33542">
      <w:pPr>
        <w:pStyle w:val="paragraph"/>
      </w:pPr>
      <w:r w:rsidRPr="005071A1">
        <w:lastRenderedPageBreak/>
        <w:tab/>
        <w:t>(c)</w:t>
      </w:r>
      <w:r w:rsidRPr="005071A1">
        <w:tab/>
        <w:t xml:space="preserve">such number of units of pension (including, where necessary, a fraction of a unit of pension) as the Board determines to have been equivalent, as at the date on which the person became an employee, to any deferred benefits referred to in </w:t>
      </w:r>
      <w:r w:rsidR="008B2950" w:rsidRPr="005071A1">
        <w:t>paragraphs (</w:t>
      </w:r>
      <w:r w:rsidRPr="005071A1">
        <w:t>e) and (f) of that subsection that are, or would have become, applicable in respect of him; and</w:t>
      </w:r>
    </w:p>
    <w:p w14:paraId="2DD8A86A" w14:textId="77777777" w:rsidR="00B33542" w:rsidRPr="005071A1" w:rsidRDefault="00B33542" w:rsidP="00D11EDC">
      <w:pPr>
        <w:pStyle w:val="paragraph"/>
      </w:pPr>
      <w:r w:rsidRPr="005071A1">
        <w:tab/>
        <w:t>(d)</w:t>
      </w:r>
      <w:r w:rsidRPr="005071A1">
        <w:tab/>
        <w:t xml:space="preserve">in the case of a person who becomes a contributor after the commencement of this section and was, immediately before becoming an employee, a contributor to a Public Service Superannuation Fund within the meaning of Part VIII, other than a person to whom that Part does not apply by reason of the operation of </w:t>
      </w:r>
      <w:r w:rsidR="008B2950" w:rsidRPr="005071A1">
        <w:t>subsection (</w:t>
      </w:r>
      <w:r w:rsidRPr="005071A1">
        <w:t xml:space="preserve">1) of </w:t>
      </w:r>
      <w:r w:rsidR="004510F0">
        <w:t>section 1</w:t>
      </w:r>
      <w:r w:rsidRPr="005071A1">
        <w:t xml:space="preserve">10C—the number of units of pension determined by the Board in relation to him under </w:t>
      </w:r>
      <w:r w:rsidR="008B2950" w:rsidRPr="005071A1">
        <w:t>subsection (</w:t>
      </w:r>
      <w:r w:rsidRPr="005071A1">
        <w:t xml:space="preserve">3) of </w:t>
      </w:r>
      <w:r w:rsidR="004510F0">
        <w:t>section 1</w:t>
      </w:r>
      <w:r w:rsidRPr="005071A1">
        <w:t xml:space="preserve">09 or, if that section does not apply in relation to him, the number of units of pension that would have been determined by the Board in relation to him under </w:t>
      </w:r>
      <w:r w:rsidR="008B2950" w:rsidRPr="005071A1">
        <w:t>subsection (</w:t>
      </w:r>
      <w:r w:rsidRPr="005071A1">
        <w:t xml:space="preserve">2) of </w:t>
      </w:r>
      <w:r w:rsidR="004510F0">
        <w:t>section 1</w:t>
      </w:r>
      <w:r w:rsidRPr="005071A1">
        <w:t>10 if that last</w:t>
      </w:r>
      <w:r w:rsidR="004510F0">
        <w:noBreakHyphen/>
      </w:r>
      <w:r w:rsidRPr="005071A1">
        <w:t>mentioned section were applicable in relation to him;</w:t>
      </w:r>
    </w:p>
    <w:p w14:paraId="6BC1B19D" w14:textId="77777777" w:rsidR="00B33542" w:rsidRPr="005071A1" w:rsidRDefault="00B33542" w:rsidP="00B33542">
      <w:pPr>
        <w:pStyle w:val="subsection2"/>
      </w:pPr>
      <w:r w:rsidRPr="005071A1">
        <w:t>the person shall not be required or permitted to contribute to the Fund at that time in respect of units of pension.</w:t>
      </w:r>
    </w:p>
    <w:p w14:paraId="00C7BC57" w14:textId="77777777" w:rsidR="00B33542" w:rsidRPr="005071A1" w:rsidRDefault="00B33542" w:rsidP="00B33542">
      <w:pPr>
        <w:pStyle w:val="subsection"/>
      </w:pPr>
      <w:r w:rsidRPr="005071A1">
        <w:tab/>
        <w:t>(3)</w:t>
      </w:r>
      <w:r w:rsidRPr="005071A1">
        <w:tab/>
        <w:t xml:space="preserve">If at any time the number of units of pension for which a person in relation to whom this section applies would, but for this Division, be required to contribute to the Fund exceeds the sum referred to in </w:t>
      </w:r>
      <w:r w:rsidR="008B2950" w:rsidRPr="005071A1">
        <w:t>subsection (</w:t>
      </w:r>
      <w:r w:rsidRPr="005071A1">
        <w:t>2), the person shall not be required or permitted to contribute to the Fund at that time in respect of a number of units of pension greater than the excess.</w:t>
      </w:r>
    </w:p>
    <w:p w14:paraId="09910317" w14:textId="77777777" w:rsidR="00B33542" w:rsidRPr="005071A1" w:rsidRDefault="00B33542" w:rsidP="00B33542">
      <w:pPr>
        <w:pStyle w:val="subsection"/>
      </w:pPr>
      <w:r w:rsidRPr="005071A1">
        <w:tab/>
        <w:t>(4)</w:t>
      </w:r>
      <w:r w:rsidRPr="005071A1">
        <w:tab/>
        <w:t>A determination made for the purposes of this section in relation to a person who has not made an election under section</w:t>
      </w:r>
      <w:r w:rsidR="008B2950" w:rsidRPr="005071A1">
        <w:t> </w:t>
      </w:r>
      <w:r w:rsidRPr="005071A1">
        <w:t xml:space="preserve">24 may specify different numbers of units of pension as having been equivalent to the amount of a transfer value or the total of the amounts of any transfer values, or as having been equivalent to any </w:t>
      </w:r>
      <w:r w:rsidRPr="005071A1">
        <w:lastRenderedPageBreak/>
        <w:t>pension or deferred benefits, according to whether or not the person makes such an election after the determination is made.</w:t>
      </w:r>
    </w:p>
    <w:p w14:paraId="1B3046A7" w14:textId="77777777" w:rsidR="00B33542" w:rsidRPr="005071A1" w:rsidRDefault="00B33542" w:rsidP="00B33542">
      <w:pPr>
        <w:pStyle w:val="subsection"/>
        <w:keepNext/>
      </w:pPr>
      <w:r w:rsidRPr="005071A1">
        <w:tab/>
        <w:t>(5)</w:t>
      </w:r>
      <w:r w:rsidRPr="005071A1">
        <w:tab/>
        <w:t>Where:</w:t>
      </w:r>
    </w:p>
    <w:p w14:paraId="2613239D" w14:textId="77777777" w:rsidR="00B33542" w:rsidRPr="005071A1" w:rsidRDefault="00B33542" w:rsidP="00B33542">
      <w:pPr>
        <w:pStyle w:val="paragraph"/>
      </w:pPr>
      <w:r w:rsidRPr="005071A1">
        <w:tab/>
        <w:t>(a)</w:t>
      </w:r>
      <w:r w:rsidRPr="005071A1">
        <w:tab/>
        <w:t xml:space="preserve">a transfer value became payable to or in respect of a person in accordance with </w:t>
      </w:r>
      <w:r w:rsidR="008B2950" w:rsidRPr="005071A1">
        <w:t>paragraph (</w:t>
      </w:r>
      <w:r w:rsidRPr="005071A1">
        <w:t xml:space="preserve">a) of </w:t>
      </w:r>
      <w:r w:rsidR="008B2950" w:rsidRPr="005071A1">
        <w:t>subsection (</w:t>
      </w:r>
      <w:r w:rsidRPr="005071A1">
        <w:t xml:space="preserve">1) of </w:t>
      </w:r>
      <w:r w:rsidR="004510F0">
        <w:t>section 1</w:t>
      </w:r>
      <w:r w:rsidRPr="005071A1">
        <w:t>19H; and</w:t>
      </w:r>
    </w:p>
    <w:p w14:paraId="4749FCF0" w14:textId="77777777" w:rsidR="00B33542" w:rsidRPr="005071A1" w:rsidRDefault="00B33542" w:rsidP="00D11EDC">
      <w:pPr>
        <w:pStyle w:val="paragraph"/>
      </w:pPr>
      <w:r w:rsidRPr="005071A1">
        <w:tab/>
        <w:t>(b)</w:t>
      </w:r>
      <w:r w:rsidRPr="005071A1">
        <w:tab/>
        <w:t xml:space="preserve">a transfer value of a greater amount would have become so payable but for the doing of, or the failure to do, any act or thing referred to in </w:t>
      </w:r>
      <w:r w:rsidR="008B2950" w:rsidRPr="005071A1">
        <w:t>paragraph (</w:t>
      </w:r>
      <w:r w:rsidRPr="005071A1">
        <w:t>b) of that subsection;</w:t>
      </w:r>
    </w:p>
    <w:p w14:paraId="7C795C89" w14:textId="77777777" w:rsidR="00B33542" w:rsidRPr="005071A1" w:rsidRDefault="00B33542" w:rsidP="00B33542">
      <w:pPr>
        <w:pStyle w:val="subsection2"/>
      </w:pPr>
      <w:r w:rsidRPr="005071A1">
        <w:t>the amount of the first</w:t>
      </w:r>
      <w:r w:rsidR="004510F0">
        <w:noBreakHyphen/>
      </w:r>
      <w:r w:rsidRPr="005071A1">
        <w:t xml:space="preserve">mentioned transfer value shall not be taken into account for the purposes of </w:t>
      </w:r>
      <w:r w:rsidR="008B2950" w:rsidRPr="005071A1">
        <w:t>paragraph (</w:t>
      </w:r>
      <w:r w:rsidRPr="005071A1">
        <w:t xml:space="preserve">a) of </w:t>
      </w:r>
      <w:r w:rsidR="008B2950" w:rsidRPr="005071A1">
        <w:t>subsection (</w:t>
      </w:r>
      <w:r w:rsidRPr="005071A1">
        <w:t>2) of this section.</w:t>
      </w:r>
    </w:p>
    <w:p w14:paraId="56DFF818" w14:textId="77777777" w:rsidR="00B33542" w:rsidRPr="005071A1" w:rsidRDefault="00B33542" w:rsidP="00B33542">
      <w:pPr>
        <w:pStyle w:val="subsection"/>
      </w:pPr>
      <w:r w:rsidRPr="005071A1">
        <w:tab/>
        <w:t>(6)</w:t>
      </w:r>
      <w:r w:rsidRPr="005071A1">
        <w:tab/>
        <w:t>Where:</w:t>
      </w:r>
    </w:p>
    <w:p w14:paraId="693D822A" w14:textId="77777777" w:rsidR="00B33542" w:rsidRPr="005071A1" w:rsidRDefault="00B33542" w:rsidP="00B33542">
      <w:pPr>
        <w:pStyle w:val="paragraph"/>
      </w:pPr>
      <w:r w:rsidRPr="005071A1">
        <w:tab/>
        <w:t>(a)</w:t>
      </w:r>
      <w:r w:rsidRPr="005071A1">
        <w:tab/>
        <w:t xml:space="preserve">a transfer value became payable to or in respect of a person in accordance with </w:t>
      </w:r>
      <w:r w:rsidR="008B2950" w:rsidRPr="005071A1">
        <w:t>paragraph (</w:t>
      </w:r>
      <w:r w:rsidRPr="005071A1">
        <w:t xml:space="preserve">a) of </w:t>
      </w:r>
      <w:r w:rsidR="008B2950" w:rsidRPr="005071A1">
        <w:t>subsection (</w:t>
      </w:r>
      <w:r w:rsidRPr="005071A1">
        <w:t xml:space="preserve">1) of </w:t>
      </w:r>
      <w:r w:rsidR="004510F0">
        <w:t>section 1</w:t>
      </w:r>
      <w:r w:rsidRPr="005071A1">
        <w:t>19; and</w:t>
      </w:r>
    </w:p>
    <w:p w14:paraId="77B7701A" w14:textId="77777777" w:rsidR="00B33542" w:rsidRPr="005071A1" w:rsidRDefault="00B33542" w:rsidP="00B33542">
      <w:pPr>
        <w:pStyle w:val="paragraph"/>
        <w:keepNext/>
      </w:pPr>
      <w:r w:rsidRPr="005071A1">
        <w:tab/>
        <w:t>(b)</w:t>
      </w:r>
      <w:r w:rsidRPr="005071A1">
        <w:tab/>
        <w:t xml:space="preserve">a transfer value of a smaller amount would have become so payable but for the doing of, or the failure to do, any act or thing referred to in </w:t>
      </w:r>
      <w:r w:rsidR="008B2950" w:rsidRPr="005071A1">
        <w:t>paragraph (</w:t>
      </w:r>
      <w:r w:rsidRPr="005071A1">
        <w:t>b) of that subsection;</w:t>
      </w:r>
    </w:p>
    <w:p w14:paraId="53549665" w14:textId="77777777" w:rsidR="00B33542" w:rsidRPr="005071A1" w:rsidRDefault="00B33542" w:rsidP="00B33542">
      <w:pPr>
        <w:pStyle w:val="subsection2"/>
      </w:pPr>
      <w:r w:rsidRPr="005071A1">
        <w:t>the amount of the last</w:t>
      </w:r>
      <w:r w:rsidR="004510F0">
        <w:noBreakHyphen/>
      </w:r>
      <w:r w:rsidRPr="005071A1">
        <w:t xml:space="preserve">mentioned transfer value shall not be taken into account for the purposes of </w:t>
      </w:r>
      <w:r w:rsidR="008B2950" w:rsidRPr="005071A1">
        <w:t>paragraph (</w:t>
      </w:r>
      <w:r w:rsidRPr="005071A1">
        <w:t xml:space="preserve">a) of </w:t>
      </w:r>
      <w:r w:rsidR="008B2950" w:rsidRPr="005071A1">
        <w:t>subsection (</w:t>
      </w:r>
      <w:r w:rsidRPr="005071A1">
        <w:t>2) of this section.</w:t>
      </w:r>
    </w:p>
    <w:p w14:paraId="6F1A91C1" w14:textId="77777777" w:rsidR="00B33542" w:rsidRPr="005071A1" w:rsidRDefault="00B33542" w:rsidP="00B33542">
      <w:pPr>
        <w:pStyle w:val="ActHead5"/>
      </w:pPr>
      <w:bookmarkStart w:id="216" w:name="_Toc185577598"/>
      <w:r w:rsidRPr="004510F0">
        <w:rPr>
          <w:rStyle w:val="CharSectno"/>
        </w:rPr>
        <w:t>119L</w:t>
      </w:r>
      <w:r w:rsidRPr="005071A1">
        <w:t xml:space="preserve">  Matters to be taken into account by actuary in furnishing advice to Board</w:t>
      </w:r>
      <w:bookmarkEnd w:id="216"/>
    </w:p>
    <w:p w14:paraId="69569CFC" w14:textId="77777777" w:rsidR="00B33542" w:rsidRPr="005071A1" w:rsidRDefault="00B33542" w:rsidP="00B33542">
      <w:pPr>
        <w:pStyle w:val="subsection"/>
      </w:pPr>
      <w:r w:rsidRPr="005071A1">
        <w:tab/>
        <w:t>(1)</w:t>
      </w:r>
      <w:r w:rsidRPr="005071A1">
        <w:tab/>
        <w:t xml:space="preserve">In furnishing advice to the Board in relation to the determination by the Board, for the purposes of </w:t>
      </w:r>
      <w:r w:rsidR="004510F0">
        <w:t>section 1</w:t>
      </w:r>
      <w:r w:rsidRPr="005071A1">
        <w:t xml:space="preserve">19J or K, of the number of units of pension that was equivalent to the amount of a transfer value, or to the total of the amounts of any transfer values, that is or are, or would have become, payable to or in respect of a person under a superannuation scheme, an actuary shall have regard to </w:t>
      </w:r>
      <w:r w:rsidRPr="005071A1">
        <w:lastRenderedPageBreak/>
        <w:t>actuarial principles and practice and shall take into account all relevant matters, including:</w:t>
      </w:r>
    </w:p>
    <w:p w14:paraId="3AD163C3" w14:textId="77777777" w:rsidR="00B33542" w:rsidRPr="005071A1" w:rsidRDefault="00B33542" w:rsidP="00B33542">
      <w:pPr>
        <w:pStyle w:val="paragraph"/>
      </w:pPr>
      <w:r w:rsidRPr="005071A1">
        <w:tab/>
        <w:t>(a)</w:t>
      </w:r>
      <w:r w:rsidRPr="005071A1">
        <w:tab/>
        <w:t>the extent to which the transfer value or each of the transfer values was, or would have been, based upon contributions under the superannuation scheme by the employer of the person and the extent (if any) to which it was, or would have been, based upon contributions by the person;</w:t>
      </w:r>
    </w:p>
    <w:p w14:paraId="0DECFF1E" w14:textId="77777777" w:rsidR="00B33542" w:rsidRPr="005071A1" w:rsidRDefault="00B33542" w:rsidP="00B33542">
      <w:pPr>
        <w:pStyle w:val="paragraph"/>
      </w:pPr>
      <w:r w:rsidRPr="005071A1">
        <w:tab/>
        <w:t>(b)</w:t>
      </w:r>
      <w:r w:rsidRPr="005071A1">
        <w:tab/>
        <w:t>the age of the person at the date on which he became an employee;</w:t>
      </w:r>
    </w:p>
    <w:p w14:paraId="5803DC1E" w14:textId="77777777" w:rsidR="00B33542" w:rsidRPr="005071A1" w:rsidRDefault="00B33542" w:rsidP="00B33542">
      <w:pPr>
        <w:pStyle w:val="paragraph"/>
      </w:pPr>
      <w:r w:rsidRPr="005071A1">
        <w:tab/>
        <w:t>(c)</w:t>
      </w:r>
      <w:r w:rsidRPr="005071A1">
        <w:tab/>
        <w:t>whether the person has made an election under section</w:t>
      </w:r>
      <w:r w:rsidR="008B2950" w:rsidRPr="005071A1">
        <w:t> </w:t>
      </w:r>
      <w:r w:rsidRPr="005071A1">
        <w:t>24;</w:t>
      </w:r>
    </w:p>
    <w:p w14:paraId="272049E9" w14:textId="77777777" w:rsidR="00B33542" w:rsidRPr="005071A1" w:rsidRDefault="00B33542" w:rsidP="00B33542">
      <w:pPr>
        <w:pStyle w:val="paragraph"/>
      </w:pPr>
      <w:r w:rsidRPr="005071A1">
        <w:tab/>
        <w:t>(d)</w:t>
      </w:r>
      <w:r w:rsidRPr="005071A1">
        <w:tab/>
        <w:t>the respective rates of mortality, invalidity and withdrawal from the Fund that are assumed, for the purposes of the advice, to apply in relation to the class of contributors in which the person is included; and</w:t>
      </w:r>
    </w:p>
    <w:p w14:paraId="1CC02F69" w14:textId="77777777" w:rsidR="00B33542" w:rsidRPr="005071A1" w:rsidRDefault="00B33542" w:rsidP="00B33542">
      <w:pPr>
        <w:pStyle w:val="paragraph"/>
      </w:pPr>
      <w:r w:rsidRPr="005071A1">
        <w:tab/>
        <w:t>(e)</w:t>
      </w:r>
      <w:r w:rsidRPr="005071A1">
        <w:tab/>
        <w:t>the rates of interest that it is assumed, for the purposes of the advice, will be earned by the assets of the Fund.</w:t>
      </w:r>
    </w:p>
    <w:p w14:paraId="13E798BA" w14:textId="77777777" w:rsidR="00B33542" w:rsidRPr="005071A1" w:rsidRDefault="00B33542" w:rsidP="00B33542">
      <w:pPr>
        <w:pStyle w:val="subsection"/>
      </w:pPr>
      <w:r w:rsidRPr="005071A1">
        <w:tab/>
        <w:t>(2)</w:t>
      </w:r>
      <w:r w:rsidRPr="005071A1">
        <w:tab/>
        <w:t xml:space="preserve">In furnishing advice to the Board in relation to the determination by the Board, for the purposes of </w:t>
      </w:r>
      <w:r w:rsidR="004510F0">
        <w:t>section 1</w:t>
      </w:r>
      <w:r w:rsidRPr="005071A1">
        <w:t>19J or K, of the number of units of pension that was equivalent to a pension that is, or would have become, payable to a person under a superannuation scheme, an actuary shall have regard to actuarial principles and practice and shall take into account all relevant matters, including:</w:t>
      </w:r>
    </w:p>
    <w:p w14:paraId="36DAD949" w14:textId="77777777" w:rsidR="00B33542" w:rsidRPr="005071A1" w:rsidRDefault="00B33542" w:rsidP="00B33542">
      <w:pPr>
        <w:pStyle w:val="paragraph"/>
      </w:pPr>
      <w:r w:rsidRPr="005071A1">
        <w:tab/>
        <w:t>(a)</w:t>
      </w:r>
      <w:r w:rsidRPr="005071A1">
        <w:tab/>
        <w:t>the amount that was the amount of the pension at the date on which the person became an employee or would have been the amount of the pension at that date if the pension had become payable to the person;</w:t>
      </w:r>
    </w:p>
    <w:p w14:paraId="04CE8477" w14:textId="77777777" w:rsidR="00B33542" w:rsidRPr="005071A1" w:rsidRDefault="00B33542" w:rsidP="00B33542">
      <w:pPr>
        <w:pStyle w:val="paragraph"/>
      </w:pPr>
      <w:r w:rsidRPr="005071A1">
        <w:tab/>
        <w:t>(b)</w:t>
      </w:r>
      <w:r w:rsidRPr="005071A1">
        <w:tab/>
        <w:t>whether, in the event of the death of the person leaving a widow or a child or children, any benefits would be payable under the superannuation scheme to the widow or in respect of the child or children or would have been so payable if the pension had become payable to the person;</w:t>
      </w:r>
    </w:p>
    <w:p w14:paraId="01BC6C87" w14:textId="77777777" w:rsidR="00B33542" w:rsidRPr="005071A1" w:rsidRDefault="00B33542" w:rsidP="00B33542">
      <w:pPr>
        <w:pStyle w:val="paragraph"/>
      </w:pPr>
      <w:r w:rsidRPr="005071A1">
        <w:lastRenderedPageBreak/>
        <w:tab/>
        <w:t>(c)</w:t>
      </w:r>
      <w:r w:rsidRPr="005071A1">
        <w:tab/>
        <w:t>the age of the person at the date on which he became an employee; and</w:t>
      </w:r>
    </w:p>
    <w:p w14:paraId="349C195C" w14:textId="77777777" w:rsidR="00B33542" w:rsidRPr="005071A1" w:rsidRDefault="00B33542" w:rsidP="00B33542">
      <w:pPr>
        <w:pStyle w:val="paragraph"/>
      </w:pPr>
      <w:r w:rsidRPr="005071A1">
        <w:tab/>
        <w:t>(d)</w:t>
      </w:r>
      <w:r w:rsidRPr="005071A1">
        <w:tab/>
        <w:t>whether the person has made an election under section</w:t>
      </w:r>
      <w:r w:rsidR="008B2950" w:rsidRPr="005071A1">
        <w:t> </w:t>
      </w:r>
      <w:r w:rsidRPr="005071A1">
        <w:t>24.</w:t>
      </w:r>
    </w:p>
    <w:p w14:paraId="6385BF9B" w14:textId="77777777" w:rsidR="00B33542" w:rsidRPr="005071A1" w:rsidRDefault="00B33542" w:rsidP="00B33542">
      <w:pPr>
        <w:pStyle w:val="subsection"/>
      </w:pPr>
      <w:r w:rsidRPr="005071A1">
        <w:tab/>
        <w:t>(3)</w:t>
      </w:r>
      <w:r w:rsidRPr="005071A1">
        <w:tab/>
        <w:t xml:space="preserve">In furnishing advice to the Board in relation to the determination by the Board, for the purposes of </w:t>
      </w:r>
      <w:r w:rsidR="004510F0">
        <w:t>section 1</w:t>
      </w:r>
      <w:r w:rsidRPr="005071A1">
        <w:t>19J or K, of the number of units of pension that was equivalent to any deferred benefits that are, or would have become, applicable in respect of a person under a superannuation scheme, an actuary shall have regard to actuarial principles and practice and shall take into account all relevant matters, including:</w:t>
      </w:r>
    </w:p>
    <w:p w14:paraId="1D147E58" w14:textId="77777777" w:rsidR="00B33542" w:rsidRPr="005071A1" w:rsidRDefault="00B33542" w:rsidP="00B33542">
      <w:pPr>
        <w:pStyle w:val="paragraph"/>
      </w:pPr>
      <w:r w:rsidRPr="005071A1">
        <w:tab/>
        <w:t>(a)</w:t>
      </w:r>
      <w:r w:rsidRPr="005071A1">
        <w:tab/>
        <w:t>the nature of the deferred benefits;</w:t>
      </w:r>
    </w:p>
    <w:p w14:paraId="363FB210" w14:textId="77777777" w:rsidR="00B33542" w:rsidRPr="005071A1" w:rsidRDefault="00B33542" w:rsidP="00B33542">
      <w:pPr>
        <w:pStyle w:val="paragraph"/>
      </w:pPr>
      <w:r w:rsidRPr="005071A1">
        <w:tab/>
        <w:t>(b)</w:t>
      </w:r>
      <w:r w:rsidRPr="005071A1">
        <w:tab/>
        <w:t>the circumstances in which the benefits were to become, or would have become, payable;</w:t>
      </w:r>
    </w:p>
    <w:p w14:paraId="449EDD37" w14:textId="77777777" w:rsidR="00B33542" w:rsidRPr="005071A1" w:rsidRDefault="00B33542" w:rsidP="00B33542">
      <w:pPr>
        <w:pStyle w:val="paragraph"/>
      </w:pPr>
      <w:r w:rsidRPr="005071A1">
        <w:tab/>
        <w:t>(c)</w:t>
      </w:r>
      <w:r w:rsidRPr="005071A1">
        <w:tab/>
        <w:t>the amount of any pension or lump sum that has or will become, or would have become, payable as, or as part of, the deferred benefits;</w:t>
      </w:r>
    </w:p>
    <w:p w14:paraId="1D9952CF" w14:textId="77777777" w:rsidR="00B33542" w:rsidRPr="005071A1" w:rsidRDefault="00B33542" w:rsidP="00B33542">
      <w:pPr>
        <w:pStyle w:val="paragraph"/>
      </w:pPr>
      <w:r w:rsidRPr="005071A1">
        <w:tab/>
        <w:t>(d)</w:t>
      </w:r>
      <w:r w:rsidRPr="005071A1">
        <w:tab/>
        <w:t>the age of the person at the date on which he became an employee; and</w:t>
      </w:r>
    </w:p>
    <w:p w14:paraId="1E0AA226" w14:textId="77777777" w:rsidR="00B33542" w:rsidRPr="005071A1" w:rsidRDefault="00B33542" w:rsidP="00B33542">
      <w:pPr>
        <w:pStyle w:val="paragraph"/>
      </w:pPr>
      <w:r w:rsidRPr="005071A1">
        <w:tab/>
        <w:t>(e)</w:t>
      </w:r>
      <w:r w:rsidRPr="005071A1">
        <w:tab/>
        <w:t>whether the person has made an election under section</w:t>
      </w:r>
      <w:r w:rsidR="008B2950" w:rsidRPr="005071A1">
        <w:t> </w:t>
      </w:r>
      <w:r w:rsidRPr="005071A1">
        <w:t>24.</w:t>
      </w:r>
    </w:p>
    <w:p w14:paraId="18FB4235" w14:textId="77777777" w:rsidR="00B33542" w:rsidRPr="005071A1" w:rsidRDefault="00B33542" w:rsidP="00B33542">
      <w:pPr>
        <w:pStyle w:val="ActHead5"/>
      </w:pPr>
      <w:bookmarkStart w:id="217" w:name="_Toc185577599"/>
      <w:r w:rsidRPr="004510F0">
        <w:rPr>
          <w:rStyle w:val="CharSectno"/>
        </w:rPr>
        <w:t>119M</w:t>
      </w:r>
      <w:r w:rsidRPr="005071A1">
        <w:t xml:space="preserve">  Exemption of certain employees from medical examination</w:t>
      </w:r>
      <w:bookmarkEnd w:id="217"/>
    </w:p>
    <w:p w14:paraId="7A2799C8" w14:textId="77777777" w:rsidR="00B33542" w:rsidRPr="005071A1" w:rsidRDefault="00B33542" w:rsidP="00B33542">
      <w:pPr>
        <w:pStyle w:val="subsection"/>
      </w:pPr>
      <w:r w:rsidRPr="005071A1">
        <w:tab/>
        <w:t>(1)</w:t>
      </w:r>
      <w:r w:rsidRPr="005071A1">
        <w:tab/>
        <w:t xml:space="preserve">Subject to </w:t>
      </w:r>
      <w:r w:rsidR="008B2950" w:rsidRPr="005071A1">
        <w:t>subsection (</w:t>
      </w:r>
      <w:r w:rsidRPr="005071A1">
        <w:t>2), this section applies in relation to an employee if:</w:t>
      </w:r>
    </w:p>
    <w:p w14:paraId="5C438624" w14:textId="77777777" w:rsidR="00B33542" w:rsidRPr="005071A1" w:rsidRDefault="00B33542" w:rsidP="00B33542">
      <w:pPr>
        <w:pStyle w:val="paragraph"/>
      </w:pPr>
      <w:r w:rsidRPr="005071A1">
        <w:tab/>
        <w:t>(a)</w:t>
      </w:r>
      <w:r w:rsidRPr="005071A1">
        <w:tab/>
        <w:t>by reason of the termination of the employment in which he was last employed before he became an employee:</w:t>
      </w:r>
    </w:p>
    <w:p w14:paraId="257DEFEB" w14:textId="77777777" w:rsidR="00B33542" w:rsidRPr="005071A1" w:rsidRDefault="00B33542" w:rsidP="00B33542">
      <w:pPr>
        <w:pStyle w:val="paragraphsub"/>
      </w:pPr>
      <w:r w:rsidRPr="005071A1">
        <w:tab/>
        <w:t>(i)</w:t>
      </w:r>
      <w:r w:rsidRPr="005071A1">
        <w:tab/>
        <w:t>a transfer value became payable to or in respect of him under a superannuation scheme applicable in relation to that employment;</w:t>
      </w:r>
    </w:p>
    <w:p w14:paraId="6B69BFDE" w14:textId="77777777" w:rsidR="00B33542" w:rsidRPr="005071A1" w:rsidRDefault="00B33542" w:rsidP="00B33542">
      <w:pPr>
        <w:pStyle w:val="paragraphsub"/>
      </w:pPr>
      <w:r w:rsidRPr="005071A1">
        <w:tab/>
        <w:t>(ii)</w:t>
      </w:r>
      <w:r w:rsidRPr="005071A1">
        <w:tab/>
        <w:t>a pension became payable to him under such a superannuation scheme; or</w:t>
      </w:r>
    </w:p>
    <w:p w14:paraId="52F29C03" w14:textId="77777777" w:rsidR="00B33542" w:rsidRPr="005071A1" w:rsidRDefault="00B33542" w:rsidP="00B33542">
      <w:pPr>
        <w:pStyle w:val="paragraphsub"/>
      </w:pPr>
      <w:r w:rsidRPr="005071A1">
        <w:tab/>
        <w:t>(iii)</w:t>
      </w:r>
      <w:r w:rsidRPr="005071A1">
        <w:tab/>
        <w:t>deferred benefits became applicable in respect of him under such a superannuation scheme;</w:t>
      </w:r>
    </w:p>
    <w:p w14:paraId="4057FC60" w14:textId="77777777" w:rsidR="00B33542" w:rsidRPr="005071A1" w:rsidRDefault="00B33542" w:rsidP="00B33542">
      <w:pPr>
        <w:pStyle w:val="paragraph"/>
      </w:pPr>
      <w:r w:rsidRPr="005071A1">
        <w:lastRenderedPageBreak/>
        <w:tab/>
        <w:t>(b)</w:t>
      </w:r>
      <w:r w:rsidRPr="005071A1">
        <w:tab/>
        <w:t xml:space="preserve">in the case of an employee in relation to whom </w:t>
      </w:r>
      <w:r w:rsidR="008B2950" w:rsidRPr="005071A1">
        <w:t>subparagraph (</w:t>
      </w:r>
      <w:r w:rsidRPr="005071A1">
        <w:t xml:space="preserve">i) of </w:t>
      </w:r>
      <w:r w:rsidR="008B2950" w:rsidRPr="005071A1">
        <w:t>paragraph (</w:t>
      </w:r>
      <w:r w:rsidRPr="005071A1">
        <w:t xml:space="preserve">a) applies—an amount equal to the amount of the transfer value referred to in that subparagraph has been paid to the Board in accordance with </w:t>
      </w:r>
      <w:r w:rsidR="008B2950" w:rsidRPr="005071A1">
        <w:t>subsection (</w:t>
      </w:r>
      <w:r w:rsidRPr="005071A1">
        <w:t xml:space="preserve">1) of </w:t>
      </w:r>
      <w:r w:rsidR="004510F0">
        <w:t>section 1</w:t>
      </w:r>
      <w:r w:rsidRPr="005071A1">
        <w:t>19J; and</w:t>
      </w:r>
    </w:p>
    <w:p w14:paraId="0A79CE30" w14:textId="77777777" w:rsidR="00B33542" w:rsidRPr="005071A1" w:rsidRDefault="00B33542" w:rsidP="002028EB">
      <w:pPr>
        <w:pStyle w:val="paragraph"/>
        <w:keepNext/>
      </w:pPr>
      <w:r w:rsidRPr="005071A1">
        <w:tab/>
        <w:t>(c)</w:t>
      </w:r>
      <w:r w:rsidRPr="005071A1">
        <w:tab/>
        <w:t>any of the following subparagraphs applies:</w:t>
      </w:r>
    </w:p>
    <w:p w14:paraId="7DE7BCB5" w14:textId="77777777" w:rsidR="00B33542" w:rsidRPr="005071A1" w:rsidRDefault="00B33542" w:rsidP="002028EB">
      <w:pPr>
        <w:pStyle w:val="paragraphsub"/>
        <w:keepNext/>
      </w:pPr>
      <w:r w:rsidRPr="005071A1">
        <w:tab/>
        <w:t>(i)</w:t>
      </w:r>
      <w:r w:rsidRPr="005071A1">
        <w:tab/>
        <w:t xml:space="preserve">the employee underwent a medical examination required under the rules of the superannuation scheme referred to in </w:t>
      </w:r>
      <w:r w:rsidR="008B2950" w:rsidRPr="005071A1">
        <w:t>paragraph (</w:t>
      </w:r>
      <w:r w:rsidRPr="005071A1">
        <w:t>a) for the purpose of determining whether his health and physical fitness were of such a standard as would justify his being admitted as a member of that scheme;</w:t>
      </w:r>
    </w:p>
    <w:p w14:paraId="3E3F7194" w14:textId="77777777" w:rsidR="00B33542" w:rsidRPr="005071A1" w:rsidRDefault="00B33542" w:rsidP="00B33542">
      <w:pPr>
        <w:pStyle w:val="paragraphsub"/>
      </w:pPr>
      <w:r w:rsidRPr="005071A1">
        <w:tab/>
        <w:t>(ii)</w:t>
      </w:r>
      <w:r w:rsidRPr="005071A1">
        <w:tab/>
        <w:t>the employee was admitted as a member of the superannuation scheme under provisions of the rules of that scheme corresponding to the provisions of this section; or</w:t>
      </w:r>
    </w:p>
    <w:p w14:paraId="22F4FE21" w14:textId="77777777" w:rsidR="00B33542" w:rsidRPr="005071A1" w:rsidRDefault="00B33542" w:rsidP="00B33542">
      <w:pPr>
        <w:pStyle w:val="paragraphsub"/>
      </w:pPr>
      <w:r w:rsidRPr="005071A1">
        <w:tab/>
        <w:t>(iii)</w:t>
      </w:r>
      <w:r w:rsidRPr="005071A1">
        <w:tab/>
        <w:t xml:space="preserve">the employee underwent a medical examination required by the person by whom he was employed in the employment referred to in </w:t>
      </w:r>
      <w:r w:rsidR="008B2950" w:rsidRPr="005071A1">
        <w:t>paragraph (</w:t>
      </w:r>
      <w:r w:rsidRPr="005071A1">
        <w:t>a) for the purpose of determining whether his health and physical fitness were of such a standard as would justify his being employed in that employment.</w:t>
      </w:r>
    </w:p>
    <w:p w14:paraId="2BC5F6C8" w14:textId="77777777" w:rsidR="00B33542" w:rsidRPr="005071A1" w:rsidRDefault="00B33542" w:rsidP="00B33542">
      <w:pPr>
        <w:pStyle w:val="subsection"/>
      </w:pPr>
      <w:r w:rsidRPr="005071A1">
        <w:tab/>
        <w:t>(2)</w:t>
      </w:r>
      <w:r w:rsidRPr="005071A1">
        <w:tab/>
        <w:t>This section does not apply in relation to an employee if:</w:t>
      </w:r>
    </w:p>
    <w:p w14:paraId="6499125F" w14:textId="77777777" w:rsidR="00B33542" w:rsidRPr="005071A1" w:rsidRDefault="00B33542" w:rsidP="00B33542">
      <w:pPr>
        <w:pStyle w:val="paragraph"/>
      </w:pPr>
      <w:r w:rsidRPr="005071A1">
        <w:tab/>
        <w:t>(a)</w:t>
      </w:r>
      <w:r w:rsidRPr="005071A1">
        <w:tab/>
        <w:t xml:space="preserve">a period of more than three months elapsed between the termination of the employment referred to in </w:t>
      </w:r>
      <w:r w:rsidR="008B2950" w:rsidRPr="005071A1">
        <w:t>paragraph (</w:t>
      </w:r>
      <w:r w:rsidRPr="005071A1">
        <w:t xml:space="preserve">a) of </w:t>
      </w:r>
      <w:r w:rsidR="008B2950" w:rsidRPr="005071A1">
        <w:t>subsection (</w:t>
      </w:r>
      <w:r w:rsidRPr="005071A1">
        <w:t>1) and the date on which he became an employee; or</w:t>
      </w:r>
    </w:p>
    <w:p w14:paraId="5F62BDCC" w14:textId="77777777" w:rsidR="00B33542" w:rsidRPr="005071A1" w:rsidRDefault="00B33542" w:rsidP="00B33542">
      <w:pPr>
        <w:pStyle w:val="paragraph"/>
      </w:pPr>
      <w:r w:rsidRPr="005071A1">
        <w:tab/>
        <w:t>(b)</w:t>
      </w:r>
      <w:r w:rsidRPr="005071A1">
        <w:tab/>
        <w:t xml:space="preserve">in the case of a person to whom </w:t>
      </w:r>
      <w:r w:rsidR="008B2950" w:rsidRPr="005071A1">
        <w:t>subparagraph (</w:t>
      </w:r>
      <w:r w:rsidRPr="005071A1">
        <w:t xml:space="preserve">i) or </w:t>
      </w:r>
      <w:r w:rsidR="008B2950" w:rsidRPr="005071A1">
        <w:t>subparagraph (</w:t>
      </w:r>
      <w:r w:rsidRPr="005071A1">
        <w:t xml:space="preserve">ii) of </w:t>
      </w:r>
      <w:r w:rsidR="008B2950" w:rsidRPr="005071A1">
        <w:t>paragraph (</w:t>
      </w:r>
      <w:r w:rsidRPr="005071A1">
        <w:t xml:space="preserve">a) of </w:t>
      </w:r>
      <w:r w:rsidR="008B2950" w:rsidRPr="005071A1">
        <w:t>subsection (</w:t>
      </w:r>
      <w:r w:rsidRPr="005071A1">
        <w:t xml:space="preserve">1) applies—the employment referred to in that paragraph terminated by </w:t>
      </w:r>
      <w:r w:rsidRPr="005071A1">
        <w:lastRenderedPageBreak/>
        <w:t>reason of his invalidity or his physical or mental incapacity to perform his duties.</w:t>
      </w:r>
    </w:p>
    <w:p w14:paraId="6A181B8A" w14:textId="77777777" w:rsidR="00B33542" w:rsidRPr="005071A1" w:rsidRDefault="00B33542" w:rsidP="00B33542">
      <w:pPr>
        <w:pStyle w:val="subsection"/>
      </w:pPr>
      <w:r w:rsidRPr="005071A1">
        <w:tab/>
        <w:t>(3)</w:t>
      </w:r>
      <w:r w:rsidRPr="005071A1">
        <w:tab/>
        <w:t>Where, under the superannuation scheme applicable in respect of the employment in which an employee in relation to whom this section applies was last employed before he became an employee:</w:t>
      </w:r>
    </w:p>
    <w:p w14:paraId="39E57492" w14:textId="77777777" w:rsidR="00B33542" w:rsidRPr="005071A1" w:rsidRDefault="00B33542" w:rsidP="00B33542">
      <w:pPr>
        <w:pStyle w:val="paragraph"/>
      </w:pPr>
      <w:r w:rsidRPr="005071A1">
        <w:tab/>
        <w:t>(a)</w:t>
      </w:r>
      <w:r w:rsidRPr="005071A1">
        <w:tab/>
        <w:t>the benefits that would have been applicable in respect of the employee if the termination of that employment had been caused by his death, invalidity or physical or mental incapacity would have been, or would have included, benefits by way of a pension;</w:t>
      </w:r>
    </w:p>
    <w:p w14:paraId="32B5CD0C" w14:textId="77777777" w:rsidR="00B33542" w:rsidRPr="005071A1" w:rsidRDefault="00B33542" w:rsidP="00B33542">
      <w:pPr>
        <w:pStyle w:val="paragraph"/>
      </w:pPr>
      <w:r w:rsidRPr="005071A1">
        <w:tab/>
        <w:t>(b)</w:t>
      </w:r>
      <w:r w:rsidRPr="005071A1">
        <w:tab/>
        <w:t>those benefits would have been the maximum benefits available under the scheme; and</w:t>
      </w:r>
    </w:p>
    <w:p w14:paraId="03880E32" w14:textId="77777777" w:rsidR="00B33542" w:rsidRPr="005071A1" w:rsidRDefault="00B33542" w:rsidP="00B33542">
      <w:pPr>
        <w:pStyle w:val="paragraph"/>
        <w:keepNext/>
      </w:pPr>
      <w:r w:rsidRPr="005071A1">
        <w:tab/>
        <w:t>(c)</w:t>
      </w:r>
      <w:r w:rsidRPr="005071A1">
        <w:tab/>
        <w:t>the applicability of those maximum benefits would not have been attributable to his having paid contributions at a higher rate than the ordinary rate of contributions;</w:t>
      </w:r>
    </w:p>
    <w:p w14:paraId="1595368F" w14:textId="77777777" w:rsidR="00B33542" w:rsidRPr="005071A1" w:rsidRDefault="00B33542" w:rsidP="00B33542">
      <w:pPr>
        <w:pStyle w:val="subsection2"/>
      </w:pPr>
      <w:r w:rsidRPr="005071A1">
        <w:t xml:space="preserve">the employee is not prevented from contributing to the Fund under Part III by reason of </w:t>
      </w:r>
      <w:r w:rsidR="008B2950" w:rsidRPr="005071A1">
        <w:t>subsection (</w:t>
      </w:r>
      <w:r w:rsidRPr="005071A1">
        <w:t>1) of section</w:t>
      </w:r>
      <w:r w:rsidR="008B2950" w:rsidRPr="005071A1">
        <w:t> </w:t>
      </w:r>
      <w:r w:rsidRPr="005071A1">
        <w:t>5.</w:t>
      </w:r>
    </w:p>
    <w:p w14:paraId="185ACDBD" w14:textId="77777777" w:rsidR="00B33542" w:rsidRPr="005071A1" w:rsidRDefault="00B33542" w:rsidP="00B33542">
      <w:pPr>
        <w:pStyle w:val="subsection"/>
      </w:pPr>
      <w:r w:rsidRPr="005071A1">
        <w:tab/>
        <w:t>(4)</w:t>
      </w:r>
      <w:r w:rsidRPr="005071A1">
        <w:tab/>
        <w:t xml:space="preserve">If the Board is satisfied that, at the time when an employee in relation to whom this section applies commenced to be employed in the employment in which he was last employed before he became an employee, his health and physical fitness were of such a standard as would have justified his being accepted as a contributor to the Fund under Part III if he had then been an employee, the Board shall, notwithstanding </w:t>
      </w:r>
      <w:r w:rsidR="008B2950" w:rsidRPr="005071A1">
        <w:t>subsection (</w:t>
      </w:r>
      <w:r w:rsidRPr="005071A1">
        <w:t>1) of section</w:t>
      </w:r>
      <w:r w:rsidR="008B2950" w:rsidRPr="005071A1">
        <w:t> </w:t>
      </w:r>
      <w:r w:rsidRPr="005071A1">
        <w:t>5, accept the employee as such a contributor.</w:t>
      </w:r>
    </w:p>
    <w:p w14:paraId="6E939191" w14:textId="77777777" w:rsidR="00B33542" w:rsidRPr="005071A1" w:rsidRDefault="00B33542" w:rsidP="00B33542">
      <w:pPr>
        <w:pStyle w:val="subsection"/>
      </w:pPr>
      <w:r w:rsidRPr="005071A1">
        <w:tab/>
        <w:t>(5)</w:t>
      </w:r>
      <w:r w:rsidRPr="005071A1">
        <w:tab/>
        <w:t xml:space="preserve">If </w:t>
      </w:r>
      <w:r w:rsidR="008B2950" w:rsidRPr="005071A1">
        <w:t>subsections (</w:t>
      </w:r>
      <w:r w:rsidRPr="005071A1">
        <w:t xml:space="preserve">3) and (4) are not applicable in respect of an employee in relation to whom this section applies, the Board shall, notwithstanding </w:t>
      </w:r>
      <w:r w:rsidR="008B2950" w:rsidRPr="005071A1">
        <w:t>subsection (</w:t>
      </w:r>
      <w:r w:rsidRPr="005071A1">
        <w:t>1) of section</w:t>
      </w:r>
      <w:r w:rsidR="008B2950" w:rsidRPr="005071A1">
        <w:t> </w:t>
      </w:r>
      <w:r w:rsidRPr="005071A1">
        <w:t>5, accept the employee as a contributor to the Provident Account.</w:t>
      </w:r>
    </w:p>
    <w:p w14:paraId="2E445393" w14:textId="77777777" w:rsidR="00B33542" w:rsidRPr="005071A1" w:rsidRDefault="00B33542" w:rsidP="00B33542">
      <w:pPr>
        <w:pStyle w:val="subsection"/>
      </w:pPr>
      <w:r w:rsidRPr="005071A1">
        <w:tab/>
        <w:t>(6)</w:t>
      </w:r>
      <w:r w:rsidRPr="005071A1">
        <w:tab/>
        <w:t xml:space="preserve">Where the Minister, after receiving a report from the Board in respect of a period in relation to which this section applies, is of the </w:t>
      </w:r>
      <w:r w:rsidRPr="005071A1">
        <w:lastRenderedPageBreak/>
        <w:t>opinion that, as a result of the operation of this section, the number of pensions that have become payable under this Act during that period by reason of the death of contributors during that period, or the retirement of contributors during that period on the ground of invalidity or of physical or mental incapacity to perform their duties, is greater than the number of pensions that would otherwise have become so payable during that period, the Minister may direct that there shall be paid by the Commonwealth to the Fund, in addition to any other amounts that have or may become payable to the Fund under this Act, such amount as the Minister considers appropriate.</w:t>
      </w:r>
    </w:p>
    <w:p w14:paraId="0E46F776" w14:textId="77777777" w:rsidR="00B33542" w:rsidRPr="005071A1" w:rsidRDefault="00B33542" w:rsidP="00B33542">
      <w:pPr>
        <w:pStyle w:val="subsection"/>
      </w:pPr>
      <w:r w:rsidRPr="005071A1">
        <w:tab/>
        <w:t>(7)</w:t>
      </w:r>
      <w:r w:rsidRPr="005071A1">
        <w:tab/>
        <w:t xml:space="preserve">The Board shall, before furnishing a report to the Minister for the purposes of </w:t>
      </w:r>
      <w:r w:rsidR="008B2950" w:rsidRPr="005071A1">
        <w:t>subsection (</w:t>
      </w:r>
      <w:r w:rsidRPr="005071A1">
        <w:t>6), consult with an actuary.</w:t>
      </w:r>
    </w:p>
    <w:p w14:paraId="5390212A" w14:textId="77777777" w:rsidR="00B33542" w:rsidRPr="005071A1" w:rsidRDefault="00B33542" w:rsidP="00B33542">
      <w:pPr>
        <w:pStyle w:val="subsection"/>
      </w:pPr>
      <w:r w:rsidRPr="005071A1">
        <w:tab/>
        <w:t>(8)</w:t>
      </w:r>
      <w:r w:rsidRPr="005071A1">
        <w:tab/>
        <w:t xml:space="preserve">In this section, </w:t>
      </w:r>
      <w:r w:rsidRPr="005071A1">
        <w:rPr>
          <w:b/>
          <w:i/>
        </w:rPr>
        <w:t>period in relation to which this section applies</w:t>
      </w:r>
      <w:r w:rsidRPr="005071A1">
        <w:t xml:space="preserve"> means the period that commenced on </w:t>
      </w:r>
      <w:r w:rsidR="00594E1E" w:rsidRPr="005071A1">
        <w:t>1 January</w:t>
      </w:r>
      <w:r w:rsidRPr="005071A1">
        <w:t xml:space="preserve"> 1970, and ends on 30</w:t>
      </w:r>
      <w:r w:rsidR="008B2950" w:rsidRPr="005071A1">
        <w:t> </w:t>
      </w:r>
      <w:r w:rsidRPr="005071A1">
        <w:t>June 1972, the period of five years commencing on 1</w:t>
      </w:r>
      <w:r w:rsidR="008B2950" w:rsidRPr="005071A1">
        <w:t> </w:t>
      </w:r>
      <w:r w:rsidRPr="005071A1">
        <w:t>July 1972 and each subsequent period of five years.</w:t>
      </w:r>
    </w:p>
    <w:p w14:paraId="5B55240B" w14:textId="77777777" w:rsidR="00B33542" w:rsidRPr="005071A1" w:rsidRDefault="00B33542" w:rsidP="00B33542">
      <w:pPr>
        <w:pStyle w:val="ActHead5"/>
      </w:pPr>
      <w:bookmarkStart w:id="218" w:name="_Toc185577600"/>
      <w:r w:rsidRPr="004510F0">
        <w:rPr>
          <w:rStyle w:val="CharSectno"/>
        </w:rPr>
        <w:t>119MA</w:t>
      </w:r>
      <w:r w:rsidRPr="005071A1">
        <w:t xml:space="preserve">  Application of Division on and after 1</w:t>
      </w:r>
      <w:r w:rsidR="008B2950" w:rsidRPr="005071A1">
        <w:t> </w:t>
      </w:r>
      <w:r w:rsidRPr="005071A1">
        <w:t>July 1976</w:t>
      </w:r>
      <w:bookmarkEnd w:id="218"/>
    </w:p>
    <w:p w14:paraId="6C54A764" w14:textId="77777777" w:rsidR="00B33542" w:rsidRPr="005071A1" w:rsidRDefault="00B33542" w:rsidP="00B33542">
      <w:pPr>
        <w:pStyle w:val="subsection"/>
      </w:pPr>
      <w:r w:rsidRPr="005071A1">
        <w:tab/>
      </w:r>
      <w:r w:rsidRPr="005071A1">
        <w:tab/>
        <w:t>This Division does not have effect in relation to a person who becomes an employee on or after 1</w:t>
      </w:r>
      <w:r w:rsidR="008B2950" w:rsidRPr="005071A1">
        <w:t> </w:t>
      </w:r>
      <w:r w:rsidRPr="005071A1">
        <w:t>July 1976.</w:t>
      </w:r>
    </w:p>
    <w:p w14:paraId="06A688AA" w14:textId="77777777" w:rsidR="00B33542" w:rsidRPr="005071A1" w:rsidRDefault="004510F0" w:rsidP="002477D1">
      <w:pPr>
        <w:pStyle w:val="ActHead3"/>
        <w:pageBreakBefore/>
      </w:pPr>
      <w:bookmarkStart w:id="219" w:name="_Toc185577601"/>
      <w:r w:rsidRPr="004510F0">
        <w:rPr>
          <w:rStyle w:val="CharDivNo"/>
        </w:rPr>
        <w:lastRenderedPageBreak/>
        <w:t>Division 3</w:t>
      </w:r>
      <w:r w:rsidR="00B33542" w:rsidRPr="005071A1">
        <w:t>—</w:t>
      </w:r>
      <w:r w:rsidR="00B33542" w:rsidRPr="004510F0">
        <w:rPr>
          <w:rStyle w:val="CharDivText"/>
        </w:rPr>
        <w:t>Preservation of rights of persons ceasing to be contributors</w:t>
      </w:r>
      <w:bookmarkEnd w:id="219"/>
    </w:p>
    <w:p w14:paraId="3DD59370" w14:textId="77777777" w:rsidR="00B33542" w:rsidRPr="005071A1" w:rsidRDefault="00B33542" w:rsidP="00B33542">
      <w:pPr>
        <w:pStyle w:val="ActHead5"/>
      </w:pPr>
      <w:bookmarkStart w:id="220" w:name="_Toc185577602"/>
      <w:r w:rsidRPr="004510F0">
        <w:rPr>
          <w:rStyle w:val="CharSectno"/>
        </w:rPr>
        <w:t>119N</w:t>
      </w:r>
      <w:r w:rsidRPr="005071A1">
        <w:t xml:space="preserve">  Interpretation</w:t>
      </w:r>
      <w:bookmarkEnd w:id="220"/>
    </w:p>
    <w:p w14:paraId="4585F393" w14:textId="77777777" w:rsidR="00B33542" w:rsidRPr="005071A1" w:rsidRDefault="00B33542" w:rsidP="00B33542">
      <w:pPr>
        <w:pStyle w:val="subsection"/>
      </w:pPr>
      <w:r w:rsidRPr="005071A1">
        <w:tab/>
        <w:t>(1)</w:t>
      </w:r>
      <w:r w:rsidRPr="005071A1">
        <w:tab/>
        <w:t>For the purposes of this Division, the prescribed period, in relation to a person who has ceased to be a contributor to the Fund or to the Provident Account, is:</w:t>
      </w:r>
    </w:p>
    <w:p w14:paraId="3EDE179C" w14:textId="77777777" w:rsidR="00B33542" w:rsidRPr="005071A1" w:rsidRDefault="00B33542" w:rsidP="00B33542">
      <w:pPr>
        <w:pStyle w:val="paragraph"/>
      </w:pPr>
      <w:r w:rsidRPr="005071A1">
        <w:tab/>
        <w:t>(a)</w:t>
      </w:r>
      <w:r w:rsidRPr="005071A1">
        <w:tab/>
        <w:t xml:space="preserve">in the case of a person other than a person in relation to whom </w:t>
      </w:r>
      <w:r w:rsidR="008B2950" w:rsidRPr="005071A1">
        <w:t>paragraph (</w:t>
      </w:r>
      <w:r w:rsidRPr="005071A1">
        <w:t>b) applies—the period of three months immediately after he ceased to be such a contributor; or</w:t>
      </w:r>
    </w:p>
    <w:p w14:paraId="693C80E7" w14:textId="77777777" w:rsidR="00B33542" w:rsidRPr="005071A1" w:rsidRDefault="00B33542" w:rsidP="00B33542">
      <w:pPr>
        <w:pStyle w:val="paragraph"/>
      </w:pPr>
      <w:r w:rsidRPr="005071A1">
        <w:tab/>
        <w:t>(b)</w:t>
      </w:r>
      <w:r w:rsidRPr="005071A1">
        <w:tab/>
        <w:t xml:space="preserve">in the case of a person who ceased to be such a contributor by reason of his having voluntarily terminated his employment or service in order to become a candidate for election as a member of a House of the Parliament of Australia or of a State or of the </w:t>
      </w:r>
      <w:r w:rsidR="00F83505" w:rsidRPr="005071A1">
        <w:t>Legislative Assembly of the Northern Territory</w:t>
      </w:r>
      <w:r w:rsidRPr="005071A1">
        <w:t xml:space="preserve"> or a legislative or advisory body for another Territory prescribed for the purposes of section</w:t>
      </w:r>
      <w:r w:rsidR="008B2950" w:rsidRPr="005071A1">
        <w:t> </w:t>
      </w:r>
      <w:r w:rsidRPr="005071A1">
        <w:t xml:space="preserve">47C of the </w:t>
      </w:r>
      <w:r w:rsidRPr="005071A1">
        <w:rPr>
          <w:i/>
        </w:rPr>
        <w:t>Public Service Act 1922</w:t>
      </w:r>
      <w:r w:rsidR="004510F0">
        <w:rPr>
          <w:i/>
        </w:rPr>
        <w:noBreakHyphen/>
      </w:r>
      <w:r w:rsidRPr="005071A1">
        <w:rPr>
          <w:i/>
        </w:rPr>
        <w:t>1974</w:t>
      </w:r>
      <w:r w:rsidRPr="005071A1">
        <w:t xml:space="preserve"> and was a candidate at the election:</w:t>
      </w:r>
    </w:p>
    <w:p w14:paraId="512A17D3" w14:textId="77777777" w:rsidR="00B33542" w:rsidRPr="005071A1" w:rsidRDefault="00B33542" w:rsidP="00B33542">
      <w:pPr>
        <w:pStyle w:val="paragraphsub"/>
      </w:pPr>
      <w:r w:rsidRPr="005071A1">
        <w:tab/>
        <w:t>(i)</w:t>
      </w:r>
      <w:r w:rsidRPr="005071A1">
        <w:tab/>
        <w:t>if he is elected—the period commencing immediately after he ceased to be such a contributor and ending on the day on which he becomes such a member; or</w:t>
      </w:r>
    </w:p>
    <w:p w14:paraId="56E0E7CC" w14:textId="77777777" w:rsidR="00B33542" w:rsidRPr="005071A1" w:rsidRDefault="00B33542" w:rsidP="00B33542">
      <w:pPr>
        <w:pStyle w:val="paragraphsub"/>
      </w:pPr>
      <w:r w:rsidRPr="005071A1">
        <w:tab/>
        <w:t>(ii)</w:t>
      </w:r>
      <w:r w:rsidRPr="005071A1">
        <w:tab/>
        <w:t>if he is not elected—the period of three months immediately after the day of the declaration of the result of the election.</w:t>
      </w:r>
    </w:p>
    <w:p w14:paraId="0D295767" w14:textId="77777777" w:rsidR="00B33542" w:rsidRPr="005071A1" w:rsidRDefault="00B33542" w:rsidP="00B33542">
      <w:pPr>
        <w:pStyle w:val="subsection"/>
      </w:pPr>
      <w:r w:rsidRPr="005071A1">
        <w:tab/>
        <w:t>(2)</w:t>
      </w:r>
      <w:r w:rsidRPr="005071A1">
        <w:tab/>
        <w:t xml:space="preserve">Subject to </w:t>
      </w:r>
      <w:r w:rsidR="008B2950" w:rsidRPr="005071A1">
        <w:t>subsection (</w:t>
      </w:r>
      <w:r w:rsidRPr="005071A1">
        <w:t>3):</w:t>
      </w:r>
    </w:p>
    <w:p w14:paraId="060AB92D" w14:textId="77777777" w:rsidR="00B33542" w:rsidRPr="005071A1" w:rsidRDefault="00B33542" w:rsidP="00B33542">
      <w:pPr>
        <w:pStyle w:val="paragraph"/>
      </w:pPr>
      <w:r w:rsidRPr="005071A1">
        <w:tab/>
        <w:t>(a)</w:t>
      </w:r>
      <w:r w:rsidRPr="005071A1">
        <w:tab/>
        <w:t xml:space="preserve">a period in respect of which a pension was payable to a person under this Act by reason of his invalidity or of his physical or mental incapacity to perform the duties of his employment and immediately before the commencement of which he was employed in public employment shall be </w:t>
      </w:r>
      <w:r w:rsidRPr="005071A1">
        <w:lastRenderedPageBreak/>
        <w:t>treated for the purposes of this Division as if it had been a period in which he was employed in public employment; and</w:t>
      </w:r>
    </w:p>
    <w:p w14:paraId="646EB402" w14:textId="77777777" w:rsidR="00B33542" w:rsidRPr="005071A1" w:rsidRDefault="00B33542" w:rsidP="00B33542">
      <w:pPr>
        <w:pStyle w:val="paragraph"/>
      </w:pPr>
      <w:r w:rsidRPr="005071A1">
        <w:tab/>
        <w:t>(b)</w:t>
      </w:r>
      <w:r w:rsidRPr="005071A1">
        <w:tab/>
        <w:t>a period in respect of which a pension was payable to a person under a superannuation scheme applicable in respect of any employment of the person (other than the superannuation scheme constituted by the provisions of this Act relating to the Fund) by reason of his invalidity or of his physical or mental incapacity to perform the duties of that employment and immediately before the commencement of which he was employed in that employment shall be treated for the purposes of this Division as if it had been a period in which he was employed in that employment.</w:t>
      </w:r>
    </w:p>
    <w:p w14:paraId="05FCA791" w14:textId="77777777" w:rsidR="00B33542" w:rsidRPr="005071A1" w:rsidRDefault="00B33542" w:rsidP="00B33542">
      <w:pPr>
        <w:pStyle w:val="subsection"/>
      </w:pPr>
      <w:r w:rsidRPr="005071A1">
        <w:tab/>
        <w:t>(3)</w:t>
      </w:r>
      <w:r w:rsidRPr="005071A1">
        <w:tab/>
        <w:t>Where:</w:t>
      </w:r>
    </w:p>
    <w:p w14:paraId="48B51C4C" w14:textId="77777777" w:rsidR="00B33542" w:rsidRPr="005071A1" w:rsidRDefault="00B33542" w:rsidP="00B33542">
      <w:pPr>
        <w:pStyle w:val="paragraph"/>
      </w:pPr>
      <w:r w:rsidRPr="005071A1">
        <w:tab/>
        <w:t>(a)</w:t>
      </w:r>
      <w:r w:rsidRPr="005071A1">
        <w:tab/>
        <w:t>a pension is not payable to a person under this Act during a period by reason of section</w:t>
      </w:r>
      <w:r w:rsidR="008B2950" w:rsidRPr="005071A1">
        <w:t> </w:t>
      </w:r>
      <w:r w:rsidRPr="005071A1">
        <w:t>55 or section</w:t>
      </w:r>
      <w:r w:rsidR="008B2950" w:rsidRPr="005071A1">
        <w:t> </w:t>
      </w:r>
      <w:r w:rsidRPr="005071A1">
        <w:t>64A; and</w:t>
      </w:r>
    </w:p>
    <w:p w14:paraId="670B7968" w14:textId="77777777" w:rsidR="00B33542" w:rsidRPr="005071A1" w:rsidRDefault="00B33542" w:rsidP="00B33542">
      <w:pPr>
        <w:pStyle w:val="paragraph"/>
        <w:keepNext/>
      </w:pPr>
      <w:r w:rsidRPr="005071A1">
        <w:tab/>
        <w:t>(b)</w:t>
      </w:r>
      <w:r w:rsidRPr="005071A1">
        <w:tab/>
        <w:t>that pension would, but for that section, have been payable to that person during that period by reason of his invalidity or of his physical or mental incapacity;</w:t>
      </w:r>
    </w:p>
    <w:p w14:paraId="3E3D76E7" w14:textId="77777777" w:rsidR="00B33542" w:rsidRPr="005071A1" w:rsidRDefault="00B33542" w:rsidP="00B33542">
      <w:pPr>
        <w:pStyle w:val="subsection2"/>
      </w:pPr>
      <w:r w:rsidRPr="005071A1">
        <w:t xml:space="preserve">that period shall be treated for the purposes of this Division as if it had been a period in which that pension was payable but, if the person was, immediately before the pension became payable, employed in public employment, shall not, in the calculation of the period during which he was employed in public employment, be treated, by reason of </w:t>
      </w:r>
      <w:r w:rsidR="008B2950" w:rsidRPr="005071A1">
        <w:t>paragraph (</w:t>
      </w:r>
      <w:r w:rsidRPr="005071A1">
        <w:t xml:space="preserve">a) of </w:t>
      </w:r>
      <w:r w:rsidR="008B2950" w:rsidRPr="005071A1">
        <w:t>subsection (</w:t>
      </w:r>
      <w:r w:rsidRPr="005071A1">
        <w:t>2), as if it had been a period during which he was employed in public employment.</w:t>
      </w:r>
    </w:p>
    <w:p w14:paraId="570759E1" w14:textId="77777777" w:rsidR="00B33542" w:rsidRPr="005071A1" w:rsidRDefault="00B33542" w:rsidP="00B33542">
      <w:pPr>
        <w:pStyle w:val="subsection"/>
      </w:pPr>
      <w:r w:rsidRPr="005071A1">
        <w:tab/>
        <w:t>(4)</w:t>
      </w:r>
      <w:r w:rsidRPr="005071A1">
        <w:tab/>
        <w:t>Where a contributor to the Provident Account is allowed by the Board to contribute to the Fund under Part III, this Division has effect as if he had become employed in public employment on the date on which he became a contributor to the Fund under that Part.</w:t>
      </w:r>
    </w:p>
    <w:p w14:paraId="500FDE09" w14:textId="77777777" w:rsidR="00B33542" w:rsidRPr="005071A1" w:rsidRDefault="00B33542" w:rsidP="00B33542">
      <w:pPr>
        <w:pStyle w:val="ActHead5"/>
      </w:pPr>
      <w:bookmarkStart w:id="221" w:name="_Toc185577603"/>
      <w:r w:rsidRPr="004510F0">
        <w:rPr>
          <w:rStyle w:val="CharSectno"/>
        </w:rPr>
        <w:lastRenderedPageBreak/>
        <w:t>119P</w:t>
      </w:r>
      <w:r w:rsidRPr="005071A1">
        <w:t xml:space="preserve">  Eligible employment</w:t>
      </w:r>
      <w:bookmarkEnd w:id="221"/>
    </w:p>
    <w:p w14:paraId="0BC5DC2F" w14:textId="77777777" w:rsidR="00B33542" w:rsidRPr="005071A1" w:rsidRDefault="00B33542" w:rsidP="00B33542">
      <w:pPr>
        <w:pStyle w:val="subsection"/>
      </w:pPr>
      <w:r w:rsidRPr="005071A1">
        <w:tab/>
        <w:t>(1)</w:t>
      </w:r>
      <w:r w:rsidRPr="005071A1">
        <w:tab/>
        <w:t>For the purposes of the application of this Division in relation to a person who has ceased to be a contributor to the Fund or to the Provident Account, the following periods of employment of the person are periods of eligible employment:</w:t>
      </w:r>
    </w:p>
    <w:p w14:paraId="409CB38B" w14:textId="77777777" w:rsidR="00B33542" w:rsidRPr="005071A1" w:rsidRDefault="00B33542" w:rsidP="00B33542">
      <w:pPr>
        <w:pStyle w:val="paragraph"/>
      </w:pPr>
      <w:r w:rsidRPr="005071A1">
        <w:tab/>
        <w:t>(a)</w:t>
      </w:r>
      <w:r w:rsidRPr="005071A1">
        <w:tab/>
        <w:t>the period of employment during which the person was a contributor to the Fund or to the Provident Account and which terminated at the time when he so ceased to be a contributor to the Fund or to the Provident Account;</w:t>
      </w:r>
    </w:p>
    <w:p w14:paraId="56A0A560" w14:textId="77777777" w:rsidR="00B33542" w:rsidRPr="005071A1" w:rsidRDefault="00B33542" w:rsidP="00B33542">
      <w:pPr>
        <w:pStyle w:val="paragraph"/>
      </w:pPr>
      <w:r w:rsidRPr="005071A1">
        <w:tab/>
        <w:t>(b)</w:t>
      </w:r>
      <w:r w:rsidRPr="005071A1">
        <w:tab/>
        <w:t xml:space="preserve">subject to </w:t>
      </w:r>
      <w:r w:rsidR="008B2950" w:rsidRPr="005071A1">
        <w:t>subsections (</w:t>
      </w:r>
      <w:r w:rsidRPr="005071A1">
        <w:t>2) and (3), a period of employment of the person by the Commonwealth, by the Administration of a Territory, by a body corporate established for a public purpose by a law of the Commonwealth or of a Territory or by a company that is incorporated under the law of the Commonwealth or of a State or Territory and in which the Commonwealth has a controlling interest;</w:t>
      </w:r>
    </w:p>
    <w:p w14:paraId="6BF53175" w14:textId="77777777" w:rsidR="00B33542" w:rsidRPr="005071A1" w:rsidRDefault="00B33542" w:rsidP="00B33542">
      <w:pPr>
        <w:pStyle w:val="paragraph"/>
      </w:pPr>
      <w:r w:rsidRPr="005071A1">
        <w:tab/>
        <w:t>(c)</w:t>
      </w:r>
      <w:r w:rsidRPr="005071A1">
        <w:tab/>
        <w:t xml:space="preserve">subject to </w:t>
      </w:r>
      <w:r w:rsidR="008B2950" w:rsidRPr="005071A1">
        <w:t>subsection (</w:t>
      </w:r>
      <w:r w:rsidRPr="005071A1">
        <w:t xml:space="preserve">4), a period of employment (whether within or outside </w:t>
      </w:r>
      <w:smartTag w:uri="urn:schemas-microsoft-com:office:smarttags" w:element="place">
        <w:smartTag w:uri="urn:schemas-microsoft-com:office:smarttags" w:element="country-region">
          <w:r w:rsidRPr="005071A1">
            <w:t>Australia</w:t>
          </w:r>
        </w:smartTag>
      </w:smartTag>
      <w:r w:rsidRPr="005071A1">
        <w:t>) of the person during which he was a member of a superannuation scheme under which, upon the termination of that employment:</w:t>
      </w:r>
    </w:p>
    <w:p w14:paraId="387750B0" w14:textId="77777777" w:rsidR="00B33542" w:rsidRPr="005071A1" w:rsidRDefault="00B33542" w:rsidP="00B33542">
      <w:pPr>
        <w:pStyle w:val="paragraphsub"/>
      </w:pPr>
      <w:r w:rsidRPr="005071A1">
        <w:tab/>
        <w:t>(i)</w:t>
      </w:r>
      <w:r w:rsidRPr="005071A1">
        <w:tab/>
        <w:t>a lump sum that was based, or included an amount that was based, wholly upon contributions by the employer under the scheme or partly upon such contributions and partly upon contributions under the scheme by the person was paid to or in respect of the person;</w:t>
      </w:r>
    </w:p>
    <w:p w14:paraId="545F3B17" w14:textId="77777777" w:rsidR="00B33542" w:rsidRPr="005071A1" w:rsidRDefault="00B33542" w:rsidP="00B33542">
      <w:pPr>
        <w:pStyle w:val="paragraphsub"/>
      </w:pPr>
      <w:r w:rsidRPr="005071A1">
        <w:tab/>
        <w:t>(ii)</w:t>
      </w:r>
      <w:r w:rsidRPr="005071A1">
        <w:tab/>
        <w:t>a pension that was based, or included an amount that was based, wholly upon contributions by the employer under the scheme or partly upon such contributions and partly upon contributions under the scheme by the person became payable to the person; or</w:t>
      </w:r>
    </w:p>
    <w:p w14:paraId="646AC250" w14:textId="77777777" w:rsidR="00B33542" w:rsidRPr="005071A1" w:rsidRDefault="00B33542" w:rsidP="00B33542">
      <w:pPr>
        <w:pStyle w:val="paragraphsub"/>
      </w:pPr>
      <w:r w:rsidRPr="005071A1">
        <w:tab/>
        <w:t>(iii)</w:t>
      </w:r>
      <w:r w:rsidRPr="005071A1">
        <w:tab/>
        <w:t xml:space="preserve">benefits, whether by way of a lump sum or of a pension, that were payable at a future time and were based, or included an amount or amounts based, wholly upon </w:t>
      </w:r>
      <w:r w:rsidRPr="005071A1">
        <w:lastRenderedPageBreak/>
        <w:t>contributions by the employer under the scheme or partly upon such contributions and partly upon contributions under the scheme by the person became applicable in respect of the person; and</w:t>
      </w:r>
    </w:p>
    <w:p w14:paraId="6EAD528C" w14:textId="77777777" w:rsidR="00B33542" w:rsidRPr="005071A1" w:rsidRDefault="00B33542" w:rsidP="00B33542">
      <w:pPr>
        <w:pStyle w:val="paragraph"/>
      </w:pPr>
      <w:r w:rsidRPr="005071A1">
        <w:tab/>
        <w:t>(d)</w:t>
      </w:r>
      <w:r w:rsidRPr="005071A1">
        <w:tab/>
        <w:t xml:space="preserve">subject to </w:t>
      </w:r>
      <w:r w:rsidR="008B2950" w:rsidRPr="005071A1">
        <w:t>subsection (</w:t>
      </w:r>
      <w:r w:rsidRPr="005071A1">
        <w:t>5), a period of employment of a person during which:</w:t>
      </w:r>
    </w:p>
    <w:p w14:paraId="0A44BCC0" w14:textId="77777777" w:rsidR="00B33542" w:rsidRPr="005071A1" w:rsidRDefault="00B33542" w:rsidP="00B33542">
      <w:pPr>
        <w:pStyle w:val="paragraphsub"/>
      </w:pPr>
      <w:r w:rsidRPr="005071A1">
        <w:tab/>
        <w:t>(i)</w:t>
      </w:r>
      <w:r w:rsidRPr="005071A1">
        <w:tab/>
        <w:t>he was a member of a superannuation scheme within the meaning of Part VIA;</w:t>
      </w:r>
    </w:p>
    <w:p w14:paraId="0A09B6D8" w14:textId="77777777" w:rsidR="00B33542" w:rsidRPr="005071A1" w:rsidRDefault="00B33542" w:rsidP="00B33542">
      <w:pPr>
        <w:pStyle w:val="paragraphsub"/>
      </w:pPr>
      <w:r w:rsidRPr="005071A1">
        <w:tab/>
        <w:t>(ii)</w:t>
      </w:r>
      <w:r w:rsidRPr="005071A1">
        <w:tab/>
        <w:t>he was a contributor to a State Fund within the meaning of Part VII or VIIA; or</w:t>
      </w:r>
    </w:p>
    <w:p w14:paraId="31B82C93" w14:textId="77777777" w:rsidR="00B33542" w:rsidRPr="005071A1" w:rsidRDefault="00B33542" w:rsidP="00B33542">
      <w:pPr>
        <w:pStyle w:val="paragraphsub"/>
      </w:pPr>
      <w:r w:rsidRPr="005071A1">
        <w:tab/>
        <w:t>(iii)</w:t>
      </w:r>
      <w:r w:rsidRPr="005071A1">
        <w:tab/>
        <w:t>he was a contributor to a Public Service Superannuation Fund within the meaning of Part VIII.</w:t>
      </w:r>
    </w:p>
    <w:p w14:paraId="0192CE69" w14:textId="77777777" w:rsidR="00B33542" w:rsidRPr="005071A1" w:rsidRDefault="00B33542" w:rsidP="00B33542">
      <w:pPr>
        <w:pStyle w:val="subsection"/>
      </w:pPr>
      <w:r w:rsidRPr="005071A1">
        <w:tab/>
        <w:t>(2)</w:t>
      </w:r>
      <w:r w:rsidRPr="005071A1">
        <w:tab/>
      </w:r>
      <w:r w:rsidR="008B2950" w:rsidRPr="005071A1">
        <w:t>Paragraph (</w:t>
      </w:r>
      <w:r w:rsidRPr="005071A1">
        <w:t xml:space="preserve">b) of </w:t>
      </w:r>
      <w:r w:rsidR="008B2950" w:rsidRPr="005071A1">
        <w:t>subsection (</w:t>
      </w:r>
      <w:r w:rsidRPr="005071A1">
        <w:t>1) does not apply in relation to a period of employment of a person that terminated before the commencement of this section unless, before the expiration of three months after the termination of that employment, the person became employed in other employment that is eligible employment.</w:t>
      </w:r>
    </w:p>
    <w:p w14:paraId="78053ECC" w14:textId="77777777" w:rsidR="00B33542" w:rsidRPr="005071A1" w:rsidRDefault="00B33542" w:rsidP="00B33542">
      <w:pPr>
        <w:pStyle w:val="subsection"/>
      </w:pPr>
      <w:r w:rsidRPr="005071A1">
        <w:tab/>
        <w:t>(3)</w:t>
      </w:r>
      <w:r w:rsidRPr="005071A1">
        <w:tab/>
      </w:r>
      <w:r w:rsidR="008B2950" w:rsidRPr="005071A1">
        <w:t>Paragraph (</w:t>
      </w:r>
      <w:r w:rsidRPr="005071A1">
        <w:t xml:space="preserve">b) of </w:t>
      </w:r>
      <w:r w:rsidR="008B2950" w:rsidRPr="005071A1">
        <w:t>subsection (</w:t>
      </w:r>
      <w:r w:rsidRPr="005071A1">
        <w:t>1) does not apply in relation to a period of employment of a person that terminated after the commencement of this section unless:</w:t>
      </w:r>
    </w:p>
    <w:p w14:paraId="7C472233" w14:textId="77777777" w:rsidR="00B33542" w:rsidRPr="005071A1" w:rsidRDefault="00B33542" w:rsidP="00B33542">
      <w:pPr>
        <w:pStyle w:val="paragraph"/>
      </w:pPr>
      <w:r w:rsidRPr="005071A1">
        <w:tab/>
        <w:t>(a)</w:t>
      </w:r>
      <w:r w:rsidRPr="005071A1">
        <w:tab/>
        <w:t xml:space="preserve">a lump sum that was based, or included an amount based, wholly upon contributions by his employer under a superannuation scheme applicable in relation to that employment or partly upon such contributions and partly upon contributions under the scheme by the person was paid to the Board in accordance with </w:t>
      </w:r>
      <w:r w:rsidR="008B2950" w:rsidRPr="005071A1">
        <w:t>subsection (</w:t>
      </w:r>
      <w:r w:rsidRPr="005071A1">
        <w:t xml:space="preserve">1) of </w:t>
      </w:r>
      <w:r w:rsidR="004510F0">
        <w:t>section 1</w:t>
      </w:r>
      <w:r w:rsidRPr="005071A1">
        <w:t>19J;</w:t>
      </w:r>
    </w:p>
    <w:p w14:paraId="4FF80147" w14:textId="77777777" w:rsidR="00B33542" w:rsidRPr="005071A1" w:rsidRDefault="00B33542" w:rsidP="00B33542">
      <w:pPr>
        <w:pStyle w:val="paragraph"/>
      </w:pPr>
      <w:r w:rsidRPr="005071A1">
        <w:tab/>
        <w:t>(b)</w:t>
      </w:r>
      <w:r w:rsidRPr="005071A1">
        <w:tab/>
        <w:t xml:space="preserve">a pension that was based, or included an amount based, wholly upon contributions by his employer under a superannuation scheme applicable in relation to that </w:t>
      </w:r>
      <w:r w:rsidRPr="005071A1">
        <w:lastRenderedPageBreak/>
        <w:t>employment or partly upon such contributions and partly upon contributions under the scheme by the person became payable to him;</w:t>
      </w:r>
    </w:p>
    <w:p w14:paraId="7855D948" w14:textId="77777777" w:rsidR="00B33542" w:rsidRPr="005071A1" w:rsidRDefault="00B33542" w:rsidP="00B33542">
      <w:pPr>
        <w:pStyle w:val="paragraph"/>
      </w:pPr>
      <w:r w:rsidRPr="005071A1">
        <w:tab/>
        <w:t>(c)</w:t>
      </w:r>
      <w:r w:rsidRPr="005071A1">
        <w:tab/>
        <w:t>benefits, whether by way of a lump sum or of a pension, that were payable at a future time and were based, or included an amount or amounts based, wholly upon contributions by his employer under a superannuation scheme applicable in relation to that employment or partly upon such contributions and partly upon contributions under the scheme by the person became applicable in respect of him; or</w:t>
      </w:r>
    </w:p>
    <w:p w14:paraId="107D8CDB" w14:textId="77777777" w:rsidR="00B33542" w:rsidRPr="005071A1" w:rsidRDefault="00B33542" w:rsidP="00B33542">
      <w:pPr>
        <w:pStyle w:val="paragraph"/>
      </w:pPr>
      <w:r w:rsidRPr="005071A1">
        <w:tab/>
        <w:t>(d)</w:t>
      </w:r>
      <w:r w:rsidRPr="005071A1">
        <w:tab/>
        <w:t>before the expiration of three months after the termination of that employment he became employed in other employment that was eligible employment and:</w:t>
      </w:r>
    </w:p>
    <w:p w14:paraId="3B915E0A" w14:textId="77777777" w:rsidR="00B33542" w:rsidRPr="005071A1" w:rsidRDefault="00B33542" w:rsidP="00B33542">
      <w:pPr>
        <w:pStyle w:val="paragraphsub"/>
      </w:pPr>
      <w:r w:rsidRPr="005071A1">
        <w:tab/>
        <w:t>(i)</w:t>
      </w:r>
      <w:r w:rsidRPr="005071A1">
        <w:tab/>
        <w:t xml:space="preserve">a lump sum of a kind referred to in </w:t>
      </w:r>
      <w:r w:rsidR="008B2950" w:rsidRPr="005071A1">
        <w:t>paragraph (</w:t>
      </w:r>
      <w:r w:rsidRPr="005071A1">
        <w:t>a) did not become payable to or in respect of him in relation to the first</w:t>
      </w:r>
      <w:r w:rsidR="004510F0">
        <w:noBreakHyphen/>
      </w:r>
      <w:r w:rsidRPr="005071A1">
        <w:t>mentioned employment and he was not entitled to make an election or choice, exercise an option or do any other act or thing as a result of which such a lump sum would have become so payable;</w:t>
      </w:r>
    </w:p>
    <w:p w14:paraId="52D16D1D" w14:textId="77777777" w:rsidR="00B33542" w:rsidRPr="005071A1" w:rsidRDefault="00B33542" w:rsidP="00B33542">
      <w:pPr>
        <w:pStyle w:val="paragraphsub"/>
      </w:pPr>
      <w:r w:rsidRPr="005071A1">
        <w:tab/>
        <w:t>(ii)</w:t>
      </w:r>
      <w:r w:rsidRPr="005071A1">
        <w:tab/>
        <w:t xml:space="preserve">a pension of a kind referred to in </w:t>
      </w:r>
      <w:r w:rsidR="008B2950" w:rsidRPr="005071A1">
        <w:t>paragraph (</w:t>
      </w:r>
      <w:r w:rsidRPr="005071A1">
        <w:t>b) did not become payable to or in respect of him in relation to the first</w:t>
      </w:r>
      <w:r w:rsidR="004510F0">
        <w:noBreakHyphen/>
      </w:r>
      <w:r w:rsidRPr="005071A1">
        <w:t>mentioned employment and he was not entitled to make an election or choice, exercise an option or do any other act or thing as a result of which such a pension would have become so payable; and</w:t>
      </w:r>
    </w:p>
    <w:p w14:paraId="4753D650" w14:textId="77777777" w:rsidR="00B33542" w:rsidRPr="005071A1" w:rsidRDefault="00B33542" w:rsidP="00B33542">
      <w:pPr>
        <w:pStyle w:val="paragraphsub"/>
      </w:pPr>
      <w:r w:rsidRPr="005071A1">
        <w:tab/>
        <w:t>(iii)</w:t>
      </w:r>
      <w:r w:rsidRPr="005071A1">
        <w:tab/>
        <w:t xml:space="preserve">benefits of a kind referred to in </w:t>
      </w:r>
      <w:r w:rsidR="008B2950" w:rsidRPr="005071A1">
        <w:t>paragraph (</w:t>
      </w:r>
      <w:r w:rsidRPr="005071A1">
        <w:t>c) did not become applicable in respect of him in relation to the first</w:t>
      </w:r>
      <w:r w:rsidR="004510F0">
        <w:noBreakHyphen/>
      </w:r>
      <w:r w:rsidRPr="005071A1">
        <w:t>mentioned employment and he was not entitled to make an election or choice, exercise an option or do any other act or thing as a result of which any such benefits would have become so applicable.</w:t>
      </w:r>
    </w:p>
    <w:p w14:paraId="7651A0AA" w14:textId="77777777" w:rsidR="00B33542" w:rsidRPr="005071A1" w:rsidRDefault="00B33542" w:rsidP="00B33542">
      <w:pPr>
        <w:pStyle w:val="subsection"/>
      </w:pPr>
      <w:r w:rsidRPr="005071A1">
        <w:tab/>
        <w:t>(4)</w:t>
      </w:r>
      <w:r w:rsidRPr="005071A1">
        <w:tab/>
      </w:r>
      <w:r w:rsidR="008B2950" w:rsidRPr="005071A1">
        <w:t>Paragraph (</w:t>
      </w:r>
      <w:r w:rsidRPr="005071A1">
        <w:t xml:space="preserve">c) of </w:t>
      </w:r>
      <w:r w:rsidR="008B2950" w:rsidRPr="005071A1">
        <w:t>subsection (</w:t>
      </w:r>
      <w:r w:rsidRPr="005071A1">
        <w:t xml:space="preserve">1) does not apply in relation to a period of employment of a person by reason of the operation of </w:t>
      </w:r>
      <w:r w:rsidR="008B2950" w:rsidRPr="005071A1">
        <w:lastRenderedPageBreak/>
        <w:t>subparagraph (</w:t>
      </w:r>
      <w:r w:rsidRPr="005071A1">
        <w:t>i) of that paragraph unless an amount equal to the lump sum referred to in that subparagraph, or an amount that included an amount based upon that lump sum, has been paid into the Fund or the Provident Account.</w:t>
      </w:r>
    </w:p>
    <w:p w14:paraId="348D7F49" w14:textId="77777777" w:rsidR="00B33542" w:rsidRPr="005071A1" w:rsidRDefault="00B33542" w:rsidP="00B33542">
      <w:pPr>
        <w:pStyle w:val="subsection"/>
      </w:pPr>
      <w:r w:rsidRPr="005071A1">
        <w:tab/>
        <w:t>(5)</w:t>
      </w:r>
      <w:r w:rsidRPr="005071A1">
        <w:tab/>
      </w:r>
      <w:r w:rsidR="008B2950" w:rsidRPr="005071A1">
        <w:t>Paragraph (</w:t>
      </w:r>
      <w:r w:rsidRPr="005071A1">
        <w:t xml:space="preserve">d) of </w:t>
      </w:r>
      <w:r w:rsidR="008B2950" w:rsidRPr="005071A1">
        <w:t>subsection (</w:t>
      </w:r>
      <w:r w:rsidRPr="005071A1">
        <w:t>1) does not apply in relation to a period of employment of a person unless:</w:t>
      </w:r>
    </w:p>
    <w:p w14:paraId="3358F228" w14:textId="77777777" w:rsidR="00B33542" w:rsidRPr="005071A1" w:rsidRDefault="00B33542" w:rsidP="00B33542">
      <w:pPr>
        <w:pStyle w:val="paragraph"/>
      </w:pPr>
      <w:r w:rsidRPr="005071A1">
        <w:tab/>
        <w:t>(a)</w:t>
      </w:r>
      <w:r w:rsidRPr="005071A1">
        <w:tab/>
        <w:t>an amount equal to the amount refunded to the person from the Fund referred to in that paragraph was paid to the Board in accordance with Part VIA, VII, VIIA or VIII; and</w:t>
      </w:r>
    </w:p>
    <w:p w14:paraId="764EABD0" w14:textId="77777777" w:rsidR="00B33542" w:rsidRPr="005071A1" w:rsidRDefault="00B33542" w:rsidP="00B33542">
      <w:pPr>
        <w:pStyle w:val="paragraph"/>
      </w:pPr>
      <w:r w:rsidRPr="005071A1">
        <w:tab/>
        <w:t>(b)</w:t>
      </w:r>
      <w:r w:rsidRPr="005071A1">
        <w:tab/>
        <w:t>the period of employment during which the person was a contributor to the Superannuation Fund under this Act that immediately followed the period of the first</w:t>
      </w:r>
      <w:r w:rsidR="004510F0">
        <w:noBreakHyphen/>
      </w:r>
      <w:r w:rsidRPr="005071A1">
        <w:t>mentioned employment was a period of eligible employment.</w:t>
      </w:r>
    </w:p>
    <w:p w14:paraId="43224F1C" w14:textId="77777777" w:rsidR="00B33542" w:rsidRPr="005071A1" w:rsidRDefault="00B33542" w:rsidP="00B33542">
      <w:pPr>
        <w:pStyle w:val="subsection"/>
      </w:pPr>
      <w:r w:rsidRPr="005071A1">
        <w:tab/>
        <w:t>(6)</w:t>
      </w:r>
      <w:r w:rsidRPr="005071A1">
        <w:tab/>
        <w:t xml:space="preserve">A reference in </w:t>
      </w:r>
      <w:r w:rsidR="008B2950" w:rsidRPr="005071A1">
        <w:t>paragraph (</w:t>
      </w:r>
      <w:r w:rsidRPr="005071A1">
        <w:t xml:space="preserve">b), (c) or (d) of </w:t>
      </w:r>
      <w:r w:rsidR="008B2950" w:rsidRPr="005071A1">
        <w:t>subsection (</w:t>
      </w:r>
      <w:r w:rsidRPr="005071A1">
        <w:t>1) to a period of employment of a person does not include a reference to a period of employment in relation to which a preceding paragraph of that subsection applies.</w:t>
      </w:r>
    </w:p>
    <w:p w14:paraId="1641CB74" w14:textId="77777777" w:rsidR="00B33542" w:rsidRPr="005071A1" w:rsidRDefault="00B33542" w:rsidP="00B33542">
      <w:pPr>
        <w:pStyle w:val="ActHead5"/>
      </w:pPr>
      <w:bookmarkStart w:id="222" w:name="_Toc185577604"/>
      <w:r w:rsidRPr="004510F0">
        <w:rPr>
          <w:rStyle w:val="CharSectno"/>
        </w:rPr>
        <w:t>119Q</w:t>
      </w:r>
      <w:r w:rsidRPr="005071A1">
        <w:t xml:space="preserve">  Public employment</w:t>
      </w:r>
      <w:bookmarkEnd w:id="222"/>
    </w:p>
    <w:p w14:paraId="7526D24A" w14:textId="77777777" w:rsidR="00B33542" w:rsidRPr="005071A1" w:rsidRDefault="00B33542" w:rsidP="00B33542">
      <w:pPr>
        <w:pStyle w:val="subsection"/>
      </w:pPr>
      <w:r w:rsidRPr="005071A1">
        <w:tab/>
        <w:t>(1)</w:t>
      </w:r>
      <w:r w:rsidRPr="005071A1">
        <w:tab/>
        <w:t xml:space="preserve">The Minister may, by instrument under his hand published in the </w:t>
      </w:r>
      <w:r w:rsidRPr="005071A1">
        <w:rPr>
          <w:i/>
        </w:rPr>
        <w:t>Gazette</w:t>
      </w:r>
      <w:r w:rsidRPr="005071A1">
        <w:t>, declare employment, whether within or outside Australia, by a person, or by persons included in a class of persons, specified in the instrument to be public employment for the purposes of this Division.</w:t>
      </w:r>
    </w:p>
    <w:p w14:paraId="6D5E6714" w14:textId="77777777" w:rsidR="00B33542" w:rsidRPr="005071A1" w:rsidRDefault="00B33542" w:rsidP="00B33542">
      <w:pPr>
        <w:pStyle w:val="subsection"/>
      </w:pPr>
      <w:r w:rsidRPr="005071A1">
        <w:tab/>
        <w:t>(1A)</w:t>
      </w:r>
      <w:r w:rsidRPr="005071A1">
        <w:tab/>
        <w:t>If:</w:t>
      </w:r>
    </w:p>
    <w:p w14:paraId="59A55064" w14:textId="77777777" w:rsidR="00B33542" w:rsidRPr="005071A1" w:rsidRDefault="00B33542" w:rsidP="00B33542">
      <w:pPr>
        <w:pStyle w:val="paragraph"/>
      </w:pPr>
      <w:r w:rsidRPr="005071A1">
        <w:tab/>
        <w:t>(a)</w:t>
      </w:r>
      <w:r w:rsidRPr="005071A1">
        <w:tab/>
        <w:t xml:space="preserve">employment (the </w:t>
      </w:r>
      <w:r w:rsidRPr="005071A1">
        <w:rPr>
          <w:b/>
          <w:i/>
        </w:rPr>
        <w:t>declared employment</w:t>
      </w:r>
      <w:r w:rsidRPr="005071A1">
        <w:t xml:space="preserve">) by a person has been declared (whether or not by reference to a class of persons) under </w:t>
      </w:r>
      <w:r w:rsidR="008B2950" w:rsidRPr="005071A1">
        <w:t>subsection (</w:t>
      </w:r>
      <w:r w:rsidRPr="005071A1">
        <w:t>1) to be public employment for the purposes of this Division; and</w:t>
      </w:r>
    </w:p>
    <w:p w14:paraId="3609FC59" w14:textId="77777777" w:rsidR="00B33542" w:rsidRPr="005071A1" w:rsidRDefault="00B33542" w:rsidP="00B33542">
      <w:pPr>
        <w:pStyle w:val="paragraph"/>
        <w:keepNext/>
      </w:pPr>
      <w:r w:rsidRPr="005071A1">
        <w:lastRenderedPageBreak/>
        <w:tab/>
        <w:t>(b)</w:t>
      </w:r>
      <w:r w:rsidRPr="005071A1">
        <w:tab/>
        <w:t>apart from this subsection, employment of persons generally, or of a class of persons, by that person would cease at a particular time to be public employment for the purposes of this Division;</w:t>
      </w:r>
    </w:p>
    <w:p w14:paraId="3822AB03" w14:textId="77777777" w:rsidR="00B33542" w:rsidRPr="005071A1" w:rsidRDefault="00B33542" w:rsidP="00B33542">
      <w:pPr>
        <w:pStyle w:val="subsection2"/>
      </w:pPr>
      <w:r w:rsidRPr="005071A1">
        <w:t xml:space="preserve">the Minister may, by writing published in the </w:t>
      </w:r>
      <w:r w:rsidRPr="005071A1">
        <w:rPr>
          <w:i/>
        </w:rPr>
        <w:t>Gazette</w:t>
      </w:r>
      <w:r w:rsidRPr="005071A1">
        <w:t>, declare that a person, or a person included in a class of persons, who was employed in public employment for the purposes of this Division immediately before that time because of the declared employment continues to be so employed.</w:t>
      </w:r>
    </w:p>
    <w:p w14:paraId="25077346" w14:textId="77777777" w:rsidR="00B33542" w:rsidRPr="005071A1" w:rsidRDefault="00B33542" w:rsidP="00B33542">
      <w:pPr>
        <w:pStyle w:val="subsection"/>
      </w:pPr>
      <w:r w:rsidRPr="005071A1">
        <w:tab/>
        <w:t>(1B)</w:t>
      </w:r>
      <w:r w:rsidRPr="005071A1">
        <w:tab/>
        <w:t xml:space="preserve">A declaration under </w:t>
      </w:r>
      <w:r w:rsidR="008B2950" w:rsidRPr="005071A1">
        <w:t>subsection (</w:t>
      </w:r>
      <w:r w:rsidRPr="005071A1">
        <w:t>1) or (1A):</w:t>
      </w:r>
    </w:p>
    <w:p w14:paraId="29DE0E76" w14:textId="77777777" w:rsidR="00B33542" w:rsidRPr="005071A1" w:rsidRDefault="00B33542" w:rsidP="00B33542">
      <w:pPr>
        <w:pStyle w:val="paragraph"/>
      </w:pPr>
      <w:r w:rsidRPr="005071A1">
        <w:tab/>
        <w:t>(a)</w:t>
      </w:r>
      <w:r w:rsidRPr="005071A1">
        <w:tab/>
        <w:t>may be expressed to apply only in relation to the employment of a person included in a class of persons referred to in the declaration; and</w:t>
      </w:r>
    </w:p>
    <w:p w14:paraId="46DD8A07" w14:textId="77777777" w:rsidR="00B33542" w:rsidRPr="005071A1" w:rsidRDefault="00B33542" w:rsidP="00B33542">
      <w:pPr>
        <w:pStyle w:val="paragraph"/>
      </w:pPr>
      <w:r w:rsidRPr="005071A1">
        <w:tab/>
        <w:t>(b)</w:t>
      </w:r>
      <w:r w:rsidRPr="005071A1">
        <w:tab/>
        <w:t>may be expressed to apply only until a time stated in the declaration.</w:t>
      </w:r>
    </w:p>
    <w:p w14:paraId="3C04FB1F" w14:textId="77777777" w:rsidR="00B33542" w:rsidRPr="005071A1" w:rsidRDefault="00B33542" w:rsidP="00B33542">
      <w:pPr>
        <w:pStyle w:val="subsection"/>
      </w:pPr>
      <w:r w:rsidRPr="005071A1">
        <w:tab/>
        <w:t>(2)</w:t>
      </w:r>
      <w:r w:rsidRPr="005071A1">
        <w:tab/>
        <w:t xml:space="preserve">A declaration under </w:t>
      </w:r>
      <w:r w:rsidR="008B2950" w:rsidRPr="005071A1">
        <w:t>subsection (</w:t>
      </w:r>
      <w:r w:rsidRPr="005071A1">
        <w:t xml:space="preserve">1) or (1A) shall come into force on the day on which the instrument of declaration is published in the </w:t>
      </w:r>
      <w:r w:rsidRPr="005071A1">
        <w:rPr>
          <w:i/>
        </w:rPr>
        <w:t>Gazette</w:t>
      </w:r>
      <w:r w:rsidRPr="005071A1">
        <w:t xml:space="preserve"> or, if an earlier day (not being earlier than </w:t>
      </w:r>
      <w:r w:rsidR="00594E1E" w:rsidRPr="005071A1">
        <w:t>1 January</w:t>
      </w:r>
      <w:r w:rsidRPr="005071A1">
        <w:t xml:space="preserve"> 1970) is specified in the instrument as the day on which the declaration is to be deemed to have come into force, shall be deemed to have come into force on that earlier day.</w:t>
      </w:r>
    </w:p>
    <w:p w14:paraId="2622A02A" w14:textId="77777777" w:rsidR="00B33542" w:rsidRPr="005071A1" w:rsidRDefault="00B33542" w:rsidP="00B33542">
      <w:pPr>
        <w:pStyle w:val="subsection"/>
      </w:pPr>
      <w:r w:rsidRPr="005071A1">
        <w:tab/>
        <w:t>(3)</w:t>
      </w:r>
      <w:r w:rsidRPr="005071A1">
        <w:tab/>
        <w:t>A person shall be taken, for the purposes of this Division, to have been employed in public employment at a particular time if, and only if, the employer by whom he was employed at that time was a person, or was a person included in a class of persons, specified in a declaration by the Minister under this section that was, or is to be deemed to have been, in force at that time.</w:t>
      </w:r>
    </w:p>
    <w:p w14:paraId="1967452D" w14:textId="77777777" w:rsidR="00B33542" w:rsidRPr="005071A1" w:rsidRDefault="00B33542" w:rsidP="00B33542">
      <w:pPr>
        <w:pStyle w:val="subsection"/>
      </w:pPr>
      <w:r w:rsidRPr="005071A1">
        <w:tab/>
        <w:t>(4)</w:t>
      </w:r>
      <w:r w:rsidRPr="005071A1">
        <w:tab/>
        <w:t xml:space="preserve">A declaration may be made under </w:t>
      </w:r>
      <w:r w:rsidR="008B2950" w:rsidRPr="005071A1">
        <w:t>subsection (</w:t>
      </w:r>
      <w:r w:rsidRPr="005071A1">
        <w:t xml:space="preserve">1) specifying employment by the Government of the United Kingdom of Great Britain and Northern Ireland or by a body corporate established for a public purpose by a law in force in the United Kingdom of Great Britain and Northern Ireland to be public employment for the </w:t>
      </w:r>
      <w:r w:rsidRPr="005071A1">
        <w:lastRenderedPageBreak/>
        <w:t>purposes of this Division, but a person shall not be taken, for the purposes of this Division, to have been employed in public employment by reason of his having been employed in employment by that Government or by such a body unless his salary, immediately before he ceased to be a contributor to the Fund or to the Provident Account, or, if he ceased on more than one occasion to be such a contributor, immediately before he last so ceased, was fixed and payable in sterling.</w:t>
      </w:r>
    </w:p>
    <w:p w14:paraId="29D581A0" w14:textId="77777777" w:rsidR="00B33542" w:rsidRPr="005071A1" w:rsidRDefault="00B33542" w:rsidP="00B33542">
      <w:pPr>
        <w:pStyle w:val="subsection"/>
      </w:pPr>
      <w:r w:rsidRPr="005071A1">
        <w:tab/>
        <w:t>(5)</w:t>
      </w:r>
      <w:r w:rsidRPr="005071A1">
        <w:tab/>
        <w:t>Where any public employment in which a person is employed terminates and, within three months after the date of the termination, he again becomes employed in public employment, he shall, for the purposes of this Division, be deemed not to have ceased, by reason of the termination, to be employed in public employment but, in ascertaining the period in which he has been employed in public employment, any period between the termination of a period in which he was employed in public employment and the commencement of a further period in which he was employed in public employment shall not be treated as itself being a period in which he was employed in public employment.</w:t>
      </w:r>
    </w:p>
    <w:p w14:paraId="7EDAAC64" w14:textId="77777777" w:rsidR="00B33542" w:rsidRPr="005071A1" w:rsidRDefault="00B33542" w:rsidP="00D11EDC">
      <w:pPr>
        <w:pStyle w:val="ActHead5"/>
      </w:pPr>
      <w:bookmarkStart w:id="223" w:name="_Toc185577605"/>
      <w:r w:rsidRPr="004510F0">
        <w:rPr>
          <w:rStyle w:val="CharSectno"/>
        </w:rPr>
        <w:t>119R</w:t>
      </w:r>
      <w:r w:rsidRPr="005071A1">
        <w:t xml:space="preserve">  Eligible superannuation schemes</w:t>
      </w:r>
      <w:bookmarkEnd w:id="223"/>
    </w:p>
    <w:p w14:paraId="26146D4B" w14:textId="77777777" w:rsidR="00B33542" w:rsidRPr="005071A1" w:rsidRDefault="00B33542" w:rsidP="00D11EDC">
      <w:pPr>
        <w:pStyle w:val="subsection"/>
        <w:keepNext/>
        <w:keepLines/>
      </w:pPr>
      <w:r w:rsidRPr="005071A1">
        <w:tab/>
        <w:t>(1)</w:t>
      </w:r>
      <w:r w:rsidRPr="005071A1">
        <w:tab/>
        <w:t xml:space="preserve">The Minister may, by instrument under his hand published in the </w:t>
      </w:r>
      <w:r w:rsidRPr="005071A1">
        <w:rPr>
          <w:i/>
        </w:rPr>
        <w:t>Gazette</w:t>
      </w:r>
      <w:r w:rsidRPr="005071A1">
        <w:t>, declare a superannuation scheme specified in the instrument to be an eligible superannuation scheme for the purposes of this Division.</w:t>
      </w:r>
    </w:p>
    <w:p w14:paraId="78B19E8C" w14:textId="77777777" w:rsidR="00B33542" w:rsidRPr="005071A1" w:rsidRDefault="00B33542" w:rsidP="00B33542">
      <w:pPr>
        <w:pStyle w:val="subsection"/>
      </w:pPr>
      <w:r w:rsidRPr="005071A1">
        <w:tab/>
        <w:t>(2)</w:t>
      </w:r>
      <w:r w:rsidRPr="005071A1">
        <w:tab/>
        <w:t xml:space="preserve">A declaration under </w:t>
      </w:r>
      <w:r w:rsidR="008B2950" w:rsidRPr="005071A1">
        <w:t>subsection (</w:t>
      </w:r>
      <w:r w:rsidRPr="005071A1">
        <w:t xml:space="preserve">1) shall come into force on the day on which the instrument of declaration is published in the </w:t>
      </w:r>
      <w:r w:rsidRPr="005071A1">
        <w:rPr>
          <w:i/>
        </w:rPr>
        <w:t xml:space="preserve">Gazette </w:t>
      </w:r>
      <w:r w:rsidRPr="005071A1">
        <w:t xml:space="preserve">or, if an earlier day (not being earlier than </w:t>
      </w:r>
      <w:r w:rsidR="00594E1E" w:rsidRPr="005071A1">
        <w:t>1 January</w:t>
      </w:r>
      <w:r w:rsidRPr="005071A1">
        <w:t xml:space="preserve"> 1970) is specified in the instrument as the day on which the declaration is to </w:t>
      </w:r>
      <w:r w:rsidRPr="005071A1">
        <w:lastRenderedPageBreak/>
        <w:t>be deemed to have come into force, shall be deemed to have come into force on that earlier day.</w:t>
      </w:r>
    </w:p>
    <w:p w14:paraId="511C6BED" w14:textId="77777777" w:rsidR="00B33542" w:rsidRPr="005071A1" w:rsidRDefault="00B33542" w:rsidP="00B33542">
      <w:pPr>
        <w:pStyle w:val="subsection"/>
      </w:pPr>
      <w:r w:rsidRPr="005071A1">
        <w:tab/>
        <w:t>(3)</w:t>
      </w:r>
      <w:r w:rsidRPr="005071A1">
        <w:tab/>
        <w:t>A person shall be taken, for the purposes of this Division, to have been a member of an eligible superannuation scheme at a particular time if, and only if, he was at that time a member of a superannuation scheme in respect of which a declaration by the Minister under this section was, or is to be deemed to have been, in force at that time.</w:t>
      </w:r>
    </w:p>
    <w:p w14:paraId="4A6541BB" w14:textId="77777777" w:rsidR="00B33542" w:rsidRPr="005071A1" w:rsidRDefault="00B33542" w:rsidP="00B33542">
      <w:pPr>
        <w:pStyle w:val="ActHead5"/>
      </w:pPr>
      <w:bookmarkStart w:id="224" w:name="_Toc185577606"/>
      <w:r w:rsidRPr="004510F0">
        <w:rPr>
          <w:rStyle w:val="CharSectno"/>
        </w:rPr>
        <w:t>119S</w:t>
      </w:r>
      <w:r w:rsidRPr="005071A1">
        <w:t xml:space="preserve">  Transfer value</w:t>
      </w:r>
      <w:bookmarkEnd w:id="224"/>
    </w:p>
    <w:p w14:paraId="29978C96" w14:textId="77777777" w:rsidR="00B33542" w:rsidRPr="005071A1" w:rsidRDefault="00B33542" w:rsidP="00B33542">
      <w:pPr>
        <w:pStyle w:val="subsection"/>
      </w:pPr>
      <w:r w:rsidRPr="005071A1">
        <w:tab/>
        <w:t>(1)</w:t>
      </w:r>
      <w:r w:rsidRPr="005071A1">
        <w:tab/>
        <w:t>A reference in this Division to a transfer value payable in accordance with this Division in respect of a person who has ceased to be a contributor to the Fund or to the Provident Account is a reference:</w:t>
      </w:r>
    </w:p>
    <w:p w14:paraId="35F90E51" w14:textId="77777777" w:rsidR="00B33542" w:rsidRPr="005071A1" w:rsidRDefault="00B33542" w:rsidP="00B33542">
      <w:pPr>
        <w:pStyle w:val="paragraph"/>
      </w:pPr>
      <w:r w:rsidRPr="005071A1">
        <w:tab/>
        <w:t>(a)</w:t>
      </w:r>
      <w:r w:rsidRPr="005071A1">
        <w:tab/>
        <w:t xml:space="preserve">in the case of a person in respect of whom that transfer value has become payable by virtue of the operation of </w:t>
      </w:r>
      <w:r w:rsidR="004510F0">
        <w:t>section 1</w:t>
      </w:r>
      <w:r w:rsidRPr="005071A1">
        <w:t>19V:</w:t>
      </w:r>
    </w:p>
    <w:p w14:paraId="2EA6F944" w14:textId="77777777" w:rsidR="00B33542" w:rsidRPr="005071A1" w:rsidRDefault="00B33542" w:rsidP="00B33542">
      <w:pPr>
        <w:pStyle w:val="paragraphsub"/>
      </w:pPr>
      <w:r w:rsidRPr="005071A1">
        <w:tab/>
        <w:t>(i)</w:t>
      </w:r>
      <w:r w:rsidRPr="005071A1">
        <w:tab/>
        <w:t xml:space="preserve">unless </w:t>
      </w:r>
      <w:r w:rsidR="008B2950" w:rsidRPr="005071A1">
        <w:t>subparagraph (</w:t>
      </w:r>
      <w:r w:rsidRPr="005071A1">
        <w:t>ii) applies—to such amount as is determined by the Commissioner to be the value of the rights of the person under this Act as at the time immediately before the person ceased to be such a contributor; or</w:t>
      </w:r>
    </w:p>
    <w:p w14:paraId="56B57640" w14:textId="77777777" w:rsidR="00B33542" w:rsidRPr="005071A1" w:rsidRDefault="00B33542" w:rsidP="00B33542">
      <w:pPr>
        <w:pStyle w:val="paragraphsub"/>
      </w:pPr>
      <w:r w:rsidRPr="005071A1">
        <w:tab/>
        <w:t>(ii)</w:t>
      </w:r>
      <w:r w:rsidRPr="005071A1">
        <w:tab/>
        <w:t xml:space="preserve">if the declaration under </w:t>
      </w:r>
      <w:r w:rsidR="008B2950" w:rsidRPr="005071A1">
        <w:t>subsection (</w:t>
      </w:r>
      <w:r w:rsidRPr="005071A1">
        <w:t xml:space="preserve">1) of </w:t>
      </w:r>
      <w:r w:rsidR="004510F0">
        <w:t>section 1</w:t>
      </w:r>
      <w:r w:rsidRPr="005071A1">
        <w:t>19R of the eligible superannuation scheme referred to in subparagraph</w:t>
      </w:r>
      <w:r w:rsidR="008B2950" w:rsidRPr="005071A1">
        <w:t> </w:t>
      </w:r>
      <w:r w:rsidRPr="005071A1">
        <w:t>119V(1)(b)(ii) of which the person became a member:</w:t>
      </w:r>
    </w:p>
    <w:p w14:paraId="0A865935" w14:textId="77777777" w:rsidR="00B33542" w:rsidRPr="005071A1" w:rsidRDefault="00B33542" w:rsidP="00B33542">
      <w:pPr>
        <w:pStyle w:val="paragraphsub-sub"/>
      </w:pPr>
      <w:r w:rsidRPr="005071A1">
        <w:tab/>
        <w:t>(A)</w:t>
      </w:r>
      <w:r w:rsidRPr="005071A1">
        <w:tab/>
        <w:t xml:space="preserve">was made by instrument published in the </w:t>
      </w:r>
      <w:r w:rsidRPr="005071A1">
        <w:rPr>
          <w:i/>
        </w:rPr>
        <w:t>Gazette</w:t>
      </w:r>
      <w:r w:rsidRPr="005071A1">
        <w:t xml:space="preserve"> after the commencement of this subsection; and</w:t>
      </w:r>
    </w:p>
    <w:p w14:paraId="5F190591" w14:textId="77777777" w:rsidR="00B33542" w:rsidRPr="005071A1" w:rsidRDefault="00B33542" w:rsidP="00B33542">
      <w:pPr>
        <w:pStyle w:val="paragraphsub-sub"/>
        <w:keepNext/>
      </w:pPr>
      <w:r w:rsidRPr="005071A1">
        <w:lastRenderedPageBreak/>
        <w:tab/>
        <w:t>(B)</w:t>
      </w:r>
      <w:r w:rsidRPr="005071A1">
        <w:tab/>
        <w:t xml:space="preserve">by virtue of the operation of </w:t>
      </w:r>
      <w:r w:rsidR="008B2950" w:rsidRPr="005071A1">
        <w:t>subsection (</w:t>
      </w:r>
      <w:r w:rsidRPr="005071A1">
        <w:t xml:space="preserve">2) of </w:t>
      </w:r>
      <w:r w:rsidR="004510F0">
        <w:t>section 1</w:t>
      </w:r>
      <w:r w:rsidRPr="005071A1">
        <w:t xml:space="preserve">19R, came into operation on a day earlier than the day on which the instrument of declaration was published in the </w:t>
      </w:r>
      <w:r w:rsidRPr="005071A1">
        <w:rPr>
          <w:i/>
        </w:rPr>
        <w:t>Gazette</w:t>
      </w:r>
      <w:r w:rsidRPr="005071A1">
        <w:t>;</w:t>
      </w:r>
    </w:p>
    <w:p w14:paraId="5DF7782C" w14:textId="77777777" w:rsidR="00B33542" w:rsidRPr="005071A1" w:rsidRDefault="00B33542" w:rsidP="00B33542">
      <w:pPr>
        <w:pStyle w:val="paragraphsub"/>
      </w:pPr>
      <w:r w:rsidRPr="005071A1">
        <w:tab/>
      </w:r>
      <w:r w:rsidRPr="005071A1">
        <w:tab/>
        <w:t>to an amount equal to the sum of the amount that, but for this subparagraph, would be the amount of the transfer value and an amount of compound interest calculated thereon:</w:t>
      </w:r>
    </w:p>
    <w:p w14:paraId="79CA0A6B" w14:textId="77777777" w:rsidR="00B33542" w:rsidRPr="005071A1" w:rsidRDefault="00B33542" w:rsidP="00B33542">
      <w:pPr>
        <w:pStyle w:val="paragraphsub-sub"/>
      </w:pPr>
      <w:r w:rsidRPr="005071A1">
        <w:tab/>
        <w:t>(C)</w:t>
      </w:r>
      <w:r w:rsidRPr="005071A1">
        <w:tab/>
        <w:t>in respect of the period commencing on the day next following the day on which the person so ceased to be a contributor and ending on 30</w:t>
      </w:r>
      <w:r w:rsidR="008B2950" w:rsidRPr="005071A1">
        <w:t> </w:t>
      </w:r>
      <w:r w:rsidRPr="005071A1">
        <w:t>June 1976—at the rate of interest that is from time to time the prescribed rate of compound interest determined in accordance with section</w:t>
      </w:r>
      <w:r w:rsidR="008B2950" w:rsidRPr="005071A1">
        <w:t> </w:t>
      </w:r>
      <w:r w:rsidRPr="005071A1">
        <w:t>90 of this Act; and</w:t>
      </w:r>
    </w:p>
    <w:p w14:paraId="56FEB44A" w14:textId="77777777" w:rsidR="00B33542" w:rsidRPr="005071A1" w:rsidRDefault="00B33542" w:rsidP="00B33542">
      <w:pPr>
        <w:pStyle w:val="paragraphsub-sub"/>
      </w:pPr>
      <w:r w:rsidRPr="005071A1">
        <w:tab/>
        <w:t>(D)</w:t>
      </w:r>
      <w:r w:rsidRPr="005071A1">
        <w:tab/>
        <w:t>in respect of the period commencing on 1</w:t>
      </w:r>
      <w:r w:rsidR="008B2950" w:rsidRPr="005071A1">
        <w:t> </w:t>
      </w:r>
      <w:r w:rsidRPr="005071A1">
        <w:t xml:space="preserve">July 1976 and ending on the expiration of the period of 14 days after the day on which the Commissioner calculates that compound interest—at the rate at which interest is from time to time calculated in accordance with regulations made for the purposes of the definition of </w:t>
      </w:r>
      <w:r w:rsidRPr="005071A1">
        <w:rPr>
          <w:b/>
          <w:i/>
        </w:rPr>
        <w:t>accumulated basic contributions</w:t>
      </w:r>
      <w:r w:rsidRPr="005071A1">
        <w:t xml:space="preserve"> in </w:t>
      </w:r>
      <w:r w:rsidR="008B2950" w:rsidRPr="005071A1">
        <w:t>subsection (</w:t>
      </w:r>
      <w:r w:rsidRPr="005071A1">
        <w:t>1) of section</w:t>
      </w:r>
      <w:r w:rsidR="008B2950" w:rsidRPr="005071A1">
        <w:t> </w:t>
      </w:r>
      <w:r w:rsidRPr="005071A1">
        <w:t xml:space="preserve">3 of the </w:t>
      </w:r>
      <w:r w:rsidRPr="005071A1">
        <w:rPr>
          <w:i/>
        </w:rPr>
        <w:t>Superannuation Act 1976</w:t>
      </w:r>
      <w:r w:rsidRPr="005071A1">
        <w:t>; or</w:t>
      </w:r>
    </w:p>
    <w:p w14:paraId="045759D2" w14:textId="77777777" w:rsidR="00B33542" w:rsidRPr="005071A1" w:rsidRDefault="00B33542" w:rsidP="00B33542">
      <w:pPr>
        <w:pStyle w:val="paragraph"/>
      </w:pPr>
      <w:r w:rsidRPr="005071A1">
        <w:tab/>
        <w:t>(b)</w:t>
      </w:r>
      <w:r w:rsidRPr="005071A1">
        <w:tab/>
        <w:t xml:space="preserve">in the case of a person in respect of whom that transfer value has become payable because of an election under </w:t>
      </w:r>
      <w:r w:rsidR="004510F0">
        <w:t>section 1</w:t>
      </w:r>
      <w:r w:rsidRPr="005071A1">
        <w:t xml:space="preserve">19WC—to an amount equal to the sum of the amount that would be the amount of the transfer value payable in respect of that person if that transfer value had become payable in respect of the person because of the operation of </w:t>
      </w:r>
      <w:r w:rsidR="004510F0">
        <w:t>section 1</w:t>
      </w:r>
      <w:r w:rsidRPr="005071A1">
        <w:t xml:space="preserve">19V and had been determined under </w:t>
      </w:r>
      <w:r w:rsidR="008B2950" w:rsidRPr="005071A1">
        <w:lastRenderedPageBreak/>
        <w:t>subparagraph (</w:t>
      </w:r>
      <w:r w:rsidRPr="005071A1">
        <w:t>1)(a)(i) of this section and an amount of compound interest calculated thereon:</w:t>
      </w:r>
    </w:p>
    <w:p w14:paraId="261D8616" w14:textId="77777777" w:rsidR="00B33542" w:rsidRPr="005071A1" w:rsidRDefault="00B33542" w:rsidP="00B33542">
      <w:pPr>
        <w:pStyle w:val="paragraphsub"/>
      </w:pPr>
      <w:r w:rsidRPr="005071A1">
        <w:tab/>
        <w:t>(i)</w:t>
      </w:r>
      <w:r w:rsidRPr="005071A1">
        <w:tab/>
        <w:t>in respect of the period commencing on the day next following the day on which the person so ceased to be a contributor and ending on 30</w:t>
      </w:r>
      <w:r w:rsidR="008B2950" w:rsidRPr="005071A1">
        <w:t> </w:t>
      </w:r>
      <w:r w:rsidRPr="005071A1">
        <w:t>June 1976—at the rate of interest that is from time to time the prescribed rate of compound interest determined in accordance with section</w:t>
      </w:r>
      <w:r w:rsidR="008B2950" w:rsidRPr="005071A1">
        <w:t> </w:t>
      </w:r>
      <w:r w:rsidRPr="005071A1">
        <w:t>90 of this Act; and</w:t>
      </w:r>
    </w:p>
    <w:p w14:paraId="55ADC7B1" w14:textId="77777777" w:rsidR="00B33542" w:rsidRPr="005071A1" w:rsidRDefault="00B33542" w:rsidP="00B33542">
      <w:pPr>
        <w:pStyle w:val="paragraphsub"/>
      </w:pPr>
      <w:r w:rsidRPr="005071A1">
        <w:tab/>
        <w:t>(ii)</w:t>
      </w:r>
      <w:r w:rsidRPr="005071A1">
        <w:tab/>
        <w:t>in respect of the period commencing on 1</w:t>
      </w:r>
      <w:r w:rsidR="008B2950" w:rsidRPr="005071A1">
        <w:t> </w:t>
      </w:r>
      <w:r w:rsidRPr="005071A1">
        <w:t xml:space="preserve">July 1976 and ending on the expiration of the period of 14 days after the day on which the Commissioner calculates that compound interest—at the rate at which interest is from time to time calculated in accordance with regulations made for the purposes of the definition of </w:t>
      </w:r>
      <w:r w:rsidRPr="005071A1">
        <w:rPr>
          <w:b/>
          <w:i/>
        </w:rPr>
        <w:t>accumulated basic contributions</w:t>
      </w:r>
      <w:r w:rsidRPr="005071A1">
        <w:t xml:space="preserve"> in </w:t>
      </w:r>
      <w:r w:rsidR="008B2950" w:rsidRPr="005071A1">
        <w:t>subsection (</w:t>
      </w:r>
      <w:r w:rsidRPr="005071A1">
        <w:t>1) of section</w:t>
      </w:r>
      <w:r w:rsidR="008B2950" w:rsidRPr="005071A1">
        <w:t> </w:t>
      </w:r>
      <w:r w:rsidRPr="005071A1">
        <w:t xml:space="preserve">3 of the </w:t>
      </w:r>
      <w:r w:rsidRPr="005071A1">
        <w:rPr>
          <w:i/>
        </w:rPr>
        <w:t>Superannuation Act 1976</w:t>
      </w:r>
      <w:r w:rsidRPr="005071A1">
        <w:t>.</w:t>
      </w:r>
    </w:p>
    <w:p w14:paraId="06D2B901" w14:textId="77777777" w:rsidR="00B33542" w:rsidRPr="005071A1" w:rsidRDefault="00B33542" w:rsidP="00B33542">
      <w:pPr>
        <w:pStyle w:val="subsection"/>
      </w:pPr>
      <w:r w:rsidRPr="005071A1">
        <w:tab/>
        <w:t>(1A)</w:t>
      </w:r>
      <w:r w:rsidRPr="005071A1">
        <w:tab/>
        <w:t xml:space="preserve">If a payment was made under the </w:t>
      </w:r>
      <w:r w:rsidRPr="005071A1">
        <w:rPr>
          <w:i/>
        </w:rPr>
        <w:t>Superannuation (Distribution of Surplus) Act 1974</w:t>
      </w:r>
      <w:r w:rsidRPr="005071A1">
        <w:t xml:space="preserve">, or was or is made under </w:t>
      </w:r>
      <w:r w:rsidR="004510F0">
        <w:t>section 1</w:t>
      </w:r>
      <w:r w:rsidRPr="005071A1">
        <w:t xml:space="preserve">76 of the </w:t>
      </w:r>
      <w:r w:rsidRPr="005071A1">
        <w:rPr>
          <w:i/>
        </w:rPr>
        <w:t>Superannuation Act 1976</w:t>
      </w:r>
      <w:r w:rsidRPr="005071A1">
        <w:t xml:space="preserve">, to a person referred to in </w:t>
      </w:r>
      <w:r w:rsidR="008B2950" w:rsidRPr="005071A1">
        <w:t>subparagraph (</w:t>
      </w:r>
      <w:r w:rsidRPr="005071A1">
        <w:t xml:space="preserve">1)(a)(ii) or </w:t>
      </w:r>
      <w:r w:rsidR="008B2950" w:rsidRPr="005071A1">
        <w:t>paragraph (</w:t>
      </w:r>
      <w:r w:rsidRPr="005071A1">
        <w:t>1)(b), the amount of compound interest referred to in that subparagraph or that paragraph, as the case requires, shall be reduced by such amount as the Commissioner determines to be appropriate having regard to the amount of that payment and the time at which that payment was or is made.</w:t>
      </w:r>
    </w:p>
    <w:p w14:paraId="5D101DD3" w14:textId="77777777" w:rsidR="00B33542" w:rsidRPr="005071A1" w:rsidRDefault="00B33542" w:rsidP="00B33542">
      <w:pPr>
        <w:pStyle w:val="subsection"/>
      </w:pPr>
      <w:r w:rsidRPr="005071A1">
        <w:tab/>
        <w:t>(2)</w:t>
      </w:r>
      <w:r w:rsidRPr="005071A1">
        <w:tab/>
        <w:t>In furnishing advice to the Board in relation to the determination of the value of the rights of a person under this Act as at the time immediately before he ceased to be a contributor to the Fund or to the Provident Account, an actuary shall have regard to actuarial principles and practice and shall take into account all relevant matters, including:</w:t>
      </w:r>
    </w:p>
    <w:p w14:paraId="4E5505E9" w14:textId="77777777" w:rsidR="00B33542" w:rsidRPr="005071A1" w:rsidRDefault="00B33542" w:rsidP="00B33542">
      <w:pPr>
        <w:pStyle w:val="paragraph"/>
      </w:pPr>
      <w:r w:rsidRPr="005071A1">
        <w:tab/>
        <w:t>(a)</w:t>
      </w:r>
      <w:r w:rsidRPr="005071A1">
        <w:tab/>
        <w:t>the contributions to the Fund or to the Provident Account made by the person;</w:t>
      </w:r>
    </w:p>
    <w:p w14:paraId="2ED0A8D1" w14:textId="77777777" w:rsidR="00B33542" w:rsidRPr="005071A1" w:rsidRDefault="00B33542" w:rsidP="00B33542">
      <w:pPr>
        <w:pStyle w:val="paragraph"/>
      </w:pPr>
      <w:r w:rsidRPr="005071A1">
        <w:lastRenderedPageBreak/>
        <w:tab/>
        <w:t>(b)</w:t>
      </w:r>
      <w:r w:rsidRPr="005071A1">
        <w:tab/>
        <w:t>in the case of a person who was a contributor to the Fund, the payments to the Fund that would have been made by the Commonwealth if:</w:t>
      </w:r>
    </w:p>
    <w:p w14:paraId="15E9265B" w14:textId="77777777" w:rsidR="00B33542" w:rsidRPr="005071A1" w:rsidRDefault="00B33542" w:rsidP="00B33542">
      <w:pPr>
        <w:pStyle w:val="paragraphsub"/>
      </w:pPr>
      <w:r w:rsidRPr="005071A1">
        <w:tab/>
        <w:t>(i)</w:t>
      </w:r>
      <w:r w:rsidRPr="005071A1">
        <w:tab/>
        <w:t>on each occasion on which the person was required to pay an amount of contributions to the Fund in respect of units of pension (other than reserve units of pension), the Commonwealth had paid to the Fund an amount equal to two and one</w:t>
      </w:r>
      <w:r w:rsidR="004510F0">
        <w:noBreakHyphen/>
      </w:r>
      <w:r w:rsidRPr="005071A1">
        <w:t>half times the amount that the person was so required to pay; and</w:t>
      </w:r>
    </w:p>
    <w:p w14:paraId="2C712F07" w14:textId="77777777" w:rsidR="00B33542" w:rsidRPr="005071A1" w:rsidRDefault="00B33542" w:rsidP="00B33542">
      <w:pPr>
        <w:pStyle w:val="paragraphsub"/>
      </w:pPr>
      <w:r w:rsidRPr="005071A1">
        <w:tab/>
        <w:t>(ii)</w:t>
      </w:r>
      <w:r w:rsidRPr="005071A1">
        <w:tab/>
        <w:t>on each occasion on which the person would have been required to pay an amount of contributions to the Fund in respect of units of pension (if any) that were applicable in relation to him as non</w:t>
      </w:r>
      <w:r w:rsidR="004510F0">
        <w:noBreakHyphen/>
      </w:r>
      <w:r w:rsidRPr="005071A1">
        <w:t>contributory units of pension if he had been making contributions for those units of pension based upon a retiring age of sixty</w:t>
      </w:r>
      <w:r w:rsidR="004510F0">
        <w:noBreakHyphen/>
      </w:r>
      <w:r w:rsidRPr="005071A1">
        <w:t>five years, the Commonwealth had paid to the Fund an amount equal to two and one</w:t>
      </w:r>
      <w:r w:rsidR="004510F0">
        <w:noBreakHyphen/>
      </w:r>
      <w:r w:rsidRPr="005071A1">
        <w:t>half times the amount that the person would have been so required to pay;</w:t>
      </w:r>
    </w:p>
    <w:p w14:paraId="0D25DB57" w14:textId="77777777" w:rsidR="00B33542" w:rsidRPr="005071A1" w:rsidRDefault="00B33542" w:rsidP="00B33542">
      <w:pPr>
        <w:pStyle w:val="paragraph"/>
      </w:pPr>
      <w:r w:rsidRPr="005071A1">
        <w:tab/>
        <w:t>(c)</w:t>
      </w:r>
      <w:r w:rsidRPr="005071A1">
        <w:tab/>
        <w:t>in the case of a person who was a contributor to the Provident Account, the payments to the Provident Account that would have been made by the Commonwealth if, on each occasion on which the person was required to pay an amount of contributions to the Provident Account, the Commonwealth had paid to the Provident Account an amount equal to twice the amount that the person was so required to pay;</w:t>
      </w:r>
    </w:p>
    <w:p w14:paraId="005C4A23" w14:textId="77777777" w:rsidR="00B33542" w:rsidRPr="005071A1" w:rsidRDefault="00B33542" w:rsidP="00B33542">
      <w:pPr>
        <w:pStyle w:val="paragraph"/>
      </w:pPr>
      <w:r w:rsidRPr="005071A1">
        <w:tab/>
        <w:t>(ca)</w:t>
      </w:r>
      <w:r w:rsidRPr="005071A1">
        <w:tab/>
        <w:t xml:space="preserve">in the case of a person, being a prescribed employee within the meaning of </w:t>
      </w:r>
      <w:r w:rsidR="004510F0">
        <w:t>Division 3</w:t>
      </w:r>
      <w:r w:rsidRPr="005071A1">
        <w:t xml:space="preserve"> of Part VIA, who is a contributor to the Provident Account, the payment to the Provident Account that would have been made by the Commonwealth if, upon the payment by the employee to the Board under </w:t>
      </w:r>
      <w:r w:rsidR="008B2950" w:rsidRPr="005071A1">
        <w:t>subsection (</w:t>
      </w:r>
      <w:r w:rsidRPr="005071A1">
        <w:t xml:space="preserve">1) of </w:t>
      </w:r>
      <w:r w:rsidR="004510F0">
        <w:t>section 1</w:t>
      </w:r>
      <w:r w:rsidRPr="005071A1">
        <w:t xml:space="preserve">00L, the Commonwealth had paid to the Provident Account an amount ascertained by </w:t>
      </w:r>
      <w:r w:rsidRPr="005071A1">
        <w:lastRenderedPageBreak/>
        <w:t xml:space="preserve">multiplying the amount so paid by a factor 1 less than the factor applicable in relation to the employee in accordance with </w:t>
      </w:r>
      <w:r w:rsidR="008B2950" w:rsidRPr="005071A1">
        <w:t>subsection (</w:t>
      </w:r>
      <w:r w:rsidRPr="005071A1">
        <w:t>5) of that section;</w:t>
      </w:r>
    </w:p>
    <w:p w14:paraId="6F94D6A9" w14:textId="77777777" w:rsidR="00B33542" w:rsidRPr="005071A1" w:rsidRDefault="00B33542" w:rsidP="00B33542">
      <w:pPr>
        <w:pStyle w:val="paragraph"/>
      </w:pPr>
      <w:r w:rsidRPr="005071A1">
        <w:tab/>
        <w:t>(cb)</w:t>
      </w:r>
      <w:r w:rsidRPr="005071A1">
        <w:tab/>
        <w:t xml:space="preserve">in the case of a person, being a prescribed employee within the meaning of </w:t>
      </w:r>
      <w:r w:rsidR="004510F0">
        <w:t>Division 3</w:t>
      </w:r>
      <w:r w:rsidRPr="005071A1">
        <w:t xml:space="preserve"> of Part VIIA, who is a contributor to the Provident Account, the payment to the Provident Account that would have been made by the Commonwealth if, upon the Board paying to the Provident Account an amount in respect of the employee under </w:t>
      </w:r>
      <w:r w:rsidR="008B2950" w:rsidRPr="005071A1">
        <w:t>paragraph (</w:t>
      </w:r>
      <w:r w:rsidRPr="005071A1">
        <w:t xml:space="preserve">a) of </w:t>
      </w:r>
      <w:r w:rsidR="008B2950" w:rsidRPr="005071A1">
        <w:t>subsection (</w:t>
      </w:r>
      <w:r w:rsidRPr="005071A1">
        <w:t xml:space="preserve">4) of </w:t>
      </w:r>
      <w:r w:rsidR="004510F0">
        <w:t>section 1</w:t>
      </w:r>
      <w:r w:rsidRPr="005071A1">
        <w:t>07M, the Commonwealth had paid to the Provident Account:</w:t>
      </w:r>
    </w:p>
    <w:p w14:paraId="3BFC0935" w14:textId="77777777" w:rsidR="00B33542" w:rsidRPr="005071A1" w:rsidRDefault="00B33542" w:rsidP="00B33542">
      <w:pPr>
        <w:pStyle w:val="paragraphsub"/>
      </w:pPr>
      <w:r w:rsidRPr="005071A1">
        <w:tab/>
        <w:t>(i)</w:t>
      </w:r>
      <w:r w:rsidRPr="005071A1">
        <w:tab/>
        <w:t xml:space="preserve">if </w:t>
      </w:r>
      <w:r w:rsidR="008B2950" w:rsidRPr="005071A1">
        <w:t>subsection (</w:t>
      </w:r>
      <w:r w:rsidRPr="005071A1">
        <w:t xml:space="preserve">6) of that section applies in relation to the employee—an amount ascertained by multiplying the amount so paid by a factor 1 less than the factor applicable in accordance with </w:t>
      </w:r>
      <w:r w:rsidR="008B2950" w:rsidRPr="005071A1">
        <w:t>subsection (</w:t>
      </w:r>
      <w:r w:rsidRPr="005071A1">
        <w:t>6) of that section in relation to the employee; or</w:t>
      </w:r>
    </w:p>
    <w:p w14:paraId="4EFA0933" w14:textId="77777777" w:rsidR="00B33542" w:rsidRPr="005071A1" w:rsidRDefault="00B33542" w:rsidP="00B33542">
      <w:pPr>
        <w:pStyle w:val="paragraphsub"/>
      </w:pPr>
      <w:r w:rsidRPr="005071A1">
        <w:tab/>
        <w:t>(ii)</w:t>
      </w:r>
      <w:r w:rsidRPr="005071A1">
        <w:tab/>
        <w:t xml:space="preserve">if </w:t>
      </w:r>
      <w:r w:rsidR="008B2950" w:rsidRPr="005071A1">
        <w:t>subsection (</w:t>
      </w:r>
      <w:r w:rsidRPr="005071A1">
        <w:t xml:space="preserve">7) of that section applies in relation to the employee—in respect of each part of the amount so paid being a </w:t>
      </w:r>
      <w:r w:rsidR="00E872CC" w:rsidRPr="005071A1">
        <w:t>part i</w:t>
      </w:r>
      <w:r w:rsidRPr="005071A1">
        <w:t xml:space="preserve">n relation to which </w:t>
      </w:r>
      <w:r w:rsidR="008B2950" w:rsidRPr="005071A1">
        <w:t>paragraph (</w:t>
      </w:r>
      <w:r w:rsidRPr="005071A1">
        <w:t xml:space="preserve">c) of that subsection applies, an amount ascertained by multiplying the amount of that part by a factor 1 less than the factor applicable, for the purposes of </w:t>
      </w:r>
      <w:r w:rsidR="008B2950" w:rsidRPr="005071A1">
        <w:t>subsection (</w:t>
      </w:r>
      <w:r w:rsidRPr="005071A1">
        <w:t>5) of that section, in relation to that part;</w:t>
      </w:r>
    </w:p>
    <w:p w14:paraId="693FC649" w14:textId="77777777" w:rsidR="00B33542" w:rsidRPr="005071A1" w:rsidRDefault="00B33542" w:rsidP="00B33542">
      <w:pPr>
        <w:pStyle w:val="paragraph"/>
      </w:pPr>
      <w:r w:rsidRPr="005071A1">
        <w:tab/>
        <w:t>(d)</w:t>
      </w:r>
      <w:r w:rsidRPr="005071A1">
        <w:tab/>
        <w:t xml:space="preserve">any amount paid to the Board in accordance with </w:t>
      </w:r>
      <w:r w:rsidR="008B2950" w:rsidRPr="005071A1">
        <w:t>subsection (</w:t>
      </w:r>
      <w:r w:rsidRPr="005071A1">
        <w:t xml:space="preserve">1) of </w:t>
      </w:r>
      <w:r w:rsidR="004510F0">
        <w:t>section 1</w:t>
      </w:r>
      <w:r w:rsidRPr="005071A1">
        <w:t>19J in respect of the person;</w:t>
      </w:r>
    </w:p>
    <w:p w14:paraId="4EA6D9C7" w14:textId="77777777" w:rsidR="00B33542" w:rsidRPr="005071A1" w:rsidRDefault="00B33542" w:rsidP="00B33542">
      <w:pPr>
        <w:pStyle w:val="paragraph"/>
      </w:pPr>
      <w:r w:rsidRPr="005071A1">
        <w:tab/>
        <w:t>(e)</w:t>
      </w:r>
      <w:r w:rsidRPr="005071A1">
        <w:tab/>
        <w:t>in the case of a person who was a contributor to the Fund, the amount of the liability of the Fund in respect of the person from time to time during the period throughout which he was a contributor to the Fund, having regard, in addition to any other relevant matters, to:</w:t>
      </w:r>
    </w:p>
    <w:p w14:paraId="71FD7969" w14:textId="77777777" w:rsidR="00B33542" w:rsidRPr="005071A1" w:rsidRDefault="00B33542" w:rsidP="00B33542">
      <w:pPr>
        <w:pStyle w:val="paragraphsub"/>
      </w:pPr>
      <w:r w:rsidRPr="005071A1">
        <w:tab/>
        <w:t>(i)</w:t>
      </w:r>
      <w:r w:rsidRPr="005071A1">
        <w:tab/>
        <w:t>the age of the person at the date on which he became such a contributor;</w:t>
      </w:r>
    </w:p>
    <w:p w14:paraId="2427B459" w14:textId="77777777" w:rsidR="00B33542" w:rsidRPr="005071A1" w:rsidRDefault="00B33542" w:rsidP="00B33542">
      <w:pPr>
        <w:pStyle w:val="paragraphsub"/>
      </w:pPr>
      <w:r w:rsidRPr="005071A1">
        <w:tab/>
        <w:t>(ii)</w:t>
      </w:r>
      <w:r w:rsidRPr="005071A1">
        <w:tab/>
        <w:t>whether the person made an election under section</w:t>
      </w:r>
      <w:r w:rsidR="008B2950" w:rsidRPr="005071A1">
        <w:t> </w:t>
      </w:r>
      <w:r w:rsidRPr="005071A1">
        <w:t>24; and</w:t>
      </w:r>
    </w:p>
    <w:p w14:paraId="223E6FE8" w14:textId="77777777" w:rsidR="00B33542" w:rsidRPr="005071A1" w:rsidRDefault="00B33542" w:rsidP="00B33542">
      <w:pPr>
        <w:pStyle w:val="paragraphsub"/>
      </w:pPr>
      <w:r w:rsidRPr="005071A1">
        <w:lastRenderedPageBreak/>
        <w:tab/>
        <w:t>(iii)</w:t>
      </w:r>
      <w:r w:rsidRPr="005071A1">
        <w:tab/>
        <w:t>the respective rates of mortality, invalidity and withdrawal from the Fund that are assumed, for the purposes of the advice, to apply in relation to the class of contributors to the Fund in which the person was included;</w:t>
      </w:r>
    </w:p>
    <w:p w14:paraId="5057EC40" w14:textId="77777777" w:rsidR="00B33542" w:rsidRPr="005071A1" w:rsidRDefault="00B33542" w:rsidP="00B33542">
      <w:pPr>
        <w:pStyle w:val="paragraph"/>
      </w:pPr>
      <w:r w:rsidRPr="005071A1">
        <w:tab/>
        <w:t>(f)</w:t>
      </w:r>
      <w:r w:rsidRPr="005071A1">
        <w:tab/>
        <w:t>the rates of interest that it is assumed, for the purposes of the advice, have been earned by the assets of the Fund;</w:t>
      </w:r>
    </w:p>
    <w:p w14:paraId="580F2C57" w14:textId="77777777" w:rsidR="00B33542" w:rsidRPr="005071A1" w:rsidRDefault="00B33542" w:rsidP="00B33542">
      <w:pPr>
        <w:pStyle w:val="paragraph"/>
      </w:pPr>
      <w:r w:rsidRPr="005071A1">
        <w:tab/>
        <w:t>(g)</w:t>
      </w:r>
      <w:r w:rsidRPr="005071A1">
        <w:tab/>
        <w:t>the state and sufficiency of the Fund at the date on which the person ceased to be a contributor to the Fund or to the Provident Account; and</w:t>
      </w:r>
    </w:p>
    <w:p w14:paraId="5924DE52" w14:textId="77777777" w:rsidR="00B33542" w:rsidRPr="005071A1" w:rsidRDefault="00B33542" w:rsidP="00B33542">
      <w:pPr>
        <w:pStyle w:val="paragraph"/>
      </w:pPr>
      <w:r w:rsidRPr="005071A1">
        <w:tab/>
        <w:t>(h)</w:t>
      </w:r>
      <w:r w:rsidRPr="005071A1">
        <w:tab/>
        <w:t>the value of any benefit that, but for this Division, would be payable to or in respect of the person under this Act by reason of his having ceased to be a contributor to the Fund or to the Provident Account.</w:t>
      </w:r>
    </w:p>
    <w:p w14:paraId="7671CC06" w14:textId="77777777" w:rsidR="00B33542" w:rsidRPr="005071A1" w:rsidRDefault="00B33542" w:rsidP="00B33542">
      <w:pPr>
        <w:pStyle w:val="subsection"/>
      </w:pPr>
      <w:r w:rsidRPr="005071A1">
        <w:tab/>
        <w:t>(3)</w:t>
      </w:r>
      <w:r w:rsidRPr="005071A1">
        <w:tab/>
        <w:t>A transfer value payable in accordance with this Division to or in respect of a person is payable:</w:t>
      </w:r>
    </w:p>
    <w:p w14:paraId="06ACF307" w14:textId="77777777" w:rsidR="00B33542" w:rsidRPr="005071A1" w:rsidRDefault="00B33542" w:rsidP="00B33542">
      <w:pPr>
        <w:pStyle w:val="paragraph"/>
      </w:pPr>
      <w:r w:rsidRPr="005071A1">
        <w:tab/>
        <w:t>(a)</w:t>
      </w:r>
      <w:r w:rsidRPr="005071A1">
        <w:tab/>
        <w:t>in the case of a person who was a contributor to the Fund—out of the Fund; and</w:t>
      </w:r>
    </w:p>
    <w:p w14:paraId="33F3F5F0" w14:textId="77777777" w:rsidR="00B33542" w:rsidRPr="005071A1" w:rsidRDefault="00B33542" w:rsidP="00B33542">
      <w:pPr>
        <w:pStyle w:val="paragraph"/>
      </w:pPr>
      <w:r w:rsidRPr="005071A1">
        <w:tab/>
        <w:t>(b)</w:t>
      </w:r>
      <w:r w:rsidRPr="005071A1">
        <w:tab/>
        <w:t>in the case of a person who was a contributor to the Provident Account—out of the Provident Account.</w:t>
      </w:r>
    </w:p>
    <w:p w14:paraId="312EB9FA" w14:textId="77777777" w:rsidR="00B33542" w:rsidRPr="005071A1" w:rsidRDefault="00B33542" w:rsidP="00B33542">
      <w:pPr>
        <w:pStyle w:val="subsection"/>
      </w:pPr>
      <w:r w:rsidRPr="005071A1">
        <w:tab/>
        <w:t>(4)</w:t>
      </w:r>
      <w:r w:rsidRPr="005071A1">
        <w:tab/>
        <w:t>Where a transfer value becomes payable in accordance with this Division to or in respect of a person who has ceased to be a contributor to the Fund and to whom section</w:t>
      </w:r>
      <w:r w:rsidR="008B2950" w:rsidRPr="005071A1">
        <w:t> </w:t>
      </w:r>
      <w:r w:rsidRPr="005071A1">
        <w:t>35A of this Act applied, and:</w:t>
      </w:r>
    </w:p>
    <w:p w14:paraId="68A171BA" w14:textId="77777777" w:rsidR="00B33542" w:rsidRPr="005071A1" w:rsidRDefault="00B33542" w:rsidP="00B33542">
      <w:pPr>
        <w:pStyle w:val="paragraph"/>
      </w:pPr>
      <w:r w:rsidRPr="005071A1">
        <w:tab/>
        <w:t>(a)</w:t>
      </w:r>
      <w:r w:rsidRPr="005071A1">
        <w:tab/>
        <w:t xml:space="preserve">at the time when he ceased to be a contributor to the Fund, he had not ceased to be a member as defined by </w:t>
      </w:r>
      <w:r w:rsidR="008B2950" w:rsidRPr="005071A1">
        <w:t>subsection (</w:t>
      </w:r>
      <w:r w:rsidRPr="005071A1">
        <w:t>1) of section</w:t>
      </w:r>
      <w:r w:rsidR="008B2950" w:rsidRPr="005071A1">
        <w:t> </w:t>
      </w:r>
      <w:r w:rsidRPr="005071A1">
        <w:t xml:space="preserve">4 of the </w:t>
      </w:r>
      <w:r w:rsidRPr="005071A1">
        <w:rPr>
          <w:i/>
        </w:rPr>
        <w:t>Defence Forces Retirement Benefits Act 1948</w:t>
      </w:r>
      <w:r w:rsidR="004510F0">
        <w:rPr>
          <w:i/>
        </w:rPr>
        <w:noBreakHyphen/>
      </w:r>
      <w:r w:rsidRPr="005071A1">
        <w:rPr>
          <w:i/>
        </w:rPr>
        <w:t xml:space="preserve">1971 </w:t>
      </w:r>
      <w:r w:rsidRPr="005071A1">
        <w:t>or had not ceased to be an eligible member of the Defence Force as defined by section</w:t>
      </w:r>
      <w:r w:rsidR="008B2950" w:rsidRPr="005071A1">
        <w:t> </w:t>
      </w:r>
      <w:r w:rsidRPr="005071A1">
        <w:t xml:space="preserve">3 of the </w:t>
      </w:r>
      <w:r w:rsidRPr="005071A1">
        <w:rPr>
          <w:i/>
        </w:rPr>
        <w:t>Defence Force Retirement and Death Benefits Act 1973</w:t>
      </w:r>
      <w:r w:rsidRPr="005071A1">
        <w:t>; or</w:t>
      </w:r>
    </w:p>
    <w:p w14:paraId="1494D878" w14:textId="77777777" w:rsidR="00B33542" w:rsidRPr="005071A1" w:rsidRDefault="00B33542" w:rsidP="00B33542">
      <w:pPr>
        <w:pStyle w:val="paragraph"/>
        <w:keepNext/>
      </w:pPr>
      <w:r w:rsidRPr="005071A1">
        <w:lastRenderedPageBreak/>
        <w:tab/>
        <w:t>(b)</w:t>
      </w:r>
      <w:r w:rsidRPr="005071A1">
        <w:tab/>
        <w:t xml:space="preserve">at the time when the transfer value becomes payable, a transfer value also becomes payable in respect of him under </w:t>
      </w:r>
      <w:r w:rsidR="004510F0">
        <w:t>Division 3</w:t>
      </w:r>
      <w:r w:rsidRPr="005071A1">
        <w:t xml:space="preserve"> of Part VIC of that Act or under </w:t>
      </w:r>
      <w:r w:rsidR="004510F0">
        <w:t>Division 3</w:t>
      </w:r>
      <w:r w:rsidRPr="005071A1">
        <w:t xml:space="preserve"> of Part IX of the </w:t>
      </w:r>
      <w:r w:rsidRPr="005071A1">
        <w:rPr>
          <w:i/>
        </w:rPr>
        <w:t>Defence Force Retirement and Death Benefits Act 1973</w:t>
      </w:r>
      <w:r w:rsidRPr="005071A1">
        <w:t>;</w:t>
      </w:r>
    </w:p>
    <w:p w14:paraId="2D413CA6" w14:textId="77777777" w:rsidR="00B33542" w:rsidRPr="005071A1" w:rsidRDefault="00B33542" w:rsidP="00B33542">
      <w:pPr>
        <w:pStyle w:val="subsection2"/>
      </w:pPr>
      <w:r w:rsidRPr="005071A1">
        <w:t>then, any period during which his liability to make contributions to the Fund was deferred under section</w:t>
      </w:r>
      <w:r w:rsidR="008B2950" w:rsidRPr="005071A1">
        <w:t> </w:t>
      </w:r>
      <w:r w:rsidRPr="005071A1">
        <w:t>35A of this Act shall be disregarded in determining the first</w:t>
      </w:r>
      <w:r w:rsidR="004510F0">
        <w:noBreakHyphen/>
      </w:r>
      <w:r w:rsidRPr="005071A1">
        <w:t>mentioned transfer value and he is not required or permitted to pay the amount of the deferred contributions to the Fund.</w:t>
      </w:r>
    </w:p>
    <w:p w14:paraId="3AC089F7" w14:textId="77777777" w:rsidR="00B33542" w:rsidRPr="005071A1" w:rsidRDefault="00B33542" w:rsidP="00B33542">
      <w:pPr>
        <w:pStyle w:val="ActHead5"/>
      </w:pPr>
      <w:bookmarkStart w:id="225" w:name="_Toc185577607"/>
      <w:r w:rsidRPr="004510F0">
        <w:rPr>
          <w:rStyle w:val="CharSectno"/>
        </w:rPr>
        <w:t>119T</w:t>
      </w:r>
      <w:r w:rsidRPr="005071A1">
        <w:t xml:space="preserve">  Deferred benefits</w:t>
      </w:r>
      <w:bookmarkEnd w:id="225"/>
    </w:p>
    <w:p w14:paraId="0779A485" w14:textId="77777777" w:rsidR="00B33542" w:rsidRPr="005071A1" w:rsidRDefault="00B33542" w:rsidP="00B33542">
      <w:pPr>
        <w:pStyle w:val="subsection"/>
      </w:pPr>
      <w:r w:rsidRPr="005071A1">
        <w:tab/>
        <w:t>(1)</w:t>
      </w:r>
      <w:r w:rsidRPr="005071A1">
        <w:tab/>
        <w:t xml:space="preserve">The deferred benefits applicable under this Division in respect of a person who has ceased to be a contributor to the Fund or to the Provident Account shall, subject to this Division, be benefits of the same nature, and payable in the same circumstances, on the same conditions and, upon his death, to the same persons (if any), as the benefits that would have been payable to or in respect of the person under this Act if he had not ceased to be such a contributor and had not made the election by virtue of which the deferred benefits became applicable and </w:t>
      </w:r>
      <w:r w:rsidR="008B2950" w:rsidRPr="005071A1">
        <w:t>subsection (</w:t>
      </w:r>
      <w:r w:rsidRPr="005071A1">
        <w:t>2) of section</w:t>
      </w:r>
      <w:r w:rsidR="008B2950" w:rsidRPr="005071A1">
        <w:t> </w:t>
      </w:r>
      <w:r w:rsidRPr="005071A1">
        <w:t xml:space="preserve">37, </w:t>
      </w:r>
      <w:r w:rsidR="008B2950" w:rsidRPr="005071A1">
        <w:t>subsection (</w:t>
      </w:r>
      <w:r w:rsidRPr="005071A1">
        <w:t>3) of section</w:t>
      </w:r>
      <w:r w:rsidR="008B2950" w:rsidRPr="005071A1">
        <w:t> </w:t>
      </w:r>
      <w:r w:rsidRPr="005071A1">
        <w:t xml:space="preserve">38, </w:t>
      </w:r>
      <w:r w:rsidR="008B2950" w:rsidRPr="005071A1">
        <w:t>subsection (</w:t>
      </w:r>
      <w:r w:rsidRPr="005071A1">
        <w:t>2) of section</w:t>
      </w:r>
      <w:r w:rsidR="008B2950" w:rsidRPr="005071A1">
        <w:t> </w:t>
      </w:r>
      <w:r w:rsidRPr="005071A1">
        <w:t xml:space="preserve">43, </w:t>
      </w:r>
      <w:r w:rsidR="008B2950" w:rsidRPr="005071A1">
        <w:t>subsection (</w:t>
      </w:r>
      <w:r w:rsidRPr="005071A1">
        <w:t>2) of section</w:t>
      </w:r>
      <w:r w:rsidR="008B2950" w:rsidRPr="005071A1">
        <w:t> </w:t>
      </w:r>
      <w:r w:rsidRPr="005071A1">
        <w:t xml:space="preserve">43A, </w:t>
      </w:r>
      <w:r w:rsidR="008B2950" w:rsidRPr="005071A1">
        <w:t>subsection (</w:t>
      </w:r>
      <w:r w:rsidRPr="005071A1">
        <w:t>4) of section</w:t>
      </w:r>
      <w:r w:rsidR="008B2950" w:rsidRPr="005071A1">
        <w:t> </w:t>
      </w:r>
      <w:r w:rsidRPr="005071A1">
        <w:t xml:space="preserve">45, </w:t>
      </w:r>
      <w:r w:rsidR="008B2950" w:rsidRPr="005071A1">
        <w:t>subsection (</w:t>
      </w:r>
      <w:r w:rsidRPr="005071A1">
        <w:t>7) of section</w:t>
      </w:r>
      <w:r w:rsidR="008B2950" w:rsidRPr="005071A1">
        <w:t> </w:t>
      </w:r>
      <w:r w:rsidRPr="005071A1">
        <w:t xml:space="preserve">46, </w:t>
      </w:r>
      <w:r w:rsidR="008B2950" w:rsidRPr="005071A1">
        <w:t>subsection (</w:t>
      </w:r>
      <w:r w:rsidRPr="005071A1">
        <w:t>5) of section</w:t>
      </w:r>
      <w:r w:rsidR="008B2950" w:rsidRPr="005071A1">
        <w:t> </w:t>
      </w:r>
      <w:r w:rsidRPr="005071A1">
        <w:t xml:space="preserve">48, </w:t>
      </w:r>
      <w:r w:rsidR="008B2950" w:rsidRPr="005071A1">
        <w:t>subsection (</w:t>
      </w:r>
      <w:r w:rsidRPr="005071A1">
        <w:t>2) of section</w:t>
      </w:r>
      <w:r w:rsidR="008B2950" w:rsidRPr="005071A1">
        <w:t> </w:t>
      </w:r>
      <w:r w:rsidRPr="005071A1">
        <w:t xml:space="preserve">49, </w:t>
      </w:r>
      <w:r w:rsidR="008B2950" w:rsidRPr="005071A1">
        <w:t>subsection (</w:t>
      </w:r>
      <w:r w:rsidRPr="005071A1">
        <w:t>2) of section</w:t>
      </w:r>
      <w:r w:rsidR="008B2950" w:rsidRPr="005071A1">
        <w:t> </w:t>
      </w:r>
      <w:r w:rsidRPr="005071A1">
        <w:t xml:space="preserve">51, </w:t>
      </w:r>
      <w:r w:rsidR="008B2950" w:rsidRPr="005071A1">
        <w:t>subsection (</w:t>
      </w:r>
      <w:r w:rsidRPr="005071A1">
        <w:t>6) of section</w:t>
      </w:r>
      <w:r w:rsidR="008B2950" w:rsidRPr="005071A1">
        <w:t> </w:t>
      </w:r>
      <w:r w:rsidRPr="005071A1">
        <w:t xml:space="preserve">82, </w:t>
      </w:r>
      <w:r w:rsidR="008B2950" w:rsidRPr="005071A1">
        <w:t>subsection (</w:t>
      </w:r>
      <w:r w:rsidRPr="005071A1">
        <w:t>4) of section</w:t>
      </w:r>
      <w:r w:rsidR="008B2950" w:rsidRPr="005071A1">
        <w:t> </w:t>
      </w:r>
      <w:r w:rsidRPr="005071A1">
        <w:t xml:space="preserve">83, </w:t>
      </w:r>
      <w:r w:rsidR="008B2950" w:rsidRPr="005071A1">
        <w:t>subsection (</w:t>
      </w:r>
      <w:r w:rsidRPr="005071A1">
        <w:t>3) of section</w:t>
      </w:r>
      <w:r w:rsidR="008B2950" w:rsidRPr="005071A1">
        <w:t> </w:t>
      </w:r>
      <w:r w:rsidRPr="005071A1">
        <w:t xml:space="preserve">83A, </w:t>
      </w:r>
      <w:r w:rsidR="008B2950" w:rsidRPr="005071A1">
        <w:t>subsection (</w:t>
      </w:r>
      <w:r w:rsidRPr="005071A1">
        <w:t>2) of section</w:t>
      </w:r>
      <w:r w:rsidR="008B2950" w:rsidRPr="005071A1">
        <w:t> </w:t>
      </w:r>
      <w:r w:rsidRPr="005071A1">
        <w:t xml:space="preserve">84 and </w:t>
      </w:r>
      <w:r w:rsidR="008B2950" w:rsidRPr="005071A1">
        <w:t>subsection (</w:t>
      </w:r>
      <w:r w:rsidRPr="005071A1">
        <w:t>2) of section</w:t>
      </w:r>
      <w:r w:rsidR="008B2950" w:rsidRPr="005071A1">
        <w:t> </w:t>
      </w:r>
      <w:r w:rsidRPr="005071A1">
        <w:t>85 had not been enacted.</w:t>
      </w:r>
    </w:p>
    <w:p w14:paraId="60A94959" w14:textId="77777777" w:rsidR="00B33542" w:rsidRPr="005071A1" w:rsidRDefault="00B33542" w:rsidP="00B33542">
      <w:pPr>
        <w:pStyle w:val="subsection"/>
      </w:pPr>
      <w:r w:rsidRPr="005071A1">
        <w:tab/>
        <w:t>(2)</w:t>
      </w:r>
      <w:r w:rsidRPr="005071A1">
        <w:tab/>
        <w:t>Deferred benefits applicable in respect of a person are payable:</w:t>
      </w:r>
    </w:p>
    <w:p w14:paraId="596FBCAA" w14:textId="77777777" w:rsidR="00B33542" w:rsidRPr="005071A1" w:rsidRDefault="00B33542" w:rsidP="00B33542">
      <w:pPr>
        <w:pStyle w:val="paragraph"/>
      </w:pPr>
      <w:r w:rsidRPr="005071A1">
        <w:tab/>
        <w:t>(a)</w:t>
      </w:r>
      <w:r w:rsidRPr="005071A1">
        <w:tab/>
        <w:t>in the case of a person who was a contributor to the Fund—out of the Fund; and</w:t>
      </w:r>
    </w:p>
    <w:p w14:paraId="2EA59DBA" w14:textId="77777777" w:rsidR="00B33542" w:rsidRPr="005071A1" w:rsidRDefault="00B33542" w:rsidP="00B33542">
      <w:pPr>
        <w:pStyle w:val="paragraph"/>
      </w:pPr>
      <w:r w:rsidRPr="005071A1">
        <w:tab/>
        <w:t>(b)</w:t>
      </w:r>
      <w:r w:rsidRPr="005071A1">
        <w:tab/>
        <w:t xml:space="preserve">in the case of a person who was a contributor to the Provident Account—out of the Provident Account or, where the </w:t>
      </w:r>
      <w:r w:rsidRPr="005071A1">
        <w:lastRenderedPageBreak/>
        <w:t>benefits are payable on or after 1</w:t>
      </w:r>
      <w:r w:rsidR="008B2950" w:rsidRPr="005071A1">
        <w:t> </w:t>
      </w:r>
      <w:r w:rsidRPr="005071A1">
        <w:t>July 1976—out of the Consolidated Revenue Fund, which is appropriated accordingly.</w:t>
      </w:r>
    </w:p>
    <w:p w14:paraId="22A0A57D" w14:textId="77777777" w:rsidR="00B33542" w:rsidRPr="005071A1" w:rsidRDefault="00B33542" w:rsidP="00B33542">
      <w:pPr>
        <w:pStyle w:val="subsection"/>
      </w:pPr>
      <w:r w:rsidRPr="005071A1">
        <w:tab/>
        <w:t>(3)</w:t>
      </w:r>
      <w:r w:rsidRPr="005071A1">
        <w:tab/>
        <w:t xml:space="preserve">Subject to </w:t>
      </w:r>
      <w:r w:rsidR="008B2950" w:rsidRPr="005071A1">
        <w:t>subsections (</w:t>
      </w:r>
      <w:r w:rsidRPr="005071A1">
        <w:t>5) and (6), the amount of any pension or lump sum constituting or forming part of any deferred benefits shall be as determined by the Board.</w:t>
      </w:r>
    </w:p>
    <w:p w14:paraId="07F979BD" w14:textId="77777777" w:rsidR="00B33542" w:rsidRPr="005071A1" w:rsidRDefault="00B33542" w:rsidP="00B33542">
      <w:pPr>
        <w:pStyle w:val="subsection"/>
      </w:pPr>
      <w:r w:rsidRPr="005071A1">
        <w:tab/>
        <w:t>(4)</w:t>
      </w:r>
      <w:r w:rsidRPr="005071A1">
        <w:tab/>
        <w:t>In furnishing advice to the Board in relation to the determination of the amount of a pension or lump sum constituting or forming part of any deferred benefits applicable in respect of a person, an actuary shall have regard to actuarial principles and practice and shall take into account all relevant matters, including:</w:t>
      </w:r>
    </w:p>
    <w:p w14:paraId="08C00C86" w14:textId="77777777" w:rsidR="00B33542" w:rsidRPr="005071A1" w:rsidRDefault="00B33542" w:rsidP="00B33542">
      <w:pPr>
        <w:pStyle w:val="paragraph"/>
      </w:pPr>
      <w:r w:rsidRPr="005071A1">
        <w:tab/>
        <w:t>(a)</w:t>
      </w:r>
      <w:r w:rsidRPr="005071A1">
        <w:tab/>
        <w:t xml:space="preserve">the matters that he would be required to take into account by virtue of </w:t>
      </w:r>
      <w:r w:rsidR="008B2950" w:rsidRPr="005071A1">
        <w:t>subsection (</w:t>
      </w:r>
      <w:r w:rsidRPr="005071A1">
        <w:t xml:space="preserve">2) of </w:t>
      </w:r>
      <w:r w:rsidR="004510F0">
        <w:t>section 1</w:t>
      </w:r>
      <w:r w:rsidRPr="005071A1">
        <w:t>19 if he were furnishing advice to the Board in relation to a determination of the value of the rights of the person under this Act as at the time immediately before he ceased to be a contributor to the Fund or to the Provident Account;</w:t>
      </w:r>
    </w:p>
    <w:p w14:paraId="4AAD2162" w14:textId="77777777" w:rsidR="00B33542" w:rsidRPr="005071A1" w:rsidRDefault="00B33542" w:rsidP="00B33542">
      <w:pPr>
        <w:pStyle w:val="paragraph"/>
      </w:pPr>
      <w:r w:rsidRPr="005071A1">
        <w:tab/>
        <w:t>(b)</w:t>
      </w:r>
      <w:r w:rsidRPr="005071A1">
        <w:tab/>
        <w:t>the circumstances in which, and the conditions on which, the pension or lump sum would be payable;</w:t>
      </w:r>
    </w:p>
    <w:p w14:paraId="6EE688FC" w14:textId="77777777" w:rsidR="00B33542" w:rsidRPr="005071A1" w:rsidRDefault="00B33542" w:rsidP="00B33542">
      <w:pPr>
        <w:pStyle w:val="paragraph"/>
      </w:pPr>
      <w:r w:rsidRPr="005071A1">
        <w:tab/>
        <w:t>(c)</w:t>
      </w:r>
      <w:r w:rsidRPr="005071A1">
        <w:tab/>
        <w:t>the circumstances in which the deferred benefits would cease to be applicable in respect of the person and the amount of any benefit that would be payable to or in respect of the person in the event of the occurrence of those circumstances;</w:t>
      </w:r>
    </w:p>
    <w:p w14:paraId="1D222A54" w14:textId="77777777" w:rsidR="00B33542" w:rsidRPr="005071A1" w:rsidRDefault="00B33542" w:rsidP="00B33542">
      <w:pPr>
        <w:pStyle w:val="paragraph"/>
      </w:pPr>
      <w:r w:rsidRPr="005071A1">
        <w:tab/>
        <w:t>(d)</w:t>
      </w:r>
      <w:r w:rsidRPr="005071A1">
        <w:tab/>
        <w:t>the respective rates of mortality and invalidity that are assumed, for the purposes of the advice, to apply in relation to the person; and</w:t>
      </w:r>
    </w:p>
    <w:p w14:paraId="42BE98E1" w14:textId="77777777" w:rsidR="00B33542" w:rsidRPr="005071A1" w:rsidRDefault="00B33542" w:rsidP="00B33542">
      <w:pPr>
        <w:pStyle w:val="paragraph"/>
      </w:pPr>
      <w:r w:rsidRPr="005071A1">
        <w:tab/>
        <w:t>(e)</w:t>
      </w:r>
      <w:r w:rsidRPr="005071A1">
        <w:tab/>
        <w:t>the rates of interest that it is assumed, for the purposes of the advice, will be earned by the assets of the Fund.</w:t>
      </w:r>
    </w:p>
    <w:p w14:paraId="24FBCAB4" w14:textId="77777777" w:rsidR="00B33542" w:rsidRPr="005071A1" w:rsidRDefault="00B33542" w:rsidP="00B33542">
      <w:pPr>
        <w:pStyle w:val="subsection"/>
      </w:pPr>
      <w:r w:rsidRPr="005071A1">
        <w:tab/>
        <w:t>(5)</w:t>
      </w:r>
      <w:r w:rsidRPr="005071A1">
        <w:tab/>
        <w:t>Where a deferred benefit by way of a pension that is applicable in respect of a person who has made an election under section</w:t>
      </w:r>
      <w:r w:rsidR="008B2950" w:rsidRPr="005071A1">
        <w:t> </w:t>
      </w:r>
      <w:r w:rsidRPr="005071A1">
        <w:t xml:space="preserve">24 </w:t>
      </w:r>
      <w:r w:rsidRPr="005071A1">
        <w:lastRenderedPageBreak/>
        <w:t>becomes payable not earlier than one month after the person attains the age of sixty years, so much of the pension as is attributable to units of pension the contributions for which were at a rate based on a maximum age for retirement of sixty years shall be increased by the amount by which it would have been increased under section</w:t>
      </w:r>
      <w:r w:rsidR="008B2950" w:rsidRPr="005071A1">
        <w:t> </w:t>
      </w:r>
      <w:r w:rsidRPr="005071A1">
        <w:t>44 if the pension had been payable under the provisions of this Act other than this Part.</w:t>
      </w:r>
    </w:p>
    <w:p w14:paraId="6A9C227F" w14:textId="77777777" w:rsidR="00B33542" w:rsidRPr="005071A1" w:rsidRDefault="00B33542" w:rsidP="00B33542">
      <w:pPr>
        <w:pStyle w:val="subsection"/>
      </w:pPr>
      <w:r w:rsidRPr="005071A1">
        <w:tab/>
        <w:t>(6)</w:t>
      </w:r>
      <w:r w:rsidRPr="005071A1">
        <w:tab/>
        <w:t xml:space="preserve">Where, by reason of the giving of a notice by a person under </w:t>
      </w:r>
      <w:r w:rsidR="008B2950" w:rsidRPr="005071A1">
        <w:t>paragraph (</w:t>
      </w:r>
      <w:r w:rsidRPr="005071A1">
        <w:t xml:space="preserve">c) of </w:t>
      </w:r>
      <w:r w:rsidR="008B2950" w:rsidRPr="005071A1">
        <w:t>subsection (</w:t>
      </w:r>
      <w:r w:rsidRPr="005071A1">
        <w:t xml:space="preserve">2) of </w:t>
      </w:r>
      <w:r w:rsidR="004510F0">
        <w:t>section 1</w:t>
      </w:r>
      <w:r w:rsidRPr="005071A1">
        <w:t>19W, a deferred benefit by way of a pension becomes payable to the person after he attains the age of sixty years but before he attains the age of sixty</w:t>
      </w:r>
      <w:r w:rsidR="004510F0">
        <w:noBreakHyphen/>
      </w:r>
      <w:r w:rsidRPr="005071A1">
        <w:t>five years:</w:t>
      </w:r>
    </w:p>
    <w:p w14:paraId="02E44A71" w14:textId="77777777" w:rsidR="00B33542" w:rsidRPr="005071A1" w:rsidRDefault="00B33542" w:rsidP="00B33542">
      <w:pPr>
        <w:pStyle w:val="paragraph"/>
      </w:pPr>
      <w:r w:rsidRPr="005071A1">
        <w:tab/>
        <w:t>(a)</w:t>
      </w:r>
      <w:r w:rsidRPr="005071A1">
        <w:tab/>
        <w:t>if the person is not a person to whom such a pension had previously been paid by reason of the Board having been satisfied that he had ceased to engage in employment by reason of invalidity or of physical or mental incapacity to perform the duties of his employment and is a person who had, before the deferred benefit became payable, elected to receive, in lieu of the pension that would otherwise constitute the benefit, a refund of his contributions—the benefit shall consist of such a refund; or</w:t>
      </w:r>
    </w:p>
    <w:p w14:paraId="0B087E89" w14:textId="77777777" w:rsidR="00B33542" w:rsidRPr="005071A1" w:rsidRDefault="00B33542" w:rsidP="00B33542">
      <w:pPr>
        <w:pStyle w:val="paragraph"/>
      </w:pPr>
      <w:r w:rsidRPr="005071A1">
        <w:tab/>
        <w:t>(b)</w:t>
      </w:r>
      <w:r w:rsidRPr="005071A1">
        <w:tab/>
        <w:t>in any other case:</w:t>
      </w:r>
    </w:p>
    <w:p w14:paraId="5FEB0B10" w14:textId="77777777" w:rsidR="00B33542" w:rsidRPr="005071A1" w:rsidRDefault="00B33542" w:rsidP="00B33542">
      <w:pPr>
        <w:pStyle w:val="paragraphsub"/>
      </w:pPr>
      <w:r w:rsidRPr="005071A1">
        <w:tab/>
        <w:t>(i)</w:t>
      </w:r>
      <w:r w:rsidRPr="005071A1">
        <w:tab/>
        <w:t xml:space="preserve">subject to </w:t>
      </w:r>
      <w:r w:rsidR="008B2950" w:rsidRPr="005071A1">
        <w:t>subparagraph (</w:t>
      </w:r>
      <w:r w:rsidRPr="005071A1">
        <w:t>ii), the amount of the pension, to the extent (if any) to which it is attributable to units of pension the contributions for which were at a rate based upon a maximum age for retirement of sixty</w:t>
      </w:r>
      <w:r w:rsidR="004510F0">
        <w:noBreakHyphen/>
      </w:r>
      <w:r w:rsidRPr="005071A1">
        <w:t>five years and to non</w:t>
      </w:r>
      <w:r w:rsidR="004510F0">
        <w:noBreakHyphen/>
      </w:r>
      <w:r w:rsidRPr="005071A1">
        <w:t>contributory units of pension, shall be reduced by such amount as the Board determines; or</w:t>
      </w:r>
    </w:p>
    <w:p w14:paraId="5714459C" w14:textId="77777777" w:rsidR="00B33542" w:rsidRPr="005071A1" w:rsidRDefault="00B33542" w:rsidP="00B33542">
      <w:pPr>
        <w:pStyle w:val="paragraphsub"/>
      </w:pPr>
      <w:r w:rsidRPr="005071A1">
        <w:tab/>
        <w:t>(ii)</w:t>
      </w:r>
      <w:r w:rsidRPr="005071A1">
        <w:tab/>
        <w:t>he may contribute to the Fund (or, on or after 1</w:t>
      </w:r>
      <w:r w:rsidR="008B2950" w:rsidRPr="005071A1">
        <w:t> </w:t>
      </w:r>
      <w:r w:rsidRPr="005071A1">
        <w:t xml:space="preserve">July 1976, to the Commonwealth) in a lump sum, or in such smaller sums and at such times as the Board approves, such amount as the Board considers necessary to enable payment to him, in respect of so much of the pension as is attributable to units of pension contributions for </w:t>
      </w:r>
      <w:r w:rsidRPr="005071A1">
        <w:lastRenderedPageBreak/>
        <w:t>which were at a rate based upon a maximum age for retirement of sixty</w:t>
      </w:r>
      <w:r w:rsidR="004510F0">
        <w:noBreakHyphen/>
      </w:r>
      <w:r w:rsidRPr="005071A1">
        <w:t>five years and to non</w:t>
      </w:r>
      <w:r w:rsidR="004510F0">
        <w:noBreakHyphen/>
      </w:r>
      <w:r w:rsidRPr="005071A1">
        <w:t>contributory units of pension, of the pension that would have been paid to him if he had attained such later age (not exceeding the age of sixty</w:t>
      </w:r>
      <w:r w:rsidR="004510F0">
        <w:noBreakHyphen/>
      </w:r>
      <w:r w:rsidRPr="005071A1">
        <w:t>five years) as the Board approves.</w:t>
      </w:r>
    </w:p>
    <w:p w14:paraId="3FBF564D" w14:textId="77777777" w:rsidR="00B33542" w:rsidRPr="005071A1" w:rsidRDefault="00B33542" w:rsidP="00B33542">
      <w:pPr>
        <w:pStyle w:val="subsection"/>
      </w:pPr>
      <w:r w:rsidRPr="005071A1">
        <w:tab/>
        <w:t>(7)</w:t>
      </w:r>
      <w:r w:rsidRPr="005071A1">
        <w:tab/>
        <w:t>Amounts equal to amounts contributed, before 1</w:t>
      </w:r>
      <w:r w:rsidR="008B2950" w:rsidRPr="005071A1">
        <w:t> </w:t>
      </w:r>
      <w:r w:rsidRPr="005071A1">
        <w:t xml:space="preserve">July 1976, under </w:t>
      </w:r>
      <w:r w:rsidR="008B2950" w:rsidRPr="005071A1">
        <w:t>subparagraph (</w:t>
      </w:r>
      <w:r w:rsidRPr="005071A1">
        <w:t xml:space="preserve">ii) of </w:t>
      </w:r>
      <w:r w:rsidR="008B2950" w:rsidRPr="005071A1">
        <w:t>paragraph (</w:t>
      </w:r>
      <w:r w:rsidRPr="005071A1">
        <w:t xml:space="preserve">b) of </w:t>
      </w:r>
      <w:r w:rsidR="008B2950" w:rsidRPr="005071A1">
        <w:t>subsection (</w:t>
      </w:r>
      <w:r w:rsidRPr="005071A1">
        <w:t>6) in respect of so much of a pension as is attributable to non</w:t>
      </w:r>
      <w:r w:rsidR="004510F0">
        <w:noBreakHyphen/>
      </w:r>
      <w:r w:rsidRPr="005071A1">
        <w:t>contributory units of pension are payable to the Commonwealth out of the Fund.</w:t>
      </w:r>
    </w:p>
    <w:p w14:paraId="2A5E9FA4" w14:textId="77777777" w:rsidR="00B33542" w:rsidRPr="005071A1" w:rsidRDefault="00B33542" w:rsidP="00B33542">
      <w:pPr>
        <w:pStyle w:val="subsection"/>
      </w:pPr>
      <w:r w:rsidRPr="005071A1">
        <w:tab/>
        <w:t>(8)</w:t>
      </w:r>
      <w:r w:rsidRPr="005071A1">
        <w:tab/>
        <w:t>Where a deferred benefit becomes applicable in accordance with this Division in respect of a person who has ceased to be a contributor to the Fund and to whom section</w:t>
      </w:r>
      <w:r w:rsidR="008B2950" w:rsidRPr="005071A1">
        <w:t> </w:t>
      </w:r>
      <w:r w:rsidRPr="005071A1">
        <w:t>35A of this Act applied, and:</w:t>
      </w:r>
    </w:p>
    <w:p w14:paraId="0B1F1DFD" w14:textId="77777777" w:rsidR="00B33542" w:rsidRPr="005071A1" w:rsidRDefault="00B33542" w:rsidP="00B33542">
      <w:pPr>
        <w:pStyle w:val="paragraph"/>
      </w:pPr>
      <w:r w:rsidRPr="005071A1">
        <w:tab/>
        <w:t>(a)</w:t>
      </w:r>
      <w:r w:rsidRPr="005071A1">
        <w:tab/>
        <w:t xml:space="preserve">at the time when he ceased to be a contributor to the Fund he had not ceased to be a member as defined by </w:t>
      </w:r>
      <w:r w:rsidR="008B2950" w:rsidRPr="005071A1">
        <w:t>subsection (</w:t>
      </w:r>
      <w:r w:rsidRPr="005071A1">
        <w:t>1) of section</w:t>
      </w:r>
      <w:r w:rsidR="008B2950" w:rsidRPr="005071A1">
        <w:t> </w:t>
      </w:r>
      <w:r w:rsidRPr="005071A1">
        <w:t xml:space="preserve">4 of the </w:t>
      </w:r>
      <w:r w:rsidRPr="005071A1">
        <w:rPr>
          <w:i/>
        </w:rPr>
        <w:t>Defence Forces Retirement Benefits Act 1948</w:t>
      </w:r>
      <w:r w:rsidR="004510F0">
        <w:rPr>
          <w:i/>
        </w:rPr>
        <w:noBreakHyphen/>
      </w:r>
      <w:r w:rsidRPr="005071A1">
        <w:rPr>
          <w:i/>
        </w:rPr>
        <w:t xml:space="preserve">1971 </w:t>
      </w:r>
      <w:r w:rsidRPr="005071A1">
        <w:t>or had not ceased to be an eligible member of the Defence Force as defined by section</w:t>
      </w:r>
      <w:r w:rsidR="008B2950" w:rsidRPr="005071A1">
        <w:t> </w:t>
      </w:r>
      <w:r w:rsidRPr="005071A1">
        <w:t xml:space="preserve">3 of the </w:t>
      </w:r>
      <w:r w:rsidRPr="005071A1">
        <w:rPr>
          <w:i/>
        </w:rPr>
        <w:t>Defence Force Retirement and Death Benefits Act 1973</w:t>
      </w:r>
      <w:r w:rsidRPr="005071A1">
        <w:t>; or</w:t>
      </w:r>
    </w:p>
    <w:p w14:paraId="43CE2A5B" w14:textId="77777777" w:rsidR="00B33542" w:rsidRPr="005071A1" w:rsidRDefault="00B33542" w:rsidP="000828EA">
      <w:pPr>
        <w:pStyle w:val="paragraph"/>
      </w:pPr>
      <w:r w:rsidRPr="005071A1">
        <w:tab/>
        <w:t>(b)</w:t>
      </w:r>
      <w:r w:rsidRPr="005071A1">
        <w:tab/>
        <w:t>at the time when the deferred benefit becomes applicable, a deferred benefit also becomes applicable in respect of him under whichever of those Acts is applicable;</w:t>
      </w:r>
    </w:p>
    <w:p w14:paraId="573BCEC8" w14:textId="77777777" w:rsidR="00B33542" w:rsidRPr="005071A1" w:rsidRDefault="00B33542" w:rsidP="00B33542">
      <w:pPr>
        <w:pStyle w:val="subsection2"/>
      </w:pPr>
      <w:r w:rsidRPr="005071A1">
        <w:t>then, any period during which his liability to make contributions to the Fund was deferred under section</w:t>
      </w:r>
      <w:r w:rsidR="008B2950" w:rsidRPr="005071A1">
        <w:t> </w:t>
      </w:r>
      <w:r w:rsidRPr="005071A1">
        <w:t>35A of this Act shall be disregarded in determining the amount of the first</w:t>
      </w:r>
      <w:r w:rsidR="004510F0">
        <w:noBreakHyphen/>
      </w:r>
      <w:r w:rsidRPr="005071A1">
        <w:t>mentioned deferred benefit and he is not required or permitted to pay the amount of the deferred contributions to the Fund.</w:t>
      </w:r>
    </w:p>
    <w:p w14:paraId="2C78B3D0" w14:textId="77777777" w:rsidR="00B33542" w:rsidRPr="005071A1" w:rsidRDefault="00B33542" w:rsidP="00B33542">
      <w:pPr>
        <w:pStyle w:val="ActHead5"/>
      </w:pPr>
      <w:bookmarkStart w:id="226" w:name="_Toc185577608"/>
      <w:r w:rsidRPr="004510F0">
        <w:rPr>
          <w:rStyle w:val="CharSectno"/>
        </w:rPr>
        <w:lastRenderedPageBreak/>
        <w:t>119U</w:t>
      </w:r>
      <w:r w:rsidRPr="005071A1">
        <w:t xml:space="preserve">  Election that Division apply</w:t>
      </w:r>
      <w:bookmarkEnd w:id="226"/>
    </w:p>
    <w:p w14:paraId="2D96EE48" w14:textId="77777777" w:rsidR="00B33542" w:rsidRPr="005071A1" w:rsidRDefault="00B33542" w:rsidP="00B33542">
      <w:pPr>
        <w:pStyle w:val="subsection"/>
      </w:pPr>
      <w:r w:rsidRPr="005071A1">
        <w:tab/>
        <w:t>(1)</w:t>
      </w:r>
      <w:r w:rsidRPr="005071A1">
        <w:tab/>
        <w:t>Subject to this section, where, after the commencement of this section:</w:t>
      </w:r>
    </w:p>
    <w:p w14:paraId="12401115" w14:textId="77777777" w:rsidR="00B33542" w:rsidRPr="005071A1" w:rsidRDefault="00B33542" w:rsidP="00B33542">
      <w:pPr>
        <w:pStyle w:val="paragraph"/>
      </w:pPr>
      <w:r w:rsidRPr="005071A1">
        <w:tab/>
        <w:t>(a)</w:t>
      </w:r>
      <w:r w:rsidRPr="005071A1">
        <w:tab/>
        <w:t>a contributor to the Fund who has not attained the age of sixty years ceases to be such a contributor by reason of his resignation or discharge; or</w:t>
      </w:r>
    </w:p>
    <w:p w14:paraId="3EDC0CB3" w14:textId="77777777" w:rsidR="00B33542" w:rsidRPr="005071A1" w:rsidRDefault="00B33542" w:rsidP="00B33542">
      <w:pPr>
        <w:pStyle w:val="paragraph"/>
      </w:pPr>
      <w:r w:rsidRPr="005071A1">
        <w:tab/>
        <w:t>(b)</w:t>
      </w:r>
      <w:r w:rsidRPr="005071A1">
        <w:tab/>
        <w:t>a contributor to the Provident Account ceases to be such a contributor:</w:t>
      </w:r>
    </w:p>
    <w:p w14:paraId="1AE0001A" w14:textId="77777777" w:rsidR="00B33542" w:rsidRPr="005071A1" w:rsidRDefault="00B33542" w:rsidP="00B33542">
      <w:pPr>
        <w:pStyle w:val="paragraphsub"/>
      </w:pPr>
      <w:r w:rsidRPr="005071A1">
        <w:tab/>
        <w:t>(i)</w:t>
      </w:r>
      <w:r w:rsidRPr="005071A1">
        <w:tab/>
        <w:t>by reason of his resignation or discharge before he attains the age of sixty years; or</w:t>
      </w:r>
    </w:p>
    <w:p w14:paraId="1E70AD74" w14:textId="77777777" w:rsidR="00B33542" w:rsidRPr="005071A1" w:rsidRDefault="00B33542" w:rsidP="006B7F7B">
      <w:pPr>
        <w:pStyle w:val="paragraphsub"/>
      </w:pPr>
      <w:r w:rsidRPr="005071A1">
        <w:tab/>
        <w:t>(ii)</w:t>
      </w:r>
      <w:r w:rsidRPr="005071A1">
        <w:tab/>
        <w:t>by reason of his being allowed by the Board to contribute to the Fund under Part III;</w:t>
      </w:r>
    </w:p>
    <w:p w14:paraId="63BB03F8" w14:textId="77777777" w:rsidR="00B33542" w:rsidRPr="005071A1" w:rsidRDefault="00B33542" w:rsidP="00B33542">
      <w:pPr>
        <w:pStyle w:val="subsection2"/>
      </w:pPr>
      <w:r w:rsidRPr="005071A1">
        <w:t>he may, within twenty</w:t>
      </w:r>
      <w:r w:rsidR="004510F0">
        <w:noBreakHyphen/>
      </w:r>
      <w:r w:rsidRPr="005071A1">
        <w:t>one days after he ceases to be such a contributor, elect that this Division shall apply in relation to him.</w:t>
      </w:r>
    </w:p>
    <w:p w14:paraId="18943037" w14:textId="77777777" w:rsidR="00B33542" w:rsidRPr="005071A1" w:rsidRDefault="00B33542" w:rsidP="00B33542">
      <w:pPr>
        <w:pStyle w:val="subsection"/>
      </w:pPr>
      <w:r w:rsidRPr="005071A1">
        <w:tab/>
        <w:t>(2)</w:t>
      </w:r>
      <w:r w:rsidRPr="005071A1">
        <w:tab/>
        <w:t>The Board may, if it is satisfied that there are special circumstances that justify it in so doing, extend the period for the making of an election under the last preceding subsection.</w:t>
      </w:r>
    </w:p>
    <w:p w14:paraId="080A6FC5" w14:textId="77777777" w:rsidR="00B33542" w:rsidRPr="005071A1" w:rsidRDefault="00B33542" w:rsidP="00B33542">
      <w:pPr>
        <w:pStyle w:val="subsection"/>
      </w:pPr>
      <w:r w:rsidRPr="005071A1">
        <w:tab/>
        <w:t>(3)</w:t>
      </w:r>
      <w:r w:rsidRPr="005071A1">
        <w:tab/>
        <w:t>If a person makes an election for the purposes of this section within one month before he ceases to be a contributor to the Fund or to the Provident Account, the election has effect as if it had been made on the day after he ceased to be such a contributor.</w:t>
      </w:r>
    </w:p>
    <w:p w14:paraId="136E9E7A" w14:textId="77777777" w:rsidR="00B33542" w:rsidRPr="005071A1" w:rsidRDefault="00B33542" w:rsidP="00B33542">
      <w:pPr>
        <w:pStyle w:val="subsection"/>
      </w:pPr>
      <w:r w:rsidRPr="005071A1">
        <w:tab/>
        <w:t>(4)</w:t>
      </w:r>
      <w:r w:rsidRPr="005071A1">
        <w:tab/>
        <w:t xml:space="preserve">Subject to </w:t>
      </w:r>
      <w:r w:rsidR="008B2950" w:rsidRPr="005071A1">
        <w:t>subsection (</w:t>
      </w:r>
      <w:r w:rsidRPr="005071A1">
        <w:t xml:space="preserve">5), an election under this section (other than an election that the person became entitled to make by reason of the operation of </w:t>
      </w:r>
      <w:r w:rsidR="008B2950" w:rsidRPr="005071A1">
        <w:t>subparagraph (</w:t>
      </w:r>
      <w:r w:rsidRPr="005071A1">
        <w:t xml:space="preserve">ii) of </w:t>
      </w:r>
      <w:r w:rsidR="008B2950" w:rsidRPr="005071A1">
        <w:t>paragraph (</w:t>
      </w:r>
      <w:r w:rsidRPr="005071A1">
        <w:t xml:space="preserve">b) of </w:t>
      </w:r>
      <w:r w:rsidR="008B2950" w:rsidRPr="005071A1">
        <w:t>subsection (</w:t>
      </w:r>
      <w:r w:rsidRPr="005071A1">
        <w:t>1)) is of no effect unless the person who made the election gives notice in writing to the Board within twenty</w:t>
      </w:r>
      <w:r w:rsidR="004510F0">
        <w:noBreakHyphen/>
      </w:r>
      <w:r w:rsidRPr="005071A1">
        <w:t>one days, or within such longer period as the Board allows, after the expiration of the period that is the prescribed period in relation to him:</w:t>
      </w:r>
    </w:p>
    <w:p w14:paraId="15C273DB" w14:textId="77777777" w:rsidR="00B33542" w:rsidRPr="005071A1" w:rsidRDefault="00B33542" w:rsidP="00B33542">
      <w:pPr>
        <w:pStyle w:val="paragraph"/>
      </w:pPr>
      <w:r w:rsidRPr="005071A1">
        <w:lastRenderedPageBreak/>
        <w:tab/>
        <w:t>(a)</w:t>
      </w:r>
      <w:r w:rsidRPr="005071A1">
        <w:tab/>
        <w:t>stating whether he was employed at the expiration of that prescribed period and, if so, the name and address of his employer; and</w:t>
      </w:r>
    </w:p>
    <w:p w14:paraId="5FE3619D" w14:textId="77777777" w:rsidR="00B33542" w:rsidRPr="005071A1" w:rsidRDefault="00B33542" w:rsidP="00B33542">
      <w:pPr>
        <w:pStyle w:val="paragraph"/>
      </w:pPr>
      <w:r w:rsidRPr="005071A1">
        <w:tab/>
        <w:t>(b)</w:t>
      </w:r>
      <w:r w:rsidRPr="005071A1">
        <w:tab/>
        <w:t>stating whether he was at the expiration of that prescribed period a member of a superannuation scheme applicable in relation to that employment and, if so, specifying the scheme concerned.</w:t>
      </w:r>
    </w:p>
    <w:p w14:paraId="3124A1B2" w14:textId="77777777" w:rsidR="00B33542" w:rsidRPr="005071A1" w:rsidRDefault="00B33542" w:rsidP="00B33542">
      <w:pPr>
        <w:pStyle w:val="subsection"/>
      </w:pPr>
      <w:r w:rsidRPr="005071A1">
        <w:tab/>
        <w:t>(5)</w:t>
      </w:r>
      <w:r w:rsidRPr="005071A1">
        <w:tab/>
      </w:r>
      <w:r w:rsidR="008B2950" w:rsidRPr="005071A1">
        <w:t>Subsection (</w:t>
      </w:r>
      <w:r w:rsidRPr="005071A1">
        <w:t>4) does not apply if the person who made the election dies before the expiration of the period for the giving of a notice by him under that subsection and without having given such a notice.</w:t>
      </w:r>
    </w:p>
    <w:p w14:paraId="655C0573" w14:textId="77777777" w:rsidR="00B33542" w:rsidRPr="005071A1" w:rsidRDefault="00B33542" w:rsidP="00B33542">
      <w:pPr>
        <w:pStyle w:val="subsection"/>
      </w:pPr>
      <w:r w:rsidRPr="005071A1">
        <w:tab/>
        <w:t>(6)</w:t>
      </w:r>
      <w:r w:rsidRPr="005071A1">
        <w:tab/>
        <w:t xml:space="preserve">Where a person who is entitled to make an election under this section dies within the period referred to in </w:t>
      </w:r>
      <w:r w:rsidR="008B2950" w:rsidRPr="005071A1">
        <w:t>subsection (</w:t>
      </w:r>
      <w:r w:rsidRPr="005071A1">
        <w:t xml:space="preserve">1) or within any period for which that period has been extended under </w:t>
      </w:r>
      <w:r w:rsidR="008B2950" w:rsidRPr="005071A1">
        <w:t>subsection (</w:t>
      </w:r>
      <w:r w:rsidRPr="005071A1">
        <w:t>2) without making such an election:</w:t>
      </w:r>
    </w:p>
    <w:p w14:paraId="1649FA2D" w14:textId="77777777" w:rsidR="00B33542" w:rsidRPr="005071A1" w:rsidRDefault="00B33542" w:rsidP="00B33542">
      <w:pPr>
        <w:pStyle w:val="paragraph"/>
      </w:pPr>
      <w:r w:rsidRPr="005071A1">
        <w:tab/>
        <w:t>(a)</w:t>
      </w:r>
      <w:r w:rsidRPr="005071A1">
        <w:tab/>
        <w:t>if the person leaves a widow or widower—the widow or widower may make such an election within twenty</w:t>
      </w:r>
      <w:r w:rsidR="004510F0">
        <w:noBreakHyphen/>
      </w:r>
      <w:r w:rsidRPr="005071A1">
        <w:t>one days after the date of the death of the person; or</w:t>
      </w:r>
    </w:p>
    <w:p w14:paraId="2F0F4B51" w14:textId="77777777" w:rsidR="00B33542" w:rsidRPr="005071A1" w:rsidRDefault="00B33542" w:rsidP="00B33542">
      <w:pPr>
        <w:pStyle w:val="paragraph"/>
      </w:pPr>
      <w:r w:rsidRPr="005071A1">
        <w:tab/>
        <w:t>(b)</w:t>
      </w:r>
      <w:r w:rsidRPr="005071A1">
        <w:tab/>
        <w:t xml:space="preserve">if the person does not leave a widow or widower, or the widow or widower dies within the period referred to in </w:t>
      </w:r>
      <w:r w:rsidR="008B2950" w:rsidRPr="005071A1">
        <w:t>paragraph (</w:t>
      </w:r>
      <w:r w:rsidRPr="005071A1">
        <w:t>a) without making such an election, but there is an eligible child of the person or an eligible child of the widow or widower—such an election may be made within that period by such person as the Board permits;</w:t>
      </w:r>
    </w:p>
    <w:p w14:paraId="78C93A63" w14:textId="77777777" w:rsidR="00B33542" w:rsidRPr="005071A1" w:rsidRDefault="00B33542" w:rsidP="00B33542">
      <w:pPr>
        <w:pStyle w:val="subsection2"/>
      </w:pPr>
      <w:r w:rsidRPr="005071A1">
        <w:t>and, in that case, this Act has effect as if the election had been made by the first</w:t>
      </w:r>
      <w:r w:rsidR="004510F0">
        <w:noBreakHyphen/>
      </w:r>
      <w:r w:rsidRPr="005071A1">
        <w:t xml:space="preserve">mentioned person but </w:t>
      </w:r>
      <w:r w:rsidR="008B2950" w:rsidRPr="005071A1">
        <w:t>subsection (</w:t>
      </w:r>
      <w:r w:rsidRPr="005071A1">
        <w:t>4) does not apply.</w:t>
      </w:r>
    </w:p>
    <w:p w14:paraId="5AD1F19B" w14:textId="77777777" w:rsidR="00B33542" w:rsidRPr="005071A1" w:rsidRDefault="00B33542" w:rsidP="00B33542">
      <w:pPr>
        <w:pStyle w:val="subsection"/>
      </w:pPr>
      <w:r w:rsidRPr="005071A1">
        <w:tab/>
        <w:t>(7)</w:t>
      </w:r>
      <w:r w:rsidRPr="005071A1">
        <w:tab/>
        <w:t xml:space="preserve">The Board may, if it is satisfied that there are special circumstances that justify it in so doing, extend the period referred to in </w:t>
      </w:r>
      <w:r w:rsidR="008B2950" w:rsidRPr="005071A1">
        <w:t>paragraph (</w:t>
      </w:r>
      <w:r w:rsidRPr="005071A1">
        <w:t xml:space="preserve">a) or </w:t>
      </w:r>
      <w:r w:rsidR="008B2950" w:rsidRPr="005071A1">
        <w:t>paragraph (</w:t>
      </w:r>
      <w:r w:rsidRPr="005071A1">
        <w:t xml:space="preserve">b) of </w:t>
      </w:r>
      <w:r w:rsidR="008B2950" w:rsidRPr="005071A1">
        <w:t>subsection (</w:t>
      </w:r>
      <w:r w:rsidRPr="005071A1">
        <w:t>6).</w:t>
      </w:r>
    </w:p>
    <w:p w14:paraId="432EBB13" w14:textId="77777777" w:rsidR="00B33542" w:rsidRPr="005071A1" w:rsidRDefault="00B33542" w:rsidP="00B33542">
      <w:pPr>
        <w:pStyle w:val="subsection"/>
      </w:pPr>
      <w:r w:rsidRPr="005071A1">
        <w:lastRenderedPageBreak/>
        <w:tab/>
        <w:t>(8)</w:t>
      </w:r>
      <w:r w:rsidRPr="005071A1">
        <w:tab/>
        <w:t>A reference in this section to the widower of a deceased person is a reference to a widower who, in the opinion of the Board, was wholly or substantially dependent upon the deceased person immediately before her death.</w:t>
      </w:r>
    </w:p>
    <w:p w14:paraId="72CB93BA" w14:textId="77777777" w:rsidR="00B33542" w:rsidRPr="005071A1" w:rsidRDefault="00B33542" w:rsidP="00B33542">
      <w:pPr>
        <w:pStyle w:val="ActHead5"/>
      </w:pPr>
      <w:bookmarkStart w:id="227" w:name="_Toc185577609"/>
      <w:r w:rsidRPr="004510F0">
        <w:rPr>
          <w:rStyle w:val="CharSectno"/>
        </w:rPr>
        <w:t>119V</w:t>
      </w:r>
      <w:r w:rsidRPr="005071A1">
        <w:t xml:space="preserve">  Circumstances in which transfer value payable</w:t>
      </w:r>
      <w:bookmarkEnd w:id="227"/>
    </w:p>
    <w:p w14:paraId="06EF3FE2" w14:textId="77777777" w:rsidR="00B33542" w:rsidRPr="005071A1" w:rsidRDefault="00B33542" w:rsidP="00B33542">
      <w:pPr>
        <w:pStyle w:val="subsection"/>
      </w:pPr>
      <w:r w:rsidRPr="005071A1">
        <w:tab/>
        <w:t>(1)</w:t>
      </w:r>
      <w:r w:rsidRPr="005071A1">
        <w:tab/>
        <w:t>Subject to this Division, where:</w:t>
      </w:r>
    </w:p>
    <w:p w14:paraId="23727794" w14:textId="77777777" w:rsidR="00B33542" w:rsidRPr="005071A1" w:rsidRDefault="00B33542" w:rsidP="00B33542">
      <w:pPr>
        <w:pStyle w:val="paragraph"/>
      </w:pPr>
      <w:r w:rsidRPr="005071A1">
        <w:tab/>
        <w:t>(a)</w:t>
      </w:r>
      <w:r w:rsidRPr="005071A1">
        <w:tab/>
        <w:t xml:space="preserve">a person makes an election under </w:t>
      </w:r>
      <w:r w:rsidR="004510F0">
        <w:t>section 1</w:t>
      </w:r>
      <w:r w:rsidRPr="005071A1">
        <w:t>19U; and</w:t>
      </w:r>
    </w:p>
    <w:p w14:paraId="79621E43" w14:textId="77777777" w:rsidR="00B33542" w:rsidRPr="005071A1" w:rsidRDefault="00B33542" w:rsidP="00B33542">
      <w:pPr>
        <w:pStyle w:val="paragraph"/>
      </w:pPr>
      <w:r w:rsidRPr="005071A1">
        <w:tab/>
        <w:t>(b)</w:t>
      </w:r>
      <w:r w:rsidRPr="005071A1">
        <w:tab/>
        <w:t>within the period that is the prescribed period in relation to him, he:</w:t>
      </w:r>
    </w:p>
    <w:p w14:paraId="442FE4B4" w14:textId="77777777" w:rsidR="00B33542" w:rsidRPr="005071A1" w:rsidRDefault="00B33542" w:rsidP="00B33542">
      <w:pPr>
        <w:pStyle w:val="paragraphsub"/>
      </w:pPr>
      <w:r w:rsidRPr="005071A1">
        <w:tab/>
        <w:t>(i)</w:t>
      </w:r>
      <w:r w:rsidRPr="005071A1">
        <w:tab/>
        <w:t>becomes employed in public employment; and</w:t>
      </w:r>
    </w:p>
    <w:p w14:paraId="7C65AAAC" w14:textId="77777777" w:rsidR="00B33542" w:rsidRPr="005071A1" w:rsidRDefault="00B33542" w:rsidP="00B33542">
      <w:pPr>
        <w:pStyle w:val="paragraphsub"/>
        <w:keepNext/>
      </w:pPr>
      <w:r w:rsidRPr="005071A1">
        <w:tab/>
        <w:t>(ii)</w:t>
      </w:r>
      <w:r w:rsidRPr="005071A1">
        <w:tab/>
        <w:t>becomes a member of an eligible superannuation scheme that is applicable in relation to persons employed in that employment;</w:t>
      </w:r>
    </w:p>
    <w:p w14:paraId="63518E28" w14:textId="77777777" w:rsidR="00B33542" w:rsidRPr="005071A1" w:rsidRDefault="00B33542" w:rsidP="00B33542">
      <w:pPr>
        <w:pStyle w:val="subsection2"/>
      </w:pPr>
      <w:r w:rsidRPr="005071A1">
        <w:t>a transfer value in respect of the person is payable to the person administering that scheme.</w:t>
      </w:r>
    </w:p>
    <w:p w14:paraId="4AC7702B" w14:textId="77777777" w:rsidR="00B33542" w:rsidRPr="005071A1" w:rsidRDefault="00B33542" w:rsidP="00B33542">
      <w:pPr>
        <w:pStyle w:val="subsection"/>
      </w:pPr>
      <w:r w:rsidRPr="005071A1">
        <w:tab/>
        <w:t>(2)</w:t>
      </w:r>
      <w:r w:rsidRPr="005071A1">
        <w:tab/>
        <w:t xml:space="preserve">Where the person who made the election is a person who ceased to be a contributor to the Provident Account by reason of his having been allowed by the Board to contribute to the Fund under Part III, the transfer value referred to in </w:t>
      </w:r>
      <w:r w:rsidR="008B2950" w:rsidRPr="005071A1">
        <w:t>subsection (</w:t>
      </w:r>
      <w:r w:rsidRPr="005071A1">
        <w:t>1) is payable to the Fund.</w:t>
      </w:r>
    </w:p>
    <w:p w14:paraId="60270114" w14:textId="77777777" w:rsidR="00B33542" w:rsidRPr="005071A1" w:rsidRDefault="00B33542" w:rsidP="00B33542">
      <w:pPr>
        <w:pStyle w:val="subsection"/>
      </w:pPr>
      <w:r w:rsidRPr="005071A1">
        <w:tab/>
        <w:t>(3)</w:t>
      </w:r>
      <w:r w:rsidRPr="005071A1">
        <w:tab/>
      </w:r>
      <w:r w:rsidR="008B2950" w:rsidRPr="005071A1">
        <w:t>Subsection (</w:t>
      </w:r>
      <w:r w:rsidRPr="005071A1">
        <w:t>1) does not apply in relation to a person unless the person administering the superannuation scheme agrees to accept the transfer value and, under the rules of the scheme, the first</w:t>
      </w:r>
      <w:r w:rsidR="004510F0">
        <w:noBreakHyphen/>
      </w:r>
      <w:r w:rsidRPr="005071A1">
        <w:t>mentioned person will become entitled to retirement benefits under the scheme based upon the transfer value.</w:t>
      </w:r>
    </w:p>
    <w:p w14:paraId="536145D7" w14:textId="77777777" w:rsidR="00B33542" w:rsidRPr="005071A1" w:rsidRDefault="00B33542" w:rsidP="00B33542">
      <w:pPr>
        <w:pStyle w:val="ActHead5"/>
      </w:pPr>
      <w:bookmarkStart w:id="228" w:name="_Toc185577610"/>
      <w:r w:rsidRPr="004510F0">
        <w:rPr>
          <w:rStyle w:val="CharSectno"/>
        </w:rPr>
        <w:t>119W</w:t>
      </w:r>
      <w:r w:rsidRPr="005071A1">
        <w:t xml:space="preserve">  Circumstances in which person entitled to deferred benefits</w:t>
      </w:r>
      <w:bookmarkEnd w:id="228"/>
    </w:p>
    <w:p w14:paraId="55C12052" w14:textId="77777777" w:rsidR="00B33542" w:rsidRPr="005071A1" w:rsidRDefault="00B33542" w:rsidP="00B33542">
      <w:pPr>
        <w:pStyle w:val="subsection"/>
      </w:pPr>
      <w:r w:rsidRPr="005071A1">
        <w:tab/>
        <w:t>(1)</w:t>
      </w:r>
      <w:r w:rsidRPr="005071A1">
        <w:tab/>
        <w:t xml:space="preserve">Where a person makes an election under </w:t>
      </w:r>
      <w:r w:rsidR="004510F0">
        <w:t>section 1</w:t>
      </w:r>
      <w:r w:rsidRPr="005071A1">
        <w:t>19U and:</w:t>
      </w:r>
    </w:p>
    <w:p w14:paraId="6D01D41C" w14:textId="77777777" w:rsidR="00B33542" w:rsidRPr="005071A1" w:rsidRDefault="00B33542" w:rsidP="00B33542">
      <w:pPr>
        <w:pStyle w:val="paragraph"/>
      </w:pPr>
      <w:r w:rsidRPr="005071A1">
        <w:tab/>
        <w:t>(a)</w:t>
      </w:r>
      <w:r w:rsidRPr="005071A1">
        <w:tab/>
        <w:t xml:space="preserve">he becomes employed in public employment within the period that is the prescribed period in relation to him but a </w:t>
      </w:r>
      <w:r w:rsidRPr="005071A1">
        <w:lastRenderedPageBreak/>
        <w:t xml:space="preserve">transfer value is not payable in respect of him under </w:t>
      </w:r>
      <w:r w:rsidR="004510F0">
        <w:t>section 1</w:t>
      </w:r>
      <w:r w:rsidRPr="005071A1">
        <w:t>19V; or</w:t>
      </w:r>
    </w:p>
    <w:p w14:paraId="7A332CB5" w14:textId="77777777" w:rsidR="00B33542" w:rsidRPr="005071A1" w:rsidRDefault="00B33542" w:rsidP="00B33542">
      <w:pPr>
        <w:pStyle w:val="paragraph"/>
        <w:keepNext/>
      </w:pPr>
      <w:r w:rsidRPr="005071A1">
        <w:tab/>
        <w:t>(b)</w:t>
      </w:r>
      <w:r w:rsidRPr="005071A1">
        <w:tab/>
        <w:t>he does not become employed in public employment within that period but at the time when he ceased to be a contributor to the Fund or to the Provident Account he had completed twenty years’ eligible employment;</w:t>
      </w:r>
    </w:p>
    <w:p w14:paraId="18470362" w14:textId="77777777" w:rsidR="00B33542" w:rsidRPr="005071A1" w:rsidRDefault="00B33542" w:rsidP="00B33542">
      <w:pPr>
        <w:pStyle w:val="subsection2"/>
      </w:pPr>
      <w:r w:rsidRPr="005071A1">
        <w:t>deferred benefits are, subject to this Division, applicable in respect of the person.</w:t>
      </w:r>
    </w:p>
    <w:p w14:paraId="7759822B" w14:textId="77777777" w:rsidR="00B33542" w:rsidRPr="005071A1" w:rsidRDefault="00B33542" w:rsidP="00B33542">
      <w:pPr>
        <w:pStyle w:val="subsection"/>
      </w:pPr>
      <w:r w:rsidRPr="005071A1">
        <w:tab/>
        <w:t>(2)</w:t>
      </w:r>
      <w:r w:rsidRPr="005071A1">
        <w:tab/>
        <w:t xml:space="preserve">Subject to </w:t>
      </w:r>
      <w:r w:rsidR="004510F0">
        <w:t>section 1</w:t>
      </w:r>
      <w:r w:rsidRPr="005071A1">
        <w:t>19ZB, deferred benefits that are applicable in respect of a person become payable on the day immediately following the earliest of the following dates:</w:t>
      </w:r>
    </w:p>
    <w:p w14:paraId="3FE394F8" w14:textId="77777777" w:rsidR="00B33542" w:rsidRPr="005071A1" w:rsidRDefault="00B33542" w:rsidP="00B33542">
      <w:pPr>
        <w:pStyle w:val="paragraph"/>
      </w:pPr>
      <w:r w:rsidRPr="005071A1">
        <w:tab/>
        <w:t>(a)</w:t>
      </w:r>
      <w:r w:rsidRPr="005071A1">
        <w:tab/>
        <w:t>where the Board is satisfied that the person has, by reason of invalidity or of physical or mental incapacity, become incapable (otherwise than temporarily) of performing duties of a kind suitable to be performed by him having regard to the duties performed by him in the employment in which he was employed immediately before he ceased to be a contributor to the Fund or to the Provident Account and the duties performed by him in employment (if any) in which he was employed after he ceased to be such a contributor:</w:t>
      </w:r>
    </w:p>
    <w:p w14:paraId="18D6D6EC" w14:textId="77777777" w:rsidR="00B33542" w:rsidRPr="005071A1" w:rsidRDefault="00B33542" w:rsidP="00B33542">
      <w:pPr>
        <w:pStyle w:val="paragraphsub"/>
      </w:pPr>
      <w:r w:rsidRPr="005071A1">
        <w:tab/>
        <w:t>(i)</w:t>
      </w:r>
      <w:r w:rsidRPr="005071A1">
        <w:tab/>
        <w:t>if, at the date that the Board is satisfied was the date on which he became so incapable, he was not employed in public employment—that date; or</w:t>
      </w:r>
    </w:p>
    <w:p w14:paraId="04FFD3A3" w14:textId="77777777" w:rsidR="00B33542" w:rsidRPr="005071A1" w:rsidRDefault="00B33542" w:rsidP="00B33542">
      <w:pPr>
        <w:pStyle w:val="paragraphsub"/>
      </w:pPr>
      <w:r w:rsidRPr="005071A1">
        <w:tab/>
        <w:t>(ii)</w:t>
      </w:r>
      <w:r w:rsidRPr="005071A1">
        <w:tab/>
        <w:t>if, at that date, he was employed in public employment—the date on which that public employment terminates;</w:t>
      </w:r>
    </w:p>
    <w:p w14:paraId="6566B4A8" w14:textId="77777777" w:rsidR="00B33542" w:rsidRPr="005071A1" w:rsidRDefault="00B33542" w:rsidP="00B33542">
      <w:pPr>
        <w:pStyle w:val="paragraph"/>
      </w:pPr>
      <w:r w:rsidRPr="005071A1">
        <w:tab/>
        <w:t>(b)</w:t>
      </w:r>
      <w:r w:rsidRPr="005071A1">
        <w:tab/>
        <w:t>if:</w:t>
      </w:r>
    </w:p>
    <w:p w14:paraId="302D83D3" w14:textId="77777777" w:rsidR="00B33542" w:rsidRPr="005071A1" w:rsidRDefault="00B33542" w:rsidP="00B33542">
      <w:pPr>
        <w:pStyle w:val="paragraphsub"/>
      </w:pPr>
      <w:r w:rsidRPr="005071A1">
        <w:tab/>
        <w:t>(i)</w:t>
      </w:r>
      <w:r w:rsidRPr="005071A1">
        <w:tab/>
        <w:t>at the date of his death he was employed in public employment or had completed twenty years’ eligible employment; or</w:t>
      </w:r>
    </w:p>
    <w:p w14:paraId="5D26F39E" w14:textId="77777777" w:rsidR="00B33542" w:rsidRPr="005071A1" w:rsidRDefault="00B33542" w:rsidP="00B33542">
      <w:pPr>
        <w:pStyle w:val="paragraphsub"/>
        <w:keepNext/>
      </w:pPr>
      <w:r w:rsidRPr="005071A1">
        <w:lastRenderedPageBreak/>
        <w:tab/>
        <w:t>(ii)</w:t>
      </w:r>
      <w:r w:rsidRPr="005071A1">
        <w:tab/>
        <w:t>at that date he was over the person’s relevant retiring age and, at the date when he attained that age, he was employed in public employment;</w:t>
      </w:r>
    </w:p>
    <w:p w14:paraId="3A5CD68E" w14:textId="77777777" w:rsidR="00B33542" w:rsidRPr="005071A1" w:rsidRDefault="00B33542" w:rsidP="00B33542">
      <w:pPr>
        <w:pStyle w:val="paragraph"/>
      </w:pPr>
      <w:r w:rsidRPr="005071A1">
        <w:tab/>
      </w:r>
      <w:r w:rsidRPr="005071A1">
        <w:tab/>
        <w:t>the date of his death;</w:t>
      </w:r>
    </w:p>
    <w:p w14:paraId="169FDD7B" w14:textId="77777777" w:rsidR="00B33542" w:rsidRPr="005071A1" w:rsidRDefault="00B33542" w:rsidP="00B33542">
      <w:pPr>
        <w:pStyle w:val="paragraph"/>
      </w:pPr>
      <w:r w:rsidRPr="005071A1">
        <w:tab/>
        <w:t>(c)</w:t>
      </w:r>
      <w:r w:rsidRPr="005071A1">
        <w:tab/>
        <w:t>if the person, by notice in writing given to the Board, selects a date for the commencement of the payment of the deferred benefits, being a date not earlier than the date on which he attains the person’s relevant retiring age or the date on which the notice is given—the date so selected; and</w:t>
      </w:r>
    </w:p>
    <w:p w14:paraId="0E006DA3" w14:textId="77777777" w:rsidR="00B33542" w:rsidRPr="005071A1" w:rsidRDefault="00B33542" w:rsidP="00B33542">
      <w:pPr>
        <w:pStyle w:val="paragraph"/>
      </w:pPr>
      <w:r w:rsidRPr="005071A1">
        <w:tab/>
        <w:t>(d)</w:t>
      </w:r>
      <w:r w:rsidRPr="005071A1">
        <w:tab/>
        <w:t>the date on which the person attains the age of sixty</w:t>
      </w:r>
      <w:r w:rsidR="004510F0">
        <w:noBreakHyphen/>
      </w:r>
      <w:r w:rsidRPr="005071A1">
        <w:t>five years.</w:t>
      </w:r>
    </w:p>
    <w:p w14:paraId="417AB14D" w14:textId="77777777" w:rsidR="00B33542" w:rsidRPr="005071A1" w:rsidRDefault="00B33542" w:rsidP="00B33542">
      <w:pPr>
        <w:pStyle w:val="subsection"/>
      </w:pPr>
      <w:r w:rsidRPr="005071A1">
        <w:tab/>
        <w:t>(3)</w:t>
      </w:r>
      <w:r w:rsidRPr="005071A1">
        <w:tab/>
      </w:r>
      <w:r w:rsidR="008B2950" w:rsidRPr="005071A1">
        <w:t>Paragraph (</w:t>
      </w:r>
      <w:r w:rsidRPr="005071A1">
        <w:t xml:space="preserve">a) of </w:t>
      </w:r>
      <w:r w:rsidR="008B2950" w:rsidRPr="005071A1">
        <w:t>subsection (</w:t>
      </w:r>
      <w:r w:rsidRPr="005071A1">
        <w:t>2) does not apply in relation to a person unless:</w:t>
      </w:r>
    </w:p>
    <w:p w14:paraId="1AF09B76" w14:textId="77777777" w:rsidR="00B33542" w:rsidRPr="005071A1" w:rsidRDefault="00B33542" w:rsidP="00B33542">
      <w:pPr>
        <w:pStyle w:val="paragraph"/>
      </w:pPr>
      <w:r w:rsidRPr="005071A1">
        <w:tab/>
        <w:t>(a)</w:t>
      </w:r>
      <w:r w:rsidRPr="005071A1">
        <w:tab/>
        <w:t>at the date that the Board is satisfied was the date on which he became incapable of performing the duties referred to in that paragraph, he was employed in public employment or had completed twenty years’ eligible employment; or</w:t>
      </w:r>
    </w:p>
    <w:p w14:paraId="1B88B218" w14:textId="77777777" w:rsidR="00B33542" w:rsidRPr="005071A1" w:rsidRDefault="00B33542" w:rsidP="00B33542">
      <w:pPr>
        <w:pStyle w:val="paragraph"/>
      </w:pPr>
      <w:r w:rsidRPr="005071A1">
        <w:tab/>
        <w:t>(b)</w:t>
      </w:r>
      <w:r w:rsidRPr="005071A1">
        <w:tab/>
        <w:t>at that date he was over the person’s relevant retiring age and, at the date when he attained that age, he was employed in public employment.</w:t>
      </w:r>
    </w:p>
    <w:p w14:paraId="66250D58" w14:textId="77777777" w:rsidR="00B33542" w:rsidRPr="005071A1" w:rsidRDefault="00B33542" w:rsidP="00B33542">
      <w:pPr>
        <w:pStyle w:val="subsection"/>
      </w:pPr>
      <w:r w:rsidRPr="005071A1">
        <w:tab/>
        <w:t>(4)</w:t>
      </w:r>
      <w:r w:rsidRPr="005071A1">
        <w:tab/>
        <w:t xml:space="preserve">For the purposes of </w:t>
      </w:r>
      <w:r w:rsidR="008B2950" w:rsidRPr="005071A1">
        <w:t>subsections (</w:t>
      </w:r>
      <w:r w:rsidRPr="005071A1">
        <w:t>2) and (3), a period of public employment in which a person became employed after he ceased to be a contributor to the Fund or to the Provident Account shall be deemed to be a period of eligible employment of the person.</w:t>
      </w:r>
    </w:p>
    <w:p w14:paraId="367DE5E0" w14:textId="77777777" w:rsidR="00B33542" w:rsidRPr="005071A1" w:rsidRDefault="00B33542" w:rsidP="00B33542">
      <w:pPr>
        <w:pStyle w:val="subsection"/>
      </w:pPr>
      <w:r w:rsidRPr="005071A1">
        <w:tab/>
        <w:t>(5)</w:t>
      </w:r>
      <w:r w:rsidRPr="005071A1">
        <w:tab/>
        <w:t>Deferred benefits are not payable unless:</w:t>
      </w:r>
    </w:p>
    <w:p w14:paraId="16E89459" w14:textId="77777777" w:rsidR="00B33542" w:rsidRPr="005071A1" w:rsidRDefault="00B33542" w:rsidP="00B33542">
      <w:pPr>
        <w:pStyle w:val="paragraph"/>
      </w:pPr>
      <w:r w:rsidRPr="005071A1">
        <w:tab/>
        <w:t>(a)</w:t>
      </w:r>
      <w:r w:rsidRPr="005071A1">
        <w:tab/>
        <w:t>an application in writing has been made to the Board requesting payment of the benefits; and</w:t>
      </w:r>
    </w:p>
    <w:p w14:paraId="738FE93B" w14:textId="77777777" w:rsidR="00B33542" w:rsidRPr="005071A1" w:rsidRDefault="00B33542" w:rsidP="00B33542">
      <w:pPr>
        <w:pStyle w:val="paragraph"/>
      </w:pPr>
      <w:r w:rsidRPr="005071A1">
        <w:tab/>
        <w:t>(b)</w:t>
      </w:r>
      <w:r w:rsidRPr="005071A1">
        <w:tab/>
        <w:t>the applicant has furnished to the Board any information that is necessary to enable the Board to determine whether the benefits are payable.</w:t>
      </w:r>
    </w:p>
    <w:p w14:paraId="72F36089" w14:textId="77777777" w:rsidR="00B33542" w:rsidRPr="005071A1" w:rsidRDefault="00B33542" w:rsidP="00B33542">
      <w:pPr>
        <w:pStyle w:val="subsection"/>
      </w:pPr>
      <w:r w:rsidRPr="005071A1">
        <w:lastRenderedPageBreak/>
        <w:tab/>
        <w:t>(6)</w:t>
      </w:r>
      <w:r w:rsidRPr="005071A1">
        <w:tab/>
        <w:t xml:space="preserve">Subject to </w:t>
      </w:r>
      <w:r w:rsidR="008B2950" w:rsidRPr="005071A1">
        <w:t>subsections (</w:t>
      </w:r>
      <w:r w:rsidRPr="005071A1">
        <w:t xml:space="preserve">7) and (8), where a person in relation to whom </w:t>
      </w:r>
      <w:r w:rsidR="008B2950" w:rsidRPr="005071A1">
        <w:t>paragraph (</w:t>
      </w:r>
      <w:r w:rsidRPr="005071A1">
        <w:t xml:space="preserve">a) of </w:t>
      </w:r>
      <w:r w:rsidR="008B2950" w:rsidRPr="005071A1">
        <w:t>subsection (</w:t>
      </w:r>
      <w:r w:rsidRPr="005071A1">
        <w:t xml:space="preserve">1) applies and who, at the time when he ceased to be a contributor to the Fund or to the Provident Account, had not completed twenty years’ eligible employment ceases to be employed in public employment before he attains the person’s relevant retiring age and the deferred benefits applicable in respect of him have not become payable under </w:t>
      </w:r>
      <w:r w:rsidR="008B2950" w:rsidRPr="005071A1">
        <w:t>subsection (</w:t>
      </w:r>
      <w:r w:rsidRPr="005071A1">
        <w:t>2), then:</w:t>
      </w:r>
    </w:p>
    <w:p w14:paraId="7DCB5B61" w14:textId="77777777" w:rsidR="00B33542" w:rsidRPr="005071A1" w:rsidRDefault="00B33542" w:rsidP="00B33542">
      <w:pPr>
        <w:pStyle w:val="paragraph"/>
      </w:pPr>
      <w:r w:rsidRPr="005071A1">
        <w:tab/>
        <w:t>(a)</w:t>
      </w:r>
      <w:r w:rsidRPr="005071A1">
        <w:tab/>
        <w:t xml:space="preserve">if a deferred benefit by way of a pension has previously been paid to him by reason of </w:t>
      </w:r>
      <w:r w:rsidR="008B2950" w:rsidRPr="005071A1">
        <w:t>paragraph (</w:t>
      </w:r>
      <w:r w:rsidRPr="005071A1">
        <w:t xml:space="preserve">a) of </w:t>
      </w:r>
      <w:r w:rsidR="008B2950" w:rsidRPr="005071A1">
        <w:t>subsection (</w:t>
      </w:r>
      <w:r w:rsidRPr="005071A1">
        <w:t>2)—the deferred benefits that were applicable in respect of him cease to be so applicable; or</w:t>
      </w:r>
    </w:p>
    <w:p w14:paraId="7D7DA2ED" w14:textId="77777777" w:rsidR="00B33542" w:rsidRPr="005071A1" w:rsidRDefault="00B33542" w:rsidP="00B33542">
      <w:pPr>
        <w:pStyle w:val="paragraph"/>
      </w:pPr>
      <w:r w:rsidRPr="005071A1">
        <w:tab/>
        <w:t>(b)</w:t>
      </w:r>
      <w:r w:rsidRPr="005071A1">
        <w:tab/>
        <w:t xml:space="preserve">in any other case—those deferred benefits cease to be applicable in respect of him but this Act has effect in relation to him as if the election by him under </w:t>
      </w:r>
      <w:r w:rsidR="004510F0">
        <w:t>section 1</w:t>
      </w:r>
      <w:r w:rsidRPr="005071A1">
        <w:t>19U had not been made.</w:t>
      </w:r>
    </w:p>
    <w:p w14:paraId="57E066B1" w14:textId="77777777" w:rsidR="00B33542" w:rsidRPr="005071A1" w:rsidRDefault="00B33542" w:rsidP="00B33542">
      <w:pPr>
        <w:pStyle w:val="subsection"/>
      </w:pPr>
      <w:r w:rsidRPr="005071A1">
        <w:tab/>
        <w:t>(7)</w:t>
      </w:r>
      <w:r w:rsidRPr="005071A1">
        <w:tab/>
      </w:r>
      <w:r w:rsidR="008B2950" w:rsidRPr="005071A1">
        <w:t>Subsection (</w:t>
      </w:r>
      <w:r w:rsidRPr="005071A1">
        <w:t>6) does not apply in relation to a person if the sum of the periods of eligible employment in which the person has been employed and the period of the public employment in which he was employed after he ceased to be a contributor to the Fund or to the Provident Account, as the case may be, is not less than twenty years.</w:t>
      </w:r>
    </w:p>
    <w:p w14:paraId="56D0733C" w14:textId="77777777" w:rsidR="00B33542" w:rsidRPr="005071A1" w:rsidRDefault="00B33542" w:rsidP="00B33542">
      <w:pPr>
        <w:pStyle w:val="subsection"/>
      </w:pPr>
      <w:r w:rsidRPr="005071A1">
        <w:tab/>
        <w:t>(8)</w:t>
      </w:r>
      <w:r w:rsidRPr="005071A1">
        <w:tab/>
        <w:t>In the application of section</w:t>
      </w:r>
      <w:r w:rsidR="008B2950" w:rsidRPr="005071A1">
        <w:t> </w:t>
      </w:r>
      <w:r w:rsidRPr="005071A1">
        <w:t xml:space="preserve">85 to a person to whom </w:t>
      </w:r>
      <w:r w:rsidR="008B2950" w:rsidRPr="005071A1">
        <w:t>paragraph (</w:t>
      </w:r>
      <w:r w:rsidRPr="005071A1">
        <w:t xml:space="preserve">b) of </w:t>
      </w:r>
      <w:r w:rsidR="008B2950" w:rsidRPr="005071A1">
        <w:t>subsection (</w:t>
      </w:r>
      <w:r w:rsidRPr="005071A1">
        <w:t>6) of this section applies, the period in respect of which the compound interest referred to in that section is payable includes the period that commenced on the day after the person ceased to be a contributor to the Provident Account and ended on the day on which he ceased to be employed in public employment and, on and after 1</w:t>
      </w:r>
      <w:r w:rsidR="008B2950" w:rsidRPr="005071A1">
        <w:t> </w:t>
      </w:r>
      <w:r w:rsidRPr="005071A1">
        <w:t>July 1976, the prescribed rate of interest referred to in section</w:t>
      </w:r>
      <w:r w:rsidR="008B2950" w:rsidRPr="005071A1">
        <w:t> </w:t>
      </w:r>
      <w:r w:rsidRPr="005071A1">
        <w:t xml:space="preserve">85 is the rate at which interest is from time to time calculated in accordance with regulations made for the </w:t>
      </w:r>
      <w:r w:rsidRPr="005071A1">
        <w:lastRenderedPageBreak/>
        <w:t xml:space="preserve">purposes of the definition of </w:t>
      </w:r>
      <w:r w:rsidRPr="005071A1">
        <w:rPr>
          <w:b/>
          <w:i/>
        </w:rPr>
        <w:t>accumulated basic contributions</w:t>
      </w:r>
      <w:r w:rsidRPr="005071A1">
        <w:t xml:space="preserve"> in </w:t>
      </w:r>
      <w:r w:rsidR="008B2950" w:rsidRPr="005071A1">
        <w:t>subsection (</w:t>
      </w:r>
      <w:r w:rsidRPr="005071A1">
        <w:t>1) of section</w:t>
      </w:r>
      <w:r w:rsidR="008B2950" w:rsidRPr="005071A1">
        <w:t> </w:t>
      </w:r>
      <w:r w:rsidRPr="005071A1">
        <w:t xml:space="preserve">3 of the </w:t>
      </w:r>
      <w:r w:rsidRPr="005071A1">
        <w:rPr>
          <w:i/>
        </w:rPr>
        <w:t>Superannuation Act 1976</w:t>
      </w:r>
      <w:r w:rsidRPr="005071A1">
        <w:t>.</w:t>
      </w:r>
    </w:p>
    <w:p w14:paraId="15E1A3F5" w14:textId="77777777" w:rsidR="00B33542" w:rsidRPr="005071A1" w:rsidRDefault="00B33542" w:rsidP="00B33542">
      <w:pPr>
        <w:pStyle w:val="subsection"/>
      </w:pPr>
      <w:r w:rsidRPr="005071A1">
        <w:tab/>
        <w:t>(9)</w:t>
      </w:r>
      <w:r w:rsidRPr="005071A1">
        <w:tab/>
        <w:t xml:space="preserve">In this section, </w:t>
      </w:r>
      <w:r w:rsidRPr="005071A1">
        <w:rPr>
          <w:b/>
          <w:i/>
        </w:rPr>
        <w:t>relevant retiring age</w:t>
      </w:r>
      <w:r w:rsidRPr="005071A1">
        <w:t xml:space="preserve">, in relation to a person, means the age that would have been the person’s minimum retiring age for the purposes of the </w:t>
      </w:r>
      <w:r w:rsidRPr="005071A1">
        <w:rPr>
          <w:i/>
        </w:rPr>
        <w:t>Superannuation Act 1976</w:t>
      </w:r>
      <w:r w:rsidRPr="005071A1">
        <w:t xml:space="preserve"> if the person:</w:t>
      </w:r>
    </w:p>
    <w:p w14:paraId="0C5BBBB5" w14:textId="77777777" w:rsidR="00B33542" w:rsidRPr="005071A1" w:rsidRDefault="00B33542" w:rsidP="00B33542">
      <w:pPr>
        <w:pStyle w:val="paragraph"/>
      </w:pPr>
      <w:r w:rsidRPr="005071A1">
        <w:tab/>
        <w:t>(a)</w:t>
      </w:r>
      <w:r w:rsidRPr="005071A1">
        <w:tab/>
        <w:t>had not ceased to be a contributor to the Fund or to the Provident Account;</w:t>
      </w:r>
    </w:p>
    <w:p w14:paraId="363CD018" w14:textId="77777777" w:rsidR="00B33542" w:rsidRPr="005071A1" w:rsidRDefault="00B33542" w:rsidP="00B33542">
      <w:pPr>
        <w:pStyle w:val="paragraph"/>
      </w:pPr>
      <w:r w:rsidRPr="005071A1">
        <w:tab/>
        <w:t>(b)</w:t>
      </w:r>
      <w:r w:rsidRPr="005071A1">
        <w:tab/>
        <w:t>had become an eligible employee for the purposes of that Act on 1</w:t>
      </w:r>
      <w:r w:rsidR="008B2950" w:rsidRPr="005071A1">
        <w:t> </w:t>
      </w:r>
      <w:r w:rsidRPr="005071A1">
        <w:t xml:space="preserve">July 1976 by virtue of </w:t>
      </w:r>
      <w:r w:rsidR="008B2950" w:rsidRPr="005071A1">
        <w:t>paragraph (</w:t>
      </w:r>
      <w:r w:rsidRPr="005071A1">
        <w:t xml:space="preserve">a) of the definition of </w:t>
      </w:r>
      <w:r w:rsidRPr="005071A1">
        <w:rPr>
          <w:b/>
          <w:i/>
        </w:rPr>
        <w:t>eligible employee</w:t>
      </w:r>
      <w:r w:rsidRPr="005071A1">
        <w:t xml:space="preserve"> in subsection</w:t>
      </w:r>
      <w:r w:rsidR="008B2950" w:rsidRPr="005071A1">
        <w:t> </w:t>
      </w:r>
      <w:r w:rsidRPr="005071A1">
        <w:t>3(1) of that Act; and</w:t>
      </w:r>
    </w:p>
    <w:p w14:paraId="5607EB2E" w14:textId="77777777" w:rsidR="00B33542" w:rsidRPr="005071A1" w:rsidRDefault="00B33542" w:rsidP="00B33542">
      <w:pPr>
        <w:pStyle w:val="paragraph"/>
      </w:pPr>
      <w:r w:rsidRPr="005071A1">
        <w:tab/>
        <w:t>(c)</w:t>
      </w:r>
      <w:r w:rsidRPr="005071A1">
        <w:tab/>
        <w:t>had continued to occupy the position held immediately before ceasing to be a contributor to the Fund or to the Provident Account.</w:t>
      </w:r>
    </w:p>
    <w:p w14:paraId="08D621F9" w14:textId="77777777" w:rsidR="00B33542" w:rsidRPr="005071A1" w:rsidRDefault="00B33542" w:rsidP="00B33542">
      <w:pPr>
        <w:pStyle w:val="ActHead5"/>
      </w:pPr>
      <w:bookmarkStart w:id="229" w:name="_Toc185577611"/>
      <w:r w:rsidRPr="004510F0">
        <w:rPr>
          <w:rStyle w:val="CharSectno"/>
        </w:rPr>
        <w:t>119WA</w:t>
      </w:r>
      <w:r w:rsidRPr="005071A1">
        <w:t xml:space="preserve">  Medical examination etc. of persons to whom deferred benefits by way of pension are payable under </w:t>
      </w:r>
      <w:r w:rsidR="004510F0">
        <w:t>section 1</w:t>
      </w:r>
      <w:r w:rsidRPr="005071A1">
        <w:t>19W</w:t>
      </w:r>
      <w:bookmarkEnd w:id="229"/>
    </w:p>
    <w:p w14:paraId="19E21444" w14:textId="77777777" w:rsidR="00B33542" w:rsidRPr="005071A1" w:rsidRDefault="00B33542" w:rsidP="00B33542">
      <w:pPr>
        <w:pStyle w:val="subsection"/>
      </w:pPr>
      <w:r w:rsidRPr="005071A1">
        <w:tab/>
        <w:t>(1)</w:t>
      </w:r>
      <w:r w:rsidRPr="005071A1">
        <w:tab/>
        <w:t xml:space="preserve">The Commissioner may, by notice in writing given to a person to whom deferred benefits by way of pension are payable by virtue of </w:t>
      </w:r>
      <w:r w:rsidR="008B2950" w:rsidRPr="005071A1">
        <w:t>paragraph (</w:t>
      </w:r>
      <w:r w:rsidRPr="005071A1">
        <w:t xml:space="preserve">a) of </w:t>
      </w:r>
      <w:r w:rsidR="008B2950" w:rsidRPr="005071A1">
        <w:t>subsection (</w:t>
      </w:r>
      <w:r w:rsidRPr="005071A1">
        <w:t xml:space="preserve">2) of </w:t>
      </w:r>
      <w:r w:rsidR="004510F0">
        <w:t>section 1</w:t>
      </w:r>
      <w:r w:rsidRPr="005071A1">
        <w:t>19W, require that person:</w:t>
      </w:r>
    </w:p>
    <w:p w14:paraId="11304122" w14:textId="77777777" w:rsidR="00B33542" w:rsidRPr="005071A1" w:rsidRDefault="00B33542" w:rsidP="00B33542">
      <w:pPr>
        <w:pStyle w:val="paragraph"/>
      </w:pPr>
      <w:r w:rsidRPr="005071A1">
        <w:tab/>
        <w:t>(a)</w:t>
      </w:r>
      <w:r w:rsidRPr="005071A1">
        <w:tab/>
        <w:t>to submit himself or herself for medical examination by a medical practitioner at a time, being a time before the person attains the age of 65 years, and place specified in the notice; or</w:t>
      </w:r>
    </w:p>
    <w:p w14:paraId="033F7352" w14:textId="77777777" w:rsidR="00B33542" w:rsidRPr="005071A1" w:rsidRDefault="00B33542" w:rsidP="00B33542">
      <w:pPr>
        <w:pStyle w:val="paragraph"/>
      </w:pPr>
      <w:r w:rsidRPr="005071A1">
        <w:tab/>
        <w:t>(b)</w:t>
      </w:r>
      <w:r w:rsidRPr="005071A1">
        <w:tab/>
        <w:t>to give in writing to the Commissioner, within such period, being a period that ends before the person attains the age of 65 years, as is specified in the notice, such information as is required by the notice with respect to any employment (whether as an employee or on his or her own account) in which the person has been engaged during such period as is specified in the notice.</w:t>
      </w:r>
    </w:p>
    <w:p w14:paraId="3437CC95" w14:textId="77777777" w:rsidR="00B33542" w:rsidRPr="005071A1" w:rsidRDefault="00B33542" w:rsidP="00B33542">
      <w:pPr>
        <w:pStyle w:val="subsection"/>
      </w:pPr>
      <w:r w:rsidRPr="005071A1">
        <w:lastRenderedPageBreak/>
        <w:tab/>
        <w:t>(2)</w:t>
      </w:r>
      <w:r w:rsidRPr="005071A1">
        <w:tab/>
        <w:t xml:space="preserve">A notice under </w:t>
      </w:r>
      <w:r w:rsidR="008B2950" w:rsidRPr="005071A1">
        <w:t>subsection (</w:t>
      </w:r>
      <w:r w:rsidRPr="005071A1">
        <w:t xml:space="preserve">1) shall set out the effect of </w:t>
      </w:r>
      <w:r w:rsidR="008B2950" w:rsidRPr="005071A1">
        <w:t>subsection (</w:t>
      </w:r>
      <w:r w:rsidRPr="005071A1">
        <w:t>3).</w:t>
      </w:r>
    </w:p>
    <w:p w14:paraId="5BB04805" w14:textId="77777777" w:rsidR="00B33542" w:rsidRPr="005071A1" w:rsidRDefault="00B33542" w:rsidP="00B33542">
      <w:pPr>
        <w:pStyle w:val="subsection"/>
      </w:pPr>
      <w:r w:rsidRPr="005071A1">
        <w:tab/>
        <w:t>(3)</w:t>
      </w:r>
      <w:r w:rsidRPr="005071A1">
        <w:tab/>
        <w:t xml:space="preserve">Where a person fails to comply with a notice given to him or her under </w:t>
      </w:r>
      <w:r w:rsidR="008B2950" w:rsidRPr="005071A1">
        <w:t>subsection (</w:t>
      </w:r>
      <w:r w:rsidRPr="005071A1">
        <w:t>1) and the Commissioner is not satisfied that there was a reasonable excuse for the failure, the Commissioner may by notice in writing given to the person, suspend the person’s pension with effect from such day as the Commissioner determines, being a day not earlier than:</w:t>
      </w:r>
    </w:p>
    <w:p w14:paraId="14C7DB22" w14:textId="77777777" w:rsidR="00B33542" w:rsidRPr="005071A1" w:rsidRDefault="00B33542" w:rsidP="00B33542">
      <w:pPr>
        <w:pStyle w:val="paragraph"/>
      </w:pPr>
      <w:r w:rsidRPr="005071A1">
        <w:tab/>
        <w:t>(a)</w:t>
      </w:r>
      <w:r w:rsidRPr="005071A1">
        <w:tab/>
        <w:t>in a case where the first</w:t>
      </w:r>
      <w:r w:rsidR="004510F0">
        <w:noBreakHyphen/>
      </w:r>
      <w:r w:rsidRPr="005071A1">
        <w:t>mentioned notice required the person to submit himself or herself for medical examination on a day specified in that notice—the day next following that day; or</w:t>
      </w:r>
    </w:p>
    <w:p w14:paraId="522E6FBB" w14:textId="77777777" w:rsidR="00B33542" w:rsidRPr="005071A1" w:rsidRDefault="00B33542" w:rsidP="00B33542">
      <w:pPr>
        <w:pStyle w:val="paragraph"/>
      </w:pPr>
      <w:r w:rsidRPr="005071A1">
        <w:tab/>
        <w:t>(b)</w:t>
      </w:r>
      <w:r w:rsidRPr="005071A1">
        <w:tab/>
        <w:t>in a case where the first</w:t>
      </w:r>
      <w:r w:rsidR="004510F0">
        <w:noBreakHyphen/>
      </w:r>
      <w:r w:rsidRPr="005071A1">
        <w:t>mentioned notice required the person to give information within a period specified in the notice—the day next following the expiration of that period.</w:t>
      </w:r>
    </w:p>
    <w:p w14:paraId="5A81449B" w14:textId="77777777" w:rsidR="00B33542" w:rsidRPr="005071A1" w:rsidRDefault="00B33542" w:rsidP="00B33542">
      <w:pPr>
        <w:pStyle w:val="subsection"/>
      </w:pPr>
      <w:r w:rsidRPr="005071A1">
        <w:tab/>
        <w:t>(4)</w:t>
      </w:r>
      <w:r w:rsidRPr="005071A1">
        <w:tab/>
        <w:t xml:space="preserve">A notice to a person under </w:t>
      </w:r>
      <w:r w:rsidR="008B2950" w:rsidRPr="005071A1">
        <w:t>subsection (</w:t>
      </w:r>
      <w:r w:rsidRPr="005071A1">
        <w:t xml:space="preserve">3) shall set out the effect of </w:t>
      </w:r>
      <w:r w:rsidR="008B2950" w:rsidRPr="005071A1">
        <w:t>subsections (</w:t>
      </w:r>
      <w:r w:rsidRPr="005071A1">
        <w:t xml:space="preserve">8), (10) and (11) and of </w:t>
      </w:r>
      <w:r w:rsidR="004510F0">
        <w:t>section 1</w:t>
      </w:r>
      <w:r w:rsidRPr="005071A1">
        <w:t>19WB.</w:t>
      </w:r>
    </w:p>
    <w:p w14:paraId="2C31C8D3" w14:textId="77777777" w:rsidR="00B33542" w:rsidRPr="005071A1" w:rsidRDefault="00B33542" w:rsidP="00B33542">
      <w:pPr>
        <w:pStyle w:val="subsection"/>
      </w:pPr>
      <w:r w:rsidRPr="005071A1">
        <w:tab/>
        <w:t>(5)</w:t>
      </w:r>
      <w:r w:rsidRPr="005071A1">
        <w:tab/>
        <w:t xml:space="preserve">Subject to </w:t>
      </w:r>
      <w:r w:rsidR="004510F0">
        <w:t>section 1</w:t>
      </w:r>
      <w:r w:rsidRPr="005071A1">
        <w:t xml:space="preserve">19WB, a suspension of a person’s pension under </w:t>
      </w:r>
      <w:r w:rsidR="008B2950" w:rsidRPr="005071A1">
        <w:t>subsection (</w:t>
      </w:r>
      <w:r w:rsidRPr="005071A1">
        <w:t>3) continues in force, unless sooner revoked, until the person attains the age of 65 years.</w:t>
      </w:r>
    </w:p>
    <w:p w14:paraId="0CF20A51" w14:textId="77777777" w:rsidR="00B33542" w:rsidRPr="005071A1" w:rsidRDefault="00B33542" w:rsidP="00B33542">
      <w:pPr>
        <w:pStyle w:val="subsection"/>
      </w:pPr>
      <w:r w:rsidRPr="005071A1">
        <w:tab/>
        <w:t>(6)</w:t>
      </w:r>
      <w:r w:rsidRPr="005071A1">
        <w:tab/>
        <w:t xml:space="preserve">Pension is not payable in respect of a period during which a suspension of the pension under </w:t>
      </w:r>
      <w:r w:rsidR="008B2950" w:rsidRPr="005071A1">
        <w:t>subsection (</w:t>
      </w:r>
      <w:r w:rsidRPr="005071A1">
        <w:t>3) is in force.</w:t>
      </w:r>
    </w:p>
    <w:p w14:paraId="3C8279BA" w14:textId="77777777" w:rsidR="00B33542" w:rsidRPr="005071A1" w:rsidRDefault="00B33542" w:rsidP="00B33542">
      <w:pPr>
        <w:pStyle w:val="subsection"/>
      </w:pPr>
      <w:r w:rsidRPr="005071A1">
        <w:tab/>
        <w:t>(7)</w:t>
      </w:r>
      <w:r w:rsidRPr="005071A1">
        <w:tab/>
        <w:t>Where:</w:t>
      </w:r>
    </w:p>
    <w:p w14:paraId="7484A62A" w14:textId="77777777" w:rsidR="00B33542" w:rsidRPr="005071A1" w:rsidRDefault="00B33542" w:rsidP="00B33542">
      <w:pPr>
        <w:pStyle w:val="paragraph"/>
      </w:pPr>
      <w:r w:rsidRPr="005071A1">
        <w:tab/>
        <w:t>(a)</w:t>
      </w:r>
      <w:r w:rsidRPr="005071A1">
        <w:tab/>
        <w:t xml:space="preserve">the pension of a person is suspended under </w:t>
      </w:r>
      <w:r w:rsidR="008B2950" w:rsidRPr="005071A1">
        <w:t>subsection (</w:t>
      </w:r>
      <w:r w:rsidRPr="005071A1">
        <w:t>3); and</w:t>
      </w:r>
    </w:p>
    <w:p w14:paraId="1FE7920B" w14:textId="77777777" w:rsidR="00B33542" w:rsidRPr="005071A1" w:rsidRDefault="00B33542" w:rsidP="00B33542">
      <w:pPr>
        <w:pStyle w:val="paragraph"/>
        <w:keepNext/>
      </w:pPr>
      <w:r w:rsidRPr="005071A1">
        <w:tab/>
        <w:t>(b)</w:t>
      </w:r>
      <w:r w:rsidRPr="005071A1">
        <w:tab/>
        <w:t>the Commissioner, having regard to such matters as he or she considers relevant, is of the opinion that the suspension should be revoked;</w:t>
      </w:r>
    </w:p>
    <w:p w14:paraId="11DA8258" w14:textId="77777777" w:rsidR="00B33542" w:rsidRPr="005071A1" w:rsidRDefault="00B33542" w:rsidP="00B33542">
      <w:pPr>
        <w:pStyle w:val="subsection2"/>
      </w:pPr>
      <w:r w:rsidRPr="005071A1">
        <w:t xml:space="preserve">the Commissioner may, by notice in writing given to the person or to the person and a person acting on the person’s behalf, as the case </w:t>
      </w:r>
      <w:r w:rsidRPr="005071A1">
        <w:lastRenderedPageBreak/>
        <w:t>requires, revoke the suspension with effect from such day as the Commissioner determines, being a day not later than the day on which the notice is given.</w:t>
      </w:r>
    </w:p>
    <w:p w14:paraId="06C7355A" w14:textId="77777777" w:rsidR="00B33542" w:rsidRPr="005071A1" w:rsidRDefault="00B33542" w:rsidP="00B33542">
      <w:pPr>
        <w:pStyle w:val="subsection"/>
      </w:pPr>
      <w:r w:rsidRPr="005071A1">
        <w:tab/>
        <w:t>(8)</w:t>
      </w:r>
      <w:r w:rsidRPr="005071A1">
        <w:tab/>
        <w:t xml:space="preserve">Without limiting </w:t>
      </w:r>
      <w:r w:rsidR="008B2950" w:rsidRPr="005071A1">
        <w:t>subsection (</w:t>
      </w:r>
      <w:r w:rsidRPr="005071A1">
        <w:t xml:space="preserve">7), where the pension of a person (in this subsection referred to as the </w:t>
      </w:r>
      <w:r w:rsidRPr="005071A1">
        <w:rPr>
          <w:b/>
          <w:i/>
        </w:rPr>
        <w:t>relevant person</w:t>
      </w:r>
      <w:r w:rsidRPr="005071A1">
        <w:t xml:space="preserve">) is suspended under </w:t>
      </w:r>
      <w:r w:rsidR="008B2950" w:rsidRPr="005071A1">
        <w:t>subsection (</w:t>
      </w:r>
      <w:r w:rsidRPr="005071A1">
        <w:t>3), the relevant person, or another person acting on his or her behalf, may, by notice in writing given to the Commissioner, request the Commissioner to revoke the suspension, and where such a request is made, the Commissioner shall, by notice in writing given to the relevant person or to the relevant person and the other person, as the case may be:</w:t>
      </w:r>
    </w:p>
    <w:p w14:paraId="235666D5" w14:textId="77777777" w:rsidR="00B33542" w:rsidRPr="005071A1" w:rsidRDefault="00B33542" w:rsidP="00B33542">
      <w:pPr>
        <w:pStyle w:val="paragraph"/>
      </w:pPr>
      <w:r w:rsidRPr="005071A1">
        <w:tab/>
        <w:t>(a)</w:t>
      </w:r>
      <w:r w:rsidRPr="005071A1">
        <w:tab/>
        <w:t>if the pension has been suspended by virtue of the relevant person’s having failed to comply with a notice requiring the relevant person to submit himself or herself for medical examination—require the relevant person to submit himself or herself for medical examination by a medical practitioner at a time, being a time before the relevant person attains the age of 65 years, and place specified in the second</w:t>
      </w:r>
      <w:r w:rsidR="004510F0">
        <w:noBreakHyphen/>
      </w:r>
      <w:r w:rsidRPr="005071A1">
        <w:t>mentioned notice; or</w:t>
      </w:r>
    </w:p>
    <w:p w14:paraId="44B3C881" w14:textId="77777777" w:rsidR="00B33542" w:rsidRPr="005071A1" w:rsidRDefault="00B33542" w:rsidP="00B33542">
      <w:pPr>
        <w:pStyle w:val="paragraph"/>
      </w:pPr>
      <w:r w:rsidRPr="005071A1">
        <w:tab/>
        <w:t>(b)</w:t>
      </w:r>
      <w:r w:rsidRPr="005071A1">
        <w:tab/>
        <w:t xml:space="preserve">if the pension has been suspended by virtue of the relevant person’s having failed to comply with a notice requiring the relevant person to give information to the Commissioner (in this paragraph referred to as </w:t>
      </w:r>
      <w:r w:rsidRPr="005071A1">
        <w:rPr>
          <w:b/>
          <w:i/>
        </w:rPr>
        <w:t>the original notice</w:t>
      </w:r>
      <w:r w:rsidRPr="005071A1">
        <w:t>)—require the relevant person to give in writing to the Commissioner, within such period as is specified in the second</w:t>
      </w:r>
      <w:r w:rsidR="004510F0">
        <w:noBreakHyphen/>
      </w:r>
      <w:r w:rsidRPr="005071A1">
        <w:t>mentioned notice, being a period that ends before the relevant person attains the age of 65 years, such information as was required by the original notice to be given.</w:t>
      </w:r>
    </w:p>
    <w:p w14:paraId="401FCF82" w14:textId="77777777" w:rsidR="00B33542" w:rsidRPr="005071A1" w:rsidRDefault="00B33542" w:rsidP="00B33542">
      <w:pPr>
        <w:pStyle w:val="subsection"/>
      </w:pPr>
      <w:r w:rsidRPr="005071A1">
        <w:tab/>
        <w:t>(9)</w:t>
      </w:r>
      <w:r w:rsidRPr="005071A1">
        <w:tab/>
        <w:t xml:space="preserve">A notice given by the Commissioner under </w:t>
      </w:r>
      <w:r w:rsidR="008B2950" w:rsidRPr="005071A1">
        <w:t>subsection (</w:t>
      </w:r>
      <w:r w:rsidRPr="005071A1">
        <w:t xml:space="preserve">8) shall set out the effect of </w:t>
      </w:r>
      <w:r w:rsidR="008B2950" w:rsidRPr="005071A1">
        <w:t>subsections (</w:t>
      </w:r>
      <w:r w:rsidRPr="005071A1">
        <w:t xml:space="preserve">10) and (11) and of </w:t>
      </w:r>
      <w:r w:rsidR="004510F0">
        <w:t>section 1</w:t>
      </w:r>
      <w:r w:rsidRPr="005071A1">
        <w:t>19WB.</w:t>
      </w:r>
    </w:p>
    <w:p w14:paraId="1F68957B" w14:textId="77777777" w:rsidR="00B33542" w:rsidRPr="005071A1" w:rsidRDefault="00B33542" w:rsidP="00B33542">
      <w:pPr>
        <w:pStyle w:val="subsection"/>
      </w:pPr>
      <w:r w:rsidRPr="005071A1">
        <w:tab/>
        <w:t>(10)</w:t>
      </w:r>
      <w:r w:rsidRPr="005071A1">
        <w:tab/>
        <w:t>Where:</w:t>
      </w:r>
    </w:p>
    <w:p w14:paraId="0A3B4EB4" w14:textId="77777777" w:rsidR="00B33542" w:rsidRPr="005071A1" w:rsidRDefault="00B33542" w:rsidP="00B33542">
      <w:pPr>
        <w:pStyle w:val="paragraph"/>
      </w:pPr>
      <w:r w:rsidRPr="005071A1">
        <w:lastRenderedPageBreak/>
        <w:tab/>
        <w:t>(a)</w:t>
      </w:r>
      <w:r w:rsidRPr="005071A1">
        <w:tab/>
        <w:t xml:space="preserve">because of a request having been made to revoke the suspension of the pension of a person (in this subsection referred to as the </w:t>
      </w:r>
      <w:r w:rsidRPr="005071A1">
        <w:rPr>
          <w:b/>
          <w:i/>
        </w:rPr>
        <w:t>relevant person</w:t>
      </w:r>
      <w:r w:rsidRPr="005071A1">
        <w:t xml:space="preserve">), a notice under </w:t>
      </w:r>
      <w:r w:rsidR="008B2950" w:rsidRPr="005071A1">
        <w:t>subsection (</w:t>
      </w:r>
      <w:r w:rsidRPr="005071A1">
        <w:t>8) is given to the relevant person or to the relevant person and another person; and</w:t>
      </w:r>
    </w:p>
    <w:p w14:paraId="2046F9A7" w14:textId="77777777" w:rsidR="00B33542" w:rsidRPr="005071A1" w:rsidRDefault="00B33542" w:rsidP="00B33542">
      <w:pPr>
        <w:pStyle w:val="paragraph"/>
      </w:pPr>
      <w:r w:rsidRPr="005071A1">
        <w:tab/>
        <w:t>(b)</w:t>
      </w:r>
      <w:r w:rsidRPr="005071A1">
        <w:tab/>
        <w:t>either:</w:t>
      </w:r>
    </w:p>
    <w:p w14:paraId="5DE4403A" w14:textId="77777777" w:rsidR="00B33542" w:rsidRPr="005071A1" w:rsidRDefault="00B33542" w:rsidP="00B33542">
      <w:pPr>
        <w:pStyle w:val="paragraphsub"/>
      </w:pPr>
      <w:r w:rsidRPr="005071A1">
        <w:tab/>
        <w:t>(i)</w:t>
      </w:r>
      <w:r w:rsidRPr="005071A1">
        <w:tab/>
        <w:t>the relevant person complies with the notice; or</w:t>
      </w:r>
    </w:p>
    <w:p w14:paraId="1880D2A1" w14:textId="77777777" w:rsidR="00B33542" w:rsidRPr="005071A1" w:rsidRDefault="00B33542" w:rsidP="00B33542">
      <w:pPr>
        <w:pStyle w:val="paragraphsub"/>
        <w:keepNext/>
      </w:pPr>
      <w:r w:rsidRPr="005071A1">
        <w:tab/>
        <w:t>(ii)</w:t>
      </w:r>
      <w:r w:rsidRPr="005071A1">
        <w:tab/>
        <w:t>the relevant person fails to comply with the notice but the Commissioner is satisfied that there was a reasonable excuse for the failure;</w:t>
      </w:r>
    </w:p>
    <w:p w14:paraId="211D30FF" w14:textId="77777777" w:rsidR="00B33542" w:rsidRPr="005071A1" w:rsidRDefault="00B33542" w:rsidP="00B33542">
      <w:pPr>
        <w:pStyle w:val="subsection2"/>
      </w:pPr>
      <w:r w:rsidRPr="005071A1">
        <w:t>the Commissioner shall, by notice in writing given to the relevant person or to the relevant person and the other person, as the case may be, revoke the suspension with effect from such day as the Commissioner determines, being a day not later than:</w:t>
      </w:r>
    </w:p>
    <w:p w14:paraId="77ED7D8D" w14:textId="77777777" w:rsidR="00B33542" w:rsidRPr="005071A1" w:rsidRDefault="00B33542" w:rsidP="00B33542">
      <w:pPr>
        <w:pStyle w:val="paragraph"/>
      </w:pPr>
      <w:r w:rsidRPr="005071A1">
        <w:tab/>
        <w:t>(c)</w:t>
      </w:r>
      <w:r w:rsidRPr="005071A1">
        <w:tab/>
        <w:t xml:space="preserve">in a case to which </w:t>
      </w:r>
      <w:r w:rsidR="008B2950" w:rsidRPr="005071A1">
        <w:t>subparagraph (</w:t>
      </w:r>
      <w:r w:rsidRPr="005071A1">
        <w:t xml:space="preserve">i) of </w:t>
      </w:r>
      <w:r w:rsidR="008B2950" w:rsidRPr="005071A1">
        <w:t>paragraph (</w:t>
      </w:r>
      <w:r w:rsidRPr="005071A1">
        <w:t>b) applies—the day on which the relevant person so complied with the notice; or</w:t>
      </w:r>
    </w:p>
    <w:p w14:paraId="6CF67F09" w14:textId="77777777" w:rsidR="00B33542" w:rsidRPr="005071A1" w:rsidRDefault="00B33542" w:rsidP="00B33542">
      <w:pPr>
        <w:pStyle w:val="paragraph"/>
      </w:pPr>
      <w:r w:rsidRPr="005071A1">
        <w:tab/>
        <w:t>(d)</w:t>
      </w:r>
      <w:r w:rsidRPr="005071A1">
        <w:tab/>
        <w:t xml:space="preserve">in a case to which </w:t>
      </w:r>
      <w:r w:rsidR="008B2950" w:rsidRPr="005071A1">
        <w:t>subparagraph (</w:t>
      </w:r>
      <w:r w:rsidRPr="005071A1">
        <w:t xml:space="preserve">ii) of </w:t>
      </w:r>
      <w:r w:rsidR="008B2950" w:rsidRPr="005071A1">
        <w:t>paragraph (</w:t>
      </w:r>
      <w:r w:rsidRPr="005071A1">
        <w:t>b) applies—the day on which the Commissioner became so satisfied.</w:t>
      </w:r>
    </w:p>
    <w:p w14:paraId="47745D00" w14:textId="77777777" w:rsidR="00B33542" w:rsidRPr="005071A1" w:rsidRDefault="00B33542" w:rsidP="00B33542">
      <w:pPr>
        <w:pStyle w:val="subsection"/>
      </w:pPr>
      <w:r w:rsidRPr="005071A1">
        <w:tab/>
        <w:t>(11)</w:t>
      </w:r>
      <w:r w:rsidRPr="005071A1">
        <w:tab/>
        <w:t>Where:</w:t>
      </w:r>
    </w:p>
    <w:p w14:paraId="5620B605" w14:textId="77777777" w:rsidR="00B33542" w:rsidRPr="005071A1" w:rsidRDefault="00B33542" w:rsidP="00B33542">
      <w:pPr>
        <w:pStyle w:val="paragraph"/>
      </w:pPr>
      <w:r w:rsidRPr="005071A1">
        <w:tab/>
        <w:t>(a)</w:t>
      </w:r>
      <w:r w:rsidRPr="005071A1">
        <w:tab/>
        <w:t xml:space="preserve">because of a request having been made to revoke the suspension of the pension of a person (in this subsection referred to as the </w:t>
      </w:r>
      <w:r w:rsidRPr="005071A1">
        <w:rPr>
          <w:b/>
          <w:i/>
        </w:rPr>
        <w:t>relevant person</w:t>
      </w:r>
      <w:r w:rsidRPr="005071A1">
        <w:t xml:space="preserve">), a notice under </w:t>
      </w:r>
      <w:r w:rsidR="008B2950" w:rsidRPr="005071A1">
        <w:t>subsection (</w:t>
      </w:r>
      <w:r w:rsidRPr="005071A1">
        <w:t>8) is given to the relevant person or to the relevant person and another person; and</w:t>
      </w:r>
    </w:p>
    <w:p w14:paraId="3FF3C2AC" w14:textId="77777777" w:rsidR="00B33542" w:rsidRPr="005071A1" w:rsidRDefault="00B33542" w:rsidP="00B33542">
      <w:pPr>
        <w:pStyle w:val="paragraph"/>
        <w:keepNext/>
      </w:pPr>
      <w:r w:rsidRPr="005071A1">
        <w:lastRenderedPageBreak/>
        <w:tab/>
        <w:t>(b)</w:t>
      </w:r>
      <w:r w:rsidRPr="005071A1">
        <w:tab/>
        <w:t>the relevant person fails to comply with the notice and the Commissioner is not satisfied that there was a reasonable excuse for the failure;</w:t>
      </w:r>
    </w:p>
    <w:p w14:paraId="058006B2" w14:textId="77777777" w:rsidR="00B33542" w:rsidRPr="005071A1" w:rsidRDefault="00B33542" w:rsidP="00B33542">
      <w:pPr>
        <w:pStyle w:val="subsection2"/>
      </w:pPr>
      <w:r w:rsidRPr="005071A1">
        <w:t>the Commissioner shall, by notice in writing given to the relevant person or to the relevant person and the other person, as the case may be, refuse to revoke the suspension.</w:t>
      </w:r>
    </w:p>
    <w:p w14:paraId="1B8D95B6" w14:textId="77777777" w:rsidR="00B33542" w:rsidRPr="005071A1" w:rsidRDefault="00B33542" w:rsidP="00B33542">
      <w:pPr>
        <w:pStyle w:val="subsection"/>
      </w:pPr>
      <w:r w:rsidRPr="005071A1">
        <w:tab/>
        <w:t>(12)</w:t>
      </w:r>
      <w:r w:rsidRPr="005071A1">
        <w:tab/>
        <w:t xml:space="preserve">A notice under </w:t>
      </w:r>
      <w:r w:rsidR="008B2950" w:rsidRPr="005071A1">
        <w:t>subsection (</w:t>
      </w:r>
      <w:r w:rsidRPr="005071A1">
        <w:t xml:space="preserve">11) shall set out the effect of </w:t>
      </w:r>
      <w:r w:rsidR="004510F0">
        <w:t>section 1</w:t>
      </w:r>
      <w:r w:rsidRPr="005071A1">
        <w:t>19WB.</w:t>
      </w:r>
    </w:p>
    <w:p w14:paraId="21B51FB1" w14:textId="77777777" w:rsidR="00B33542" w:rsidRPr="005071A1" w:rsidRDefault="00B33542" w:rsidP="00B33542">
      <w:pPr>
        <w:pStyle w:val="subsection"/>
      </w:pPr>
      <w:r w:rsidRPr="005071A1">
        <w:tab/>
        <w:t>(13)</w:t>
      </w:r>
      <w:r w:rsidRPr="005071A1">
        <w:tab/>
        <w:t xml:space="preserve">Where a person whose pension has been suspended under </w:t>
      </w:r>
      <w:r w:rsidR="008B2950" w:rsidRPr="005071A1">
        <w:t>subsection (</w:t>
      </w:r>
      <w:r w:rsidRPr="005071A1">
        <w:t>3) dies before the pension again becomes payable, the person shall, for the purposes of subsection</w:t>
      </w:r>
      <w:r w:rsidR="008B2950" w:rsidRPr="005071A1">
        <w:t> </w:t>
      </w:r>
      <w:r w:rsidRPr="005071A1">
        <w:t>47(1) or 48(2), be deemed to have been in receipt of pension at the time of the person’s death and, for the purposes of sections</w:t>
      </w:r>
      <w:r w:rsidR="008B2950" w:rsidRPr="005071A1">
        <w:t> </w:t>
      </w:r>
      <w:r w:rsidRPr="005071A1">
        <w:t>47 and 48, the pension shall be deemed to have been payable at the rate at which it would have been payable to the person if it had not been suspended.</w:t>
      </w:r>
    </w:p>
    <w:p w14:paraId="3C8D8219" w14:textId="77777777" w:rsidR="00B33542" w:rsidRPr="005071A1" w:rsidRDefault="00B33542" w:rsidP="00B33542">
      <w:pPr>
        <w:pStyle w:val="subsection"/>
      </w:pPr>
      <w:r w:rsidRPr="005071A1">
        <w:tab/>
        <w:t>(14)</w:t>
      </w:r>
      <w:r w:rsidRPr="005071A1">
        <w:tab/>
        <w:t xml:space="preserve">Where pension again becomes payable to a person whose pension was suspended under </w:t>
      </w:r>
      <w:r w:rsidR="008B2950" w:rsidRPr="005071A1">
        <w:t>subsection (</w:t>
      </w:r>
      <w:r w:rsidRPr="005071A1">
        <w:t>3), the person shall, for the purposes of the application of Part XI in relation to the pension, be deemed to have been in receipt of pension during the period of the suspension at the rate at which it would have been payable to the person if it had not been suspended.</w:t>
      </w:r>
    </w:p>
    <w:p w14:paraId="1BC4C6C9" w14:textId="77777777" w:rsidR="00B33542" w:rsidRPr="005071A1" w:rsidRDefault="00B33542" w:rsidP="00B33542">
      <w:pPr>
        <w:pStyle w:val="subsection"/>
      </w:pPr>
      <w:r w:rsidRPr="005071A1">
        <w:tab/>
        <w:t>(15)</w:t>
      </w:r>
      <w:r w:rsidRPr="005071A1">
        <w:tab/>
        <w:t>The cost of any medical examination carried out for the purposes of this section shall be treated as part of the cost of the administration of this Act.</w:t>
      </w:r>
    </w:p>
    <w:p w14:paraId="670ACE5B" w14:textId="77777777" w:rsidR="00B33542" w:rsidRPr="005071A1" w:rsidRDefault="00B33542" w:rsidP="00B33542">
      <w:pPr>
        <w:pStyle w:val="subsection"/>
      </w:pPr>
      <w:r w:rsidRPr="005071A1">
        <w:tab/>
        <w:t>(16)</w:t>
      </w:r>
      <w:r w:rsidRPr="005071A1">
        <w:tab/>
        <w:t>Where the Commissioner is required by this section to give a person a notice, the notice shall be taken to have been given to the person if:</w:t>
      </w:r>
    </w:p>
    <w:p w14:paraId="249B61E3" w14:textId="77777777" w:rsidR="00B33542" w:rsidRPr="005071A1" w:rsidRDefault="00B33542" w:rsidP="00B33542">
      <w:pPr>
        <w:pStyle w:val="paragraph"/>
      </w:pPr>
      <w:r w:rsidRPr="005071A1">
        <w:tab/>
        <w:t>(a)</w:t>
      </w:r>
      <w:r w:rsidRPr="005071A1">
        <w:tab/>
        <w:t>the notice is served on the person personally;</w:t>
      </w:r>
    </w:p>
    <w:p w14:paraId="7806F95C" w14:textId="77777777" w:rsidR="00B33542" w:rsidRPr="005071A1" w:rsidRDefault="00B33542" w:rsidP="00B33542">
      <w:pPr>
        <w:pStyle w:val="paragraph"/>
      </w:pPr>
      <w:r w:rsidRPr="005071A1">
        <w:tab/>
        <w:t>(b)</w:t>
      </w:r>
      <w:r w:rsidRPr="005071A1">
        <w:tab/>
        <w:t>the notice is sent to the person by pre</w:t>
      </w:r>
      <w:r w:rsidR="004510F0">
        <w:noBreakHyphen/>
      </w:r>
      <w:r w:rsidRPr="005071A1">
        <w:t>paid post as a letter and the person acknowledges receipt of the letter; or</w:t>
      </w:r>
    </w:p>
    <w:p w14:paraId="3E992B98" w14:textId="77777777" w:rsidR="00B33542" w:rsidRPr="005071A1" w:rsidRDefault="00B33542" w:rsidP="00B33542">
      <w:pPr>
        <w:pStyle w:val="paragraph"/>
      </w:pPr>
      <w:r w:rsidRPr="005071A1">
        <w:lastRenderedPageBreak/>
        <w:tab/>
        <w:t>(c)</w:t>
      </w:r>
      <w:r w:rsidRPr="005071A1">
        <w:tab/>
        <w:t>where the Commissioner has caused all reasonable steps to be taken to ascertain a reliable address of the person, the notice is sent to the person by pre</w:t>
      </w:r>
      <w:r w:rsidR="004510F0">
        <w:noBreakHyphen/>
      </w:r>
      <w:r w:rsidRPr="005071A1">
        <w:t>paid post to:</w:t>
      </w:r>
    </w:p>
    <w:p w14:paraId="152A32B9" w14:textId="77777777" w:rsidR="00B33542" w:rsidRPr="005071A1" w:rsidRDefault="00B33542" w:rsidP="00B33542">
      <w:pPr>
        <w:pStyle w:val="paragraphsub"/>
      </w:pPr>
      <w:r w:rsidRPr="005071A1">
        <w:tab/>
        <w:t>(i)</w:t>
      </w:r>
      <w:r w:rsidRPr="005071A1">
        <w:tab/>
        <w:t>in a case where the Commissioner is satisfied that at least one reliable address of the person has been ascertained—that reliable address, or one of the reliable addresses, ascertained; or</w:t>
      </w:r>
    </w:p>
    <w:p w14:paraId="0EE8A825" w14:textId="77777777" w:rsidR="00B33542" w:rsidRPr="005071A1" w:rsidRDefault="00B33542" w:rsidP="00B33542">
      <w:pPr>
        <w:pStyle w:val="paragraphsub"/>
      </w:pPr>
      <w:r w:rsidRPr="005071A1">
        <w:tab/>
        <w:t>(ii)</w:t>
      </w:r>
      <w:r w:rsidRPr="005071A1">
        <w:tab/>
        <w:t>in any other case—the last address of the person known to the Commissioner.</w:t>
      </w:r>
    </w:p>
    <w:p w14:paraId="0E874B1E" w14:textId="77777777" w:rsidR="00B33542" w:rsidRPr="005071A1" w:rsidRDefault="00B33542" w:rsidP="00B33542">
      <w:pPr>
        <w:pStyle w:val="subsection"/>
      </w:pPr>
      <w:r w:rsidRPr="005071A1">
        <w:tab/>
        <w:t>(17)</w:t>
      </w:r>
      <w:r w:rsidRPr="005071A1">
        <w:tab/>
        <w:t xml:space="preserve">A reference in </w:t>
      </w:r>
      <w:r w:rsidR="008B2950" w:rsidRPr="005071A1">
        <w:t>subsection (</w:t>
      </w:r>
      <w:r w:rsidRPr="005071A1">
        <w:t>16) to a reliable address of a person shall be read as a reference to an address where, if a letter were sent to the person by pre</w:t>
      </w:r>
      <w:r w:rsidR="004510F0">
        <w:noBreakHyphen/>
      </w:r>
      <w:r w:rsidRPr="005071A1">
        <w:t>paid post to the address, the person would probably receive the letter.</w:t>
      </w:r>
    </w:p>
    <w:p w14:paraId="77596FCC" w14:textId="77777777" w:rsidR="00B33542" w:rsidRPr="005071A1" w:rsidRDefault="00B33542" w:rsidP="00B33542">
      <w:pPr>
        <w:pStyle w:val="subsection"/>
      </w:pPr>
      <w:r w:rsidRPr="005071A1">
        <w:tab/>
        <w:t>(18)</w:t>
      </w:r>
      <w:r w:rsidRPr="005071A1">
        <w:tab/>
        <w:t>A reference in this section to a medical examination by a medical practitioner does not include a reference to a medical examination by a person other than a person registered or licensed as a medical practitioner under a law of a State or Territory that provides for the registration or licensing of medical practitioners unless:</w:t>
      </w:r>
    </w:p>
    <w:p w14:paraId="3D22E443" w14:textId="77777777" w:rsidR="00B33542" w:rsidRPr="005071A1" w:rsidRDefault="00B33542" w:rsidP="00B33542">
      <w:pPr>
        <w:pStyle w:val="paragraph"/>
      </w:pPr>
      <w:r w:rsidRPr="005071A1">
        <w:tab/>
        <w:t>(a)</w:t>
      </w:r>
      <w:r w:rsidRPr="005071A1">
        <w:tab/>
        <w:t xml:space="preserve">the medical examination is made in a place that is not in </w:t>
      </w:r>
      <w:smartTag w:uri="urn:schemas-microsoft-com:office:smarttags" w:element="place">
        <w:smartTag w:uri="urn:schemas-microsoft-com:office:smarttags" w:element="country-region">
          <w:r w:rsidRPr="005071A1">
            <w:t>Australia</w:t>
          </w:r>
        </w:smartTag>
      </w:smartTag>
      <w:r w:rsidRPr="005071A1">
        <w:t xml:space="preserve"> or an external Territory; and</w:t>
      </w:r>
    </w:p>
    <w:p w14:paraId="7E9BC19E" w14:textId="77777777" w:rsidR="00B33542" w:rsidRPr="005071A1" w:rsidRDefault="00B33542" w:rsidP="00B33542">
      <w:pPr>
        <w:pStyle w:val="paragraph"/>
      </w:pPr>
      <w:r w:rsidRPr="005071A1">
        <w:tab/>
        <w:t>(b)</w:t>
      </w:r>
      <w:r w:rsidRPr="005071A1">
        <w:tab/>
        <w:t>the person is registered or licensed as a medical practitioner under a law of that place that provides for the registration or licensing of medical practitioners.</w:t>
      </w:r>
    </w:p>
    <w:p w14:paraId="385FBE17" w14:textId="77777777" w:rsidR="00B33542" w:rsidRPr="005071A1" w:rsidRDefault="00B33542" w:rsidP="00B33542">
      <w:pPr>
        <w:pStyle w:val="ActHead5"/>
      </w:pPr>
      <w:bookmarkStart w:id="230" w:name="_Toc185577612"/>
      <w:r w:rsidRPr="004510F0">
        <w:rPr>
          <w:rStyle w:val="CharSectno"/>
        </w:rPr>
        <w:t>119WB</w:t>
      </w:r>
      <w:r w:rsidRPr="005071A1">
        <w:t xml:space="preserve">  Cancellation of pension where pension suspended for 12 months etc.</w:t>
      </w:r>
      <w:bookmarkEnd w:id="230"/>
    </w:p>
    <w:p w14:paraId="4C0C3D37" w14:textId="77777777" w:rsidR="00B33542" w:rsidRPr="005071A1" w:rsidRDefault="00B33542" w:rsidP="00B33542">
      <w:pPr>
        <w:pStyle w:val="subsection"/>
      </w:pPr>
      <w:r w:rsidRPr="005071A1">
        <w:tab/>
      </w:r>
      <w:r w:rsidRPr="005071A1">
        <w:tab/>
        <w:t>Where:</w:t>
      </w:r>
    </w:p>
    <w:p w14:paraId="0C953E0D" w14:textId="77777777" w:rsidR="00B33542" w:rsidRPr="005071A1" w:rsidRDefault="00B33542" w:rsidP="00B33542">
      <w:pPr>
        <w:pStyle w:val="paragraph"/>
      </w:pPr>
      <w:r w:rsidRPr="005071A1">
        <w:tab/>
        <w:t>(a)</w:t>
      </w:r>
      <w:r w:rsidRPr="005071A1">
        <w:tab/>
        <w:t>a person’s pension is suspended under sub</w:t>
      </w:r>
      <w:r w:rsidR="004510F0">
        <w:t>section 1</w:t>
      </w:r>
      <w:r w:rsidRPr="005071A1">
        <w:t>19WA(3);</w:t>
      </w:r>
    </w:p>
    <w:p w14:paraId="547A2EBF" w14:textId="77777777" w:rsidR="00B33542" w:rsidRPr="005071A1" w:rsidRDefault="00B33542" w:rsidP="00B33542">
      <w:pPr>
        <w:pStyle w:val="paragraph"/>
      </w:pPr>
      <w:r w:rsidRPr="005071A1">
        <w:tab/>
        <w:t>(b)</w:t>
      </w:r>
      <w:r w:rsidRPr="005071A1">
        <w:tab/>
        <w:t>immediately before the suspension, the person had not attained the age of 64 years; and</w:t>
      </w:r>
    </w:p>
    <w:p w14:paraId="6E602DCD" w14:textId="77777777" w:rsidR="00B33542" w:rsidRPr="005071A1" w:rsidRDefault="00B33542" w:rsidP="00B33542">
      <w:pPr>
        <w:pStyle w:val="paragraph"/>
      </w:pPr>
      <w:r w:rsidRPr="005071A1">
        <w:lastRenderedPageBreak/>
        <w:tab/>
        <w:t>(c)</w:t>
      </w:r>
      <w:r w:rsidRPr="005071A1">
        <w:tab/>
        <w:t>the suspension is not revoked:</w:t>
      </w:r>
    </w:p>
    <w:p w14:paraId="7AC9F832" w14:textId="77777777" w:rsidR="00B33542" w:rsidRPr="005071A1" w:rsidRDefault="00B33542" w:rsidP="00B33542">
      <w:pPr>
        <w:pStyle w:val="paragraphsub"/>
      </w:pPr>
      <w:r w:rsidRPr="005071A1">
        <w:tab/>
        <w:t>(i)</w:t>
      </w:r>
      <w:r w:rsidRPr="005071A1">
        <w:tab/>
        <w:t xml:space="preserve">in a case where a request to revoke the suspension is made under </w:t>
      </w:r>
      <w:r w:rsidR="004510F0">
        <w:t>section 1</w:t>
      </w:r>
      <w:r w:rsidRPr="005071A1">
        <w:t xml:space="preserve">19WA before the expiration of a period of 12 months after the suspension came into force and the Commissioner does not make a decision under </w:t>
      </w:r>
      <w:r w:rsidR="004510F0">
        <w:t>section 1</w:t>
      </w:r>
      <w:r w:rsidRPr="005071A1">
        <w:t>19WA in relation to that request within that period—upon the making of that decision; or</w:t>
      </w:r>
    </w:p>
    <w:p w14:paraId="31439791" w14:textId="77777777" w:rsidR="00B33542" w:rsidRPr="005071A1" w:rsidRDefault="00B33542" w:rsidP="00B33542">
      <w:pPr>
        <w:pStyle w:val="paragraphsub"/>
        <w:keepNext/>
      </w:pPr>
      <w:r w:rsidRPr="005071A1">
        <w:tab/>
        <w:t>(ii)</w:t>
      </w:r>
      <w:r w:rsidRPr="005071A1">
        <w:tab/>
        <w:t>in any other case—for a period of 12 months;</w:t>
      </w:r>
    </w:p>
    <w:p w14:paraId="091A63D4" w14:textId="77777777" w:rsidR="00B33542" w:rsidRPr="005071A1" w:rsidRDefault="00B33542" w:rsidP="00B33542">
      <w:pPr>
        <w:pStyle w:val="subsection2"/>
      </w:pPr>
      <w:r w:rsidRPr="005071A1">
        <w:t>the Commissioner may, by notice in writing given to the person, cancel the person’s entitlement to pension.</w:t>
      </w:r>
    </w:p>
    <w:p w14:paraId="547480CD" w14:textId="77777777" w:rsidR="00B33542" w:rsidRPr="005071A1" w:rsidRDefault="00B33542" w:rsidP="00B33542">
      <w:pPr>
        <w:pStyle w:val="ActHead5"/>
      </w:pPr>
      <w:bookmarkStart w:id="231" w:name="_Toc185577613"/>
      <w:r w:rsidRPr="004510F0">
        <w:rPr>
          <w:rStyle w:val="CharSectno"/>
        </w:rPr>
        <w:t>119WC</w:t>
      </w:r>
      <w:r w:rsidRPr="005071A1">
        <w:t xml:space="preserve">  Election for transfer value by persons in relation to whom deferred benefits are applicable</w:t>
      </w:r>
      <w:bookmarkEnd w:id="231"/>
    </w:p>
    <w:p w14:paraId="147E0893" w14:textId="77777777" w:rsidR="00B33542" w:rsidRPr="005071A1" w:rsidRDefault="00B33542" w:rsidP="00B33542">
      <w:pPr>
        <w:pStyle w:val="subsection"/>
      </w:pPr>
      <w:r w:rsidRPr="005071A1">
        <w:tab/>
        <w:t>(1)</w:t>
      </w:r>
      <w:r w:rsidRPr="005071A1">
        <w:tab/>
        <w:t xml:space="preserve">Where a person in relation to whom deferred benefits are applicable under </w:t>
      </w:r>
      <w:r w:rsidR="008B2950" w:rsidRPr="005071A1">
        <w:t>subsection (</w:t>
      </w:r>
      <w:r w:rsidRPr="005071A1">
        <w:t xml:space="preserve">1) of </w:t>
      </w:r>
      <w:r w:rsidR="004510F0">
        <w:t>section 1</w:t>
      </w:r>
      <w:r w:rsidRPr="005071A1">
        <w:t>19W:</w:t>
      </w:r>
    </w:p>
    <w:p w14:paraId="421BA98C" w14:textId="77777777" w:rsidR="00B33542" w:rsidRPr="005071A1" w:rsidRDefault="00B33542" w:rsidP="00B33542">
      <w:pPr>
        <w:pStyle w:val="paragraph"/>
      </w:pPr>
      <w:r w:rsidRPr="005071A1">
        <w:tab/>
        <w:t>(a)</w:t>
      </w:r>
      <w:r w:rsidRPr="005071A1">
        <w:tab/>
        <w:t>is or becomes employed in public employment; and</w:t>
      </w:r>
    </w:p>
    <w:p w14:paraId="3A4437E7" w14:textId="77777777" w:rsidR="00B33542" w:rsidRPr="005071A1" w:rsidRDefault="00B33542" w:rsidP="00B33542">
      <w:pPr>
        <w:pStyle w:val="paragraph"/>
        <w:keepNext/>
      </w:pPr>
      <w:r w:rsidRPr="005071A1">
        <w:tab/>
        <w:t>(b)</w:t>
      </w:r>
      <w:r w:rsidRPr="005071A1">
        <w:tab/>
        <w:t>is or becomes a member of an eligible superannuation scheme that is applicable to persons employed in that employment;</w:t>
      </w:r>
    </w:p>
    <w:p w14:paraId="66215CCD" w14:textId="77777777" w:rsidR="00B33542" w:rsidRPr="005071A1" w:rsidRDefault="00B33542" w:rsidP="00B33542">
      <w:pPr>
        <w:pStyle w:val="subsection2"/>
      </w:pPr>
      <w:r w:rsidRPr="005071A1">
        <w:t>the person may elect, by notice in writing given to the Commissioner, that, in lieu of those deferred benefits, a transfer value in respect of the person be paid to the person administering that scheme.</w:t>
      </w:r>
    </w:p>
    <w:p w14:paraId="28F2140B" w14:textId="77777777" w:rsidR="00B33542" w:rsidRPr="005071A1" w:rsidRDefault="00B33542" w:rsidP="00B33542">
      <w:pPr>
        <w:pStyle w:val="subsection"/>
      </w:pPr>
      <w:r w:rsidRPr="005071A1">
        <w:tab/>
        <w:t>(2)</w:t>
      </w:r>
      <w:r w:rsidRPr="005071A1">
        <w:tab/>
        <w:t xml:space="preserve">Where a person to whom deferred benefits are applicable and who is or becomes a member of an eligible superannuation scheme makes an election under </w:t>
      </w:r>
      <w:r w:rsidR="008B2950" w:rsidRPr="005071A1">
        <w:t>subsection (</w:t>
      </w:r>
      <w:r w:rsidRPr="005071A1">
        <w:t>1) for the payment of a transfer value in respect of the person in lieu of those deferred benefits, a transfer value in respect of the person is payable to the person administering that scheme.</w:t>
      </w:r>
    </w:p>
    <w:p w14:paraId="69F7AF3A" w14:textId="77777777" w:rsidR="00B33542" w:rsidRPr="005071A1" w:rsidRDefault="00B33542" w:rsidP="00B33542">
      <w:pPr>
        <w:pStyle w:val="subsection"/>
      </w:pPr>
      <w:r w:rsidRPr="005071A1">
        <w:tab/>
        <w:t>(3)</w:t>
      </w:r>
      <w:r w:rsidRPr="005071A1">
        <w:tab/>
        <w:t xml:space="preserve">Where a transfer value in respect of a person in lieu of deferred benefits applicable in relation to that person is paid under </w:t>
      </w:r>
      <w:r w:rsidR="008B2950" w:rsidRPr="005071A1">
        <w:lastRenderedPageBreak/>
        <w:t>subsection (</w:t>
      </w:r>
      <w:r w:rsidRPr="005071A1">
        <w:t>2), those deferred benefits cease to be applicable in relation to that person.</w:t>
      </w:r>
    </w:p>
    <w:p w14:paraId="5E0A3DFA" w14:textId="77777777" w:rsidR="00B33542" w:rsidRPr="005071A1" w:rsidRDefault="00B33542" w:rsidP="00B33542">
      <w:pPr>
        <w:pStyle w:val="subsection"/>
      </w:pPr>
      <w:r w:rsidRPr="005071A1">
        <w:tab/>
        <w:t>(4)</w:t>
      </w:r>
      <w:r w:rsidRPr="005071A1">
        <w:tab/>
        <w:t xml:space="preserve">Notwithstanding </w:t>
      </w:r>
      <w:r w:rsidR="008B2950" w:rsidRPr="005071A1">
        <w:t>subsection (</w:t>
      </w:r>
      <w:r w:rsidRPr="005071A1">
        <w:t>2), a transfer value is not payable under that subsection in respect of a person in lieu of deferred benefits that are applicable in relation to that person if at any time after those deferred benefits first became so applicable they have been payable to the person.</w:t>
      </w:r>
    </w:p>
    <w:p w14:paraId="49F88DF7" w14:textId="77777777" w:rsidR="00B33542" w:rsidRPr="005071A1" w:rsidRDefault="00B33542" w:rsidP="00B33542">
      <w:pPr>
        <w:pStyle w:val="subsection"/>
      </w:pPr>
      <w:r w:rsidRPr="005071A1">
        <w:tab/>
        <w:t>(5)</w:t>
      </w:r>
      <w:r w:rsidRPr="005071A1">
        <w:tab/>
        <w:t xml:space="preserve">Notwithstanding </w:t>
      </w:r>
      <w:r w:rsidR="008B2950" w:rsidRPr="005071A1">
        <w:t>subsection (</w:t>
      </w:r>
      <w:r w:rsidRPr="005071A1">
        <w:t>2), a transfer value in respect of a person is not payable under that subsection to the person administering an eligible superannuation scheme unless the person administering the superannuation scheme agrees to accept the transfer value and, under the rules of that scheme, the first</w:t>
      </w:r>
      <w:r w:rsidR="004510F0">
        <w:noBreakHyphen/>
      </w:r>
      <w:r w:rsidRPr="005071A1">
        <w:t>mentioned person will become entitled to retirement benefits under the scheme based upon the transfer value.</w:t>
      </w:r>
    </w:p>
    <w:p w14:paraId="5F6B1704" w14:textId="77777777" w:rsidR="00B33542" w:rsidRPr="005071A1" w:rsidRDefault="00B33542" w:rsidP="00B33542">
      <w:pPr>
        <w:pStyle w:val="subsection"/>
      </w:pPr>
      <w:r w:rsidRPr="005071A1">
        <w:tab/>
        <w:t>(6)</w:t>
      </w:r>
      <w:r w:rsidRPr="005071A1">
        <w:tab/>
        <w:t xml:space="preserve">Nothing in this section shall be taken, by implication, to preclude a person to whom different deferred benefits are applicable by reason of the person’s having made more than one election under </w:t>
      </w:r>
      <w:r w:rsidR="004510F0">
        <w:t>section 1</w:t>
      </w:r>
      <w:r w:rsidRPr="005071A1">
        <w:t xml:space="preserve">19U from making more than one election under </w:t>
      </w:r>
      <w:r w:rsidR="008B2950" w:rsidRPr="005071A1">
        <w:t>subsection (</w:t>
      </w:r>
      <w:r w:rsidRPr="005071A1">
        <w:t>1).</w:t>
      </w:r>
    </w:p>
    <w:p w14:paraId="2A5EEFF0" w14:textId="77777777" w:rsidR="00B33542" w:rsidRPr="005071A1" w:rsidRDefault="00B33542" w:rsidP="00B33542">
      <w:pPr>
        <w:pStyle w:val="ActHead5"/>
      </w:pPr>
      <w:bookmarkStart w:id="232" w:name="_Toc185577614"/>
      <w:r w:rsidRPr="004510F0">
        <w:rPr>
          <w:rStyle w:val="CharSectno"/>
        </w:rPr>
        <w:t>119X</w:t>
      </w:r>
      <w:r w:rsidRPr="005071A1">
        <w:t xml:space="preserve">  Person who is entitled to rights under this Division not entitled to rights under other provisions of this Act</w:t>
      </w:r>
      <w:bookmarkEnd w:id="232"/>
    </w:p>
    <w:p w14:paraId="17278ADA" w14:textId="77777777" w:rsidR="00B33542" w:rsidRPr="005071A1" w:rsidRDefault="00B33542" w:rsidP="00B33542">
      <w:pPr>
        <w:pStyle w:val="subsection"/>
      </w:pPr>
      <w:r w:rsidRPr="005071A1">
        <w:tab/>
        <w:t>(1)</w:t>
      </w:r>
      <w:r w:rsidRPr="005071A1">
        <w:tab/>
        <w:t xml:space="preserve">Subject to </w:t>
      </w:r>
      <w:r w:rsidR="008B2950" w:rsidRPr="005071A1">
        <w:t>paragraph (</w:t>
      </w:r>
      <w:r w:rsidRPr="005071A1">
        <w:t xml:space="preserve">b) of </w:t>
      </w:r>
      <w:r w:rsidR="008B2950" w:rsidRPr="005071A1">
        <w:t>subsection (</w:t>
      </w:r>
      <w:r w:rsidRPr="005071A1">
        <w:t xml:space="preserve">6) of </w:t>
      </w:r>
      <w:r w:rsidR="004510F0">
        <w:t>section 1</w:t>
      </w:r>
      <w:r w:rsidRPr="005071A1">
        <w:t xml:space="preserve">19W, where </w:t>
      </w:r>
      <w:r w:rsidR="004510F0">
        <w:t>section 1</w:t>
      </w:r>
      <w:r w:rsidRPr="005071A1">
        <w:t>19V or 119W applies in relation to a person, any benefit that, but for this Division, would be payable to or in respect of the person under this Act by reason of his resignation or discharge is not payable except where that benefit is payable by virtue of the operation of this Division.</w:t>
      </w:r>
    </w:p>
    <w:p w14:paraId="63069DAB" w14:textId="77777777" w:rsidR="00B33542" w:rsidRPr="005071A1" w:rsidRDefault="00B33542" w:rsidP="00B33542">
      <w:pPr>
        <w:pStyle w:val="subsection"/>
        <w:keepNext/>
      </w:pPr>
      <w:r w:rsidRPr="005071A1">
        <w:lastRenderedPageBreak/>
        <w:tab/>
        <w:t>(2)</w:t>
      </w:r>
      <w:r w:rsidRPr="005071A1">
        <w:tab/>
        <w:t>Where:</w:t>
      </w:r>
    </w:p>
    <w:p w14:paraId="0FDB861C" w14:textId="77777777" w:rsidR="00B33542" w:rsidRPr="005071A1" w:rsidRDefault="00B33542" w:rsidP="00B33542">
      <w:pPr>
        <w:pStyle w:val="paragraph"/>
      </w:pPr>
      <w:r w:rsidRPr="005071A1">
        <w:tab/>
        <w:t>(a)</w:t>
      </w:r>
      <w:r w:rsidRPr="005071A1">
        <w:tab/>
        <w:t>a payment has been made under section</w:t>
      </w:r>
      <w:r w:rsidR="008B2950" w:rsidRPr="005071A1">
        <w:t> </w:t>
      </w:r>
      <w:r w:rsidRPr="005071A1">
        <w:t>51 or section</w:t>
      </w:r>
      <w:r w:rsidR="008B2950" w:rsidRPr="005071A1">
        <w:t> </w:t>
      </w:r>
      <w:r w:rsidRPr="005071A1">
        <w:t>85 to a person who has ceased to be a contributor to the Fund or to the Provident Account; and</w:t>
      </w:r>
    </w:p>
    <w:p w14:paraId="73B4A39B" w14:textId="77777777" w:rsidR="00B33542" w:rsidRPr="005071A1" w:rsidRDefault="00B33542" w:rsidP="00B33542">
      <w:pPr>
        <w:pStyle w:val="paragraph"/>
        <w:keepNext/>
      </w:pPr>
      <w:r w:rsidRPr="005071A1">
        <w:tab/>
        <w:t>(b)</w:t>
      </w:r>
      <w:r w:rsidRPr="005071A1">
        <w:tab/>
        <w:t xml:space="preserve">after the payment was made, the person makes an election under </w:t>
      </w:r>
      <w:r w:rsidR="004510F0">
        <w:t>section 1</w:t>
      </w:r>
      <w:r w:rsidRPr="005071A1">
        <w:t>19U;</w:t>
      </w:r>
    </w:p>
    <w:p w14:paraId="73F55D6D" w14:textId="77777777" w:rsidR="00B33542" w:rsidRPr="005071A1" w:rsidRDefault="00B33542" w:rsidP="00B33542">
      <w:pPr>
        <w:pStyle w:val="subsection2"/>
      </w:pPr>
      <w:r w:rsidRPr="005071A1">
        <w:t>the election does not have any effect unless an amount equal to the amount of the payment is paid to the Fund or to the Provident Account, as the case may be, within seven days after the date of the election or within such further period as the Board in special circumstances allows.</w:t>
      </w:r>
    </w:p>
    <w:p w14:paraId="270E22FF" w14:textId="77777777" w:rsidR="00B33542" w:rsidRPr="005071A1" w:rsidRDefault="00B33542" w:rsidP="00B33542">
      <w:pPr>
        <w:pStyle w:val="ActHead5"/>
      </w:pPr>
      <w:bookmarkStart w:id="233" w:name="_Toc185577615"/>
      <w:r w:rsidRPr="004510F0">
        <w:rPr>
          <w:rStyle w:val="CharSectno"/>
        </w:rPr>
        <w:t>119Y</w:t>
      </w:r>
      <w:r w:rsidRPr="005071A1">
        <w:t xml:space="preserve">  Certain former contributors not entitled to benefits under this Division</w:t>
      </w:r>
      <w:bookmarkEnd w:id="233"/>
    </w:p>
    <w:p w14:paraId="646168FA" w14:textId="77777777" w:rsidR="00B33542" w:rsidRPr="005071A1" w:rsidRDefault="00B33542" w:rsidP="00B33542">
      <w:pPr>
        <w:pStyle w:val="subsection"/>
      </w:pPr>
      <w:r w:rsidRPr="005071A1">
        <w:tab/>
        <w:t>(1)</w:t>
      </w:r>
      <w:r w:rsidRPr="005071A1">
        <w:tab/>
        <w:t xml:space="preserve">Where a person (other than a person who, at the time when he ceased to be a contributor to the Fund or to the Provident Account, had completed twenty years’ eligible employment) who has made an election under </w:t>
      </w:r>
      <w:r w:rsidR="004510F0">
        <w:t>section 1</w:t>
      </w:r>
      <w:r w:rsidRPr="005071A1">
        <w:t xml:space="preserve">19U (not being an election that the person became entitled to make by reason of the operation of </w:t>
      </w:r>
      <w:r w:rsidR="008B2950" w:rsidRPr="005071A1">
        <w:t>subparagraph (</w:t>
      </w:r>
      <w:r w:rsidRPr="005071A1">
        <w:t xml:space="preserve">ii) of </w:t>
      </w:r>
      <w:r w:rsidR="008B2950" w:rsidRPr="005071A1">
        <w:t>paragraph (</w:t>
      </w:r>
      <w:r w:rsidRPr="005071A1">
        <w:t xml:space="preserve">b) of </w:t>
      </w:r>
      <w:r w:rsidR="008B2950" w:rsidRPr="005071A1">
        <w:t>subsection (</w:t>
      </w:r>
      <w:r w:rsidRPr="005071A1">
        <w:t>1) of that section) is not employed in public employment at the expiration of the period that is the prescribed period in relation to him, then, unless:</w:t>
      </w:r>
    </w:p>
    <w:p w14:paraId="08051E95" w14:textId="77777777" w:rsidR="00B33542" w:rsidRPr="005071A1" w:rsidRDefault="00B33542" w:rsidP="00B33542">
      <w:pPr>
        <w:pStyle w:val="paragraph"/>
      </w:pPr>
      <w:r w:rsidRPr="005071A1">
        <w:tab/>
        <w:t>(a)</w:t>
      </w:r>
      <w:r w:rsidRPr="005071A1">
        <w:tab/>
        <w:t>the sum of the periods of eligible employment in which he has been employed and the period of public employment (if any) in which he was employed during that prescribed period was not less than twenty years;</w:t>
      </w:r>
    </w:p>
    <w:p w14:paraId="4772F2D9" w14:textId="77777777" w:rsidR="00B33542" w:rsidRPr="005071A1" w:rsidRDefault="00B33542" w:rsidP="00B33542">
      <w:pPr>
        <w:pStyle w:val="paragraph"/>
      </w:pPr>
      <w:r w:rsidRPr="005071A1">
        <w:tab/>
        <w:t>(b)</w:t>
      </w:r>
      <w:r w:rsidRPr="005071A1">
        <w:tab/>
        <w:t>he died or attained the persons relevant retiring age within that prescribed period at a time when he was employed in public employment; or</w:t>
      </w:r>
    </w:p>
    <w:p w14:paraId="1FDB5BEE" w14:textId="77777777" w:rsidR="00B33542" w:rsidRPr="005071A1" w:rsidRDefault="00B33542" w:rsidP="00B33542">
      <w:pPr>
        <w:pStyle w:val="paragraph"/>
      </w:pPr>
      <w:r w:rsidRPr="005071A1">
        <w:tab/>
        <w:t>(c)</w:t>
      </w:r>
      <w:r w:rsidRPr="005071A1">
        <w:tab/>
        <w:t>the Board is satisfied that:</w:t>
      </w:r>
    </w:p>
    <w:p w14:paraId="3D627EEC" w14:textId="77777777" w:rsidR="00B33542" w:rsidRPr="005071A1" w:rsidRDefault="00B33542" w:rsidP="00B33542">
      <w:pPr>
        <w:pStyle w:val="paragraphsub"/>
      </w:pPr>
      <w:r w:rsidRPr="005071A1">
        <w:tab/>
        <w:t>(i)</w:t>
      </w:r>
      <w:r w:rsidRPr="005071A1">
        <w:tab/>
        <w:t>he ceased within that prescribed period, by reason of invalidity or physical or mental incapacity, to be employed in public employment; and</w:t>
      </w:r>
    </w:p>
    <w:p w14:paraId="06ABE5D3" w14:textId="77777777" w:rsidR="00B33542" w:rsidRPr="005071A1" w:rsidRDefault="00B33542" w:rsidP="00B33542">
      <w:pPr>
        <w:pStyle w:val="paragraphsub"/>
        <w:keepNext/>
      </w:pPr>
      <w:r w:rsidRPr="005071A1">
        <w:lastRenderedPageBreak/>
        <w:tab/>
        <w:t>(ii)</w:t>
      </w:r>
      <w:r w:rsidRPr="005071A1">
        <w:tab/>
        <w:t>that invalidity or incapacity rendered him incapable (otherwise than temporarily) of performing duties that are of a kind suitable to be performed by him having regard to the duties performed by him in employment in which he was employed immediately before he ceased to be a contributor to the Fund or to the Provident Account and the duties performed by him in employment (if any) in which he was employed after he ceased to be such a contributor;</w:t>
      </w:r>
    </w:p>
    <w:p w14:paraId="0B9C8B13" w14:textId="77777777" w:rsidR="00B33542" w:rsidRPr="005071A1" w:rsidRDefault="00B33542" w:rsidP="00B33542">
      <w:pPr>
        <w:pStyle w:val="subsection2"/>
      </w:pPr>
      <w:r w:rsidRPr="005071A1">
        <w:t>this Act has effect as if the election had not been made.</w:t>
      </w:r>
    </w:p>
    <w:p w14:paraId="0F900CF4" w14:textId="77777777" w:rsidR="00B33542" w:rsidRPr="005071A1" w:rsidRDefault="00B33542" w:rsidP="00B33542">
      <w:pPr>
        <w:pStyle w:val="subsection"/>
      </w:pPr>
      <w:r w:rsidRPr="005071A1">
        <w:tab/>
        <w:t>(2)</w:t>
      </w:r>
      <w:r w:rsidRPr="005071A1">
        <w:tab/>
        <w:t>Where:</w:t>
      </w:r>
    </w:p>
    <w:p w14:paraId="244DB732" w14:textId="77777777" w:rsidR="00B33542" w:rsidRPr="005071A1" w:rsidRDefault="00B33542" w:rsidP="00B33542">
      <w:pPr>
        <w:pStyle w:val="paragraph"/>
      </w:pPr>
      <w:r w:rsidRPr="005071A1">
        <w:tab/>
        <w:t>(a)</w:t>
      </w:r>
      <w:r w:rsidRPr="005071A1">
        <w:tab/>
        <w:t>a person who ceases to be a contributor to the Fund or to the Provident Account is, at the expiration of the period that is the prescribed period in relation to him, employed in public employment in respect of which a superannuation scheme (other than an eligible superannuation scheme) is applicable and is, at the expiration of that period, a member of that scheme;</w:t>
      </w:r>
    </w:p>
    <w:p w14:paraId="5479C8BD" w14:textId="77777777" w:rsidR="00B33542" w:rsidRPr="005071A1" w:rsidRDefault="00B33542" w:rsidP="00B33542">
      <w:pPr>
        <w:pStyle w:val="paragraph"/>
      </w:pPr>
      <w:r w:rsidRPr="005071A1">
        <w:tab/>
        <w:t>(b)</w:t>
      </w:r>
      <w:r w:rsidRPr="005071A1">
        <w:tab/>
        <w:t xml:space="preserve">the person has made an election under </w:t>
      </w:r>
      <w:r w:rsidR="004510F0">
        <w:t>section 1</w:t>
      </w:r>
      <w:r w:rsidRPr="005071A1">
        <w:t>19U; and</w:t>
      </w:r>
    </w:p>
    <w:p w14:paraId="5F16D0C0" w14:textId="77777777" w:rsidR="00B33542" w:rsidRPr="005071A1" w:rsidRDefault="00B33542" w:rsidP="00B33542">
      <w:pPr>
        <w:pStyle w:val="paragraph"/>
        <w:keepNext/>
      </w:pPr>
      <w:r w:rsidRPr="005071A1">
        <w:tab/>
        <w:t>(c)</w:t>
      </w:r>
      <w:r w:rsidRPr="005071A1">
        <w:tab/>
        <w:t>if a payment were made to him under section</w:t>
      </w:r>
      <w:r w:rsidR="008B2950" w:rsidRPr="005071A1">
        <w:t> </w:t>
      </w:r>
      <w:r w:rsidRPr="005071A1">
        <w:t>51 or section</w:t>
      </w:r>
      <w:r w:rsidR="008B2950" w:rsidRPr="005071A1">
        <w:t> </w:t>
      </w:r>
      <w:r w:rsidRPr="005071A1">
        <w:t>85, he would, under the rules of the superannuation scheme applicable in respect of that employment, be entitled to pay the amount of the payment to the person administering that scheme in exchange for benefits under that scheme;</w:t>
      </w:r>
    </w:p>
    <w:p w14:paraId="09534AA4" w14:textId="77777777" w:rsidR="00B33542" w:rsidRPr="005071A1" w:rsidRDefault="00B33542" w:rsidP="00B33542">
      <w:pPr>
        <w:pStyle w:val="subsection2"/>
      </w:pPr>
      <w:r w:rsidRPr="005071A1">
        <w:t>this Act has effect as if the election had not been made.</w:t>
      </w:r>
    </w:p>
    <w:p w14:paraId="5B6336D7" w14:textId="77777777" w:rsidR="00B33542" w:rsidRPr="005071A1" w:rsidRDefault="00B33542" w:rsidP="00B33542">
      <w:pPr>
        <w:pStyle w:val="subsection"/>
      </w:pPr>
      <w:r w:rsidRPr="005071A1">
        <w:tab/>
        <w:t>(3)</w:t>
      </w:r>
      <w:r w:rsidRPr="005071A1">
        <w:tab/>
        <w:t xml:space="preserve">In this section, </w:t>
      </w:r>
      <w:r w:rsidRPr="005071A1">
        <w:rPr>
          <w:b/>
          <w:i/>
        </w:rPr>
        <w:t>relevant retiring age</w:t>
      </w:r>
      <w:r w:rsidRPr="005071A1">
        <w:t xml:space="preserve"> has the same meaning as it has in </w:t>
      </w:r>
      <w:r w:rsidR="004510F0">
        <w:t>section 1</w:t>
      </w:r>
      <w:r w:rsidRPr="005071A1">
        <w:t>19W.</w:t>
      </w:r>
    </w:p>
    <w:p w14:paraId="083BB7F7" w14:textId="77777777" w:rsidR="00B33542" w:rsidRPr="005071A1" w:rsidRDefault="00B33542" w:rsidP="00B33542">
      <w:pPr>
        <w:pStyle w:val="ActHead5"/>
      </w:pPr>
      <w:bookmarkStart w:id="234" w:name="_Toc185577616"/>
      <w:r w:rsidRPr="004510F0">
        <w:rPr>
          <w:rStyle w:val="CharSectno"/>
        </w:rPr>
        <w:lastRenderedPageBreak/>
        <w:t>119Z</w:t>
      </w:r>
      <w:r w:rsidRPr="005071A1">
        <w:t xml:space="preserve">  Contributor who resigned to contest an election</w:t>
      </w:r>
      <w:bookmarkEnd w:id="234"/>
    </w:p>
    <w:p w14:paraId="760D3ABF" w14:textId="77777777" w:rsidR="00B33542" w:rsidRPr="005071A1" w:rsidRDefault="00B33542" w:rsidP="00B33542">
      <w:pPr>
        <w:pStyle w:val="subsection"/>
      </w:pPr>
      <w:r w:rsidRPr="005071A1">
        <w:tab/>
      </w:r>
      <w:r w:rsidRPr="005071A1">
        <w:tab/>
        <w:t xml:space="preserve">Where a person who has made an election under </w:t>
      </w:r>
      <w:r w:rsidR="004510F0">
        <w:t>section 1</w:t>
      </w:r>
      <w:r w:rsidRPr="005071A1">
        <w:t>19U is, by virtue of section</w:t>
      </w:r>
      <w:r w:rsidR="008B2950" w:rsidRPr="005071A1">
        <w:t> </w:t>
      </w:r>
      <w:r w:rsidRPr="005071A1">
        <w:t>52 or section</w:t>
      </w:r>
      <w:r w:rsidR="008B2950" w:rsidRPr="005071A1">
        <w:t> </w:t>
      </w:r>
      <w:r w:rsidRPr="005071A1">
        <w:t>88, to be deemed not to have ceased to be a contributor to the Fund or to the Provident Account, as the case may be, this Act has effect as if the election had not been made.</w:t>
      </w:r>
    </w:p>
    <w:p w14:paraId="74939E2E" w14:textId="77777777" w:rsidR="00B33542" w:rsidRPr="005071A1" w:rsidRDefault="00B33542" w:rsidP="00B33542">
      <w:pPr>
        <w:pStyle w:val="ActHead5"/>
      </w:pPr>
      <w:bookmarkStart w:id="235" w:name="_Toc185577617"/>
      <w:r w:rsidRPr="004510F0">
        <w:rPr>
          <w:rStyle w:val="CharSectno"/>
        </w:rPr>
        <w:t>119ZA</w:t>
      </w:r>
      <w:r w:rsidRPr="005071A1">
        <w:t xml:space="preserve">  Invalid pensioner restored to health</w:t>
      </w:r>
      <w:bookmarkEnd w:id="235"/>
    </w:p>
    <w:p w14:paraId="5E284105" w14:textId="77777777" w:rsidR="00B33542" w:rsidRPr="005071A1" w:rsidRDefault="00B33542" w:rsidP="00B33542">
      <w:pPr>
        <w:pStyle w:val="subsection"/>
      </w:pPr>
      <w:r w:rsidRPr="005071A1">
        <w:tab/>
        <w:t>(1)</w:t>
      </w:r>
      <w:r w:rsidRPr="005071A1">
        <w:tab/>
        <w:t xml:space="preserve">Where a deferred benefit by way of a pension is payable to a person by reason that the Board is satisfied as to the matters referred to in </w:t>
      </w:r>
      <w:r w:rsidR="008B2950" w:rsidRPr="005071A1">
        <w:t>paragraph (</w:t>
      </w:r>
      <w:r w:rsidRPr="005071A1">
        <w:t xml:space="preserve">a) of </w:t>
      </w:r>
      <w:r w:rsidR="008B2950" w:rsidRPr="005071A1">
        <w:t>subsection (</w:t>
      </w:r>
      <w:r w:rsidRPr="005071A1">
        <w:t xml:space="preserve">2) of </w:t>
      </w:r>
      <w:r w:rsidR="004510F0">
        <w:t>section 1</w:t>
      </w:r>
      <w:r w:rsidRPr="005071A1">
        <w:t>19W:</w:t>
      </w:r>
    </w:p>
    <w:p w14:paraId="495355D3" w14:textId="77777777" w:rsidR="00B33542" w:rsidRPr="005071A1" w:rsidRDefault="00B33542" w:rsidP="00B33542">
      <w:pPr>
        <w:pStyle w:val="paragraph"/>
      </w:pPr>
      <w:r w:rsidRPr="005071A1">
        <w:tab/>
        <w:t>(a)</w:t>
      </w:r>
      <w:r w:rsidRPr="005071A1">
        <w:tab/>
        <w:t xml:space="preserve">if the pension is suspended under </w:t>
      </w:r>
      <w:r w:rsidR="004510F0">
        <w:t>section 1</w:t>
      </w:r>
      <w:r w:rsidRPr="005071A1">
        <w:t>19WA—deferred benefits are not applicable in relation to the person during the period of the suspension of the pension;</w:t>
      </w:r>
    </w:p>
    <w:p w14:paraId="1D1066E8" w14:textId="77777777" w:rsidR="00B33542" w:rsidRPr="005071A1" w:rsidRDefault="00B33542" w:rsidP="00B33542">
      <w:pPr>
        <w:pStyle w:val="paragraph"/>
      </w:pPr>
      <w:r w:rsidRPr="005071A1">
        <w:tab/>
        <w:t>(aa)</w:t>
      </w:r>
      <w:r w:rsidRPr="005071A1">
        <w:tab/>
        <w:t xml:space="preserve">if the person’s entitlement to the pension is cancelled under </w:t>
      </w:r>
      <w:r w:rsidR="004510F0">
        <w:t>section 1</w:t>
      </w:r>
      <w:r w:rsidRPr="005071A1">
        <w:t>19WB—deferred benefits again become applicable in relation to the person; and</w:t>
      </w:r>
    </w:p>
    <w:p w14:paraId="1948914C" w14:textId="77777777" w:rsidR="00B33542" w:rsidRPr="005071A1" w:rsidRDefault="00B33542" w:rsidP="00B33542">
      <w:pPr>
        <w:pStyle w:val="paragraph"/>
      </w:pPr>
      <w:r w:rsidRPr="005071A1">
        <w:tab/>
        <w:t>(b)</w:t>
      </w:r>
      <w:r w:rsidRPr="005071A1">
        <w:tab/>
      </w:r>
      <w:r w:rsidR="008B2950" w:rsidRPr="005071A1">
        <w:t>subsection (</w:t>
      </w:r>
      <w:r w:rsidRPr="005071A1">
        <w:t>2) of this section has effect in relation to him.</w:t>
      </w:r>
    </w:p>
    <w:p w14:paraId="0FFAE13C" w14:textId="77777777" w:rsidR="00B33542" w:rsidRPr="005071A1" w:rsidRDefault="00B33542" w:rsidP="00B33542">
      <w:pPr>
        <w:pStyle w:val="subsection"/>
      </w:pPr>
      <w:r w:rsidRPr="005071A1">
        <w:tab/>
        <w:t>(2)</w:t>
      </w:r>
      <w:r w:rsidRPr="005071A1">
        <w:tab/>
        <w:t>If the Board is satisfied that the health of the person has become so restored as to enable him to perform duties of a kind suitable to be performed by him, having regard to the duties performed by him immediately before he ceased to be a contributor to the Fund and the duties performed by him in employment (if any) in which he was employed after he ceased to be such a contributor, the Board may cancel his pension but the deferred benefit does not cease to be applicable in relation to him by reason only of the cancellation of the pension.</w:t>
      </w:r>
    </w:p>
    <w:p w14:paraId="269F7F5C" w14:textId="77777777" w:rsidR="00B33542" w:rsidRPr="005071A1" w:rsidRDefault="00B33542" w:rsidP="00B33542">
      <w:pPr>
        <w:pStyle w:val="subsection"/>
      </w:pPr>
      <w:r w:rsidRPr="005071A1">
        <w:tab/>
        <w:t>(3)</w:t>
      </w:r>
      <w:r w:rsidRPr="005071A1">
        <w:tab/>
        <w:t xml:space="preserve">The pension payable to a person shall not be cancelled under </w:t>
      </w:r>
      <w:r w:rsidR="008B2950" w:rsidRPr="005071A1">
        <w:t>subsection (</w:t>
      </w:r>
      <w:r w:rsidRPr="005071A1">
        <w:t>2) if:</w:t>
      </w:r>
    </w:p>
    <w:p w14:paraId="4FE5A79D" w14:textId="77777777" w:rsidR="00B33542" w:rsidRPr="005071A1" w:rsidRDefault="00B33542" w:rsidP="00B33542">
      <w:pPr>
        <w:pStyle w:val="paragraph"/>
      </w:pPr>
      <w:r w:rsidRPr="005071A1">
        <w:tab/>
        <w:t>(a)</w:t>
      </w:r>
      <w:r w:rsidRPr="005071A1">
        <w:tab/>
        <w:t>in the case of a person who is not a contributor for a unit or units of pension based upon a retiring age of sixty</w:t>
      </w:r>
      <w:r w:rsidR="004510F0">
        <w:noBreakHyphen/>
      </w:r>
      <w:r w:rsidRPr="005071A1">
        <w:t xml:space="preserve">five years </w:t>
      </w:r>
      <w:r w:rsidRPr="005071A1">
        <w:lastRenderedPageBreak/>
        <w:t>and is not a contributor in relation to whom any non</w:t>
      </w:r>
      <w:r w:rsidR="004510F0">
        <w:noBreakHyphen/>
      </w:r>
      <w:r w:rsidRPr="005071A1">
        <w:t>contributory units are applicable—the person has attained the age of sixty years; or</w:t>
      </w:r>
    </w:p>
    <w:p w14:paraId="385C1EE8" w14:textId="77777777" w:rsidR="00B33542" w:rsidRPr="005071A1" w:rsidRDefault="00B33542" w:rsidP="00B33542">
      <w:pPr>
        <w:pStyle w:val="paragraph"/>
      </w:pPr>
      <w:r w:rsidRPr="005071A1">
        <w:tab/>
        <w:t>(b)</w:t>
      </w:r>
      <w:r w:rsidRPr="005071A1">
        <w:tab/>
        <w:t>in any other case—the person has attained the age of sixty</w:t>
      </w:r>
      <w:r w:rsidR="004510F0">
        <w:noBreakHyphen/>
      </w:r>
      <w:r w:rsidRPr="005071A1">
        <w:t>five years.</w:t>
      </w:r>
    </w:p>
    <w:p w14:paraId="411A8133" w14:textId="77777777" w:rsidR="00B33542" w:rsidRPr="005071A1" w:rsidRDefault="00B33542" w:rsidP="00B33542">
      <w:pPr>
        <w:pStyle w:val="ActHead5"/>
      </w:pPr>
      <w:bookmarkStart w:id="236" w:name="_Toc185577618"/>
      <w:r w:rsidRPr="004510F0">
        <w:rPr>
          <w:rStyle w:val="CharSectno"/>
        </w:rPr>
        <w:t>119ZB</w:t>
      </w:r>
      <w:r w:rsidRPr="005071A1">
        <w:t xml:space="preserve">  Person entitled to deferred benefits becoming a contributor</w:t>
      </w:r>
      <w:bookmarkEnd w:id="236"/>
    </w:p>
    <w:p w14:paraId="30DB4FFB" w14:textId="77777777" w:rsidR="00B33542" w:rsidRPr="005071A1" w:rsidRDefault="00B33542" w:rsidP="00B33542">
      <w:pPr>
        <w:pStyle w:val="subsection"/>
      </w:pPr>
      <w:r w:rsidRPr="005071A1">
        <w:tab/>
      </w:r>
      <w:r w:rsidRPr="005071A1">
        <w:tab/>
        <w:t xml:space="preserve">If a person to whom </w:t>
      </w:r>
      <w:r w:rsidR="004510F0">
        <w:t>section 1</w:t>
      </w:r>
      <w:r w:rsidRPr="005071A1">
        <w:t>19W applies becomes a contributor to the Fund or to the Provident Account, the deferred benefits applicable in respect of him shall not become, or be, payable while he is such a contributor.</w:t>
      </w:r>
    </w:p>
    <w:p w14:paraId="68980A7A" w14:textId="77777777" w:rsidR="00B33542" w:rsidRPr="005071A1" w:rsidRDefault="00B33542" w:rsidP="00B33542">
      <w:pPr>
        <w:pStyle w:val="ActHead5"/>
      </w:pPr>
      <w:bookmarkStart w:id="237" w:name="_Toc185577619"/>
      <w:r w:rsidRPr="004510F0">
        <w:rPr>
          <w:rStyle w:val="CharSectno"/>
        </w:rPr>
        <w:t>119ZBA</w:t>
      </w:r>
      <w:r w:rsidRPr="005071A1">
        <w:t xml:space="preserve">  Application of Division on and after 1</w:t>
      </w:r>
      <w:r w:rsidR="008B2950" w:rsidRPr="005071A1">
        <w:t> </w:t>
      </w:r>
      <w:r w:rsidRPr="005071A1">
        <w:t>July 1976</w:t>
      </w:r>
      <w:bookmarkEnd w:id="237"/>
    </w:p>
    <w:p w14:paraId="2BD6D04D" w14:textId="77777777" w:rsidR="00B33542" w:rsidRPr="005071A1" w:rsidRDefault="00B33542" w:rsidP="00B33542">
      <w:pPr>
        <w:pStyle w:val="subsection"/>
      </w:pPr>
      <w:r w:rsidRPr="005071A1">
        <w:tab/>
      </w:r>
      <w:r w:rsidRPr="005071A1">
        <w:tab/>
        <w:t>This Division does not have effect in relation to a person who ceases to be a contributor on or after 1</w:t>
      </w:r>
      <w:r w:rsidR="008B2950" w:rsidRPr="005071A1">
        <w:t> </w:t>
      </w:r>
      <w:r w:rsidRPr="005071A1">
        <w:t>July 1976.</w:t>
      </w:r>
    </w:p>
    <w:p w14:paraId="6B01D59D" w14:textId="77777777" w:rsidR="00B33542" w:rsidRPr="005071A1" w:rsidRDefault="00B33542" w:rsidP="002477D1">
      <w:pPr>
        <w:pStyle w:val="ActHead3"/>
        <w:pageBreakBefore/>
      </w:pPr>
      <w:bookmarkStart w:id="238" w:name="_Toc185577620"/>
      <w:r w:rsidRPr="004510F0">
        <w:rPr>
          <w:rStyle w:val="CharDivNo"/>
        </w:rPr>
        <w:lastRenderedPageBreak/>
        <w:t>Division</w:t>
      </w:r>
      <w:r w:rsidR="008B2950" w:rsidRPr="004510F0">
        <w:rPr>
          <w:rStyle w:val="CharDivNo"/>
        </w:rPr>
        <w:t> </w:t>
      </w:r>
      <w:r w:rsidRPr="004510F0">
        <w:rPr>
          <w:rStyle w:val="CharDivNo"/>
        </w:rPr>
        <w:t>4</w:t>
      </w:r>
      <w:r w:rsidRPr="005071A1">
        <w:t>—</w:t>
      </w:r>
      <w:r w:rsidRPr="004510F0">
        <w:rPr>
          <w:rStyle w:val="CharDivText"/>
        </w:rPr>
        <w:t>Miscellaneous</w:t>
      </w:r>
      <w:bookmarkEnd w:id="238"/>
    </w:p>
    <w:p w14:paraId="406CD85A" w14:textId="77777777" w:rsidR="00B33542" w:rsidRPr="005071A1" w:rsidRDefault="00B33542" w:rsidP="00B33542">
      <w:pPr>
        <w:pStyle w:val="ActHead5"/>
      </w:pPr>
      <w:bookmarkStart w:id="239" w:name="_Toc185577621"/>
      <w:r w:rsidRPr="004510F0">
        <w:rPr>
          <w:rStyle w:val="CharSectno"/>
        </w:rPr>
        <w:t>119ZC</w:t>
      </w:r>
      <w:r w:rsidRPr="005071A1">
        <w:t xml:space="preserve">  Special provisions affecting former contributors under certain superannuation schemes</w:t>
      </w:r>
      <w:bookmarkEnd w:id="239"/>
    </w:p>
    <w:p w14:paraId="2AB4D953" w14:textId="77777777" w:rsidR="00B33542" w:rsidRPr="005071A1" w:rsidRDefault="00B33542" w:rsidP="00B33542">
      <w:pPr>
        <w:pStyle w:val="subsection"/>
      </w:pPr>
      <w:r w:rsidRPr="005071A1">
        <w:tab/>
        <w:t>(1)</w:t>
      </w:r>
      <w:r w:rsidRPr="005071A1">
        <w:tab/>
        <w:t>Where:</w:t>
      </w:r>
    </w:p>
    <w:p w14:paraId="77021CD1" w14:textId="77777777" w:rsidR="00B33542" w:rsidRPr="005071A1" w:rsidRDefault="00B33542" w:rsidP="00B33542">
      <w:pPr>
        <w:pStyle w:val="paragraph"/>
      </w:pPr>
      <w:r w:rsidRPr="005071A1">
        <w:tab/>
        <w:t>(a)</w:t>
      </w:r>
      <w:r w:rsidRPr="005071A1">
        <w:tab/>
        <w:t>a person who becomes an employee after the commencement of this section was, at any time before becoming an employee, a member of:</w:t>
      </w:r>
    </w:p>
    <w:p w14:paraId="27186BB3" w14:textId="77777777" w:rsidR="00B33542" w:rsidRPr="005071A1" w:rsidRDefault="00B33542" w:rsidP="00B33542">
      <w:pPr>
        <w:pStyle w:val="paragraphsub"/>
      </w:pPr>
      <w:r w:rsidRPr="005071A1">
        <w:tab/>
        <w:t>(i)</w:t>
      </w:r>
      <w:r w:rsidRPr="005071A1">
        <w:tab/>
        <w:t>a superannuation scheme conducted in accordance with the system established in the United Kingdom of Great Britain and Northern Ireland and known as the Federated Superannuation System for Universities; or</w:t>
      </w:r>
    </w:p>
    <w:p w14:paraId="6EE8698C" w14:textId="77777777" w:rsidR="00B33542" w:rsidRPr="005071A1" w:rsidRDefault="00B33542" w:rsidP="00B33542">
      <w:pPr>
        <w:pStyle w:val="paragraphsub"/>
      </w:pPr>
      <w:r w:rsidRPr="005071A1">
        <w:tab/>
        <w:t>(ii)</w:t>
      </w:r>
      <w:r w:rsidRPr="005071A1">
        <w:tab/>
        <w:t>a superannuation scheme that was, or is to be deemed to have been, an approved superannuation scheme for the purposes of this section at the time when he became an employee;</w:t>
      </w:r>
    </w:p>
    <w:p w14:paraId="6526108D" w14:textId="77777777" w:rsidR="00B33542" w:rsidRPr="005071A1" w:rsidRDefault="00B33542" w:rsidP="00B33542">
      <w:pPr>
        <w:pStyle w:val="paragraph"/>
      </w:pPr>
      <w:r w:rsidRPr="005071A1">
        <w:tab/>
        <w:t>(b)</w:t>
      </w:r>
      <w:r w:rsidRPr="005071A1">
        <w:tab/>
        <w:t xml:space="preserve">by virtue of </w:t>
      </w:r>
      <w:r w:rsidR="008B2950" w:rsidRPr="005071A1">
        <w:t>subsection (</w:t>
      </w:r>
      <w:r w:rsidRPr="005071A1">
        <w:t xml:space="preserve">3) of </w:t>
      </w:r>
      <w:r w:rsidR="004510F0">
        <w:t>section 1</w:t>
      </w:r>
      <w:r w:rsidRPr="005071A1">
        <w:t>19D, a transfer value is to be deemed for the purposes of Division</w:t>
      </w:r>
      <w:r w:rsidR="008B2950" w:rsidRPr="005071A1">
        <w:t> </w:t>
      </w:r>
      <w:r w:rsidRPr="005071A1">
        <w:t>2 to have become payable in respect of him after the commencement of this section under that superannuation scheme by reason of his having the legal title to a life policy or life policies of a kind referred to in that subsection or by reason of his being entitled to have the legal title to such a policy or policies assigned to him; and</w:t>
      </w:r>
    </w:p>
    <w:p w14:paraId="0055D242" w14:textId="77777777" w:rsidR="00B33542" w:rsidRPr="005071A1" w:rsidRDefault="00B33542" w:rsidP="00B33542">
      <w:pPr>
        <w:pStyle w:val="paragraph"/>
        <w:keepNext/>
      </w:pPr>
      <w:r w:rsidRPr="005071A1">
        <w:tab/>
        <w:t>(c)</w:t>
      </w:r>
      <w:r w:rsidRPr="005071A1">
        <w:tab/>
        <w:t xml:space="preserve">he has elected in accordance with </w:t>
      </w:r>
      <w:r w:rsidR="008B2950" w:rsidRPr="005071A1">
        <w:t>paragraph (</w:t>
      </w:r>
      <w:r w:rsidRPr="005071A1">
        <w:t xml:space="preserve">b) of </w:t>
      </w:r>
      <w:r w:rsidR="008B2950" w:rsidRPr="005071A1">
        <w:t>subsection (</w:t>
      </w:r>
      <w:r w:rsidRPr="005071A1">
        <w:t xml:space="preserve">1) of </w:t>
      </w:r>
      <w:r w:rsidR="004510F0">
        <w:t>section 1</w:t>
      </w:r>
      <w:r w:rsidRPr="005071A1">
        <w:t>19J to pay to the Board an amount equal to the amount of that transfer value;</w:t>
      </w:r>
    </w:p>
    <w:p w14:paraId="776FEA11" w14:textId="77777777" w:rsidR="00B33542" w:rsidRPr="005071A1" w:rsidRDefault="00B33542" w:rsidP="00B33542">
      <w:pPr>
        <w:pStyle w:val="subsection2"/>
      </w:pPr>
      <w:r w:rsidRPr="005071A1">
        <w:t>the succeeding provisions of this section have effect.</w:t>
      </w:r>
    </w:p>
    <w:p w14:paraId="1B7381F2" w14:textId="77777777" w:rsidR="00B33542" w:rsidRPr="005071A1" w:rsidRDefault="00B33542" w:rsidP="00B33542">
      <w:pPr>
        <w:pStyle w:val="subsection"/>
      </w:pPr>
      <w:r w:rsidRPr="005071A1">
        <w:tab/>
        <w:t>(2)</w:t>
      </w:r>
      <w:r w:rsidRPr="005071A1">
        <w:tab/>
        <w:t xml:space="preserve">The person may, within the period within which he was entitled to make an election under </w:t>
      </w:r>
      <w:r w:rsidR="008B2950" w:rsidRPr="005071A1">
        <w:t>paragraph (</w:t>
      </w:r>
      <w:r w:rsidRPr="005071A1">
        <w:t xml:space="preserve">b) of </w:t>
      </w:r>
      <w:r w:rsidR="008B2950" w:rsidRPr="005071A1">
        <w:t>subsection (</w:t>
      </w:r>
      <w:r w:rsidRPr="005071A1">
        <w:t xml:space="preserve">1) of </w:t>
      </w:r>
      <w:r w:rsidR="004510F0">
        <w:t>section 1</w:t>
      </w:r>
      <w:r w:rsidRPr="005071A1">
        <w:t xml:space="preserve">19J, elect that this section shall have effect in relation to </w:t>
      </w:r>
      <w:r w:rsidRPr="005071A1">
        <w:lastRenderedPageBreak/>
        <w:t xml:space="preserve">him and, where an election is so made, </w:t>
      </w:r>
      <w:r w:rsidR="004510F0">
        <w:t>section 1</w:t>
      </w:r>
      <w:r w:rsidRPr="005071A1">
        <w:t xml:space="preserve">19J has effect as if the amount referred to in </w:t>
      </w:r>
      <w:r w:rsidR="008B2950" w:rsidRPr="005071A1">
        <w:t>paragraph (</w:t>
      </w:r>
      <w:r w:rsidRPr="005071A1">
        <w:t xml:space="preserve">c) of </w:t>
      </w:r>
      <w:r w:rsidR="008B2950" w:rsidRPr="005071A1">
        <w:t>subsection (</w:t>
      </w:r>
      <w:r w:rsidRPr="005071A1">
        <w:t xml:space="preserve">1) of that section, or, if part only of that amount relates to the transfer value referred to in </w:t>
      </w:r>
      <w:r w:rsidR="008B2950" w:rsidRPr="005071A1">
        <w:t>subsection (</w:t>
      </w:r>
      <w:r w:rsidRPr="005071A1">
        <w:t xml:space="preserve">1) of this section, that part of that amount, had been paid to the Board in accordance with that paragraph and the Board had made the payments referred to in </w:t>
      </w:r>
      <w:r w:rsidR="008B2950" w:rsidRPr="005071A1">
        <w:t>paragraph (</w:t>
      </w:r>
      <w:r w:rsidRPr="005071A1">
        <w:t xml:space="preserve">a) of </w:t>
      </w:r>
      <w:r w:rsidR="008B2950" w:rsidRPr="005071A1">
        <w:t>subsection (</w:t>
      </w:r>
      <w:r w:rsidRPr="005071A1">
        <w:t xml:space="preserve">3), and </w:t>
      </w:r>
      <w:r w:rsidR="008B2950" w:rsidRPr="005071A1">
        <w:t>subsections (</w:t>
      </w:r>
      <w:r w:rsidRPr="005071A1">
        <w:t xml:space="preserve">7) and (8), </w:t>
      </w:r>
      <w:r w:rsidR="004510F0">
        <w:t>section 1</w:t>
      </w:r>
      <w:r w:rsidRPr="005071A1">
        <w:t>19J in relation to that amount or that part of that amount, as the case may be.</w:t>
      </w:r>
    </w:p>
    <w:p w14:paraId="394CD4D7" w14:textId="77777777" w:rsidR="00B33542" w:rsidRPr="005071A1" w:rsidRDefault="00B33542" w:rsidP="00B33542">
      <w:pPr>
        <w:pStyle w:val="subsection"/>
      </w:pPr>
      <w:r w:rsidRPr="005071A1">
        <w:tab/>
        <w:t>(3)</w:t>
      </w:r>
      <w:r w:rsidRPr="005071A1">
        <w:tab/>
        <w:t xml:space="preserve">An election under </w:t>
      </w:r>
      <w:r w:rsidR="008B2950" w:rsidRPr="005071A1">
        <w:t>subsection (</w:t>
      </w:r>
      <w:r w:rsidRPr="005071A1">
        <w:t xml:space="preserve">2) does not have effect unless the person causes to be assigned to the Board, within the period referred to in that subsection, the life policy or life policies referred to in </w:t>
      </w:r>
      <w:r w:rsidR="008B2950" w:rsidRPr="005071A1">
        <w:t>paragraph (</w:t>
      </w:r>
      <w:r w:rsidRPr="005071A1">
        <w:t xml:space="preserve">b) of </w:t>
      </w:r>
      <w:r w:rsidR="008B2950" w:rsidRPr="005071A1">
        <w:t>subsection (</w:t>
      </w:r>
      <w:r w:rsidRPr="005071A1">
        <w:t>1) free from any mortgages, charges or other encumbrances.</w:t>
      </w:r>
    </w:p>
    <w:p w14:paraId="538E1139" w14:textId="77777777" w:rsidR="00B33542" w:rsidRPr="005071A1" w:rsidRDefault="00B33542" w:rsidP="00B33542">
      <w:pPr>
        <w:pStyle w:val="subsection"/>
      </w:pPr>
      <w:r w:rsidRPr="005071A1">
        <w:tab/>
        <w:t>(4)</w:t>
      </w:r>
      <w:r w:rsidRPr="005071A1">
        <w:tab/>
        <w:t>If:</w:t>
      </w:r>
    </w:p>
    <w:p w14:paraId="0C379EBD" w14:textId="77777777" w:rsidR="00B33542" w:rsidRPr="005071A1" w:rsidRDefault="00B33542" w:rsidP="00B33542">
      <w:pPr>
        <w:pStyle w:val="paragraph"/>
      </w:pPr>
      <w:r w:rsidRPr="005071A1">
        <w:tab/>
        <w:t>(a)</w:t>
      </w:r>
      <w:r w:rsidRPr="005071A1">
        <w:tab/>
        <w:t xml:space="preserve">the salary of the person upon his becoming an employee was greater than the annual remuneration that was payable to him in respect of the last employment in which he was employed and to which a superannuation scheme referred to in </w:t>
      </w:r>
      <w:r w:rsidR="008B2950" w:rsidRPr="005071A1">
        <w:t>subsection (</w:t>
      </w:r>
      <w:r w:rsidRPr="005071A1">
        <w:t>1) related; or</w:t>
      </w:r>
    </w:p>
    <w:p w14:paraId="4CD162C5" w14:textId="77777777" w:rsidR="00B33542" w:rsidRPr="005071A1" w:rsidRDefault="00B33542" w:rsidP="00B33542">
      <w:pPr>
        <w:pStyle w:val="paragraph"/>
        <w:keepNext/>
      </w:pPr>
      <w:r w:rsidRPr="005071A1">
        <w:tab/>
        <w:t>(b)</w:t>
      </w:r>
      <w:r w:rsidRPr="005071A1">
        <w:tab/>
        <w:t>after the person became an employee his salary is increased;</w:t>
      </w:r>
    </w:p>
    <w:p w14:paraId="17C6FC8E" w14:textId="77777777" w:rsidR="00B33542" w:rsidRPr="005071A1" w:rsidRDefault="00B33542" w:rsidP="00B33542">
      <w:pPr>
        <w:pStyle w:val="subsection2"/>
      </w:pPr>
      <w:r w:rsidRPr="005071A1">
        <w:t>the Board shall so far as is practicable arrange for the amount or amounts of any life policy or life policies assigned to the Board by the person to be increased by the amount or amounts by which the life policy or life policies would have been increased under that scheme, or for the issue of such additional life policy or life policies in relation to the person as would have been issued under that scheme, if he had remained a member of the scheme and had been in receipt of an annual remuneration equal to that salary or that increased salary, as the case may be.</w:t>
      </w:r>
    </w:p>
    <w:p w14:paraId="47D39705" w14:textId="77777777" w:rsidR="00B33542" w:rsidRPr="005071A1" w:rsidRDefault="00B33542" w:rsidP="00B33542">
      <w:pPr>
        <w:pStyle w:val="subsection"/>
      </w:pPr>
      <w:r w:rsidRPr="005071A1">
        <w:lastRenderedPageBreak/>
        <w:tab/>
        <w:t>(5)</w:t>
      </w:r>
      <w:r w:rsidRPr="005071A1">
        <w:tab/>
        <w:t xml:space="preserve">Subject to </w:t>
      </w:r>
      <w:r w:rsidR="008B2950" w:rsidRPr="005071A1">
        <w:t>subsection (</w:t>
      </w:r>
      <w:r w:rsidRPr="005071A1">
        <w:t xml:space="preserve">14), so much of any premium payable in respect of any life policy assigned to the Board in accordance with </w:t>
      </w:r>
      <w:r w:rsidR="008B2950" w:rsidRPr="005071A1">
        <w:t>subsection (</w:t>
      </w:r>
      <w:r w:rsidRPr="005071A1">
        <w:t xml:space="preserve">3) or issued in accordance with </w:t>
      </w:r>
      <w:r w:rsidR="008B2950" w:rsidRPr="005071A1">
        <w:t>subsection (</w:t>
      </w:r>
      <w:r w:rsidRPr="005071A1">
        <w:t>4) as relates to a period during which the person is an employee shall be paid by the Commonwealth out of the Consolidated Revenue Fund, which is appropriated accordingly.</w:t>
      </w:r>
    </w:p>
    <w:p w14:paraId="1B5586F1" w14:textId="77777777" w:rsidR="00B33542" w:rsidRPr="005071A1" w:rsidRDefault="00B33542" w:rsidP="00B33542">
      <w:pPr>
        <w:pStyle w:val="subsection"/>
      </w:pPr>
      <w:r w:rsidRPr="005071A1">
        <w:tab/>
        <w:t>(6)</w:t>
      </w:r>
      <w:r w:rsidRPr="005071A1">
        <w:tab/>
        <w:t>Where the person is a contributor to the Fund and the amount of the fortnightly contributions payable by him to the Fund at any time is less than the amount that is the prescribed amount in relation to him at that time, he is liable to pay to the Commonwealth an amount equal to the difference.</w:t>
      </w:r>
    </w:p>
    <w:p w14:paraId="3B268326" w14:textId="77777777" w:rsidR="00B33542" w:rsidRPr="005071A1" w:rsidRDefault="00B33542" w:rsidP="00B33542">
      <w:pPr>
        <w:pStyle w:val="subsection"/>
      </w:pPr>
      <w:r w:rsidRPr="005071A1">
        <w:tab/>
        <w:t>(7)</w:t>
      </w:r>
      <w:r w:rsidRPr="005071A1">
        <w:tab/>
        <w:t xml:space="preserve">Where the person (in this subsection referred to as </w:t>
      </w:r>
      <w:r w:rsidRPr="005071A1">
        <w:rPr>
          <w:b/>
          <w:i/>
        </w:rPr>
        <w:t>the former contributor</w:t>
      </w:r>
      <w:r w:rsidRPr="005071A1">
        <w:t xml:space="preserve">) makes an election under </w:t>
      </w:r>
      <w:r w:rsidR="008B2950" w:rsidRPr="005071A1">
        <w:t>subsection (</w:t>
      </w:r>
      <w:r w:rsidRPr="005071A1">
        <w:t xml:space="preserve">1) of </w:t>
      </w:r>
      <w:r w:rsidR="004510F0">
        <w:t>section 1</w:t>
      </w:r>
      <w:r w:rsidRPr="005071A1">
        <w:t xml:space="preserve">19U and, within the period that is the prescribed period in relation to him for the purposes of </w:t>
      </w:r>
      <w:r w:rsidR="004510F0">
        <w:t>Division 3</w:t>
      </w:r>
      <w:r w:rsidRPr="005071A1">
        <w:t xml:space="preserve">, he becomes employed in employment in respect of which a superannuation scheme referred to in </w:t>
      </w:r>
      <w:r w:rsidR="008B2950" w:rsidRPr="005071A1">
        <w:t>paragraph (</w:t>
      </w:r>
      <w:r w:rsidRPr="005071A1">
        <w:t xml:space="preserve">a) of </w:t>
      </w:r>
      <w:r w:rsidR="008B2950" w:rsidRPr="005071A1">
        <w:t>subsection (</w:t>
      </w:r>
      <w:r w:rsidRPr="005071A1">
        <w:t>1) of this section is applicable and becomes a member of that scheme, then:</w:t>
      </w:r>
    </w:p>
    <w:p w14:paraId="4F821A1A" w14:textId="77777777" w:rsidR="00B33542" w:rsidRPr="005071A1" w:rsidRDefault="00B33542" w:rsidP="00B33542">
      <w:pPr>
        <w:pStyle w:val="paragraph"/>
      </w:pPr>
      <w:r w:rsidRPr="005071A1">
        <w:tab/>
        <w:t>(a)</w:t>
      </w:r>
      <w:r w:rsidRPr="005071A1">
        <w:tab/>
        <w:t xml:space="preserve">subject to </w:t>
      </w:r>
      <w:r w:rsidR="008B2950" w:rsidRPr="005071A1">
        <w:t>paragraph (</w:t>
      </w:r>
      <w:r w:rsidRPr="005071A1">
        <w:t xml:space="preserve">c), </w:t>
      </w:r>
      <w:r w:rsidR="004510F0">
        <w:t>Division 3</w:t>
      </w:r>
      <w:r w:rsidRPr="005071A1">
        <w:t xml:space="preserve"> has effect in relation to him as if that employment were public employment and that superannuation scheme were an eligible superannuation scheme;</w:t>
      </w:r>
    </w:p>
    <w:p w14:paraId="4D30345B" w14:textId="77777777" w:rsidR="00B33542" w:rsidRPr="005071A1" w:rsidRDefault="00B33542" w:rsidP="00B33542">
      <w:pPr>
        <w:pStyle w:val="paragraph"/>
      </w:pPr>
      <w:r w:rsidRPr="005071A1">
        <w:tab/>
        <w:t>(b)</w:t>
      </w:r>
      <w:r w:rsidRPr="005071A1">
        <w:tab/>
        <w:t xml:space="preserve">the Board shall assign to the person administering that superannuation scheme the life policies assigned by the former contributor to the Board in accordance with </w:t>
      </w:r>
      <w:r w:rsidR="008B2950" w:rsidRPr="005071A1">
        <w:t>subsection (</w:t>
      </w:r>
      <w:r w:rsidRPr="005071A1">
        <w:t xml:space="preserve">3) or issued in relation to the former contributor in accordance with </w:t>
      </w:r>
      <w:r w:rsidR="008B2950" w:rsidRPr="005071A1">
        <w:t>subsection (</w:t>
      </w:r>
      <w:r w:rsidRPr="005071A1">
        <w:t>4);</w:t>
      </w:r>
    </w:p>
    <w:p w14:paraId="4D5569E3" w14:textId="77777777" w:rsidR="00B33542" w:rsidRPr="005071A1" w:rsidRDefault="00B33542" w:rsidP="00B33542">
      <w:pPr>
        <w:pStyle w:val="paragraph"/>
      </w:pPr>
      <w:r w:rsidRPr="005071A1">
        <w:tab/>
        <w:t>(c)</w:t>
      </w:r>
      <w:r w:rsidRPr="005071A1">
        <w:tab/>
        <w:t xml:space="preserve">the assignment of those life policies in accordance with </w:t>
      </w:r>
      <w:r w:rsidR="008B2950" w:rsidRPr="005071A1">
        <w:t>paragraph (</w:t>
      </w:r>
      <w:r w:rsidRPr="005071A1">
        <w:t xml:space="preserve">b) shall be deemed to constitute the payment of a transfer value in respect of the former contributor in accordance with </w:t>
      </w:r>
      <w:r w:rsidR="004510F0">
        <w:t>section 1</w:t>
      </w:r>
      <w:r w:rsidRPr="005071A1">
        <w:t>19V to the person administering that scheme; and</w:t>
      </w:r>
    </w:p>
    <w:p w14:paraId="60CC19B5" w14:textId="77777777" w:rsidR="00B33542" w:rsidRPr="005071A1" w:rsidRDefault="00B33542" w:rsidP="00B33542">
      <w:pPr>
        <w:pStyle w:val="paragraph"/>
      </w:pPr>
      <w:r w:rsidRPr="005071A1">
        <w:tab/>
        <w:t>(d)</w:t>
      </w:r>
      <w:r w:rsidRPr="005071A1">
        <w:tab/>
        <w:t>the Board shall:</w:t>
      </w:r>
    </w:p>
    <w:p w14:paraId="11031258" w14:textId="77777777" w:rsidR="00B33542" w:rsidRPr="005071A1" w:rsidRDefault="00B33542" w:rsidP="00B33542">
      <w:pPr>
        <w:pStyle w:val="paragraphsub"/>
      </w:pPr>
      <w:r w:rsidRPr="005071A1">
        <w:lastRenderedPageBreak/>
        <w:tab/>
        <w:t>(i)</w:t>
      </w:r>
      <w:r w:rsidRPr="005071A1">
        <w:tab/>
        <w:t>if the amount of any fortnightly contribution paid by the former contributor to the Fund or to the Provident Account exceeded the amount that was the prescribed amount in relation to him at the time of the payment—make a payment to him out of the Fund or the Provident Account, as the case may be, of an amount equal to the amount of the excess; and</w:t>
      </w:r>
    </w:p>
    <w:p w14:paraId="3DE3686D" w14:textId="77777777" w:rsidR="00B33542" w:rsidRPr="005071A1" w:rsidRDefault="00B33542" w:rsidP="00B33542">
      <w:pPr>
        <w:pStyle w:val="paragraphsub"/>
      </w:pPr>
      <w:r w:rsidRPr="005071A1">
        <w:tab/>
        <w:t>(ii)</w:t>
      </w:r>
      <w:r w:rsidRPr="005071A1">
        <w:tab/>
        <w:t>make a payment to the Commonwealth out of the Fund or the Provident Account, as the case may be, of an amount equal to the amount that, but for this Part, would have been payable to the former contributor under section</w:t>
      </w:r>
      <w:r w:rsidR="008B2950" w:rsidRPr="005071A1">
        <w:t> </w:t>
      </w:r>
      <w:r w:rsidRPr="005071A1">
        <w:t>51 or section</w:t>
      </w:r>
      <w:r w:rsidR="008B2950" w:rsidRPr="005071A1">
        <w:t> </w:t>
      </w:r>
      <w:r w:rsidRPr="005071A1">
        <w:t xml:space="preserve">85 less any amounts paid to him under </w:t>
      </w:r>
      <w:r w:rsidR="008B2950" w:rsidRPr="005071A1">
        <w:t>subparagraph (</w:t>
      </w:r>
      <w:r w:rsidRPr="005071A1">
        <w:t>i).</w:t>
      </w:r>
    </w:p>
    <w:p w14:paraId="5829E8C0" w14:textId="77777777" w:rsidR="00B33542" w:rsidRPr="005071A1" w:rsidRDefault="00B33542" w:rsidP="00B33542">
      <w:pPr>
        <w:pStyle w:val="subsection"/>
      </w:pPr>
      <w:r w:rsidRPr="005071A1">
        <w:tab/>
        <w:t>(8)</w:t>
      </w:r>
      <w:r w:rsidRPr="005071A1">
        <w:tab/>
        <w:t xml:space="preserve">If the life policy or life policies assigned by the person to the Board in accordance with </w:t>
      </w:r>
      <w:r w:rsidR="008B2950" w:rsidRPr="005071A1">
        <w:t>subsection (</w:t>
      </w:r>
      <w:r w:rsidRPr="005071A1">
        <w:t xml:space="preserve">3) or issued in relation to him in accordance with </w:t>
      </w:r>
      <w:r w:rsidR="008B2950" w:rsidRPr="005071A1">
        <w:t>subsection (</w:t>
      </w:r>
      <w:r w:rsidRPr="005071A1">
        <w:t>4) becomes or become payable at or before the time when he ceased to be a contributor to the Fund or to the Provident Account:</w:t>
      </w:r>
    </w:p>
    <w:p w14:paraId="5AD2EEB5" w14:textId="77777777" w:rsidR="00B33542" w:rsidRPr="005071A1" w:rsidRDefault="00B33542" w:rsidP="00B33542">
      <w:pPr>
        <w:pStyle w:val="paragraph"/>
      </w:pPr>
      <w:r w:rsidRPr="005071A1">
        <w:tab/>
        <w:t>(a)</w:t>
      </w:r>
      <w:r w:rsidRPr="005071A1">
        <w:tab/>
        <w:t>the Board shall, out of the amount paid to it under the policy or policies:</w:t>
      </w:r>
    </w:p>
    <w:p w14:paraId="691C713D" w14:textId="77777777" w:rsidR="00B33542" w:rsidRPr="005071A1" w:rsidRDefault="00B33542" w:rsidP="00B33542">
      <w:pPr>
        <w:pStyle w:val="paragraphsub"/>
      </w:pPr>
      <w:r w:rsidRPr="005071A1">
        <w:tab/>
        <w:t>(i)</w:t>
      </w:r>
      <w:r w:rsidRPr="005071A1">
        <w:tab/>
        <w:t xml:space="preserve">make a payment to the Fund or to the Provident Account of an amount equal to the amount that, but for </w:t>
      </w:r>
      <w:r w:rsidR="008B2950" w:rsidRPr="005071A1">
        <w:t>subsection (</w:t>
      </w:r>
      <w:r w:rsidRPr="005071A1">
        <w:t xml:space="preserve">2) of this section, would have been paid by the Board to the Fund or to the Provident Account, as the case may be, under </w:t>
      </w:r>
      <w:r w:rsidR="008B2950" w:rsidRPr="005071A1">
        <w:t>paragraph (</w:t>
      </w:r>
      <w:r w:rsidRPr="005071A1">
        <w:t xml:space="preserve">a) of </w:t>
      </w:r>
      <w:r w:rsidR="008B2950" w:rsidRPr="005071A1">
        <w:t>subsection (</w:t>
      </w:r>
      <w:r w:rsidRPr="005071A1">
        <w:t xml:space="preserve">3), or under </w:t>
      </w:r>
      <w:r w:rsidR="008B2950" w:rsidRPr="005071A1">
        <w:t>paragraph (</w:t>
      </w:r>
      <w:r w:rsidRPr="005071A1">
        <w:t xml:space="preserve">a) of </w:t>
      </w:r>
      <w:r w:rsidR="008B2950" w:rsidRPr="005071A1">
        <w:t>subsection (</w:t>
      </w:r>
      <w:r w:rsidRPr="005071A1">
        <w:t xml:space="preserve">7), of </w:t>
      </w:r>
      <w:r w:rsidR="004510F0">
        <w:t>section 1</w:t>
      </w:r>
      <w:r w:rsidRPr="005071A1">
        <w:t xml:space="preserve">19J together with compound interest on that amount, in respect of the period that commenced on the date on which the person made an election in accordance with </w:t>
      </w:r>
      <w:r w:rsidR="008B2950" w:rsidRPr="005071A1">
        <w:t>paragraph (</w:t>
      </w:r>
      <w:r w:rsidRPr="005071A1">
        <w:t xml:space="preserve">b) of </w:t>
      </w:r>
      <w:r w:rsidR="008B2950" w:rsidRPr="005071A1">
        <w:t>subsection (</w:t>
      </w:r>
      <w:r w:rsidRPr="005071A1">
        <w:t xml:space="preserve">1) of </w:t>
      </w:r>
      <w:r w:rsidR="004510F0">
        <w:t>section 1</w:t>
      </w:r>
      <w:r w:rsidRPr="005071A1">
        <w:t xml:space="preserve">19J and ended on the date on which the life policy or life </w:t>
      </w:r>
      <w:r w:rsidRPr="005071A1">
        <w:lastRenderedPageBreak/>
        <w:t xml:space="preserve">policies became payable, at the rate or rates applicable under </w:t>
      </w:r>
      <w:r w:rsidR="008B2950" w:rsidRPr="005071A1">
        <w:t>subsection (</w:t>
      </w:r>
      <w:r w:rsidRPr="005071A1">
        <w:t>3) of section</w:t>
      </w:r>
      <w:r w:rsidR="008B2950" w:rsidRPr="005071A1">
        <w:t> </w:t>
      </w:r>
      <w:r w:rsidRPr="005071A1">
        <w:t>90;</w:t>
      </w:r>
    </w:p>
    <w:p w14:paraId="0331290D" w14:textId="77777777" w:rsidR="00B33542" w:rsidRPr="005071A1" w:rsidRDefault="00B33542" w:rsidP="00B33542">
      <w:pPr>
        <w:pStyle w:val="paragraphsub"/>
      </w:pPr>
      <w:r w:rsidRPr="005071A1">
        <w:tab/>
        <w:t>(ii)</w:t>
      </w:r>
      <w:r w:rsidRPr="005071A1">
        <w:tab/>
        <w:t xml:space="preserve">in the case of a policy or policies assigned by the person to the Board in accordance with </w:t>
      </w:r>
      <w:r w:rsidR="008B2950" w:rsidRPr="005071A1">
        <w:t>subsection (</w:t>
      </w:r>
      <w:r w:rsidRPr="005071A1">
        <w:t xml:space="preserve">3) of this section—pay to the person, or, if he is dead, to his legal personal representative, an amount equal to so much of any premiums paid by the person in respect of the policy or policies as related to, or to any part of, the period that commenced on the date on which the transfer value referred to in </w:t>
      </w:r>
      <w:r w:rsidR="008B2950" w:rsidRPr="005071A1">
        <w:t>paragraph (</w:t>
      </w:r>
      <w:r w:rsidRPr="005071A1">
        <w:t xml:space="preserve">b) of </w:t>
      </w:r>
      <w:r w:rsidR="008B2950" w:rsidRPr="005071A1">
        <w:t>subsection (</w:t>
      </w:r>
      <w:r w:rsidRPr="005071A1">
        <w:t>1) of this section is to be deemed for the purposes of Division</w:t>
      </w:r>
      <w:r w:rsidR="008B2950" w:rsidRPr="005071A1">
        <w:t> </w:t>
      </w:r>
      <w:r w:rsidRPr="005071A1">
        <w:t>2 to have become payable in respect of him and ended on the date on which he became an employee; and</w:t>
      </w:r>
    </w:p>
    <w:p w14:paraId="10007CD1" w14:textId="77777777" w:rsidR="00B33542" w:rsidRPr="005071A1" w:rsidRDefault="00B33542" w:rsidP="00B33542">
      <w:pPr>
        <w:pStyle w:val="paragraphsub"/>
      </w:pPr>
      <w:r w:rsidRPr="005071A1">
        <w:tab/>
        <w:t>(iii)</w:t>
      </w:r>
      <w:r w:rsidRPr="005071A1">
        <w:tab/>
        <w:t>pay the balance to the Commonwealth; and</w:t>
      </w:r>
    </w:p>
    <w:p w14:paraId="7DC10E07" w14:textId="77777777" w:rsidR="00B33542" w:rsidRPr="005071A1" w:rsidRDefault="00B33542" w:rsidP="00B33542">
      <w:pPr>
        <w:pStyle w:val="paragraph"/>
      </w:pPr>
      <w:r w:rsidRPr="005071A1">
        <w:tab/>
        <w:t>(b)</w:t>
      </w:r>
      <w:r w:rsidRPr="005071A1">
        <w:tab/>
        <w:t xml:space="preserve">the Commonwealth shall pay to the person, or, if he is dead, to his legal personal representative, an amount equal to the sum of any amounts paid by the person to the Commonwealth under </w:t>
      </w:r>
      <w:r w:rsidR="008B2950" w:rsidRPr="005071A1">
        <w:t>subsection (</w:t>
      </w:r>
      <w:r w:rsidRPr="005071A1">
        <w:t>6).</w:t>
      </w:r>
    </w:p>
    <w:p w14:paraId="72442AE9" w14:textId="77777777" w:rsidR="00B33542" w:rsidRPr="005071A1" w:rsidRDefault="00B33542" w:rsidP="00B33542">
      <w:pPr>
        <w:pStyle w:val="subsection"/>
      </w:pPr>
      <w:r w:rsidRPr="005071A1">
        <w:tab/>
        <w:t>(9)</w:t>
      </w:r>
      <w:r w:rsidRPr="005071A1">
        <w:tab/>
        <w:t xml:space="preserve">Where the person attains the age of sixty years while he is a contributor to the Fund or to the Provident Account, or ceases to be such a contributor before he attains that age, and neither of the last two preceding subsections applies in relation to him, then, if the election made by the person under </w:t>
      </w:r>
      <w:r w:rsidR="008B2950" w:rsidRPr="005071A1">
        <w:t>subsection (</w:t>
      </w:r>
      <w:r w:rsidRPr="005071A1">
        <w:t>2) has not been revoked before 1</w:t>
      </w:r>
      <w:r w:rsidR="008B2950" w:rsidRPr="005071A1">
        <w:t> </w:t>
      </w:r>
      <w:r w:rsidRPr="005071A1">
        <w:t>July 1976 in accordance with the next succeeding subsection:</w:t>
      </w:r>
    </w:p>
    <w:p w14:paraId="3C2F1CF6" w14:textId="77777777" w:rsidR="00B33542" w:rsidRPr="005071A1" w:rsidRDefault="00B33542" w:rsidP="00B33542">
      <w:pPr>
        <w:pStyle w:val="paragraph"/>
      </w:pPr>
      <w:r w:rsidRPr="005071A1">
        <w:tab/>
        <w:t>(a)</w:t>
      </w:r>
      <w:r w:rsidRPr="005071A1">
        <w:tab/>
        <w:t xml:space="preserve">the Board shall surrender the life policy or life policies assigned by him to the Board in accordance with </w:t>
      </w:r>
      <w:r w:rsidR="008B2950" w:rsidRPr="005071A1">
        <w:t>subsection (</w:t>
      </w:r>
      <w:r w:rsidRPr="005071A1">
        <w:t xml:space="preserve">3) of this section or issued in relation to him in accordance with </w:t>
      </w:r>
      <w:r w:rsidR="008B2950" w:rsidRPr="005071A1">
        <w:t>subsection (</w:t>
      </w:r>
      <w:r w:rsidRPr="005071A1">
        <w:t>4) of this section and, out of the proceeds of the surrender, shall:</w:t>
      </w:r>
    </w:p>
    <w:p w14:paraId="7676EDFE" w14:textId="77777777" w:rsidR="00B33542" w:rsidRPr="005071A1" w:rsidRDefault="00B33542" w:rsidP="00B33542">
      <w:pPr>
        <w:pStyle w:val="paragraphsub"/>
      </w:pPr>
      <w:r w:rsidRPr="005071A1">
        <w:tab/>
        <w:t>(i)</w:t>
      </w:r>
      <w:r w:rsidRPr="005071A1">
        <w:tab/>
        <w:t xml:space="preserve">make a payment to the Fund or to the Provident Account of an amount equal to the amount that, but for </w:t>
      </w:r>
      <w:r w:rsidR="008B2950" w:rsidRPr="005071A1">
        <w:lastRenderedPageBreak/>
        <w:t>subsection (</w:t>
      </w:r>
      <w:r w:rsidRPr="005071A1">
        <w:t xml:space="preserve">2) of this section, would have been paid by the Board to the Fund or to the Provident Account, as the case may be, under </w:t>
      </w:r>
      <w:r w:rsidR="008B2950" w:rsidRPr="005071A1">
        <w:t>paragraph (</w:t>
      </w:r>
      <w:r w:rsidRPr="005071A1">
        <w:t xml:space="preserve">a) of </w:t>
      </w:r>
      <w:r w:rsidR="008B2950" w:rsidRPr="005071A1">
        <w:t>subsection (</w:t>
      </w:r>
      <w:r w:rsidRPr="005071A1">
        <w:t xml:space="preserve">3), or under </w:t>
      </w:r>
      <w:r w:rsidR="008B2950" w:rsidRPr="005071A1">
        <w:t>paragraph (</w:t>
      </w:r>
      <w:r w:rsidRPr="005071A1">
        <w:t xml:space="preserve">a) of </w:t>
      </w:r>
      <w:r w:rsidR="008B2950" w:rsidRPr="005071A1">
        <w:t>subsection (</w:t>
      </w:r>
      <w:r w:rsidRPr="005071A1">
        <w:t xml:space="preserve">7), of </w:t>
      </w:r>
      <w:r w:rsidR="004510F0">
        <w:t>section 1</w:t>
      </w:r>
      <w:r w:rsidRPr="005071A1">
        <w:t xml:space="preserve">19J together with compound interest on that amount, in respect of the period that commenced on the date on which the person made an election in accordance with </w:t>
      </w:r>
      <w:r w:rsidR="008B2950" w:rsidRPr="005071A1">
        <w:t>paragraph (</w:t>
      </w:r>
      <w:r w:rsidRPr="005071A1">
        <w:t xml:space="preserve">b) of </w:t>
      </w:r>
      <w:r w:rsidR="008B2950" w:rsidRPr="005071A1">
        <w:t>subsection (</w:t>
      </w:r>
      <w:r w:rsidRPr="005071A1">
        <w:t xml:space="preserve">1) of </w:t>
      </w:r>
      <w:r w:rsidR="004510F0">
        <w:t>section 1</w:t>
      </w:r>
      <w:r w:rsidRPr="005071A1">
        <w:t xml:space="preserve">19J and ended on the date as at which the surrender value or surrender values of the life policy or life policies was or were calculated, at the rate or rates applicable under </w:t>
      </w:r>
      <w:r w:rsidR="008B2950" w:rsidRPr="005071A1">
        <w:t>subsection (</w:t>
      </w:r>
      <w:r w:rsidRPr="005071A1">
        <w:t>3) of section</w:t>
      </w:r>
      <w:r w:rsidR="008B2950" w:rsidRPr="005071A1">
        <w:t> </w:t>
      </w:r>
      <w:r w:rsidRPr="005071A1">
        <w:t>90;</w:t>
      </w:r>
    </w:p>
    <w:p w14:paraId="4B95274D" w14:textId="77777777" w:rsidR="00B33542" w:rsidRPr="005071A1" w:rsidRDefault="00B33542" w:rsidP="00B33542">
      <w:pPr>
        <w:pStyle w:val="paragraphsub"/>
      </w:pPr>
      <w:r w:rsidRPr="005071A1">
        <w:tab/>
        <w:t>(ii)</w:t>
      </w:r>
      <w:r w:rsidRPr="005071A1">
        <w:tab/>
        <w:t xml:space="preserve">in the case of a policy or policies assigned by the person to the Board in accordance with </w:t>
      </w:r>
      <w:r w:rsidR="008B2950" w:rsidRPr="005071A1">
        <w:t>subsection (</w:t>
      </w:r>
      <w:r w:rsidRPr="005071A1">
        <w:t xml:space="preserve">3) of this section—pay to the person an amount equal to so much of any premiums paid by the person in respect of the policy or policies as related to, or to any part of, the period that commenced on the date on which the transfer value referred to in </w:t>
      </w:r>
      <w:r w:rsidR="008B2950" w:rsidRPr="005071A1">
        <w:t>paragraph (</w:t>
      </w:r>
      <w:r w:rsidRPr="005071A1">
        <w:t xml:space="preserve">b) of </w:t>
      </w:r>
      <w:r w:rsidR="008B2950" w:rsidRPr="005071A1">
        <w:t>subsection (</w:t>
      </w:r>
      <w:r w:rsidRPr="005071A1">
        <w:t>1) of this section is to be deemed for the purposes of Division</w:t>
      </w:r>
      <w:r w:rsidR="008B2950" w:rsidRPr="005071A1">
        <w:t> </w:t>
      </w:r>
      <w:r w:rsidRPr="005071A1">
        <w:t>2 to have become payable in respect of him and ended on the date on which he became an employee; and</w:t>
      </w:r>
    </w:p>
    <w:p w14:paraId="3411A2E5" w14:textId="77777777" w:rsidR="00B33542" w:rsidRPr="005071A1" w:rsidRDefault="00B33542" w:rsidP="00B33542">
      <w:pPr>
        <w:pStyle w:val="paragraphsub"/>
      </w:pPr>
      <w:r w:rsidRPr="005071A1">
        <w:tab/>
        <w:t>(iii)</w:t>
      </w:r>
      <w:r w:rsidRPr="005071A1">
        <w:tab/>
        <w:t>pay the balance to the Commonwealth; and</w:t>
      </w:r>
    </w:p>
    <w:p w14:paraId="23A2F094" w14:textId="77777777" w:rsidR="00B33542" w:rsidRPr="005071A1" w:rsidRDefault="00B33542" w:rsidP="00B33542">
      <w:pPr>
        <w:pStyle w:val="paragraph"/>
      </w:pPr>
      <w:r w:rsidRPr="005071A1">
        <w:tab/>
        <w:t>(b)</w:t>
      </w:r>
      <w:r w:rsidRPr="005071A1">
        <w:tab/>
        <w:t xml:space="preserve">the Commonwealth shall pay to the person an amount equal to the sum of any amounts paid by him to the Commonwealth under </w:t>
      </w:r>
      <w:r w:rsidR="008B2950" w:rsidRPr="005071A1">
        <w:t>subsection (</w:t>
      </w:r>
      <w:r w:rsidRPr="005071A1">
        <w:t>6).</w:t>
      </w:r>
    </w:p>
    <w:p w14:paraId="3CF418E2" w14:textId="77777777" w:rsidR="00B33542" w:rsidRPr="005071A1" w:rsidRDefault="00B33542" w:rsidP="00B33542">
      <w:pPr>
        <w:pStyle w:val="subsection"/>
      </w:pPr>
      <w:r w:rsidRPr="005071A1">
        <w:tab/>
        <w:t>(11)</w:t>
      </w:r>
      <w:r w:rsidRPr="005071A1">
        <w:tab/>
        <w:t xml:space="preserve">The Minister may, by instrument under his hand published in the </w:t>
      </w:r>
      <w:r w:rsidRPr="005071A1">
        <w:rPr>
          <w:i/>
        </w:rPr>
        <w:t>Gazette</w:t>
      </w:r>
      <w:r w:rsidRPr="005071A1">
        <w:t>, declare a superannuation scheme, being a scheme under which benefits are provided for by means of life policies, to be an approved superannuation scheme for the purposes of this section.</w:t>
      </w:r>
    </w:p>
    <w:p w14:paraId="7B6B7C00" w14:textId="77777777" w:rsidR="00B33542" w:rsidRPr="005071A1" w:rsidRDefault="00B33542" w:rsidP="00B33542">
      <w:pPr>
        <w:pStyle w:val="subsection"/>
      </w:pPr>
      <w:r w:rsidRPr="005071A1">
        <w:lastRenderedPageBreak/>
        <w:tab/>
        <w:t>(12)</w:t>
      </w:r>
      <w:r w:rsidRPr="005071A1">
        <w:tab/>
        <w:t xml:space="preserve">A declaration under </w:t>
      </w:r>
      <w:r w:rsidR="008B2950" w:rsidRPr="005071A1">
        <w:t>subsection (</w:t>
      </w:r>
      <w:r w:rsidRPr="005071A1">
        <w:t xml:space="preserve">11) shall come into force on the day on which the instrument of declaration is published in the </w:t>
      </w:r>
      <w:r w:rsidRPr="005071A1">
        <w:rPr>
          <w:i/>
        </w:rPr>
        <w:t xml:space="preserve">Gazette </w:t>
      </w:r>
      <w:r w:rsidRPr="005071A1">
        <w:t xml:space="preserve">or, if an earlier day (not being earlier than </w:t>
      </w:r>
      <w:r w:rsidR="00594E1E" w:rsidRPr="005071A1">
        <w:t>1 January</w:t>
      </w:r>
      <w:r w:rsidRPr="005071A1">
        <w:t xml:space="preserve"> 1970) is specified in the instrument as the day on which the declaration is to be deemed to have come into force, shall be deemed to have come into force on that earlier day.</w:t>
      </w:r>
    </w:p>
    <w:p w14:paraId="65810D66" w14:textId="77777777" w:rsidR="00B33542" w:rsidRPr="005071A1" w:rsidRDefault="00B33542" w:rsidP="00B33542">
      <w:pPr>
        <w:pStyle w:val="subsection"/>
      </w:pPr>
      <w:r w:rsidRPr="005071A1">
        <w:tab/>
        <w:t>(13)</w:t>
      </w:r>
      <w:r w:rsidRPr="005071A1">
        <w:tab/>
        <w:t xml:space="preserve">A superannuation scheme shall be taken, for the purposes of this section, to have been an approved superannuation scheme at a particular time if a declaration by the Minister under </w:t>
      </w:r>
      <w:r w:rsidR="008B2950" w:rsidRPr="005071A1">
        <w:t>subsection (</w:t>
      </w:r>
      <w:r w:rsidRPr="005071A1">
        <w:t>11) in respect of that scheme was, or is to be deemed to have been, in force at that time.</w:t>
      </w:r>
    </w:p>
    <w:p w14:paraId="22EBF692" w14:textId="77777777" w:rsidR="00B33542" w:rsidRPr="005071A1" w:rsidRDefault="00B33542" w:rsidP="00B33542">
      <w:pPr>
        <w:pStyle w:val="subsection"/>
      </w:pPr>
      <w:r w:rsidRPr="005071A1">
        <w:tab/>
        <w:t>(14)</w:t>
      </w:r>
      <w:r w:rsidRPr="005071A1">
        <w:tab/>
        <w:t>In the application of this section in relation to a person who is employed by an approved authority:</w:t>
      </w:r>
    </w:p>
    <w:p w14:paraId="515F03D3" w14:textId="77777777" w:rsidR="00B33542" w:rsidRPr="005071A1" w:rsidRDefault="00B33542" w:rsidP="00B33542">
      <w:pPr>
        <w:pStyle w:val="paragraph"/>
      </w:pPr>
      <w:r w:rsidRPr="005071A1">
        <w:tab/>
        <w:t>(a)</w:t>
      </w:r>
      <w:r w:rsidRPr="005071A1">
        <w:tab/>
      </w:r>
      <w:r w:rsidR="008B2950" w:rsidRPr="005071A1">
        <w:t>subsection (</w:t>
      </w:r>
      <w:r w:rsidRPr="005071A1">
        <w:t>5) does not apply but the premiums referred to in that subsection shall be paid by that approved authority, which may apply, for the purpose of making the payments, any moneys under its control; and</w:t>
      </w:r>
    </w:p>
    <w:p w14:paraId="452285C0" w14:textId="77777777" w:rsidR="00B33542" w:rsidRPr="005071A1" w:rsidRDefault="00B33542" w:rsidP="00B33542">
      <w:pPr>
        <w:pStyle w:val="paragraph"/>
      </w:pPr>
      <w:r w:rsidRPr="005071A1">
        <w:tab/>
        <w:t>(b)</w:t>
      </w:r>
      <w:r w:rsidRPr="005071A1">
        <w:tab/>
        <w:t>a reference in any other provision of this section to the Commonwealth shall be read as a reference to that approved authority.</w:t>
      </w:r>
    </w:p>
    <w:p w14:paraId="5871F742" w14:textId="77777777" w:rsidR="00B33542" w:rsidRPr="005071A1" w:rsidRDefault="00B33542" w:rsidP="00B33542">
      <w:pPr>
        <w:pStyle w:val="subsection"/>
      </w:pPr>
      <w:r w:rsidRPr="005071A1">
        <w:tab/>
        <w:t>(15)</w:t>
      </w:r>
      <w:r w:rsidRPr="005071A1">
        <w:tab/>
        <w:t>In this section:</w:t>
      </w:r>
    </w:p>
    <w:p w14:paraId="27277705" w14:textId="77777777" w:rsidR="00B33542" w:rsidRPr="005071A1" w:rsidRDefault="00B33542" w:rsidP="00B33542">
      <w:pPr>
        <w:pStyle w:val="Definition"/>
      </w:pPr>
      <w:r w:rsidRPr="005071A1">
        <w:rPr>
          <w:b/>
          <w:i/>
        </w:rPr>
        <w:t>salary</w:t>
      </w:r>
      <w:r w:rsidRPr="005071A1">
        <w:t xml:space="preserve"> has the same meaning as in Part III; and</w:t>
      </w:r>
    </w:p>
    <w:p w14:paraId="300DBEB4" w14:textId="77777777" w:rsidR="00B33542" w:rsidRPr="005071A1" w:rsidRDefault="00B33542" w:rsidP="00B33542">
      <w:pPr>
        <w:pStyle w:val="Definition"/>
        <w:keepNext/>
        <w:spacing w:after="120"/>
      </w:pPr>
      <w:r w:rsidRPr="005071A1">
        <w:rPr>
          <w:b/>
          <w:i/>
        </w:rPr>
        <w:t>the prescribed amount</w:t>
      </w:r>
      <w:r w:rsidRPr="005071A1">
        <w:t>, in relation to a person in relation to any time, is an amount ascertained in accordance with the formula</w:t>
      </w:r>
    </w:p>
    <w:p w14:paraId="1A59C899" w14:textId="77777777" w:rsidR="00B33542" w:rsidRPr="005071A1" w:rsidRDefault="00E02FDA" w:rsidP="009B7AF5">
      <w:pPr>
        <w:pStyle w:val="Definition"/>
        <w:spacing w:before="120" w:after="120"/>
      </w:pPr>
      <w:r w:rsidRPr="005071A1">
        <w:rPr>
          <w:noProof/>
        </w:rPr>
        <w:drawing>
          <wp:inline distT="0" distB="0" distL="0" distR="0" wp14:anchorId="32611573" wp14:editId="51809BA4">
            <wp:extent cx="198120" cy="354965"/>
            <wp:effectExtent l="0" t="0" r="0" b="0"/>
            <wp:docPr id="7" name="Picture 7" descr="Start formula start fraction ab over c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120" cy="354965"/>
                    </a:xfrm>
                    <a:prstGeom prst="rect">
                      <a:avLst/>
                    </a:prstGeom>
                    <a:noFill/>
                    <a:ln>
                      <a:noFill/>
                    </a:ln>
                  </pic:spPr>
                </pic:pic>
              </a:graphicData>
            </a:graphic>
          </wp:inline>
        </w:drawing>
      </w:r>
    </w:p>
    <w:p w14:paraId="01715AD2" w14:textId="77777777" w:rsidR="00B33542" w:rsidRPr="005071A1" w:rsidRDefault="00B33542" w:rsidP="00B33542">
      <w:pPr>
        <w:pStyle w:val="subsection2"/>
        <w:spacing w:before="120"/>
      </w:pPr>
      <w:r w:rsidRPr="005071A1">
        <w:t>where:</w:t>
      </w:r>
    </w:p>
    <w:p w14:paraId="74B5D778" w14:textId="77777777" w:rsidR="00B33542" w:rsidRPr="005071A1" w:rsidRDefault="00B33542" w:rsidP="00B33542">
      <w:pPr>
        <w:pStyle w:val="Definition"/>
      </w:pPr>
      <w:r w:rsidRPr="005071A1">
        <w:rPr>
          <w:b/>
          <w:i/>
        </w:rPr>
        <w:t>a</w:t>
      </w:r>
      <w:r w:rsidRPr="005071A1">
        <w:t xml:space="preserve"> is the amount of the annual premium, or the sum of the amounts of the annual premiums, applicable at that time under the life </w:t>
      </w:r>
      <w:r w:rsidRPr="005071A1">
        <w:lastRenderedPageBreak/>
        <w:t xml:space="preserve">policy or life policies assigned by him to the Board in accordance with </w:t>
      </w:r>
      <w:r w:rsidR="008B2950" w:rsidRPr="005071A1">
        <w:t>subsection (</w:t>
      </w:r>
      <w:r w:rsidRPr="005071A1">
        <w:t xml:space="preserve">3) or issued in relation to him in accordance with </w:t>
      </w:r>
      <w:r w:rsidR="008B2950" w:rsidRPr="005071A1">
        <w:t>subsection (</w:t>
      </w:r>
      <w:r w:rsidRPr="005071A1">
        <w:t>4).</w:t>
      </w:r>
    </w:p>
    <w:p w14:paraId="7F1804BC" w14:textId="77777777" w:rsidR="00B33542" w:rsidRPr="005071A1" w:rsidRDefault="00063731" w:rsidP="00B33542">
      <w:pPr>
        <w:pStyle w:val="Definition"/>
      </w:pPr>
      <w:r w:rsidRPr="005071A1">
        <w:rPr>
          <w:b/>
          <w:i/>
        </w:rPr>
        <w:t>b</w:t>
      </w:r>
      <w:r w:rsidR="00B33542" w:rsidRPr="005071A1">
        <w:rPr>
          <w:i/>
        </w:rPr>
        <w:t xml:space="preserve"> </w:t>
      </w:r>
      <w:r w:rsidR="00B33542" w:rsidRPr="005071A1">
        <w:t xml:space="preserve">is the amount, or the sum of the amounts, payable by him under the superannuation scheme referred to in </w:t>
      </w:r>
      <w:r w:rsidR="008B2950" w:rsidRPr="005071A1">
        <w:t>subsection (</w:t>
      </w:r>
      <w:r w:rsidR="00B33542" w:rsidRPr="005071A1">
        <w:t xml:space="preserve">4) immediately before he ceased to be a member of that scheme in respect of the annual premium or the annual premiums under the life policy or life policies assigned by him to the Board in accordance with </w:t>
      </w:r>
      <w:r w:rsidR="008B2950" w:rsidRPr="005071A1">
        <w:t>subsection (</w:t>
      </w:r>
      <w:r w:rsidR="00B33542" w:rsidRPr="005071A1">
        <w:t>3).</w:t>
      </w:r>
    </w:p>
    <w:p w14:paraId="577AAC7D" w14:textId="77777777" w:rsidR="00B33542" w:rsidRPr="005071A1" w:rsidRDefault="00063731" w:rsidP="00B33542">
      <w:pPr>
        <w:pStyle w:val="Definition"/>
      </w:pPr>
      <w:r w:rsidRPr="005071A1">
        <w:rPr>
          <w:b/>
          <w:i/>
        </w:rPr>
        <w:t>c</w:t>
      </w:r>
      <w:r w:rsidR="00B33542" w:rsidRPr="005071A1">
        <w:rPr>
          <w:i/>
        </w:rPr>
        <w:t xml:space="preserve"> </w:t>
      </w:r>
      <w:r w:rsidR="00B33542" w:rsidRPr="005071A1">
        <w:t xml:space="preserve">is the amount of the annual premium, or the sum of the amounts of the annual premiums, applicable under the life policy or life policies assigned by him to the Board in accordance with </w:t>
      </w:r>
      <w:r w:rsidR="008B2950" w:rsidRPr="005071A1">
        <w:t>subsection (</w:t>
      </w:r>
      <w:r w:rsidR="00B33542" w:rsidRPr="005071A1">
        <w:t xml:space="preserve">3) immediately before he ceased to be a member of the superannuation scheme referred to in </w:t>
      </w:r>
      <w:r w:rsidR="008B2950" w:rsidRPr="005071A1">
        <w:t>subsection (</w:t>
      </w:r>
      <w:r w:rsidR="00B33542" w:rsidRPr="005071A1">
        <w:t>4).</w:t>
      </w:r>
    </w:p>
    <w:p w14:paraId="18380B8F" w14:textId="77777777" w:rsidR="00B33542" w:rsidRPr="005071A1" w:rsidRDefault="00B33542" w:rsidP="00B33542">
      <w:pPr>
        <w:pStyle w:val="subsection"/>
      </w:pPr>
      <w:r w:rsidRPr="005071A1">
        <w:tab/>
        <w:t>(16)</w:t>
      </w:r>
      <w:r w:rsidRPr="005071A1">
        <w:tab/>
        <w:t>This section does not apply to or in relation to a person who becomes an employee on or after 1</w:t>
      </w:r>
      <w:r w:rsidR="008B2950" w:rsidRPr="005071A1">
        <w:t> </w:t>
      </w:r>
      <w:r w:rsidRPr="005071A1">
        <w:t>July 1976.</w:t>
      </w:r>
    </w:p>
    <w:p w14:paraId="39201FC0" w14:textId="77777777" w:rsidR="00B33542" w:rsidRPr="005071A1" w:rsidRDefault="00B33542" w:rsidP="00B33542">
      <w:pPr>
        <w:pStyle w:val="subsection"/>
      </w:pPr>
      <w:r w:rsidRPr="005071A1">
        <w:tab/>
        <w:t>(17)</w:t>
      </w:r>
      <w:r w:rsidRPr="005071A1">
        <w:tab/>
      </w:r>
      <w:r w:rsidR="008B2950" w:rsidRPr="005071A1">
        <w:t>Subsection (</w:t>
      </w:r>
      <w:r w:rsidRPr="005071A1">
        <w:t>4) does not apply in relation to an increase in the salary of an employee that occurs on or after 1</w:t>
      </w:r>
      <w:r w:rsidR="008B2950" w:rsidRPr="005071A1">
        <w:t> </w:t>
      </w:r>
      <w:r w:rsidRPr="005071A1">
        <w:t>July 1976.</w:t>
      </w:r>
    </w:p>
    <w:p w14:paraId="206EE870" w14:textId="77777777" w:rsidR="00B33542" w:rsidRPr="005071A1" w:rsidRDefault="00B33542" w:rsidP="00B33542">
      <w:pPr>
        <w:pStyle w:val="subsection"/>
      </w:pPr>
      <w:r w:rsidRPr="005071A1">
        <w:tab/>
        <w:t>(18)</w:t>
      </w:r>
      <w:r w:rsidRPr="005071A1">
        <w:tab/>
        <w:t xml:space="preserve">A person shall not be required to pay an amount to the Commonwealth under </w:t>
      </w:r>
      <w:r w:rsidR="008B2950" w:rsidRPr="005071A1">
        <w:t>subsection (</w:t>
      </w:r>
      <w:r w:rsidRPr="005071A1">
        <w:t>6) on or after 1</w:t>
      </w:r>
      <w:r w:rsidR="008B2950" w:rsidRPr="005071A1">
        <w:t> </w:t>
      </w:r>
      <w:r w:rsidRPr="005071A1">
        <w:t>July 1976 unless the obligation to pay that amount is in relation to a time before 1</w:t>
      </w:r>
      <w:r w:rsidR="008B2950" w:rsidRPr="005071A1">
        <w:t> </w:t>
      </w:r>
      <w:r w:rsidRPr="005071A1">
        <w:t>July 1976.</w:t>
      </w:r>
    </w:p>
    <w:p w14:paraId="59D7C270" w14:textId="77777777" w:rsidR="00B33542" w:rsidRPr="005071A1" w:rsidRDefault="00B33542" w:rsidP="00B33542">
      <w:pPr>
        <w:pStyle w:val="subsection"/>
      </w:pPr>
      <w:r w:rsidRPr="005071A1">
        <w:tab/>
        <w:t>(19)</w:t>
      </w:r>
      <w:r w:rsidRPr="005071A1">
        <w:tab/>
      </w:r>
      <w:r w:rsidR="008B2950" w:rsidRPr="005071A1">
        <w:t>Subsections (</w:t>
      </w:r>
      <w:r w:rsidRPr="005071A1">
        <w:t>7), (8) and (9) do not apply to or in relation to a person who ceases to be an employee on or after 1</w:t>
      </w:r>
      <w:r w:rsidR="008B2950" w:rsidRPr="005071A1">
        <w:t> </w:t>
      </w:r>
      <w:r w:rsidRPr="005071A1">
        <w:t>July 1976.</w:t>
      </w:r>
    </w:p>
    <w:p w14:paraId="454B33E7" w14:textId="77777777" w:rsidR="00B33542" w:rsidRPr="005071A1" w:rsidRDefault="00B33542" w:rsidP="00B33542">
      <w:pPr>
        <w:pStyle w:val="ActHead5"/>
      </w:pPr>
      <w:bookmarkStart w:id="240" w:name="_Toc185577622"/>
      <w:r w:rsidRPr="004510F0">
        <w:rPr>
          <w:rStyle w:val="CharSectno"/>
        </w:rPr>
        <w:lastRenderedPageBreak/>
        <w:t>119ZD</w:t>
      </w:r>
      <w:r w:rsidRPr="005071A1">
        <w:t xml:space="preserve">  Special provisions in relation to persons to whom section</w:t>
      </w:r>
      <w:r w:rsidR="008B2950" w:rsidRPr="005071A1">
        <w:t> </w:t>
      </w:r>
      <w:r w:rsidRPr="005071A1">
        <w:t>7 applies</w:t>
      </w:r>
      <w:bookmarkEnd w:id="240"/>
    </w:p>
    <w:p w14:paraId="7113105D" w14:textId="77777777" w:rsidR="00B33542" w:rsidRPr="005071A1" w:rsidRDefault="00B33542" w:rsidP="00B33542">
      <w:pPr>
        <w:pStyle w:val="subsection"/>
      </w:pPr>
      <w:r w:rsidRPr="005071A1">
        <w:tab/>
        <w:t>(1)</w:t>
      </w:r>
      <w:r w:rsidRPr="005071A1">
        <w:tab/>
        <w:t>This section applies to a person with whom an arrangement made by the Commonwealth or an approved authority is in force under section</w:t>
      </w:r>
      <w:r w:rsidR="008B2950" w:rsidRPr="005071A1">
        <w:t> </w:t>
      </w:r>
      <w:r w:rsidRPr="005071A1">
        <w:t>7.</w:t>
      </w:r>
    </w:p>
    <w:p w14:paraId="0367ABC3" w14:textId="77777777" w:rsidR="00B33542" w:rsidRPr="005071A1" w:rsidRDefault="00B33542" w:rsidP="00B33542">
      <w:pPr>
        <w:pStyle w:val="subsection"/>
      </w:pPr>
      <w:r w:rsidRPr="005071A1">
        <w:tab/>
        <w:t>(2)</w:t>
      </w:r>
      <w:r w:rsidRPr="005071A1">
        <w:tab/>
        <w:t>If, after the commencement of this section, a person to whom this section applies becomes an employee and a contributor to the Fund or to the Provident Account:</w:t>
      </w:r>
    </w:p>
    <w:p w14:paraId="3B350193" w14:textId="77777777" w:rsidR="00B33542" w:rsidRPr="005071A1" w:rsidRDefault="00B33542" w:rsidP="00B33542">
      <w:pPr>
        <w:pStyle w:val="paragraph"/>
      </w:pPr>
      <w:r w:rsidRPr="005071A1">
        <w:tab/>
        <w:t>(a)</w:t>
      </w:r>
      <w:r w:rsidRPr="005071A1">
        <w:tab/>
      </w:r>
      <w:r w:rsidR="008B2950" w:rsidRPr="005071A1">
        <w:t>subsection (</w:t>
      </w:r>
      <w:r w:rsidRPr="005071A1">
        <w:t>2A) of section</w:t>
      </w:r>
      <w:r w:rsidR="008B2950" w:rsidRPr="005071A1">
        <w:t> </w:t>
      </w:r>
      <w:r w:rsidRPr="005071A1">
        <w:t>7 has effect subject to the succeeding provisions of this section; and</w:t>
      </w:r>
    </w:p>
    <w:p w14:paraId="7B8A44E8" w14:textId="77777777" w:rsidR="00B33542" w:rsidRPr="005071A1" w:rsidRDefault="00B33542" w:rsidP="00B33542">
      <w:pPr>
        <w:pStyle w:val="paragraph"/>
      </w:pPr>
      <w:r w:rsidRPr="005071A1">
        <w:tab/>
        <w:t>(b)</w:t>
      </w:r>
      <w:r w:rsidRPr="005071A1">
        <w:tab/>
      </w:r>
      <w:r w:rsidR="008B2950" w:rsidRPr="005071A1">
        <w:t>subsection (</w:t>
      </w:r>
      <w:r w:rsidRPr="005071A1">
        <w:t xml:space="preserve">3) of </w:t>
      </w:r>
      <w:r w:rsidR="004510F0">
        <w:t>section 1</w:t>
      </w:r>
      <w:r w:rsidRPr="005071A1">
        <w:t xml:space="preserve">19D and </w:t>
      </w:r>
      <w:r w:rsidR="008B2950" w:rsidRPr="005071A1">
        <w:t>paragraph (</w:t>
      </w:r>
      <w:r w:rsidRPr="005071A1">
        <w:t xml:space="preserve">a) of </w:t>
      </w:r>
      <w:r w:rsidR="008B2950" w:rsidRPr="005071A1">
        <w:t>subsection (</w:t>
      </w:r>
      <w:r w:rsidRPr="005071A1">
        <w:t xml:space="preserve">1) of </w:t>
      </w:r>
      <w:r w:rsidR="004510F0">
        <w:t>section 1</w:t>
      </w:r>
      <w:r w:rsidRPr="005071A1">
        <w:t>19H have effect in relation to him as if:</w:t>
      </w:r>
    </w:p>
    <w:p w14:paraId="028276B0" w14:textId="77777777" w:rsidR="00B33542" w:rsidRPr="005071A1" w:rsidRDefault="00B33542" w:rsidP="00B33542">
      <w:pPr>
        <w:pStyle w:val="paragraphsub"/>
      </w:pPr>
      <w:r w:rsidRPr="005071A1">
        <w:tab/>
        <w:t>(i)</w:t>
      </w:r>
      <w:r w:rsidRPr="005071A1">
        <w:tab/>
        <w:t>the arrangement constituted a superannuation scheme;</w:t>
      </w:r>
    </w:p>
    <w:p w14:paraId="621001E5" w14:textId="77777777" w:rsidR="00B33542" w:rsidRPr="005071A1" w:rsidRDefault="00B33542" w:rsidP="00B33542">
      <w:pPr>
        <w:pStyle w:val="paragraphsub"/>
      </w:pPr>
      <w:r w:rsidRPr="005071A1">
        <w:tab/>
        <w:t>(ii)</w:t>
      </w:r>
      <w:r w:rsidRPr="005071A1">
        <w:tab/>
        <w:t>his employment by the Commonwealth or the authority had terminated immediately before he became an employee; and</w:t>
      </w:r>
    </w:p>
    <w:p w14:paraId="1B25A4BC" w14:textId="77777777" w:rsidR="00B33542" w:rsidRPr="005071A1" w:rsidRDefault="00B33542" w:rsidP="00B33542">
      <w:pPr>
        <w:pStyle w:val="paragraphsub"/>
      </w:pPr>
      <w:r w:rsidRPr="005071A1">
        <w:tab/>
        <w:t>(iii)</w:t>
      </w:r>
      <w:r w:rsidRPr="005071A1">
        <w:tab/>
        <w:t>he was entitled to have assigned to him the legal title to any life policies that had been assigned to the Commonwealth or the authority in pursuance of the arrangement.</w:t>
      </w:r>
    </w:p>
    <w:p w14:paraId="0E2D720D" w14:textId="77777777" w:rsidR="00B33542" w:rsidRPr="005071A1" w:rsidRDefault="00B33542" w:rsidP="00B33542">
      <w:pPr>
        <w:pStyle w:val="subsection"/>
      </w:pPr>
      <w:r w:rsidRPr="005071A1">
        <w:tab/>
        <w:t>(3)</w:t>
      </w:r>
      <w:r w:rsidRPr="005071A1">
        <w:tab/>
        <w:t xml:space="preserve">Subject to this section, the Commonwealth or the authority is not required to assign the life policies to the person before the expiration of the period within which he was entitled to make an election in accordance with </w:t>
      </w:r>
      <w:r w:rsidR="008B2950" w:rsidRPr="005071A1">
        <w:t>paragraph (</w:t>
      </w:r>
      <w:r w:rsidRPr="005071A1">
        <w:t xml:space="preserve">b) of </w:t>
      </w:r>
      <w:r w:rsidR="008B2950" w:rsidRPr="005071A1">
        <w:t>subsection (</w:t>
      </w:r>
      <w:r w:rsidRPr="005071A1">
        <w:t xml:space="preserve">1) of </w:t>
      </w:r>
      <w:r w:rsidR="004510F0">
        <w:t>section 1</w:t>
      </w:r>
      <w:r w:rsidRPr="005071A1">
        <w:t>19J.</w:t>
      </w:r>
    </w:p>
    <w:p w14:paraId="007D2795" w14:textId="77777777" w:rsidR="00B33542" w:rsidRPr="005071A1" w:rsidRDefault="00B33542" w:rsidP="00B33542">
      <w:pPr>
        <w:pStyle w:val="subsection"/>
      </w:pPr>
      <w:r w:rsidRPr="005071A1">
        <w:tab/>
        <w:t>(4)</w:t>
      </w:r>
      <w:r w:rsidRPr="005071A1">
        <w:tab/>
        <w:t xml:space="preserve">If the person makes an election in accordance with </w:t>
      </w:r>
      <w:r w:rsidR="008B2950" w:rsidRPr="005071A1">
        <w:t>paragraph (</w:t>
      </w:r>
      <w:r w:rsidRPr="005071A1">
        <w:t xml:space="preserve">b) of </w:t>
      </w:r>
      <w:r w:rsidR="008B2950" w:rsidRPr="005071A1">
        <w:t>subsection (</w:t>
      </w:r>
      <w:r w:rsidRPr="005071A1">
        <w:t xml:space="preserve">1) of </w:t>
      </w:r>
      <w:r w:rsidR="004510F0">
        <w:t>section 1</w:t>
      </w:r>
      <w:r w:rsidRPr="005071A1">
        <w:t>19J, the succeeding provisions of this section have effect.</w:t>
      </w:r>
    </w:p>
    <w:p w14:paraId="5C641DD9" w14:textId="77777777" w:rsidR="00B33542" w:rsidRPr="005071A1" w:rsidRDefault="00B33542" w:rsidP="00B33542">
      <w:pPr>
        <w:pStyle w:val="subsection"/>
      </w:pPr>
      <w:r w:rsidRPr="005071A1">
        <w:lastRenderedPageBreak/>
        <w:tab/>
        <w:t>(5)</w:t>
      </w:r>
      <w:r w:rsidRPr="005071A1">
        <w:tab/>
        <w:t xml:space="preserve">If the person does not make an election in accordance with </w:t>
      </w:r>
      <w:r w:rsidR="008B2950" w:rsidRPr="005071A1">
        <w:t>subsection (</w:t>
      </w:r>
      <w:r w:rsidRPr="005071A1">
        <w:t xml:space="preserve">2) of </w:t>
      </w:r>
      <w:r w:rsidR="004510F0">
        <w:t>section 1</w:t>
      </w:r>
      <w:r w:rsidRPr="005071A1">
        <w:t>19ZC:</w:t>
      </w:r>
    </w:p>
    <w:p w14:paraId="07D9F9CF" w14:textId="77777777" w:rsidR="00B33542" w:rsidRPr="005071A1" w:rsidRDefault="00B33542" w:rsidP="00B33542">
      <w:pPr>
        <w:pStyle w:val="paragraph"/>
      </w:pPr>
      <w:r w:rsidRPr="005071A1">
        <w:tab/>
        <w:t>(a)</w:t>
      </w:r>
      <w:r w:rsidRPr="005071A1">
        <w:tab/>
        <w:t>the Commonwealth or the authority shall surrender the life policy or life policies and, out of the proceeds of the surrender, shall:</w:t>
      </w:r>
    </w:p>
    <w:p w14:paraId="50512F53" w14:textId="77777777" w:rsidR="00B33542" w:rsidRPr="005071A1" w:rsidRDefault="00B33542" w:rsidP="00B33542">
      <w:pPr>
        <w:pStyle w:val="paragraphsub"/>
      </w:pPr>
      <w:r w:rsidRPr="005071A1">
        <w:tab/>
        <w:t>(i)</w:t>
      </w:r>
      <w:r w:rsidRPr="005071A1">
        <w:tab/>
        <w:t>pay to the Board an amount equal to the surrender value of the policy, or the sum of the surrender values of the policies, calculated as at the date immediately before the person became an employee; and</w:t>
      </w:r>
    </w:p>
    <w:p w14:paraId="559154AC" w14:textId="77777777" w:rsidR="00B33542" w:rsidRPr="005071A1" w:rsidRDefault="00B33542" w:rsidP="00B33542">
      <w:pPr>
        <w:pStyle w:val="paragraphsub"/>
      </w:pPr>
      <w:r w:rsidRPr="005071A1">
        <w:tab/>
        <w:t>(ii)</w:t>
      </w:r>
      <w:r w:rsidRPr="005071A1">
        <w:tab/>
        <w:t>pay the balance (if any) to the person; and</w:t>
      </w:r>
    </w:p>
    <w:p w14:paraId="436A3C4D" w14:textId="77777777" w:rsidR="00B33542" w:rsidRPr="005071A1" w:rsidRDefault="00B33542" w:rsidP="00B33542">
      <w:pPr>
        <w:pStyle w:val="paragraph"/>
      </w:pPr>
      <w:r w:rsidRPr="005071A1">
        <w:tab/>
        <w:t>(b)</w:t>
      </w:r>
      <w:r w:rsidRPr="005071A1">
        <w:tab/>
        <w:t xml:space="preserve">the amount so paid to the Board shall be deemed to have been paid to the Board by the person under </w:t>
      </w:r>
      <w:r w:rsidR="008B2950" w:rsidRPr="005071A1">
        <w:t>subsection (</w:t>
      </w:r>
      <w:r w:rsidRPr="005071A1">
        <w:t xml:space="preserve">1) of </w:t>
      </w:r>
      <w:r w:rsidR="004510F0">
        <w:t>section 1</w:t>
      </w:r>
      <w:r w:rsidRPr="005071A1">
        <w:t>19J.</w:t>
      </w:r>
    </w:p>
    <w:p w14:paraId="5D982C70" w14:textId="77777777" w:rsidR="00B33542" w:rsidRPr="005071A1" w:rsidRDefault="00B33542" w:rsidP="00B33542">
      <w:pPr>
        <w:pStyle w:val="subsection"/>
      </w:pPr>
      <w:r w:rsidRPr="005071A1">
        <w:tab/>
        <w:t>(6)</w:t>
      </w:r>
      <w:r w:rsidRPr="005071A1">
        <w:tab/>
        <w:t xml:space="preserve">If the person makes an election in accordance with </w:t>
      </w:r>
      <w:r w:rsidR="008B2950" w:rsidRPr="005071A1">
        <w:t>subsection (</w:t>
      </w:r>
      <w:r w:rsidRPr="005071A1">
        <w:t xml:space="preserve">2) of </w:t>
      </w:r>
      <w:r w:rsidR="004510F0">
        <w:t>section 1</w:t>
      </w:r>
      <w:r w:rsidRPr="005071A1">
        <w:t>19ZC:</w:t>
      </w:r>
    </w:p>
    <w:p w14:paraId="31EDB60E" w14:textId="77777777" w:rsidR="00B33542" w:rsidRPr="005071A1" w:rsidRDefault="00B33542" w:rsidP="00B33542">
      <w:pPr>
        <w:pStyle w:val="paragraph"/>
      </w:pPr>
      <w:r w:rsidRPr="005071A1">
        <w:tab/>
        <w:t>(a)</w:t>
      </w:r>
      <w:r w:rsidRPr="005071A1">
        <w:tab/>
        <w:t>the Commonwealth or the authority shall assign the life policy or life policies to the Board;</w:t>
      </w:r>
    </w:p>
    <w:p w14:paraId="076E0A1C" w14:textId="77777777" w:rsidR="00B33542" w:rsidRPr="005071A1" w:rsidRDefault="00B33542" w:rsidP="00B33542">
      <w:pPr>
        <w:pStyle w:val="paragraph"/>
      </w:pPr>
      <w:r w:rsidRPr="005071A1">
        <w:tab/>
        <w:t>(b)</w:t>
      </w:r>
      <w:r w:rsidRPr="005071A1">
        <w:tab/>
        <w:t xml:space="preserve">the assignment shall be deemed to constitute an assignment of the policy or policies to the Board by the person in accordance with </w:t>
      </w:r>
      <w:r w:rsidR="008B2950" w:rsidRPr="005071A1">
        <w:t>subsection (</w:t>
      </w:r>
      <w:r w:rsidRPr="005071A1">
        <w:t xml:space="preserve">3) of </w:t>
      </w:r>
      <w:r w:rsidR="004510F0">
        <w:t>section 1</w:t>
      </w:r>
      <w:r w:rsidRPr="005071A1">
        <w:t>19ZC; and</w:t>
      </w:r>
    </w:p>
    <w:p w14:paraId="2386918A" w14:textId="77777777" w:rsidR="00B33542" w:rsidRPr="005071A1" w:rsidRDefault="00B33542" w:rsidP="00B33542">
      <w:pPr>
        <w:pStyle w:val="paragraph"/>
      </w:pPr>
      <w:r w:rsidRPr="005071A1">
        <w:tab/>
        <w:t>(c)</w:t>
      </w:r>
      <w:r w:rsidRPr="005071A1">
        <w:tab/>
        <w:t xml:space="preserve">the person is not liable to pay any amount to the Commonwealth or the authority under </w:t>
      </w:r>
      <w:r w:rsidR="008B2950" w:rsidRPr="005071A1">
        <w:t>subsection (</w:t>
      </w:r>
      <w:r w:rsidRPr="005071A1">
        <w:t>2A) of section</w:t>
      </w:r>
      <w:r w:rsidR="008B2950" w:rsidRPr="005071A1">
        <w:t> </w:t>
      </w:r>
      <w:r w:rsidRPr="005071A1">
        <w:t>7.</w:t>
      </w:r>
    </w:p>
    <w:p w14:paraId="7C8A2BE7" w14:textId="77777777" w:rsidR="00B33542" w:rsidRPr="005071A1" w:rsidRDefault="00B33542" w:rsidP="00B33542">
      <w:pPr>
        <w:pStyle w:val="ActHead5"/>
      </w:pPr>
      <w:bookmarkStart w:id="241" w:name="_Toc185577623"/>
      <w:r w:rsidRPr="004510F0">
        <w:rPr>
          <w:rStyle w:val="CharSectno"/>
        </w:rPr>
        <w:t>119ZE</w:t>
      </w:r>
      <w:r w:rsidRPr="005071A1">
        <w:t xml:space="preserve">  Payments out of Consolidated Revenue Fund</w:t>
      </w:r>
      <w:bookmarkEnd w:id="241"/>
    </w:p>
    <w:p w14:paraId="5BC335C7" w14:textId="77777777" w:rsidR="00B33542" w:rsidRPr="005071A1" w:rsidRDefault="00B33542" w:rsidP="00B33542">
      <w:pPr>
        <w:pStyle w:val="subsection"/>
      </w:pPr>
      <w:r w:rsidRPr="005071A1">
        <w:tab/>
        <w:t>(1)</w:t>
      </w:r>
      <w:r w:rsidRPr="005071A1">
        <w:tab/>
        <w:t>Subject to this section, section</w:t>
      </w:r>
      <w:r w:rsidR="008B2950" w:rsidRPr="005071A1">
        <w:t> </w:t>
      </w:r>
      <w:r w:rsidRPr="005071A1">
        <w:t xml:space="preserve">33 applies in relation to a payment of a transfer value under </w:t>
      </w:r>
      <w:r w:rsidR="004510F0">
        <w:t>section 1</w:t>
      </w:r>
      <w:r w:rsidRPr="005071A1">
        <w:t>19V in respect of a person who has been a contributor to the Fund as if that payment were a payment of pension.</w:t>
      </w:r>
    </w:p>
    <w:p w14:paraId="6AF2ECAE" w14:textId="77777777" w:rsidR="00B33542" w:rsidRPr="005071A1" w:rsidRDefault="00B33542" w:rsidP="00B33542">
      <w:pPr>
        <w:pStyle w:val="subsection"/>
      </w:pPr>
      <w:r w:rsidRPr="005071A1">
        <w:lastRenderedPageBreak/>
        <w:tab/>
        <w:t>(2)</w:t>
      </w:r>
      <w:r w:rsidRPr="005071A1">
        <w:tab/>
        <w:t>In the application of section</w:t>
      </w:r>
      <w:r w:rsidR="008B2950" w:rsidRPr="005071A1">
        <w:t> </w:t>
      </w:r>
      <w:r w:rsidRPr="005071A1">
        <w:t xml:space="preserve">33 in relation to payment of a deferred benefit, the reference in </w:t>
      </w:r>
      <w:r w:rsidR="008B2950" w:rsidRPr="005071A1">
        <w:t>subsection (</w:t>
      </w:r>
      <w:r w:rsidRPr="005071A1">
        <w:t>7) to $208 shall be read as a reference to such amount as the Board determines.</w:t>
      </w:r>
    </w:p>
    <w:p w14:paraId="046EC3CE" w14:textId="77777777" w:rsidR="00B33542" w:rsidRPr="005071A1" w:rsidRDefault="00B33542" w:rsidP="00B33542">
      <w:pPr>
        <w:pStyle w:val="subsection"/>
      </w:pPr>
      <w:r w:rsidRPr="005071A1">
        <w:tab/>
        <w:t>(3)</w:t>
      </w:r>
      <w:r w:rsidRPr="005071A1">
        <w:tab/>
        <w:t>Where the Commonwealth is required to make a payment by reason of section</w:t>
      </w:r>
      <w:r w:rsidR="008B2950" w:rsidRPr="005071A1">
        <w:t> </w:t>
      </w:r>
      <w:r w:rsidRPr="005071A1">
        <w:t xml:space="preserve">33 in respect of a payment of a deferred benefit, </w:t>
      </w:r>
      <w:r w:rsidR="004510F0">
        <w:t>section 1</w:t>
      </w:r>
      <w:r w:rsidRPr="005071A1">
        <w:t xml:space="preserve">06 and </w:t>
      </w:r>
      <w:r w:rsidR="008B2950" w:rsidRPr="005071A1">
        <w:t>subsection (</w:t>
      </w:r>
      <w:r w:rsidRPr="005071A1">
        <w:t xml:space="preserve">3) of </w:t>
      </w:r>
      <w:r w:rsidR="004510F0">
        <w:t>section 1</w:t>
      </w:r>
      <w:r w:rsidRPr="005071A1">
        <w:t>19 apply in relation to that payment by the Commonwealth.</w:t>
      </w:r>
    </w:p>
    <w:p w14:paraId="285A5B3A" w14:textId="77777777" w:rsidR="00B33542" w:rsidRPr="005071A1" w:rsidRDefault="00B33542" w:rsidP="00B33542">
      <w:pPr>
        <w:pStyle w:val="subsection"/>
      </w:pPr>
      <w:r w:rsidRPr="005071A1">
        <w:tab/>
        <w:t>(4)</w:t>
      </w:r>
      <w:r w:rsidRPr="005071A1">
        <w:tab/>
        <w:t xml:space="preserve">Subject to </w:t>
      </w:r>
      <w:r w:rsidR="008B2950" w:rsidRPr="005071A1">
        <w:t>subsections (</w:t>
      </w:r>
      <w:r w:rsidRPr="005071A1">
        <w:t xml:space="preserve">5), (6) and (7), where a payment is made of a transfer value under </w:t>
      </w:r>
      <w:r w:rsidR="004510F0">
        <w:t>section 1</w:t>
      </w:r>
      <w:r w:rsidRPr="005071A1">
        <w:t xml:space="preserve">19V, or of a deferred benefit under </w:t>
      </w:r>
      <w:r w:rsidR="004510F0">
        <w:t>section 1</w:t>
      </w:r>
      <w:r w:rsidRPr="005071A1">
        <w:t>19W in respect of a person who has been a contributor to the Provident Account, the Commonwealth shall pay to the Provident Account an amount equal to two</w:t>
      </w:r>
      <w:r w:rsidR="004510F0">
        <w:noBreakHyphen/>
      </w:r>
      <w:r w:rsidRPr="005071A1">
        <w:t>thirds of the payment.</w:t>
      </w:r>
    </w:p>
    <w:p w14:paraId="2D6A8C0D" w14:textId="77777777" w:rsidR="00B33542" w:rsidRPr="005071A1" w:rsidRDefault="00B33542" w:rsidP="00B33542">
      <w:pPr>
        <w:pStyle w:val="subsection"/>
      </w:pPr>
      <w:r w:rsidRPr="005071A1">
        <w:tab/>
        <w:t>(5)</w:t>
      </w:r>
      <w:r w:rsidRPr="005071A1">
        <w:tab/>
        <w:t xml:space="preserve">The amount by which a deferred benefit by way of a pension is increased in pursuance of </w:t>
      </w:r>
      <w:r w:rsidR="008B2950" w:rsidRPr="005071A1">
        <w:t>subsection (</w:t>
      </w:r>
      <w:r w:rsidRPr="005071A1">
        <w:t xml:space="preserve">5) of </w:t>
      </w:r>
      <w:r w:rsidR="004510F0">
        <w:t>section 1</w:t>
      </w:r>
      <w:r w:rsidRPr="005071A1">
        <w:t>19T is payable from the Fund without contribution by the Commonwealth.</w:t>
      </w:r>
    </w:p>
    <w:p w14:paraId="6B8B893D" w14:textId="77777777" w:rsidR="00B33542" w:rsidRPr="005071A1" w:rsidRDefault="00B33542" w:rsidP="00B33542">
      <w:pPr>
        <w:pStyle w:val="subsection"/>
      </w:pPr>
      <w:r w:rsidRPr="005071A1">
        <w:tab/>
        <w:t>(6)</w:t>
      </w:r>
      <w:r w:rsidRPr="005071A1">
        <w:tab/>
        <w:t>Where:</w:t>
      </w:r>
    </w:p>
    <w:p w14:paraId="631CE40A" w14:textId="77777777" w:rsidR="00B33542" w:rsidRPr="005071A1" w:rsidRDefault="00B33542" w:rsidP="00B33542">
      <w:pPr>
        <w:pStyle w:val="paragraph"/>
      </w:pPr>
      <w:r w:rsidRPr="005071A1">
        <w:tab/>
        <w:t>(a)</w:t>
      </w:r>
      <w:r w:rsidRPr="005071A1">
        <w:tab/>
        <w:t>an amount has been paid to the Fund or to the Provident Account under Division</w:t>
      </w:r>
      <w:r w:rsidR="008B2950" w:rsidRPr="005071A1">
        <w:t> </w:t>
      </w:r>
      <w:r w:rsidRPr="005071A1">
        <w:t>2 in respect of a person; and</w:t>
      </w:r>
    </w:p>
    <w:p w14:paraId="66654FA3" w14:textId="77777777" w:rsidR="00B33542" w:rsidRPr="005071A1" w:rsidRDefault="00B33542" w:rsidP="00B33542">
      <w:pPr>
        <w:pStyle w:val="paragraph"/>
      </w:pPr>
      <w:r w:rsidRPr="005071A1">
        <w:tab/>
        <w:t>(b)</w:t>
      </w:r>
      <w:r w:rsidRPr="005071A1">
        <w:tab/>
        <w:t>a benefit is subsequently paid under this Act to or in respect of the person, being a benefit consisting of:</w:t>
      </w:r>
    </w:p>
    <w:p w14:paraId="57AD11A8" w14:textId="77777777" w:rsidR="00B33542" w:rsidRPr="005071A1" w:rsidRDefault="00B33542" w:rsidP="00B33542">
      <w:pPr>
        <w:pStyle w:val="paragraphsub"/>
      </w:pPr>
      <w:r w:rsidRPr="005071A1">
        <w:tab/>
        <w:t>(i)</w:t>
      </w:r>
      <w:r w:rsidRPr="005071A1">
        <w:tab/>
        <w:t xml:space="preserve">a fortnightly instalment of a pension (including a pension constituting or forming part of any deferred benefits referred to in </w:t>
      </w:r>
      <w:r w:rsidR="004510F0">
        <w:t>section 1</w:t>
      </w:r>
      <w:r w:rsidRPr="005071A1">
        <w:t>19W);</w:t>
      </w:r>
    </w:p>
    <w:p w14:paraId="258B3406" w14:textId="77777777" w:rsidR="00B33542" w:rsidRPr="005071A1" w:rsidRDefault="00B33542" w:rsidP="00B33542">
      <w:pPr>
        <w:pStyle w:val="paragraphsub"/>
      </w:pPr>
      <w:r w:rsidRPr="005071A1">
        <w:tab/>
        <w:t>(ii)</w:t>
      </w:r>
      <w:r w:rsidRPr="005071A1">
        <w:tab/>
        <w:t>a sum referred to in section</w:t>
      </w:r>
      <w:r w:rsidR="008B2950" w:rsidRPr="005071A1">
        <w:t> </w:t>
      </w:r>
      <w:r w:rsidRPr="005071A1">
        <w:t>82 or section</w:t>
      </w:r>
      <w:r w:rsidR="008B2950" w:rsidRPr="005071A1">
        <w:t> </w:t>
      </w:r>
      <w:r w:rsidRPr="005071A1">
        <w:t xml:space="preserve">83 (including a sum constituting a deferred benefit referred to in </w:t>
      </w:r>
      <w:r w:rsidR="004510F0">
        <w:t>section 1</w:t>
      </w:r>
      <w:r w:rsidRPr="005071A1">
        <w:t>19W); or</w:t>
      </w:r>
    </w:p>
    <w:p w14:paraId="6857836C" w14:textId="77777777" w:rsidR="00B33542" w:rsidRPr="005071A1" w:rsidRDefault="00B33542" w:rsidP="00B33542">
      <w:pPr>
        <w:pStyle w:val="paragraphsub"/>
        <w:keepNext/>
      </w:pPr>
      <w:r w:rsidRPr="005071A1">
        <w:tab/>
        <w:t>(iii)</w:t>
      </w:r>
      <w:r w:rsidRPr="005071A1">
        <w:tab/>
        <w:t xml:space="preserve">a transfer value referred to in </w:t>
      </w:r>
      <w:r w:rsidR="004510F0">
        <w:t>section 1</w:t>
      </w:r>
      <w:r w:rsidRPr="005071A1">
        <w:t>19V;</w:t>
      </w:r>
    </w:p>
    <w:p w14:paraId="0059BDC0" w14:textId="77777777" w:rsidR="00B33542" w:rsidRPr="005071A1" w:rsidRDefault="00B33542" w:rsidP="00B33542">
      <w:pPr>
        <w:pStyle w:val="subsection2"/>
      </w:pPr>
      <w:r w:rsidRPr="005071A1">
        <w:t>sections</w:t>
      </w:r>
      <w:r w:rsidR="008B2950" w:rsidRPr="005071A1">
        <w:t> </w:t>
      </w:r>
      <w:r w:rsidRPr="005071A1">
        <w:t xml:space="preserve">33 and 92 and the preceding provisions of this section do not apply in relation to the payment of that benefit but the Commonwealth shall pay to the Fund or to the Provident Account, </w:t>
      </w:r>
      <w:r w:rsidRPr="005071A1">
        <w:lastRenderedPageBreak/>
        <w:t>as the case may be, an amount equal to so much of the amount of that benefit as the Board determines.</w:t>
      </w:r>
    </w:p>
    <w:p w14:paraId="0DD1175D" w14:textId="77777777" w:rsidR="00B33542" w:rsidRPr="005071A1" w:rsidRDefault="00B33542" w:rsidP="00B33542">
      <w:pPr>
        <w:pStyle w:val="subsection"/>
      </w:pPr>
      <w:r w:rsidRPr="005071A1">
        <w:tab/>
        <w:t>(7)</w:t>
      </w:r>
      <w:r w:rsidRPr="005071A1">
        <w:tab/>
        <w:t>This section does not have effect on and after 1</w:t>
      </w:r>
      <w:r w:rsidR="008B2950" w:rsidRPr="005071A1">
        <w:t> </w:t>
      </w:r>
      <w:r w:rsidRPr="005071A1">
        <w:t>July 1976.</w:t>
      </w:r>
    </w:p>
    <w:p w14:paraId="297A0F7F" w14:textId="77777777" w:rsidR="00B33542" w:rsidRPr="005071A1" w:rsidRDefault="00B33542" w:rsidP="002028EB">
      <w:pPr>
        <w:pStyle w:val="ActHead5"/>
      </w:pPr>
      <w:bookmarkStart w:id="242" w:name="_Toc185577624"/>
      <w:r w:rsidRPr="004510F0">
        <w:rPr>
          <w:rStyle w:val="CharSectno"/>
        </w:rPr>
        <w:t>119ZEA</w:t>
      </w:r>
      <w:r w:rsidRPr="005071A1">
        <w:t xml:space="preserve">  Application of Part on and after 1</w:t>
      </w:r>
      <w:r w:rsidR="008B2950" w:rsidRPr="005071A1">
        <w:t> </w:t>
      </w:r>
      <w:r w:rsidRPr="005071A1">
        <w:t>July 1976</w:t>
      </w:r>
      <w:bookmarkEnd w:id="242"/>
    </w:p>
    <w:p w14:paraId="4AB152A2" w14:textId="77777777" w:rsidR="00B33542" w:rsidRPr="005071A1" w:rsidRDefault="00B33542" w:rsidP="002028EB">
      <w:pPr>
        <w:pStyle w:val="subsection"/>
        <w:keepNext/>
      </w:pPr>
      <w:r w:rsidRPr="005071A1">
        <w:tab/>
      </w:r>
      <w:r w:rsidRPr="005071A1">
        <w:tab/>
        <w:t>On and after 1</w:t>
      </w:r>
      <w:r w:rsidR="008B2950" w:rsidRPr="005071A1">
        <w:t> </w:t>
      </w:r>
      <w:r w:rsidRPr="005071A1">
        <w:t>July 1976:</w:t>
      </w:r>
    </w:p>
    <w:p w14:paraId="0FBBF88E" w14:textId="77777777" w:rsidR="00B33542" w:rsidRPr="005071A1" w:rsidRDefault="00B33542" w:rsidP="002028EB">
      <w:pPr>
        <w:pStyle w:val="paragraph"/>
        <w:keepNext/>
      </w:pPr>
      <w:r w:rsidRPr="005071A1">
        <w:tab/>
        <w:t>(a)</w:t>
      </w:r>
      <w:r w:rsidRPr="005071A1">
        <w:tab/>
        <w:t>a reference in this Part to the Board shall be read as including a reference to the Commissioner for Superannuation;</w:t>
      </w:r>
    </w:p>
    <w:p w14:paraId="393B220C" w14:textId="77777777" w:rsidR="00B33542" w:rsidRPr="005071A1" w:rsidRDefault="00B33542" w:rsidP="00B33542">
      <w:pPr>
        <w:pStyle w:val="paragraph"/>
      </w:pPr>
      <w:r w:rsidRPr="005071A1">
        <w:tab/>
        <w:t>(b)</w:t>
      </w:r>
      <w:r w:rsidRPr="005071A1">
        <w:tab/>
        <w:t xml:space="preserve">the first reference in </w:t>
      </w:r>
      <w:r w:rsidR="008B2950" w:rsidRPr="005071A1">
        <w:t>paragraph (</w:t>
      </w:r>
      <w:r w:rsidRPr="005071A1">
        <w:t xml:space="preserve">a) of </w:t>
      </w:r>
      <w:r w:rsidR="008B2950" w:rsidRPr="005071A1">
        <w:t>subsection (</w:t>
      </w:r>
      <w:r w:rsidRPr="005071A1">
        <w:t xml:space="preserve">3) of </w:t>
      </w:r>
      <w:r w:rsidR="004510F0">
        <w:t>section 1</w:t>
      </w:r>
      <w:r w:rsidRPr="005071A1">
        <w:t xml:space="preserve">19J and the last reference in </w:t>
      </w:r>
      <w:r w:rsidR="008B2950" w:rsidRPr="005071A1">
        <w:t>subsection (</w:t>
      </w:r>
      <w:r w:rsidRPr="005071A1">
        <w:t xml:space="preserve">2) of </w:t>
      </w:r>
      <w:r w:rsidR="004510F0">
        <w:t>section 1</w:t>
      </w:r>
      <w:r w:rsidRPr="005071A1">
        <w:t>19V to the Fund shall be read as a reference to the new Superannuation Fund;</w:t>
      </w:r>
    </w:p>
    <w:p w14:paraId="2C96049F" w14:textId="77777777" w:rsidR="00B33542" w:rsidRPr="005071A1" w:rsidRDefault="00B33542" w:rsidP="00B33542">
      <w:pPr>
        <w:pStyle w:val="paragraph"/>
      </w:pPr>
      <w:r w:rsidRPr="005071A1">
        <w:tab/>
        <w:t>(c)</w:t>
      </w:r>
      <w:r w:rsidRPr="005071A1">
        <w:tab/>
        <w:t xml:space="preserve">the reference in </w:t>
      </w:r>
      <w:r w:rsidR="008B2950" w:rsidRPr="005071A1">
        <w:t>paragraph (</w:t>
      </w:r>
      <w:r w:rsidRPr="005071A1">
        <w:t xml:space="preserve">a), and the first reference in </w:t>
      </w:r>
      <w:r w:rsidR="008B2950" w:rsidRPr="005071A1">
        <w:t>paragraph (</w:t>
      </w:r>
      <w:r w:rsidRPr="005071A1">
        <w:t xml:space="preserve">b), of </w:t>
      </w:r>
      <w:r w:rsidR="008B2950" w:rsidRPr="005071A1">
        <w:t>subsection (</w:t>
      </w:r>
      <w:r w:rsidRPr="005071A1">
        <w:t xml:space="preserve">7) of </w:t>
      </w:r>
      <w:r w:rsidR="004510F0">
        <w:t>section 1</w:t>
      </w:r>
      <w:r w:rsidRPr="005071A1">
        <w:t>19J to the Provident Account shall be read as a reference to the new Superannuation Fund;</w:t>
      </w:r>
    </w:p>
    <w:p w14:paraId="123C0E92" w14:textId="77777777" w:rsidR="00B33542" w:rsidRPr="005071A1" w:rsidRDefault="00B33542" w:rsidP="00B33542">
      <w:pPr>
        <w:pStyle w:val="paragraph"/>
      </w:pPr>
      <w:r w:rsidRPr="005071A1">
        <w:tab/>
        <w:t>(d)</w:t>
      </w:r>
      <w:r w:rsidRPr="005071A1">
        <w:tab/>
        <w:t xml:space="preserve">the reference in </w:t>
      </w:r>
      <w:r w:rsidR="008B2950" w:rsidRPr="005071A1">
        <w:t>subsection (</w:t>
      </w:r>
      <w:r w:rsidRPr="005071A1">
        <w:t xml:space="preserve">2) of </w:t>
      </w:r>
      <w:r w:rsidR="004510F0">
        <w:t>section 1</w:t>
      </w:r>
      <w:r w:rsidRPr="005071A1">
        <w:t xml:space="preserve">19X, the reference in </w:t>
      </w:r>
      <w:r w:rsidR="008B2950" w:rsidRPr="005071A1">
        <w:t>subparagraph (</w:t>
      </w:r>
      <w:r w:rsidRPr="005071A1">
        <w:t xml:space="preserve">i) of </w:t>
      </w:r>
      <w:r w:rsidR="008B2950" w:rsidRPr="005071A1">
        <w:t>paragraph (</w:t>
      </w:r>
      <w:r w:rsidRPr="005071A1">
        <w:t xml:space="preserve">a) of </w:t>
      </w:r>
      <w:r w:rsidR="008B2950" w:rsidRPr="005071A1">
        <w:t>subsection (</w:t>
      </w:r>
      <w:r w:rsidRPr="005071A1">
        <w:t xml:space="preserve">8), and the reference in </w:t>
      </w:r>
      <w:r w:rsidR="008B2950" w:rsidRPr="005071A1">
        <w:t>subparagraph (</w:t>
      </w:r>
      <w:r w:rsidRPr="005071A1">
        <w:t xml:space="preserve">i) of </w:t>
      </w:r>
      <w:r w:rsidR="008B2950" w:rsidRPr="005071A1">
        <w:t>paragraph (</w:t>
      </w:r>
      <w:r w:rsidRPr="005071A1">
        <w:t xml:space="preserve">a) of </w:t>
      </w:r>
      <w:r w:rsidR="008B2950" w:rsidRPr="005071A1">
        <w:t>subsection (</w:t>
      </w:r>
      <w:r w:rsidRPr="005071A1">
        <w:t xml:space="preserve">9), of </w:t>
      </w:r>
      <w:r w:rsidR="004510F0">
        <w:t>section 1</w:t>
      </w:r>
      <w:r w:rsidRPr="005071A1">
        <w:t>19ZC to a payment to be made to the Fund or to the Provident Account shall be read as a reference to a payment to be made to the new Superannuation Fund; and</w:t>
      </w:r>
    </w:p>
    <w:p w14:paraId="2507C378" w14:textId="77777777" w:rsidR="00B33542" w:rsidRPr="005071A1" w:rsidRDefault="00B33542" w:rsidP="00B33542">
      <w:pPr>
        <w:pStyle w:val="paragraph"/>
      </w:pPr>
      <w:r w:rsidRPr="005071A1">
        <w:tab/>
        <w:t>(e)</w:t>
      </w:r>
      <w:r w:rsidRPr="005071A1">
        <w:tab/>
        <w:t xml:space="preserve">the references in </w:t>
      </w:r>
      <w:r w:rsidR="008B2950" w:rsidRPr="005071A1">
        <w:t>paragraph (</w:t>
      </w:r>
      <w:r w:rsidRPr="005071A1">
        <w:t xml:space="preserve">d) of </w:t>
      </w:r>
      <w:r w:rsidR="008B2950" w:rsidRPr="005071A1">
        <w:t>subsection (</w:t>
      </w:r>
      <w:r w:rsidRPr="005071A1">
        <w:t xml:space="preserve">7) of </w:t>
      </w:r>
      <w:r w:rsidR="004510F0">
        <w:t>section 1</w:t>
      </w:r>
      <w:r w:rsidRPr="005071A1">
        <w:t>19ZC to a payment to be made out of the Fund or the Provident Account shall each be read as a reference to a payment to be made out of the new Superannuation Fund.</w:t>
      </w:r>
    </w:p>
    <w:p w14:paraId="35E2908F" w14:textId="77777777" w:rsidR="00B33542" w:rsidRPr="005071A1" w:rsidRDefault="00B33542" w:rsidP="002477D1">
      <w:pPr>
        <w:pStyle w:val="ActHead2"/>
        <w:pageBreakBefore/>
      </w:pPr>
      <w:bookmarkStart w:id="243" w:name="_Toc185577625"/>
      <w:r w:rsidRPr="004510F0">
        <w:rPr>
          <w:rStyle w:val="CharPartNo"/>
        </w:rPr>
        <w:lastRenderedPageBreak/>
        <w:t>Part XI</w:t>
      </w:r>
      <w:r w:rsidRPr="005071A1">
        <w:t>—</w:t>
      </w:r>
      <w:r w:rsidRPr="004510F0">
        <w:rPr>
          <w:rStyle w:val="CharPartText"/>
        </w:rPr>
        <w:t xml:space="preserve">Pension increases on and after </w:t>
      </w:r>
      <w:r w:rsidR="00594E1E" w:rsidRPr="004510F0">
        <w:rPr>
          <w:rStyle w:val="CharPartText"/>
        </w:rPr>
        <w:t>1 January</w:t>
      </w:r>
      <w:r w:rsidRPr="004510F0">
        <w:rPr>
          <w:rStyle w:val="CharPartText"/>
        </w:rPr>
        <w:t xml:space="preserve"> 2002</w:t>
      </w:r>
      <w:bookmarkEnd w:id="243"/>
    </w:p>
    <w:p w14:paraId="4FD0A01B" w14:textId="77777777" w:rsidR="00B33542" w:rsidRPr="005071A1" w:rsidRDefault="009B7AF5" w:rsidP="00B33542">
      <w:pPr>
        <w:pStyle w:val="Header"/>
      </w:pPr>
      <w:r w:rsidRPr="004510F0">
        <w:rPr>
          <w:rStyle w:val="CharDivNo"/>
        </w:rPr>
        <w:t xml:space="preserve"> </w:t>
      </w:r>
      <w:r w:rsidRPr="004510F0">
        <w:rPr>
          <w:rStyle w:val="CharDivText"/>
        </w:rPr>
        <w:t xml:space="preserve"> </w:t>
      </w:r>
    </w:p>
    <w:p w14:paraId="119B03B4" w14:textId="77777777" w:rsidR="00B33542" w:rsidRPr="005071A1" w:rsidRDefault="00B33542" w:rsidP="00B33542">
      <w:pPr>
        <w:pStyle w:val="ActHead5"/>
      </w:pPr>
      <w:bookmarkStart w:id="244" w:name="_Toc185577626"/>
      <w:r w:rsidRPr="004510F0">
        <w:rPr>
          <w:rStyle w:val="CharSectno"/>
        </w:rPr>
        <w:t>120</w:t>
      </w:r>
      <w:r w:rsidRPr="005071A1">
        <w:t xml:space="preserve">  Interpretation</w:t>
      </w:r>
      <w:bookmarkEnd w:id="244"/>
    </w:p>
    <w:p w14:paraId="02E9C658" w14:textId="77777777" w:rsidR="00B33542" w:rsidRPr="005071A1" w:rsidRDefault="00B33542" w:rsidP="00B33542">
      <w:pPr>
        <w:pStyle w:val="subsection"/>
      </w:pPr>
      <w:r w:rsidRPr="005071A1">
        <w:tab/>
        <w:t>(1)</w:t>
      </w:r>
      <w:r w:rsidRPr="005071A1">
        <w:tab/>
        <w:t>In this Part, unless the contrary intention appears:</w:t>
      </w:r>
    </w:p>
    <w:p w14:paraId="5D6AC90D" w14:textId="77777777" w:rsidR="00B33542" w:rsidRPr="005071A1" w:rsidRDefault="00B33542" w:rsidP="00B33542">
      <w:pPr>
        <w:pStyle w:val="Definition"/>
      </w:pPr>
      <w:r w:rsidRPr="005071A1">
        <w:rPr>
          <w:b/>
          <w:i/>
        </w:rPr>
        <w:t>first quarter</w:t>
      </w:r>
      <w:r w:rsidRPr="005071A1">
        <w:t>, in relation to a half</w:t>
      </w:r>
      <w:r w:rsidR="004510F0">
        <w:noBreakHyphen/>
      </w:r>
      <w:r w:rsidRPr="005071A1">
        <w:t>year, means:</w:t>
      </w:r>
    </w:p>
    <w:p w14:paraId="64AFE292" w14:textId="77777777" w:rsidR="00B33542" w:rsidRPr="005071A1" w:rsidRDefault="00B33542" w:rsidP="00B33542">
      <w:pPr>
        <w:pStyle w:val="paragraph"/>
      </w:pPr>
      <w:r w:rsidRPr="005071A1">
        <w:tab/>
        <w:t>(a)</w:t>
      </w:r>
      <w:r w:rsidRPr="005071A1">
        <w:tab/>
        <w:t>for a half</w:t>
      </w:r>
      <w:r w:rsidR="004510F0">
        <w:noBreakHyphen/>
      </w:r>
      <w:r w:rsidRPr="005071A1">
        <w:t xml:space="preserve">year beginning on </w:t>
      </w:r>
      <w:r w:rsidR="00594E1E" w:rsidRPr="005071A1">
        <w:t>1 January</w:t>
      </w:r>
      <w:r w:rsidRPr="005071A1">
        <w:t xml:space="preserve"> in a year—the March quarter of the year; and</w:t>
      </w:r>
    </w:p>
    <w:p w14:paraId="4A93ECA1" w14:textId="77777777" w:rsidR="00B33542" w:rsidRPr="005071A1" w:rsidRDefault="00B33542" w:rsidP="00B33542">
      <w:pPr>
        <w:pStyle w:val="paragraph"/>
      </w:pPr>
      <w:r w:rsidRPr="005071A1">
        <w:tab/>
        <w:t>(b)</w:t>
      </w:r>
      <w:r w:rsidRPr="005071A1">
        <w:tab/>
        <w:t>for a half</w:t>
      </w:r>
      <w:r w:rsidR="004510F0">
        <w:noBreakHyphen/>
      </w:r>
      <w:r w:rsidRPr="005071A1">
        <w:t>year beginning on 1</w:t>
      </w:r>
      <w:r w:rsidR="008B2950" w:rsidRPr="005071A1">
        <w:t> </w:t>
      </w:r>
      <w:r w:rsidRPr="005071A1">
        <w:t>July in a year—the September quarter of the year.</w:t>
      </w:r>
    </w:p>
    <w:p w14:paraId="27E9C46A" w14:textId="77777777" w:rsidR="00B33542" w:rsidRPr="005071A1" w:rsidRDefault="00B33542" w:rsidP="00B33542">
      <w:pPr>
        <w:pStyle w:val="Definition"/>
      </w:pPr>
      <w:r w:rsidRPr="005071A1">
        <w:rPr>
          <w:b/>
          <w:i/>
        </w:rPr>
        <w:t>half</w:t>
      </w:r>
      <w:r w:rsidR="004510F0">
        <w:rPr>
          <w:b/>
          <w:i/>
        </w:rPr>
        <w:noBreakHyphen/>
      </w:r>
      <w:r w:rsidRPr="005071A1">
        <w:rPr>
          <w:b/>
          <w:i/>
        </w:rPr>
        <w:t>year</w:t>
      </w:r>
      <w:r w:rsidRPr="005071A1">
        <w:t xml:space="preserve"> means a period of 6 months beginning on </w:t>
      </w:r>
      <w:r w:rsidR="00594E1E" w:rsidRPr="005071A1">
        <w:t>1 January</w:t>
      </w:r>
      <w:r w:rsidRPr="005071A1">
        <w:t xml:space="preserve"> or 1</w:t>
      </w:r>
      <w:r w:rsidR="008B2950" w:rsidRPr="005071A1">
        <w:t> </w:t>
      </w:r>
      <w:r w:rsidRPr="005071A1">
        <w:t>July in any year.</w:t>
      </w:r>
    </w:p>
    <w:p w14:paraId="4E20EDE0" w14:textId="77777777" w:rsidR="00B33542" w:rsidRPr="005071A1" w:rsidRDefault="00B33542" w:rsidP="00B33542">
      <w:pPr>
        <w:pStyle w:val="Definition"/>
      </w:pPr>
      <w:r w:rsidRPr="005071A1">
        <w:rPr>
          <w:b/>
          <w:i/>
        </w:rPr>
        <w:t>pension</w:t>
      </w:r>
      <w:r w:rsidRPr="005071A1">
        <w:t xml:space="preserve"> includes a pension payable by virtue of section</w:t>
      </w:r>
      <w:r w:rsidR="008B2950" w:rsidRPr="005071A1">
        <w:t> </w:t>
      </w:r>
      <w:r w:rsidRPr="005071A1">
        <w:t xml:space="preserve">9 or 14 of the </w:t>
      </w:r>
      <w:r w:rsidRPr="005071A1">
        <w:rPr>
          <w:i/>
        </w:rPr>
        <w:t>Superannuation Act (No.</w:t>
      </w:r>
      <w:r w:rsidR="008B2950" w:rsidRPr="005071A1">
        <w:rPr>
          <w:i/>
        </w:rPr>
        <w:t> </w:t>
      </w:r>
      <w:r w:rsidRPr="005071A1">
        <w:rPr>
          <w:i/>
        </w:rPr>
        <w:t xml:space="preserve">2) 1956 </w:t>
      </w:r>
      <w:r w:rsidRPr="005071A1">
        <w:t xml:space="preserve">or </w:t>
      </w:r>
      <w:r w:rsidR="004510F0">
        <w:t>section 1</w:t>
      </w:r>
      <w:r w:rsidRPr="005071A1">
        <w:t xml:space="preserve">0 of the </w:t>
      </w:r>
      <w:r w:rsidRPr="005071A1">
        <w:rPr>
          <w:i/>
        </w:rPr>
        <w:t>Superannuation (Pension Increases) Act 1971</w:t>
      </w:r>
      <w:r w:rsidRPr="005071A1">
        <w:t>, but does not include:</w:t>
      </w:r>
    </w:p>
    <w:p w14:paraId="60527C45" w14:textId="77777777" w:rsidR="00B33542" w:rsidRPr="005071A1" w:rsidRDefault="00B33542" w:rsidP="00B33542">
      <w:pPr>
        <w:pStyle w:val="paragraph"/>
      </w:pPr>
      <w:r w:rsidRPr="005071A1">
        <w:tab/>
        <w:t>(a)</w:t>
      </w:r>
      <w:r w:rsidRPr="005071A1">
        <w:tab/>
        <w:t>a pension that became payable under section</w:t>
      </w:r>
      <w:r w:rsidR="008B2950" w:rsidRPr="005071A1">
        <w:t> </w:t>
      </w:r>
      <w:r w:rsidRPr="005071A1">
        <w:t xml:space="preserve">71 of this Act, not being such a pension for which contributions were made to a State Fund as defined by </w:t>
      </w:r>
      <w:r w:rsidR="004510F0">
        <w:t>section 1</w:t>
      </w:r>
      <w:r w:rsidRPr="005071A1">
        <w:t>01 of this Act; or</w:t>
      </w:r>
    </w:p>
    <w:p w14:paraId="5776515C" w14:textId="77777777" w:rsidR="00B33542" w:rsidRPr="005071A1" w:rsidRDefault="00B33542" w:rsidP="00B33542">
      <w:pPr>
        <w:pStyle w:val="paragraph"/>
      </w:pPr>
      <w:r w:rsidRPr="005071A1">
        <w:tab/>
        <w:t>(b)</w:t>
      </w:r>
      <w:r w:rsidRPr="005071A1">
        <w:tab/>
        <w:t>a pension payable (whether under section</w:t>
      </w:r>
      <w:r w:rsidR="008B2950" w:rsidRPr="005071A1">
        <w:t> </w:t>
      </w:r>
      <w:r w:rsidRPr="005071A1">
        <w:t>71 of this Act or otherwise) in respect of a child.</w:t>
      </w:r>
    </w:p>
    <w:p w14:paraId="711C1EA5" w14:textId="77777777" w:rsidR="00B33542" w:rsidRPr="005071A1" w:rsidRDefault="00B33542" w:rsidP="00B33542">
      <w:pPr>
        <w:pStyle w:val="Definition"/>
      </w:pPr>
      <w:r w:rsidRPr="005071A1">
        <w:rPr>
          <w:b/>
          <w:i/>
        </w:rPr>
        <w:t>prescribed half</w:t>
      </w:r>
      <w:r w:rsidR="004510F0">
        <w:rPr>
          <w:b/>
          <w:i/>
        </w:rPr>
        <w:noBreakHyphen/>
      </w:r>
      <w:r w:rsidRPr="005071A1">
        <w:rPr>
          <w:b/>
          <w:i/>
        </w:rPr>
        <w:t>year</w:t>
      </w:r>
      <w:r w:rsidRPr="005071A1">
        <w:t xml:space="preserve"> means the half</w:t>
      </w:r>
      <w:r w:rsidR="004510F0">
        <w:noBreakHyphen/>
      </w:r>
      <w:r w:rsidRPr="005071A1">
        <w:t xml:space="preserve">year commencing on </w:t>
      </w:r>
      <w:r w:rsidR="00594E1E" w:rsidRPr="005071A1">
        <w:t>1 January</w:t>
      </w:r>
      <w:r w:rsidRPr="005071A1">
        <w:t xml:space="preserve"> 2002 or a subsequent half</w:t>
      </w:r>
      <w:r w:rsidR="004510F0">
        <w:noBreakHyphen/>
      </w:r>
      <w:r w:rsidRPr="005071A1">
        <w:t>year.</w:t>
      </w:r>
    </w:p>
    <w:p w14:paraId="5ED0932E" w14:textId="77777777" w:rsidR="00B33542" w:rsidRPr="005071A1" w:rsidRDefault="00B33542" w:rsidP="00B33542">
      <w:pPr>
        <w:pStyle w:val="Definition"/>
      </w:pPr>
      <w:r w:rsidRPr="005071A1">
        <w:rPr>
          <w:b/>
          <w:i/>
        </w:rPr>
        <w:t>Statistician</w:t>
      </w:r>
      <w:r w:rsidRPr="005071A1">
        <w:t xml:space="preserve"> means the Australian Statistician.</w:t>
      </w:r>
    </w:p>
    <w:p w14:paraId="02AB33A4" w14:textId="77777777" w:rsidR="00B33542" w:rsidRPr="005071A1" w:rsidRDefault="00B33542" w:rsidP="00B33542">
      <w:pPr>
        <w:pStyle w:val="subsection"/>
      </w:pPr>
      <w:r w:rsidRPr="005071A1">
        <w:tab/>
        <w:t>(2)</w:t>
      </w:r>
      <w:r w:rsidRPr="005071A1">
        <w:tab/>
        <w:t xml:space="preserve">Subject to </w:t>
      </w:r>
      <w:r w:rsidR="008B2950" w:rsidRPr="005071A1">
        <w:t>subsection (</w:t>
      </w:r>
      <w:r w:rsidRPr="005071A1">
        <w:t xml:space="preserve">3), if at any time, whether before or after the commencement of this section, the Statistician has published or </w:t>
      </w:r>
      <w:r w:rsidRPr="005071A1">
        <w:lastRenderedPageBreak/>
        <w:t>publishes in respect of a particular first quarter in a half</w:t>
      </w:r>
      <w:r w:rsidR="004510F0">
        <w:noBreakHyphen/>
      </w:r>
      <w:r w:rsidRPr="005071A1">
        <w:t>year an all groups consumer price index number for the weighted average of the 8 capital cities in substitution for an index number previously published by him in respect of that quarter, the publication of the later index number shall be disregarded for the purposes of this Part.</w:t>
      </w:r>
    </w:p>
    <w:p w14:paraId="7CE8CB94" w14:textId="77777777" w:rsidR="00B33542" w:rsidRPr="005071A1" w:rsidRDefault="00B33542" w:rsidP="00B33542">
      <w:pPr>
        <w:pStyle w:val="subsection"/>
      </w:pPr>
      <w:r w:rsidRPr="005071A1">
        <w:tab/>
        <w:t>(3)</w:t>
      </w:r>
      <w:r w:rsidRPr="005071A1">
        <w:tab/>
        <w:t xml:space="preserve">If at any time, whether before or after the commencement of this section, the Statistician has changed or changes the </w:t>
      </w:r>
      <w:r w:rsidR="00346ECF" w:rsidRPr="005071A1">
        <w:t>index reference period</w:t>
      </w:r>
      <w:r w:rsidRPr="005071A1">
        <w:t xml:space="preserve"> for the Consumer Price Index, then, for the purposes of the application of this Part after the change took place or takes place, regard shall be had only to index numbers published in terms of the new </w:t>
      </w:r>
      <w:r w:rsidR="00346ECF" w:rsidRPr="005071A1">
        <w:t>index reference period</w:t>
      </w:r>
      <w:r w:rsidRPr="005071A1">
        <w:t>.</w:t>
      </w:r>
    </w:p>
    <w:p w14:paraId="09D6E508" w14:textId="77777777" w:rsidR="00B33542" w:rsidRPr="005071A1" w:rsidRDefault="00B33542" w:rsidP="00B33542">
      <w:pPr>
        <w:pStyle w:val="subsection"/>
      </w:pPr>
      <w:r w:rsidRPr="005071A1">
        <w:tab/>
        <w:t>(4)</w:t>
      </w:r>
      <w:r w:rsidRPr="005071A1">
        <w:tab/>
        <w:t xml:space="preserve">If the prescribed percentage for the purposes of </w:t>
      </w:r>
      <w:r w:rsidR="004510F0">
        <w:t>section 1</w:t>
      </w:r>
      <w:r w:rsidRPr="005071A1">
        <w:t>21 is or includes a fraction of one</w:t>
      </w:r>
      <w:r w:rsidR="004510F0">
        <w:noBreakHyphen/>
      </w:r>
      <w:r w:rsidRPr="005071A1">
        <w:t>tenth of 1 per centum:</w:t>
      </w:r>
    </w:p>
    <w:p w14:paraId="141D1C7B" w14:textId="77777777" w:rsidR="00B33542" w:rsidRPr="005071A1" w:rsidRDefault="00B33542" w:rsidP="00B33542">
      <w:pPr>
        <w:pStyle w:val="paragraph"/>
      </w:pPr>
      <w:r w:rsidRPr="005071A1">
        <w:tab/>
        <w:t>(a)</w:t>
      </w:r>
      <w:r w:rsidRPr="005071A1">
        <w:tab/>
        <w:t>where that fraction is less than one</w:t>
      </w:r>
      <w:r w:rsidR="004510F0">
        <w:noBreakHyphen/>
      </w:r>
      <w:r w:rsidRPr="005071A1">
        <w:t>half of one</w:t>
      </w:r>
      <w:r w:rsidR="004510F0">
        <w:noBreakHyphen/>
      </w:r>
      <w:r w:rsidRPr="005071A1">
        <w:t>tenth—that fraction shall be disregarded; and</w:t>
      </w:r>
    </w:p>
    <w:p w14:paraId="3BDA537B" w14:textId="77777777" w:rsidR="00B33542" w:rsidRPr="005071A1" w:rsidRDefault="00B33542" w:rsidP="00B33542">
      <w:pPr>
        <w:pStyle w:val="paragraph"/>
      </w:pPr>
      <w:r w:rsidRPr="005071A1">
        <w:tab/>
        <w:t>(b)</w:t>
      </w:r>
      <w:r w:rsidRPr="005071A1">
        <w:tab/>
        <w:t>where that fraction is not less than one</w:t>
      </w:r>
      <w:r w:rsidR="004510F0">
        <w:noBreakHyphen/>
      </w:r>
      <w:r w:rsidRPr="005071A1">
        <w:t>half of one</w:t>
      </w:r>
      <w:r w:rsidR="004510F0">
        <w:noBreakHyphen/>
      </w:r>
      <w:r w:rsidRPr="005071A1">
        <w:t>tenth—that fraction shall be treated as one</w:t>
      </w:r>
      <w:r w:rsidR="004510F0">
        <w:noBreakHyphen/>
      </w:r>
      <w:r w:rsidRPr="005071A1">
        <w:t>tenth.</w:t>
      </w:r>
    </w:p>
    <w:p w14:paraId="41C16362" w14:textId="77777777" w:rsidR="00B33542" w:rsidRPr="005071A1" w:rsidRDefault="00B33542" w:rsidP="00B33542">
      <w:pPr>
        <w:pStyle w:val="ActHead5"/>
      </w:pPr>
      <w:bookmarkStart w:id="245" w:name="_Toc185577627"/>
      <w:r w:rsidRPr="004510F0">
        <w:rPr>
          <w:rStyle w:val="CharSectno"/>
        </w:rPr>
        <w:t>121</w:t>
      </w:r>
      <w:r w:rsidRPr="005071A1">
        <w:t xml:space="preserve">  Increases in pensions</w:t>
      </w:r>
      <w:bookmarkEnd w:id="245"/>
    </w:p>
    <w:p w14:paraId="330E8E4E" w14:textId="77777777" w:rsidR="00B33542" w:rsidRPr="005071A1" w:rsidRDefault="00B33542" w:rsidP="00B33542">
      <w:pPr>
        <w:pStyle w:val="subsection"/>
      </w:pPr>
      <w:r w:rsidRPr="005071A1">
        <w:tab/>
        <w:t>(1)</w:t>
      </w:r>
      <w:r w:rsidRPr="005071A1">
        <w:tab/>
        <w:t>Subject to this Part, if the all groups consumer price index number for the weighted average of the 8 capital cities published by the Statistician in respect of the first quarter of the half</w:t>
      </w:r>
      <w:r w:rsidR="004510F0">
        <w:noBreakHyphen/>
      </w:r>
      <w:r w:rsidRPr="005071A1">
        <w:t>year immediately preceding a prescribed half</w:t>
      </w:r>
      <w:r w:rsidR="004510F0">
        <w:noBreakHyphen/>
      </w:r>
      <w:r w:rsidRPr="005071A1">
        <w:t>year exceeds the highest all groups consumer price index number for the weighted average of the 8 capital cities published by the Statistician in respect of the first quarter in any earlier half</w:t>
      </w:r>
      <w:r w:rsidR="004510F0">
        <w:noBreakHyphen/>
      </w:r>
      <w:r w:rsidRPr="005071A1">
        <w:t>year, not being a half</w:t>
      </w:r>
      <w:r w:rsidR="004510F0">
        <w:noBreakHyphen/>
      </w:r>
      <w:r w:rsidRPr="005071A1">
        <w:t>year earlier than the half</w:t>
      </w:r>
      <w:r w:rsidR="004510F0">
        <w:noBreakHyphen/>
      </w:r>
      <w:r w:rsidRPr="005071A1">
        <w:t>year that commenced on 1</w:t>
      </w:r>
      <w:r w:rsidR="008B2950" w:rsidRPr="005071A1">
        <w:t> </w:t>
      </w:r>
      <w:r w:rsidRPr="005071A1">
        <w:t>July 1985, a person who was in receipt of a pension immediately before the commencement of that prescribed half</w:t>
      </w:r>
      <w:r w:rsidR="004510F0">
        <w:noBreakHyphen/>
      </w:r>
      <w:r w:rsidRPr="005071A1">
        <w:t xml:space="preserve">year is entitled to an increase, as ascertained </w:t>
      </w:r>
      <w:r w:rsidRPr="005071A1">
        <w:lastRenderedPageBreak/>
        <w:t>in accordance with this section, in the rate at which the pension was payable immediately before the commencement of that prescribed half</w:t>
      </w:r>
      <w:r w:rsidR="004510F0">
        <w:noBreakHyphen/>
      </w:r>
      <w:r w:rsidRPr="005071A1">
        <w:t>year.</w:t>
      </w:r>
    </w:p>
    <w:p w14:paraId="507608CC" w14:textId="77777777" w:rsidR="00B33542" w:rsidRPr="005071A1" w:rsidRDefault="00B33542" w:rsidP="00B33542">
      <w:pPr>
        <w:pStyle w:val="subsection"/>
      </w:pPr>
      <w:r w:rsidRPr="005071A1">
        <w:tab/>
        <w:t>(2)</w:t>
      </w:r>
      <w:r w:rsidRPr="005071A1">
        <w:tab/>
        <w:t xml:space="preserve">The increase provided for by </w:t>
      </w:r>
      <w:r w:rsidR="008B2950" w:rsidRPr="005071A1">
        <w:t>subsection (</w:t>
      </w:r>
      <w:r w:rsidRPr="005071A1">
        <w:t>1) in the rate at which a pension was payable to a person immediately before the commencement of a prescribed half</w:t>
      </w:r>
      <w:r w:rsidR="004510F0">
        <w:noBreakHyphen/>
      </w:r>
      <w:r w:rsidRPr="005071A1">
        <w:t>year is the prescribed percentage of that rate.</w:t>
      </w:r>
    </w:p>
    <w:p w14:paraId="5B3C585E" w14:textId="77777777" w:rsidR="00B33542" w:rsidRPr="005071A1" w:rsidRDefault="00B33542" w:rsidP="00B33542">
      <w:pPr>
        <w:pStyle w:val="subsection"/>
      </w:pPr>
      <w:r w:rsidRPr="005071A1">
        <w:tab/>
        <w:t>(3)</w:t>
      </w:r>
      <w:r w:rsidRPr="005071A1">
        <w:tab/>
        <w:t>For the purposes of this section, the prescribed percentage, in relation to a prescribed half</w:t>
      </w:r>
      <w:r w:rsidR="004510F0">
        <w:noBreakHyphen/>
      </w:r>
      <w:r w:rsidRPr="005071A1">
        <w:t>year, is the percentage that represents</w:t>
      </w:r>
      <w:r w:rsidRPr="005071A1">
        <w:br/>
      </w:r>
      <w:r w:rsidRPr="005071A1">
        <w:rPr>
          <w:b/>
        </w:rPr>
        <w:t>A—B</w:t>
      </w:r>
      <w:r w:rsidRPr="005071A1">
        <w:t xml:space="preserve"> expressed as a percentage of </w:t>
      </w:r>
      <w:r w:rsidRPr="005071A1">
        <w:rPr>
          <w:b/>
        </w:rPr>
        <w:t>B</w:t>
      </w:r>
      <w:r w:rsidRPr="005071A1">
        <w:t>, where:</w:t>
      </w:r>
    </w:p>
    <w:p w14:paraId="3516FB52" w14:textId="77777777" w:rsidR="00B33542" w:rsidRPr="005071A1" w:rsidRDefault="00B33542" w:rsidP="00B33542">
      <w:pPr>
        <w:pStyle w:val="Definition"/>
      </w:pPr>
      <w:r w:rsidRPr="005071A1">
        <w:rPr>
          <w:b/>
          <w:i/>
        </w:rPr>
        <w:t>A</w:t>
      </w:r>
      <w:r w:rsidRPr="005071A1">
        <w:t xml:space="preserve"> is the all groups consumer price index number for the weighted average of the 8 capital cities published by the Statistician in respect of the first quarter of the half</w:t>
      </w:r>
      <w:r w:rsidR="004510F0">
        <w:noBreakHyphen/>
      </w:r>
      <w:r w:rsidRPr="005071A1">
        <w:t>year immediately preceding the prescribed half</w:t>
      </w:r>
      <w:r w:rsidR="004510F0">
        <w:noBreakHyphen/>
      </w:r>
      <w:r w:rsidRPr="005071A1">
        <w:t>year; and</w:t>
      </w:r>
    </w:p>
    <w:p w14:paraId="4DB44537" w14:textId="77777777" w:rsidR="00B33542" w:rsidRPr="005071A1" w:rsidRDefault="00B33542" w:rsidP="00B33542">
      <w:pPr>
        <w:pStyle w:val="Definition"/>
      </w:pPr>
      <w:r w:rsidRPr="005071A1">
        <w:rPr>
          <w:b/>
          <w:i/>
        </w:rPr>
        <w:t>B</w:t>
      </w:r>
      <w:r w:rsidRPr="005071A1">
        <w:t xml:space="preserve"> is the highest all groups consumer price index number for the weighted average of the 8 capital cities published by the Statistician in respect of the first quarter of any half</w:t>
      </w:r>
      <w:r w:rsidR="004510F0">
        <w:noBreakHyphen/>
      </w:r>
      <w:r w:rsidRPr="005071A1">
        <w:t>year earlier than the half</w:t>
      </w:r>
      <w:r w:rsidR="004510F0">
        <w:noBreakHyphen/>
      </w:r>
      <w:r w:rsidRPr="005071A1">
        <w:t>year immediately preceding the prescribed half</w:t>
      </w:r>
      <w:r w:rsidR="004510F0">
        <w:noBreakHyphen/>
      </w:r>
      <w:r w:rsidRPr="005071A1">
        <w:t>year but not being earlier than the half</w:t>
      </w:r>
      <w:r w:rsidR="004510F0">
        <w:noBreakHyphen/>
      </w:r>
      <w:r w:rsidRPr="005071A1">
        <w:t>year that commenced on 1</w:t>
      </w:r>
      <w:r w:rsidR="008B2950" w:rsidRPr="005071A1">
        <w:t> </w:t>
      </w:r>
      <w:r w:rsidRPr="005071A1">
        <w:t>July 1985.</w:t>
      </w:r>
    </w:p>
    <w:p w14:paraId="17D03350" w14:textId="77777777" w:rsidR="00B33542" w:rsidRPr="005071A1" w:rsidRDefault="00B33542" w:rsidP="00B33542">
      <w:pPr>
        <w:pStyle w:val="subsection"/>
      </w:pPr>
      <w:r w:rsidRPr="005071A1">
        <w:tab/>
        <w:t>(4)</w:t>
      </w:r>
      <w:r w:rsidRPr="005071A1">
        <w:tab/>
        <w:t>Where, by reason of the death on 30</w:t>
      </w:r>
      <w:r w:rsidR="008B2950" w:rsidRPr="005071A1">
        <w:t> </w:t>
      </w:r>
      <w:r w:rsidRPr="005071A1">
        <w:t>June or 31</w:t>
      </w:r>
      <w:r w:rsidR="008B2950" w:rsidRPr="005071A1">
        <w:t> </w:t>
      </w:r>
      <w:r w:rsidRPr="005071A1">
        <w:t>December (as the case requires) in the half</w:t>
      </w:r>
      <w:r w:rsidR="004510F0">
        <w:noBreakHyphen/>
      </w:r>
      <w:r w:rsidRPr="005071A1">
        <w:t>year immediately preceding a prescribed half</w:t>
      </w:r>
      <w:r w:rsidR="004510F0">
        <w:noBreakHyphen/>
      </w:r>
      <w:r w:rsidRPr="005071A1">
        <w:t>year of a person in receipt of a pension, a pension becomes payable on the following day to another person, that other person shall be entitled to such an increase in the rate of that pension as the person would have been entitled to had the pension become payable to the person on that 30</w:t>
      </w:r>
      <w:r w:rsidR="008B2950" w:rsidRPr="005071A1">
        <w:t> </w:t>
      </w:r>
      <w:r w:rsidRPr="005071A1">
        <w:t>June or 31</w:t>
      </w:r>
      <w:r w:rsidR="008B2950" w:rsidRPr="005071A1">
        <w:t> </w:t>
      </w:r>
      <w:r w:rsidRPr="005071A1">
        <w:t>December (as the case requires).</w:t>
      </w:r>
    </w:p>
    <w:p w14:paraId="294D3FDB" w14:textId="77777777" w:rsidR="00B33542" w:rsidRPr="005071A1" w:rsidRDefault="00B33542" w:rsidP="00B33542">
      <w:pPr>
        <w:pStyle w:val="ActHead5"/>
      </w:pPr>
      <w:bookmarkStart w:id="246" w:name="_Toc185577628"/>
      <w:r w:rsidRPr="004510F0">
        <w:rPr>
          <w:rStyle w:val="CharSectno"/>
        </w:rPr>
        <w:lastRenderedPageBreak/>
        <w:t>122</w:t>
      </w:r>
      <w:r w:rsidRPr="005071A1">
        <w:t xml:space="preserve">  Adjustment of increase in case of persons who become entitled to pension after previous increase</w:t>
      </w:r>
      <w:bookmarkEnd w:id="246"/>
    </w:p>
    <w:p w14:paraId="13978C74" w14:textId="77777777" w:rsidR="00B33542" w:rsidRPr="005071A1" w:rsidRDefault="00B33542" w:rsidP="00B33542">
      <w:pPr>
        <w:pStyle w:val="subsection"/>
      </w:pPr>
      <w:r w:rsidRPr="005071A1">
        <w:tab/>
        <w:t>(1)</w:t>
      </w:r>
      <w:r w:rsidRPr="005071A1">
        <w:tab/>
        <w:t>The following provisions of this section have effect if:</w:t>
      </w:r>
    </w:p>
    <w:p w14:paraId="37F3F417" w14:textId="77777777" w:rsidR="00B33542" w:rsidRPr="005071A1" w:rsidRDefault="00B33542" w:rsidP="00B33542">
      <w:pPr>
        <w:pStyle w:val="paragraph"/>
      </w:pPr>
      <w:r w:rsidRPr="005071A1">
        <w:tab/>
        <w:t>(a)</w:t>
      </w:r>
      <w:r w:rsidRPr="005071A1">
        <w:tab/>
        <w:t xml:space="preserve">a person would, but for this section, be entitled to an increase in the amount of the annual pension that was payable in accordance with </w:t>
      </w:r>
      <w:r w:rsidR="004510F0">
        <w:t>section 1</w:t>
      </w:r>
      <w:r w:rsidRPr="005071A1">
        <w:t>19W to the person immediately before the commencement of a prescribed half</w:t>
      </w:r>
      <w:r w:rsidR="004510F0">
        <w:noBreakHyphen/>
      </w:r>
      <w:r w:rsidRPr="005071A1">
        <w:t>year; and</w:t>
      </w:r>
    </w:p>
    <w:p w14:paraId="24E7E7CE" w14:textId="77777777" w:rsidR="00B33542" w:rsidRPr="005071A1" w:rsidRDefault="00B33542" w:rsidP="00B33542">
      <w:pPr>
        <w:pStyle w:val="paragraph"/>
      </w:pPr>
      <w:r w:rsidRPr="005071A1">
        <w:tab/>
        <w:t>(b)</w:t>
      </w:r>
      <w:r w:rsidRPr="005071A1">
        <w:tab/>
        <w:t>if the pension was payable to the person otherwise than as a widow or widower—the pension became payable during the half</w:t>
      </w:r>
      <w:r w:rsidR="004510F0">
        <w:noBreakHyphen/>
      </w:r>
      <w:r w:rsidRPr="005071A1">
        <w:t>year immediately preceding the relevant prescribed half</w:t>
      </w:r>
      <w:r w:rsidR="004510F0">
        <w:noBreakHyphen/>
      </w:r>
      <w:r w:rsidRPr="005071A1">
        <w:t>year; and</w:t>
      </w:r>
    </w:p>
    <w:p w14:paraId="6FB48E51" w14:textId="77777777" w:rsidR="00B33542" w:rsidRPr="005071A1" w:rsidRDefault="00B33542" w:rsidP="00B33542">
      <w:pPr>
        <w:pStyle w:val="paragraph"/>
      </w:pPr>
      <w:r w:rsidRPr="005071A1">
        <w:tab/>
        <w:t>(c)</w:t>
      </w:r>
      <w:r w:rsidRPr="005071A1">
        <w:tab/>
        <w:t>if the pension was payable to the person as a widow or widower and:</w:t>
      </w:r>
    </w:p>
    <w:p w14:paraId="7CC4BA60" w14:textId="77777777" w:rsidR="00B33542" w:rsidRPr="005071A1" w:rsidRDefault="00B33542" w:rsidP="00B33542">
      <w:pPr>
        <w:pStyle w:val="paragraphsub"/>
      </w:pPr>
      <w:r w:rsidRPr="005071A1">
        <w:tab/>
        <w:t>(i)</w:t>
      </w:r>
      <w:r w:rsidRPr="005071A1">
        <w:tab/>
        <w:t xml:space="preserve">if a pension in accordance with </w:t>
      </w:r>
      <w:r w:rsidR="004510F0">
        <w:t>section 1</w:t>
      </w:r>
      <w:r w:rsidRPr="005071A1">
        <w:t>19W was not payable to the husband or wife of the person immediately before his or her death—the pension became payable during the half</w:t>
      </w:r>
      <w:r w:rsidR="004510F0">
        <w:noBreakHyphen/>
      </w:r>
      <w:r w:rsidRPr="005071A1">
        <w:t>year immediately preceding the relevant prescribed half</w:t>
      </w:r>
      <w:r w:rsidR="004510F0">
        <w:noBreakHyphen/>
      </w:r>
      <w:r w:rsidRPr="005071A1">
        <w:t>year; or</w:t>
      </w:r>
    </w:p>
    <w:p w14:paraId="222EE5F2" w14:textId="77777777" w:rsidR="00B33542" w:rsidRPr="005071A1" w:rsidRDefault="00B33542" w:rsidP="00B33542">
      <w:pPr>
        <w:pStyle w:val="paragraphsub"/>
      </w:pPr>
      <w:r w:rsidRPr="005071A1">
        <w:tab/>
        <w:t>(ii)</w:t>
      </w:r>
      <w:r w:rsidRPr="005071A1">
        <w:tab/>
        <w:t>if a pension in accordance with that section was payable to the husband or wife of the person immediately before his or her death—the pension that was payable to that husband or wife became payable during the half</w:t>
      </w:r>
      <w:r w:rsidR="004510F0">
        <w:noBreakHyphen/>
      </w:r>
      <w:r w:rsidRPr="005071A1">
        <w:t>year immediately preceding the relevant prescribed half</w:t>
      </w:r>
      <w:r w:rsidR="004510F0">
        <w:noBreakHyphen/>
      </w:r>
      <w:r w:rsidRPr="005071A1">
        <w:t>year.</w:t>
      </w:r>
    </w:p>
    <w:p w14:paraId="7C382C22" w14:textId="77777777" w:rsidR="00B33542" w:rsidRPr="005071A1" w:rsidRDefault="00B33542" w:rsidP="00B33542">
      <w:pPr>
        <w:pStyle w:val="subsection"/>
      </w:pPr>
      <w:r w:rsidRPr="005071A1">
        <w:tab/>
        <w:t>(2)</w:t>
      </w:r>
      <w:r w:rsidRPr="005071A1">
        <w:tab/>
        <w:t xml:space="preserve">If the pension that became payable by virtue of </w:t>
      </w:r>
      <w:r w:rsidR="004510F0">
        <w:t>section 1</w:t>
      </w:r>
      <w:r w:rsidRPr="005071A1">
        <w:t xml:space="preserve">19W to the person, or, in a case where </w:t>
      </w:r>
      <w:r w:rsidR="008B2950" w:rsidRPr="005071A1">
        <w:t>subparagraph (</w:t>
      </w:r>
      <w:r w:rsidRPr="005071A1">
        <w:t>1)(c)(ii) applies, to the husband or wife of the person, became so payable after 16</w:t>
      </w:r>
      <w:r w:rsidR="008B2950" w:rsidRPr="005071A1">
        <w:t> </w:t>
      </w:r>
      <w:r w:rsidRPr="005071A1">
        <w:t>June or 16</w:t>
      </w:r>
      <w:r w:rsidR="008B2950" w:rsidRPr="005071A1">
        <w:t> </w:t>
      </w:r>
      <w:r w:rsidRPr="005071A1">
        <w:t>December (as the case requires) in the half</w:t>
      </w:r>
      <w:r w:rsidR="004510F0">
        <w:noBreakHyphen/>
      </w:r>
      <w:r w:rsidRPr="005071A1">
        <w:t>year immediately preceding the relevant prescribed half</w:t>
      </w:r>
      <w:r w:rsidR="004510F0">
        <w:noBreakHyphen/>
      </w:r>
      <w:r w:rsidRPr="005071A1">
        <w:t>year, the person is not entitled to the increase.</w:t>
      </w:r>
    </w:p>
    <w:p w14:paraId="12020F89" w14:textId="77777777" w:rsidR="00B33542" w:rsidRPr="005071A1" w:rsidRDefault="00B33542" w:rsidP="00B33542">
      <w:pPr>
        <w:pStyle w:val="subsection"/>
      </w:pPr>
      <w:r w:rsidRPr="005071A1">
        <w:lastRenderedPageBreak/>
        <w:tab/>
        <w:t>(3)</w:t>
      </w:r>
      <w:r w:rsidRPr="005071A1">
        <w:tab/>
        <w:t xml:space="preserve">If the pension that became payable by virtue of </w:t>
      </w:r>
      <w:r w:rsidR="004510F0">
        <w:t>section 1</w:t>
      </w:r>
      <w:r w:rsidRPr="005071A1">
        <w:t xml:space="preserve">19W to the person, or, in a case where </w:t>
      </w:r>
      <w:r w:rsidR="008B2950" w:rsidRPr="005071A1">
        <w:t>subparagraph (</w:t>
      </w:r>
      <w:r w:rsidRPr="005071A1">
        <w:t>1)(c)(ii) applies, to the husband or wife of the person, became so payable on or before 16</w:t>
      </w:r>
      <w:r w:rsidR="008B2950" w:rsidRPr="005071A1">
        <w:t> </w:t>
      </w:r>
      <w:r w:rsidRPr="005071A1">
        <w:t>June or 16</w:t>
      </w:r>
      <w:r w:rsidR="008B2950" w:rsidRPr="005071A1">
        <w:t> </w:t>
      </w:r>
      <w:r w:rsidRPr="005071A1">
        <w:t>December (as the case requires) in the half</w:t>
      </w:r>
      <w:r w:rsidR="004510F0">
        <w:noBreakHyphen/>
      </w:r>
      <w:r w:rsidRPr="005071A1">
        <w:t>year immediately preceding the relevant prescribed half</w:t>
      </w:r>
      <w:r w:rsidR="004510F0">
        <w:noBreakHyphen/>
      </w:r>
      <w:r w:rsidRPr="005071A1">
        <w:t>year, the amount of the increase is so much only of the amount that, but for this section, would have been the amount of the increase as bears to that last</w:t>
      </w:r>
      <w:r w:rsidR="004510F0">
        <w:noBreakHyphen/>
      </w:r>
      <w:r w:rsidRPr="005071A1">
        <w:t>mentioned amount the same proportion as the number of months in the period that commenced on the day on which the pension became payable, and ended on 30</w:t>
      </w:r>
      <w:r w:rsidR="008B2950" w:rsidRPr="005071A1">
        <w:t> </w:t>
      </w:r>
      <w:r w:rsidRPr="005071A1">
        <w:t>June or 31</w:t>
      </w:r>
      <w:r w:rsidR="008B2950" w:rsidRPr="005071A1">
        <w:t> </w:t>
      </w:r>
      <w:r w:rsidRPr="005071A1">
        <w:t>December (as the case requires) in that immediately preceding half</w:t>
      </w:r>
      <w:r w:rsidR="004510F0">
        <w:noBreakHyphen/>
      </w:r>
      <w:r w:rsidRPr="005071A1">
        <w:t>year bears to 6.</w:t>
      </w:r>
    </w:p>
    <w:p w14:paraId="741AC5EB" w14:textId="77777777" w:rsidR="00B33542" w:rsidRPr="005071A1" w:rsidRDefault="00B33542" w:rsidP="00B33542">
      <w:pPr>
        <w:pStyle w:val="subsection"/>
      </w:pPr>
      <w:r w:rsidRPr="005071A1">
        <w:tab/>
        <w:t>(4)</w:t>
      </w:r>
      <w:r w:rsidRPr="005071A1">
        <w:tab/>
        <w:t xml:space="preserve">If the period referred to in </w:t>
      </w:r>
      <w:r w:rsidR="008B2950" w:rsidRPr="005071A1">
        <w:t>subsection (</w:t>
      </w:r>
      <w:r w:rsidRPr="005071A1">
        <w:t>3) is less than 1 month that period shall be treated as 1 month.</w:t>
      </w:r>
    </w:p>
    <w:p w14:paraId="4227CFB1" w14:textId="77777777" w:rsidR="00B33542" w:rsidRPr="005071A1" w:rsidRDefault="00B33542" w:rsidP="00B33542">
      <w:pPr>
        <w:pStyle w:val="subsection"/>
      </w:pPr>
      <w:r w:rsidRPr="005071A1">
        <w:tab/>
        <w:t>(5)</w:t>
      </w:r>
      <w:r w:rsidRPr="005071A1">
        <w:tab/>
        <w:t xml:space="preserve">If the period referred to in </w:t>
      </w:r>
      <w:r w:rsidR="008B2950" w:rsidRPr="005071A1">
        <w:t>subsection (</w:t>
      </w:r>
      <w:r w:rsidRPr="005071A1">
        <w:t>3) consists of a number of whole months and a part of a month:</w:t>
      </w:r>
    </w:p>
    <w:p w14:paraId="0C5794F1" w14:textId="77777777" w:rsidR="00B33542" w:rsidRPr="005071A1" w:rsidRDefault="00B33542" w:rsidP="00B33542">
      <w:pPr>
        <w:pStyle w:val="paragraph"/>
      </w:pPr>
      <w:r w:rsidRPr="005071A1">
        <w:tab/>
        <w:t>(a)</w:t>
      </w:r>
      <w:r w:rsidRPr="005071A1">
        <w:tab/>
        <w:t>where the number of days in that part of a month is less than one</w:t>
      </w:r>
      <w:r w:rsidR="004510F0">
        <w:noBreakHyphen/>
      </w:r>
      <w:r w:rsidRPr="005071A1">
        <w:t>half of the number of days in that month—that part of a month shall be disregarded; and</w:t>
      </w:r>
    </w:p>
    <w:p w14:paraId="16F99AA6" w14:textId="77777777" w:rsidR="00B33542" w:rsidRPr="005071A1" w:rsidRDefault="00B33542" w:rsidP="00B33542">
      <w:pPr>
        <w:pStyle w:val="paragraph"/>
      </w:pPr>
      <w:r w:rsidRPr="005071A1">
        <w:tab/>
        <w:t>(b)</w:t>
      </w:r>
      <w:r w:rsidRPr="005071A1">
        <w:tab/>
        <w:t>where the number of days in that part of a month is not less than one</w:t>
      </w:r>
      <w:r w:rsidR="004510F0">
        <w:noBreakHyphen/>
      </w:r>
      <w:r w:rsidRPr="005071A1">
        <w:t>half of the number of days in that month—that part of a month shall be treated as a whole month.</w:t>
      </w:r>
    </w:p>
    <w:p w14:paraId="00AE9585" w14:textId="77777777" w:rsidR="00B33542" w:rsidRPr="005071A1" w:rsidRDefault="00B33542" w:rsidP="00B33542">
      <w:pPr>
        <w:pStyle w:val="ActHead5"/>
      </w:pPr>
      <w:bookmarkStart w:id="247" w:name="_Toc185577629"/>
      <w:r w:rsidRPr="004510F0">
        <w:rPr>
          <w:rStyle w:val="CharSectno"/>
        </w:rPr>
        <w:t>124</w:t>
      </w:r>
      <w:r w:rsidRPr="005071A1">
        <w:t xml:space="preserve">  Modification of sections</w:t>
      </w:r>
      <w:r w:rsidR="008B2950" w:rsidRPr="005071A1">
        <w:t> </w:t>
      </w:r>
      <w:r w:rsidRPr="005071A1">
        <w:t>46, 47 and 48</w:t>
      </w:r>
      <w:bookmarkEnd w:id="247"/>
    </w:p>
    <w:p w14:paraId="44AAC02B" w14:textId="77777777" w:rsidR="00B33542" w:rsidRPr="005071A1" w:rsidRDefault="00B33542" w:rsidP="00B33542">
      <w:pPr>
        <w:pStyle w:val="subsection"/>
      </w:pPr>
      <w:r w:rsidRPr="005071A1">
        <w:tab/>
        <w:t>(1)</w:t>
      </w:r>
      <w:r w:rsidRPr="005071A1">
        <w:tab/>
        <w:t xml:space="preserve">In calculating for the purposes of </w:t>
      </w:r>
      <w:r w:rsidR="008B2950" w:rsidRPr="005071A1">
        <w:t>subsection (</w:t>
      </w:r>
      <w:r w:rsidRPr="005071A1">
        <w:t>5) of section</w:t>
      </w:r>
      <w:r w:rsidR="008B2950" w:rsidRPr="005071A1">
        <w:t> </w:t>
      </w:r>
      <w:r w:rsidRPr="005071A1">
        <w:t xml:space="preserve">46 the amount of the annual rate of the pension that, but for the death of a widow or widower, would, by virtue of </w:t>
      </w:r>
      <w:r w:rsidR="008B2950" w:rsidRPr="005071A1">
        <w:t>subsection (</w:t>
      </w:r>
      <w:r w:rsidRPr="005071A1">
        <w:t xml:space="preserve">1) of that section, have been payable to the widow or widower or have been so payable but for </w:t>
      </w:r>
      <w:r w:rsidR="008B2950" w:rsidRPr="005071A1">
        <w:t>subsection (</w:t>
      </w:r>
      <w:r w:rsidRPr="005071A1">
        <w:t>2) of that section, any amount by which that amount would have been increased or decreased by virtue of the operation of this Part shall be taken into account.</w:t>
      </w:r>
    </w:p>
    <w:p w14:paraId="659B1BF2" w14:textId="77777777" w:rsidR="00B33542" w:rsidRPr="005071A1" w:rsidRDefault="00B33542" w:rsidP="00B33542">
      <w:pPr>
        <w:pStyle w:val="subsection"/>
      </w:pPr>
      <w:r w:rsidRPr="005071A1">
        <w:lastRenderedPageBreak/>
        <w:tab/>
        <w:t>(2)</w:t>
      </w:r>
      <w:r w:rsidRPr="005071A1">
        <w:tab/>
        <w:t xml:space="preserve">In calculating for the purposes of </w:t>
      </w:r>
      <w:r w:rsidR="008B2950" w:rsidRPr="005071A1">
        <w:t>subsection (</w:t>
      </w:r>
      <w:r w:rsidRPr="005071A1">
        <w:t>5) of section</w:t>
      </w:r>
      <w:r w:rsidR="008B2950" w:rsidRPr="005071A1">
        <w:t> </w:t>
      </w:r>
      <w:r w:rsidRPr="005071A1">
        <w:t xml:space="preserve">47 the amount of the annual rate of pension that, but for the death of a widow or widower, would, by virtue of </w:t>
      </w:r>
      <w:r w:rsidR="008B2950" w:rsidRPr="005071A1">
        <w:t>subsection (</w:t>
      </w:r>
      <w:r w:rsidRPr="005071A1">
        <w:t xml:space="preserve">1) of that section, have been payable to the widow or widower or have been so payable but for </w:t>
      </w:r>
      <w:r w:rsidR="008B2950" w:rsidRPr="005071A1">
        <w:t>subsection (</w:t>
      </w:r>
      <w:r w:rsidRPr="005071A1">
        <w:t>2) of that section, any amount by which that amount would have been increased or decreased by virtue of the operation of this Part shall be taken into account.</w:t>
      </w:r>
    </w:p>
    <w:p w14:paraId="0A8BEE8E" w14:textId="77777777" w:rsidR="00B33542" w:rsidRPr="005071A1" w:rsidRDefault="00B33542" w:rsidP="00B33542">
      <w:pPr>
        <w:pStyle w:val="subsection"/>
      </w:pPr>
      <w:r w:rsidRPr="005071A1">
        <w:tab/>
        <w:t>(3)</w:t>
      </w:r>
      <w:r w:rsidRPr="005071A1">
        <w:tab/>
        <w:t xml:space="preserve">In calculating for the purposes of </w:t>
      </w:r>
      <w:r w:rsidR="008B2950" w:rsidRPr="005071A1">
        <w:t>subsection (</w:t>
      </w:r>
      <w:r w:rsidRPr="005071A1">
        <w:t>2) of section</w:t>
      </w:r>
      <w:r w:rsidR="008B2950" w:rsidRPr="005071A1">
        <w:t> </w:t>
      </w:r>
      <w:r w:rsidRPr="005071A1">
        <w:t xml:space="preserve">48 the amount of the annual rate of the pension that, but for the death or divorce of the wife or husband of a contributor or pensioner would, by virtue of </w:t>
      </w:r>
      <w:r w:rsidR="008B2950" w:rsidRPr="005071A1">
        <w:t>subsection (</w:t>
      </w:r>
      <w:r w:rsidRPr="005071A1">
        <w:t>1) of section</w:t>
      </w:r>
      <w:r w:rsidR="008B2950" w:rsidRPr="005071A1">
        <w:t> </w:t>
      </w:r>
      <w:r w:rsidRPr="005071A1">
        <w:t xml:space="preserve">46, or </w:t>
      </w:r>
      <w:r w:rsidR="008B2950" w:rsidRPr="005071A1">
        <w:t>subsection (</w:t>
      </w:r>
      <w:r w:rsidRPr="005071A1">
        <w:t>1) of section</w:t>
      </w:r>
      <w:r w:rsidR="008B2950" w:rsidRPr="005071A1">
        <w:t> </w:t>
      </w:r>
      <w:r w:rsidRPr="005071A1">
        <w:t xml:space="preserve">47, have been payable to the wife or husband or would have been so payable but for </w:t>
      </w:r>
      <w:r w:rsidR="008B2950" w:rsidRPr="005071A1">
        <w:t>subsection (</w:t>
      </w:r>
      <w:r w:rsidRPr="005071A1">
        <w:t>2) of section</w:t>
      </w:r>
      <w:r w:rsidR="008B2950" w:rsidRPr="005071A1">
        <w:t> </w:t>
      </w:r>
      <w:r w:rsidRPr="005071A1">
        <w:t xml:space="preserve">46, or </w:t>
      </w:r>
      <w:r w:rsidR="008B2950" w:rsidRPr="005071A1">
        <w:t>subsection (</w:t>
      </w:r>
      <w:r w:rsidRPr="005071A1">
        <w:t>2) of section</w:t>
      </w:r>
      <w:r w:rsidR="008B2950" w:rsidRPr="005071A1">
        <w:t> </w:t>
      </w:r>
      <w:r w:rsidRPr="005071A1">
        <w:t>47, any amount by which that amount would have been increased or decreased by virtue of the operation of this Part shall be taken into account.</w:t>
      </w:r>
    </w:p>
    <w:p w14:paraId="354B76AF" w14:textId="77777777" w:rsidR="00B33542" w:rsidRPr="005071A1" w:rsidRDefault="00B33542" w:rsidP="00B33542">
      <w:pPr>
        <w:pStyle w:val="ActHead5"/>
      </w:pPr>
      <w:bookmarkStart w:id="248" w:name="_Toc185577630"/>
      <w:r w:rsidRPr="004510F0">
        <w:rPr>
          <w:rStyle w:val="CharSectno"/>
        </w:rPr>
        <w:t>125</w:t>
      </w:r>
      <w:r w:rsidRPr="005071A1">
        <w:t xml:space="preserve">  Death or invalidity retirement before attaining age 21</w:t>
      </w:r>
      <w:bookmarkEnd w:id="248"/>
    </w:p>
    <w:p w14:paraId="2B14DAC9" w14:textId="77777777" w:rsidR="00B33542" w:rsidRPr="005071A1" w:rsidRDefault="00B33542" w:rsidP="00B33542">
      <w:pPr>
        <w:pStyle w:val="subsection"/>
      </w:pPr>
      <w:r w:rsidRPr="005071A1">
        <w:tab/>
        <w:t>(1)</w:t>
      </w:r>
      <w:r w:rsidRPr="005071A1">
        <w:tab/>
        <w:t>Where a person has, on or before the day on which he attained or would have attained the age of 21 years, ceased to be an employee by reason of retirement on the ground of invalidity or by reason of death, and pension is payable to or in respect of him, the Commissioner for Superannuation may, in writing, authorize the pension to be increased to such extent as the Commissioner, in accordance with principles approved by the Minister for the purposes of this section, determines.</w:t>
      </w:r>
    </w:p>
    <w:p w14:paraId="5A1A283C" w14:textId="77777777" w:rsidR="00B33542" w:rsidRPr="005071A1" w:rsidRDefault="00B33542" w:rsidP="00B33542">
      <w:pPr>
        <w:pStyle w:val="subsection"/>
      </w:pPr>
      <w:r w:rsidRPr="005071A1">
        <w:tab/>
        <w:t>(2)</w:t>
      </w:r>
      <w:r w:rsidRPr="005071A1">
        <w:tab/>
        <w:t xml:space="preserve">An increase in pension authorized by the Commissioner for Superannuation under </w:t>
      </w:r>
      <w:r w:rsidR="008B2950" w:rsidRPr="005071A1">
        <w:t>subsection (</w:t>
      </w:r>
      <w:r w:rsidRPr="005071A1">
        <w:t>1) applies in relation to the instalment of pension falling due on such day as the Commissioner determines (not being a day earlier than 1</w:t>
      </w:r>
      <w:r w:rsidR="008B2950" w:rsidRPr="005071A1">
        <w:t> </w:t>
      </w:r>
      <w:r w:rsidRPr="005071A1">
        <w:t>July 1976) and in relation to all subsequent instalments.</w:t>
      </w:r>
    </w:p>
    <w:p w14:paraId="3886701F" w14:textId="77777777" w:rsidR="00B33542" w:rsidRPr="005071A1" w:rsidRDefault="00B33542" w:rsidP="00B33542">
      <w:pPr>
        <w:pStyle w:val="ActHead5"/>
      </w:pPr>
      <w:bookmarkStart w:id="249" w:name="_Toc185577631"/>
      <w:r w:rsidRPr="004510F0">
        <w:rPr>
          <w:rStyle w:val="CharSectno"/>
        </w:rPr>
        <w:lastRenderedPageBreak/>
        <w:t>126</w:t>
      </w:r>
      <w:r w:rsidRPr="005071A1">
        <w:t xml:space="preserve">  Date of effect of increases</w:t>
      </w:r>
      <w:bookmarkEnd w:id="249"/>
    </w:p>
    <w:p w14:paraId="18882570" w14:textId="77777777" w:rsidR="00B33542" w:rsidRPr="005071A1" w:rsidRDefault="00B33542" w:rsidP="00B33542">
      <w:pPr>
        <w:pStyle w:val="subsection"/>
      </w:pPr>
      <w:r w:rsidRPr="005071A1">
        <w:tab/>
      </w:r>
      <w:r w:rsidRPr="005071A1">
        <w:tab/>
        <w:t xml:space="preserve">An increase payable by virtue of a provision of this Part, other than </w:t>
      </w:r>
      <w:r w:rsidR="004510F0">
        <w:t>section 1</w:t>
      </w:r>
      <w:r w:rsidRPr="005071A1">
        <w:t xml:space="preserve">25, in the amount of the annual pension that was, or is, under </w:t>
      </w:r>
      <w:r w:rsidR="008B2950" w:rsidRPr="005071A1">
        <w:t>subsection (</w:t>
      </w:r>
      <w:r w:rsidRPr="005071A1">
        <w:t xml:space="preserve">4) of </w:t>
      </w:r>
      <w:r w:rsidR="004510F0">
        <w:t>section 1</w:t>
      </w:r>
      <w:r w:rsidRPr="005071A1">
        <w:t>21, to be treated as having been, payable to a person on 30</w:t>
      </w:r>
      <w:r w:rsidR="008B2950" w:rsidRPr="005071A1">
        <w:t> </w:t>
      </w:r>
      <w:r w:rsidRPr="005071A1">
        <w:t>June or 31</w:t>
      </w:r>
      <w:r w:rsidR="008B2950" w:rsidRPr="005071A1">
        <w:t> </w:t>
      </w:r>
      <w:r w:rsidRPr="005071A1">
        <w:t>December (as the case requires) in a half</w:t>
      </w:r>
      <w:r w:rsidR="004510F0">
        <w:noBreakHyphen/>
      </w:r>
      <w:r w:rsidRPr="005071A1">
        <w:t>year applies in relation to the instalment of pension falling due on the first pension pay</w:t>
      </w:r>
      <w:r w:rsidR="004510F0">
        <w:noBreakHyphen/>
      </w:r>
      <w:r w:rsidRPr="005071A1">
        <w:t>day occurring after that day and in relation to all subsequent instalments.</w:t>
      </w:r>
    </w:p>
    <w:p w14:paraId="3A10FACD" w14:textId="77777777" w:rsidR="001E12F9" w:rsidRPr="005071A1" w:rsidRDefault="001E12F9" w:rsidP="002477D1">
      <w:pPr>
        <w:pStyle w:val="ActHead2"/>
        <w:pageBreakBefore/>
      </w:pPr>
      <w:bookmarkStart w:id="250" w:name="_Toc185577632"/>
      <w:r w:rsidRPr="004510F0">
        <w:rPr>
          <w:rStyle w:val="CharPartNo"/>
        </w:rPr>
        <w:lastRenderedPageBreak/>
        <w:t>Part XIA</w:t>
      </w:r>
      <w:r w:rsidRPr="005071A1">
        <w:t>—</w:t>
      </w:r>
      <w:r w:rsidRPr="004510F0">
        <w:rPr>
          <w:rStyle w:val="CharPartText"/>
        </w:rPr>
        <w:t>Review of decisions by CSC</w:t>
      </w:r>
      <w:bookmarkEnd w:id="250"/>
    </w:p>
    <w:p w14:paraId="38725E65" w14:textId="77777777" w:rsidR="001E12F9" w:rsidRPr="005071A1" w:rsidRDefault="001E12F9" w:rsidP="001E12F9">
      <w:pPr>
        <w:pStyle w:val="ActHead3"/>
      </w:pPr>
      <w:bookmarkStart w:id="251" w:name="_Toc185577633"/>
      <w:r w:rsidRPr="004510F0">
        <w:rPr>
          <w:rStyle w:val="CharDivNo"/>
        </w:rPr>
        <w:t>Division</w:t>
      </w:r>
      <w:r w:rsidR="008B2950" w:rsidRPr="004510F0">
        <w:rPr>
          <w:rStyle w:val="CharDivNo"/>
        </w:rPr>
        <w:t> </w:t>
      </w:r>
      <w:r w:rsidRPr="004510F0">
        <w:rPr>
          <w:rStyle w:val="CharDivNo"/>
        </w:rPr>
        <w:t>1</w:t>
      </w:r>
      <w:r w:rsidRPr="005071A1">
        <w:t>—</w:t>
      </w:r>
      <w:r w:rsidRPr="004510F0">
        <w:rPr>
          <w:rStyle w:val="CharDivText"/>
        </w:rPr>
        <w:t>Review of decisions by CSC</w:t>
      </w:r>
      <w:bookmarkEnd w:id="251"/>
    </w:p>
    <w:p w14:paraId="169C0CF4" w14:textId="77777777" w:rsidR="001E12F9" w:rsidRPr="005071A1" w:rsidRDefault="001E12F9" w:rsidP="001E12F9">
      <w:pPr>
        <w:pStyle w:val="ActHead5"/>
      </w:pPr>
      <w:bookmarkStart w:id="252" w:name="_Toc185577634"/>
      <w:r w:rsidRPr="004510F0">
        <w:rPr>
          <w:rStyle w:val="CharSectno"/>
        </w:rPr>
        <w:t>127</w:t>
      </w:r>
      <w:r w:rsidRPr="005071A1">
        <w:t xml:space="preserve">  Review of decisions by CSC</w:t>
      </w:r>
      <w:bookmarkEnd w:id="252"/>
    </w:p>
    <w:p w14:paraId="7BA9B252" w14:textId="77777777" w:rsidR="001E12F9" w:rsidRPr="005071A1" w:rsidRDefault="001E12F9" w:rsidP="001E12F9">
      <w:pPr>
        <w:pStyle w:val="subsection"/>
      </w:pPr>
      <w:r w:rsidRPr="005071A1">
        <w:tab/>
        <w:t>(1)</w:t>
      </w:r>
      <w:r w:rsidRPr="005071A1">
        <w:tab/>
        <w:t>A person affected by a decision of CSC who is dissatisfied with the decision may request, in writing, that CSC reconsider the decision.</w:t>
      </w:r>
    </w:p>
    <w:p w14:paraId="382AF125" w14:textId="77777777" w:rsidR="001E12F9" w:rsidRPr="005071A1" w:rsidRDefault="001E12F9" w:rsidP="001E12F9">
      <w:pPr>
        <w:pStyle w:val="subsection"/>
      </w:pPr>
      <w:r w:rsidRPr="005071A1">
        <w:tab/>
        <w:t>(2)</w:t>
      </w:r>
      <w:r w:rsidRPr="005071A1">
        <w:tab/>
        <w:t>The request must be made within 30 days of being notified of the decision or within such further period as CSC allows.</w:t>
      </w:r>
    </w:p>
    <w:p w14:paraId="6271EDEF" w14:textId="77777777" w:rsidR="001E12F9" w:rsidRPr="005071A1" w:rsidRDefault="001E12F9" w:rsidP="001E12F9">
      <w:pPr>
        <w:pStyle w:val="subsection"/>
      </w:pPr>
      <w:r w:rsidRPr="005071A1">
        <w:tab/>
        <w:t>(3)</w:t>
      </w:r>
      <w:r w:rsidRPr="005071A1">
        <w:tab/>
        <w:t>The request must set out the reasons for making it.</w:t>
      </w:r>
    </w:p>
    <w:p w14:paraId="47C1CD54" w14:textId="77777777" w:rsidR="001E12F9" w:rsidRPr="005071A1" w:rsidRDefault="001E12F9" w:rsidP="001E12F9">
      <w:pPr>
        <w:pStyle w:val="subsection"/>
      </w:pPr>
      <w:r w:rsidRPr="005071A1">
        <w:tab/>
        <w:t>(4)</w:t>
      </w:r>
      <w:r w:rsidRPr="005071A1">
        <w:tab/>
        <w:t>After receiving a request for reconsideration of a decision, CSC must:</w:t>
      </w:r>
    </w:p>
    <w:p w14:paraId="70EEF1BE" w14:textId="77777777" w:rsidR="001E12F9" w:rsidRPr="005071A1" w:rsidRDefault="001E12F9" w:rsidP="001E12F9">
      <w:pPr>
        <w:pStyle w:val="paragraph"/>
      </w:pPr>
      <w:r w:rsidRPr="005071A1">
        <w:tab/>
        <w:t>(a)</w:t>
      </w:r>
      <w:r w:rsidRPr="005071A1">
        <w:tab/>
        <w:t>refer the decision to a Reconsideration Advisory Committee for the Committee to make recommendations to CSC in relation to the decision; or</w:t>
      </w:r>
    </w:p>
    <w:p w14:paraId="19BD0B40" w14:textId="77777777" w:rsidR="001E12F9" w:rsidRPr="005071A1" w:rsidRDefault="001E12F9" w:rsidP="001E12F9">
      <w:pPr>
        <w:pStyle w:val="paragraph"/>
      </w:pPr>
      <w:r w:rsidRPr="005071A1">
        <w:tab/>
        <w:t>(b)</w:t>
      </w:r>
      <w:r w:rsidRPr="005071A1">
        <w:tab/>
        <w:t>refer the decision to a Reconsideration Advisory Committee for the Committee to reconsider the decision; or</w:t>
      </w:r>
    </w:p>
    <w:p w14:paraId="0465483B" w14:textId="77777777" w:rsidR="001E12F9" w:rsidRPr="005071A1" w:rsidRDefault="001E12F9" w:rsidP="001E12F9">
      <w:pPr>
        <w:pStyle w:val="paragraph"/>
      </w:pPr>
      <w:r w:rsidRPr="005071A1">
        <w:tab/>
        <w:t>(c)</w:t>
      </w:r>
      <w:r w:rsidRPr="005071A1">
        <w:tab/>
        <w:t>reconsider the decision itself.</w:t>
      </w:r>
    </w:p>
    <w:p w14:paraId="3C90B8D4" w14:textId="77777777" w:rsidR="001E12F9" w:rsidRPr="005071A1" w:rsidRDefault="001E12F9" w:rsidP="001E12F9">
      <w:pPr>
        <w:pStyle w:val="subsection"/>
      </w:pPr>
      <w:r w:rsidRPr="005071A1">
        <w:tab/>
        <w:t>(5)</w:t>
      </w:r>
      <w:r w:rsidRPr="005071A1">
        <w:tab/>
        <w:t>If CSC reconsiders a decision, it may:</w:t>
      </w:r>
    </w:p>
    <w:p w14:paraId="170F7C1A" w14:textId="77777777" w:rsidR="001E12F9" w:rsidRPr="005071A1" w:rsidRDefault="001E12F9" w:rsidP="001E12F9">
      <w:pPr>
        <w:pStyle w:val="paragraph"/>
      </w:pPr>
      <w:r w:rsidRPr="005071A1">
        <w:tab/>
        <w:t>(a)</w:t>
      </w:r>
      <w:r w:rsidRPr="005071A1">
        <w:tab/>
        <w:t>confirm the decision; or</w:t>
      </w:r>
    </w:p>
    <w:p w14:paraId="4818B82D" w14:textId="77777777" w:rsidR="001E12F9" w:rsidRPr="005071A1" w:rsidRDefault="001E12F9" w:rsidP="001E12F9">
      <w:pPr>
        <w:pStyle w:val="paragraph"/>
      </w:pPr>
      <w:r w:rsidRPr="005071A1">
        <w:tab/>
        <w:t>(b)</w:t>
      </w:r>
      <w:r w:rsidRPr="005071A1">
        <w:tab/>
        <w:t>vary the decision; or</w:t>
      </w:r>
    </w:p>
    <w:p w14:paraId="775E822B" w14:textId="77777777" w:rsidR="001E12F9" w:rsidRPr="005071A1" w:rsidRDefault="001E12F9" w:rsidP="001E12F9">
      <w:pPr>
        <w:pStyle w:val="paragraph"/>
      </w:pPr>
      <w:r w:rsidRPr="005071A1">
        <w:tab/>
        <w:t>(c)</w:t>
      </w:r>
      <w:r w:rsidRPr="005071A1">
        <w:tab/>
        <w:t>set aside the decision and substitute a new decision.</w:t>
      </w:r>
    </w:p>
    <w:p w14:paraId="7FB49411" w14:textId="77777777" w:rsidR="001E12F9" w:rsidRPr="005071A1" w:rsidRDefault="001E12F9" w:rsidP="001E12F9">
      <w:pPr>
        <w:pStyle w:val="subsection"/>
      </w:pPr>
      <w:r w:rsidRPr="005071A1">
        <w:tab/>
        <w:t>(6)</w:t>
      </w:r>
      <w:r w:rsidRPr="005071A1">
        <w:tab/>
        <w:t>If CSC reconsiders a decision, CSC must, by notice in writing given to the person who made the request, inform the person of the result of the reconsideration of the decision and the reasons for the result.</w:t>
      </w:r>
    </w:p>
    <w:p w14:paraId="4DA15878" w14:textId="77777777" w:rsidR="001E12F9" w:rsidRPr="005071A1" w:rsidRDefault="001E12F9" w:rsidP="002477D1">
      <w:pPr>
        <w:pStyle w:val="ActHead3"/>
        <w:pageBreakBefore/>
      </w:pPr>
      <w:bookmarkStart w:id="253" w:name="_Toc185577635"/>
      <w:r w:rsidRPr="004510F0">
        <w:rPr>
          <w:rStyle w:val="CharDivNo"/>
        </w:rPr>
        <w:lastRenderedPageBreak/>
        <w:t>Division</w:t>
      </w:r>
      <w:r w:rsidR="008B2950" w:rsidRPr="004510F0">
        <w:rPr>
          <w:rStyle w:val="CharDivNo"/>
        </w:rPr>
        <w:t> </w:t>
      </w:r>
      <w:r w:rsidRPr="004510F0">
        <w:rPr>
          <w:rStyle w:val="CharDivNo"/>
        </w:rPr>
        <w:t>2</w:t>
      </w:r>
      <w:r w:rsidRPr="005071A1">
        <w:t>—</w:t>
      </w:r>
      <w:r w:rsidRPr="004510F0">
        <w:rPr>
          <w:rStyle w:val="CharDivText"/>
        </w:rPr>
        <w:t>Reconsideration Advisory Committees</w:t>
      </w:r>
      <w:bookmarkEnd w:id="253"/>
    </w:p>
    <w:p w14:paraId="41CBDD05" w14:textId="77777777" w:rsidR="001E12F9" w:rsidRPr="005071A1" w:rsidRDefault="001E12F9" w:rsidP="001E12F9">
      <w:pPr>
        <w:pStyle w:val="ActHead5"/>
      </w:pPr>
      <w:bookmarkStart w:id="254" w:name="_Toc185577636"/>
      <w:r w:rsidRPr="004510F0">
        <w:rPr>
          <w:rStyle w:val="CharSectno"/>
        </w:rPr>
        <w:t>128</w:t>
      </w:r>
      <w:r w:rsidRPr="005071A1">
        <w:t xml:space="preserve">  Establishment of Committee</w:t>
      </w:r>
      <w:bookmarkEnd w:id="254"/>
    </w:p>
    <w:p w14:paraId="44EAD219" w14:textId="77777777" w:rsidR="001E12F9" w:rsidRPr="005071A1" w:rsidRDefault="001E12F9" w:rsidP="001E12F9">
      <w:pPr>
        <w:pStyle w:val="subsection"/>
      </w:pPr>
      <w:r w:rsidRPr="005071A1">
        <w:tab/>
      </w:r>
      <w:r w:rsidRPr="005071A1">
        <w:tab/>
        <w:t>CSC may establish such Reconsideration Advisory Committees as CSC considers necessary.</w:t>
      </w:r>
    </w:p>
    <w:p w14:paraId="7F8AD548" w14:textId="77777777" w:rsidR="001E12F9" w:rsidRPr="005071A1" w:rsidRDefault="001E12F9" w:rsidP="001E12F9">
      <w:pPr>
        <w:pStyle w:val="ActHead5"/>
      </w:pPr>
      <w:bookmarkStart w:id="255" w:name="_Toc185577637"/>
      <w:r w:rsidRPr="004510F0">
        <w:rPr>
          <w:rStyle w:val="CharSectno"/>
        </w:rPr>
        <w:t>129</w:t>
      </w:r>
      <w:r w:rsidRPr="005071A1">
        <w:t xml:space="preserve">  Members of Committee</w:t>
      </w:r>
      <w:bookmarkEnd w:id="255"/>
    </w:p>
    <w:p w14:paraId="0C2520F2" w14:textId="77777777" w:rsidR="001E12F9" w:rsidRPr="005071A1" w:rsidRDefault="001E12F9" w:rsidP="001E12F9">
      <w:pPr>
        <w:pStyle w:val="subsection"/>
      </w:pPr>
      <w:r w:rsidRPr="005071A1">
        <w:tab/>
      </w:r>
      <w:r w:rsidRPr="005071A1">
        <w:tab/>
        <w:t>A Committee comprises such persons as CSC determines.</w:t>
      </w:r>
    </w:p>
    <w:p w14:paraId="076DAC13" w14:textId="77777777" w:rsidR="001E12F9" w:rsidRPr="005071A1" w:rsidRDefault="001E12F9" w:rsidP="001E12F9">
      <w:pPr>
        <w:pStyle w:val="ActHead5"/>
      </w:pPr>
      <w:bookmarkStart w:id="256" w:name="_Toc185577638"/>
      <w:r w:rsidRPr="004510F0">
        <w:rPr>
          <w:rStyle w:val="CharSectno"/>
        </w:rPr>
        <w:t>130</w:t>
      </w:r>
      <w:r w:rsidRPr="005071A1">
        <w:t xml:space="preserve">  Functions of Committee</w:t>
      </w:r>
      <w:bookmarkEnd w:id="256"/>
    </w:p>
    <w:p w14:paraId="156F054F" w14:textId="77777777" w:rsidR="001E12F9" w:rsidRPr="005071A1" w:rsidRDefault="001E12F9" w:rsidP="001E12F9">
      <w:pPr>
        <w:pStyle w:val="subsection"/>
      </w:pPr>
      <w:r w:rsidRPr="005071A1">
        <w:tab/>
        <w:t>(1)</w:t>
      </w:r>
      <w:r w:rsidRPr="005071A1">
        <w:tab/>
        <w:t>The functions of a Committee are to review any decision referred to it under this Part and:</w:t>
      </w:r>
    </w:p>
    <w:p w14:paraId="5F2B6836" w14:textId="77777777" w:rsidR="001E12F9" w:rsidRPr="005071A1" w:rsidRDefault="001E12F9" w:rsidP="001E12F9">
      <w:pPr>
        <w:pStyle w:val="paragraph"/>
      </w:pPr>
      <w:r w:rsidRPr="005071A1">
        <w:tab/>
        <w:t>(a)</w:t>
      </w:r>
      <w:r w:rsidRPr="005071A1">
        <w:tab/>
        <w:t>if CSC has delegated to the Committee CSC’s powers to reconsider the decision—to confirm, vary, substitute or set aside the decision; or</w:t>
      </w:r>
    </w:p>
    <w:p w14:paraId="1F49C885" w14:textId="77777777" w:rsidR="001E12F9" w:rsidRPr="005071A1" w:rsidRDefault="001E12F9" w:rsidP="001E12F9">
      <w:pPr>
        <w:pStyle w:val="paragraph"/>
      </w:pPr>
      <w:r w:rsidRPr="005071A1">
        <w:tab/>
        <w:t>(b)</w:t>
      </w:r>
      <w:r w:rsidRPr="005071A1">
        <w:tab/>
        <w:t>if CSC has delegated to the Committee any of CSC’s powers in relation to the decision (other than the power to reconsider the decision)—to exercise those powers; or</w:t>
      </w:r>
    </w:p>
    <w:p w14:paraId="6C9E552E" w14:textId="77777777" w:rsidR="001E12F9" w:rsidRPr="005071A1" w:rsidRDefault="001E12F9" w:rsidP="001E12F9">
      <w:pPr>
        <w:pStyle w:val="paragraph"/>
      </w:pPr>
      <w:r w:rsidRPr="005071A1">
        <w:tab/>
        <w:t>(c)</w:t>
      </w:r>
      <w:r w:rsidRPr="005071A1">
        <w:tab/>
        <w:t>in any other case—to make recommendations to CSC in relation to the decision.</w:t>
      </w:r>
    </w:p>
    <w:p w14:paraId="1136AEC3" w14:textId="77777777" w:rsidR="001E12F9" w:rsidRPr="005071A1" w:rsidRDefault="001E12F9" w:rsidP="001E12F9">
      <w:pPr>
        <w:pStyle w:val="noteToPara"/>
      </w:pPr>
      <w:r w:rsidRPr="005071A1">
        <w:t>Note:</w:t>
      </w:r>
      <w:r w:rsidRPr="005071A1">
        <w:tab/>
      </w:r>
      <w:r w:rsidR="008B2950" w:rsidRPr="005071A1">
        <w:t>Paragraph (</w:t>
      </w:r>
      <w:r w:rsidRPr="005071A1">
        <w:t xml:space="preserve">c)—see </w:t>
      </w:r>
      <w:r w:rsidR="004510F0">
        <w:t>section 1</w:t>
      </w:r>
      <w:r w:rsidRPr="005071A1">
        <w:t>33A.</w:t>
      </w:r>
    </w:p>
    <w:p w14:paraId="79DB3BCA" w14:textId="77777777" w:rsidR="001E12F9" w:rsidRPr="005071A1" w:rsidRDefault="001E12F9" w:rsidP="001E12F9">
      <w:pPr>
        <w:pStyle w:val="subsection"/>
      </w:pPr>
      <w:r w:rsidRPr="005071A1">
        <w:tab/>
        <w:t>(2)</w:t>
      </w:r>
      <w:r w:rsidRPr="005071A1">
        <w:tab/>
        <w:t>When reviewing a decision, a Committee:</w:t>
      </w:r>
    </w:p>
    <w:p w14:paraId="6A91A320" w14:textId="77777777" w:rsidR="001E12F9" w:rsidRPr="005071A1" w:rsidRDefault="001E12F9" w:rsidP="001E12F9">
      <w:pPr>
        <w:pStyle w:val="paragraph"/>
      </w:pPr>
      <w:r w:rsidRPr="005071A1">
        <w:tab/>
        <w:t>(a)</w:t>
      </w:r>
      <w:r w:rsidRPr="005071A1">
        <w:tab/>
        <w:t>must take into account any evidence relevant to the decision that is submitted to it; and</w:t>
      </w:r>
    </w:p>
    <w:p w14:paraId="702BEE72" w14:textId="77777777" w:rsidR="001E12F9" w:rsidRPr="005071A1" w:rsidRDefault="001E12F9" w:rsidP="001E12F9">
      <w:pPr>
        <w:pStyle w:val="paragraph"/>
      </w:pPr>
      <w:r w:rsidRPr="005071A1">
        <w:tab/>
        <w:t>(b)</w:t>
      </w:r>
      <w:r w:rsidRPr="005071A1">
        <w:tab/>
        <w:t>may also take steps to obtain any other evidence that it considers necessary for a proper review of the decision.</w:t>
      </w:r>
    </w:p>
    <w:p w14:paraId="606773DD" w14:textId="77777777" w:rsidR="001E12F9" w:rsidRPr="005071A1" w:rsidRDefault="001E12F9" w:rsidP="001E12F9">
      <w:pPr>
        <w:pStyle w:val="ActHead5"/>
      </w:pPr>
      <w:bookmarkStart w:id="257" w:name="_Toc185577639"/>
      <w:r w:rsidRPr="004510F0">
        <w:rPr>
          <w:rStyle w:val="CharSectno"/>
        </w:rPr>
        <w:lastRenderedPageBreak/>
        <w:t>131</w:t>
      </w:r>
      <w:r w:rsidRPr="005071A1">
        <w:t xml:space="preserve">  Proceedings of Committee</w:t>
      </w:r>
      <w:bookmarkEnd w:id="257"/>
    </w:p>
    <w:p w14:paraId="7BD4C737" w14:textId="77777777" w:rsidR="001E12F9" w:rsidRPr="005071A1" w:rsidRDefault="001E12F9" w:rsidP="001E12F9">
      <w:pPr>
        <w:pStyle w:val="subsection"/>
      </w:pPr>
      <w:r w:rsidRPr="005071A1">
        <w:tab/>
        <w:t>(1)</w:t>
      </w:r>
      <w:r w:rsidRPr="005071A1">
        <w:tab/>
        <w:t>Subject to any directions given by CSC, a Committee may regulate its proceedings as the Committee thinks fit.</w:t>
      </w:r>
    </w:p>
    <w:p w14:paraId="2CEB7255" w14:textId="77777777" w:rsidR="001E12F9" w:rsidRPr="005071A1" w:rsidRDefault="001E12F9" w:rsidP="001E12F9">
      <w:pPr>
        <w:pStyle w:val="subsection"/>
      </w:pPr>
      <w:r w:rsidRPr="005071A1">
        <w:tab/>
        <w:t>(2)</w:t>
      </w:r>
      <w:r w:rsidRPr="005071A1">
        <w:tab/>
        <w:t>If a direction is given in writing, the direction is not a legislative instrument.</w:t>
      </w:r>
    </w:p>
    <w:p w14:paraId="5F8DE957" w14:textId="77777777" w:rsidR="001E12F9" w:rsidRPr="005071A1" w:rsidRDefault="001E12F9" w:rsidP="001E12F9">
      <w:pPr>
        <w:pStyle w:val="ActHead5"/>
      </w:pPr>
      <w:bookmarkStart w:id="258" w:name="_Toc185577640"/>
      <w:r w:rsidRPr="004510F0">
        <w:rPr>
          <w:rStyle w:val="CharSectno"/>
        </w:rPr>
        <w:t>132</w:t>
      </w:r>
      <w:r w:rsidRPr="005071A1">
        <w:t xml:space="preserve">  Indemnification of members of a Committee</w:t>
      </w:r>
      <w:bookmarkEnd w:id="258"/>
    </w:p>
    <w:p w14:paraId="623D8CDD" w14:textId="77777777" w:rsidR="001E12F9" w:rsidRPr="005071A1" w:rsidRDefault="001E12F9" w:rsidP="001E12F9">
      <w:pPr>
        <w:pStyle w:val="subsection"/>
      </w:pPr>
      <w:r w:rsidRPr="005071A1">
        <w:tab/>
      </w:r>
      <w:r w:rsidRPr="005071A1">
        <w:tab/>
        <w:t>Any matter or thing done, or omitted to be done, in good faith by a member of a Committee in the performance of functions under this Part does not subject him or her personally to any action, liability, claim or demand.</w:t>
      </w:r>
    </w:p>
    <w:p w14:paraId="6E51E774" w14:textId="77777777" w:rsidR="001E12F9" w:rsidRPr="005071A1" w:rsidRDefault="001E12F9" w:rsidP="001E12F9">
      <w:pPr>
        <w:pStyle w:val="notetext"/>
      </w:pPr>
      <w:r w:rsidRPr="005071A1">
        <w:t>Note:</w:t>
      </w:r>
      <w:r w:rsidRPr="005071A1">
        <w:tab/>
        <w:t>See also section</w:t>
      </w:r>
      <w:r w:rsidR="008B2950" w:rsidRPr="005071A1">
        <w:t> </w:t>
      </w:r>
      <w:r w:rsidRPr="005071A1">
        <w:t xml:space="preserve">35 of the </w:t>
      </w:r>
      <w:r w:rsidRPr="005071A1">
        <w:rPr>
          <w:i/>
        </w:rPr>
        <w:t>Governance of Australian Government Superannuation Schemes Act 2011</w:t>
      </w:r>
      <w:r w:rsidRPr="005071A1">
        <w:t>.</w:t>
      </w:r>
    </w:p>
    <w:p w14:paraId="57293FEE" w14:textId="77777777" w:rsidR="001E12F9" w:rsidRPr="005071A1" w:rsidRDefault="001E12F9" w:rsidP="001E12F9">
      <w:pPr>
        <w:pStyle w:val="ActHead5"/>
      </w:pPr>
      <w:bookmarkStart w:id="259" w:name="_Toc185577641"/>
      <w:r w:rsidRPr="004510F0">
        <w:rPr>
          <w:rStyle w:val="CharSectno"/>
        </w:rPr>
        <w:t>133</w:t>
      </w:r>
      <w:r w:rsidRPr="005071A1">
        <w:t xml:space="preserve">  Remuneration and allowances</w:t>
      </w:r>
      <w:bookmarkEnd w:id="259"/>
    </w:p>
    <w:p w14:paraId="648671CA" w14:textId="77777777" w:rsidR="001E12F9" w:rsidRPr="005071A1" w:rsidRDefault="001E12F9" w:rsidP="001E12F9">
      <w:pPr>
        <w:pStyle w:val="subsection"/>
      </w:pPr>
      <w:r w:rsidRPr="005071A1">
        <w:tab/>
        <w:t>(1)</w:t>
      </w:r>
      <w:r w:rsidRPr="005071A1">
        <w:tab/>
        <w:t>A member of a Committee is to be paid such remuneration as is determined by the Remuneration Tribunal. If no determination of that remuneration by the Tribunal is in operation, the member is to be paid such remuneration as is prescribed.</w:t>
      </w:r>
    </w:p>
    <w:p w14:paraId="14C8348B" w14:textId="77777777" w:rsidR="001E12F9" w:rsidRPr="005071A1" w:rsidRDefault="001E12F9" w:rsidP="001E12F9">
      <w:pPr>
        <w:pStyle w:val="subsection"/>
      </w:pPr>
      <w:r w:rsidRPr="005071A1">
        <w:tab/>
        <w:t>(2)</w:t>
      </w:r>
      <w:r w:rsidRPr="005071A1">
        <w:tab/>
        <w:t>A member of a Committee is to be paid such allowances (if any) as are prescribed.</w:t>
      </w:r>
    </w:p>
    <w:p w14:paraId="5F946A06" w14:textId="77777777" w:rsidR="001E12F9" w:rsidRPr="005071A1" w:rsidRDefault="001E12F9" w:rsidP="001E12F9">
      <w:pPr>
        <w:pStyle w:val="subsection"/>
      </w:pPr>
      <w:r w:rsidRPr="005071A1">
        <w:tab/>
        <w:t>(3)</w:t>
      </w:r>
      <w:r w:rsidRPr="005071A1">
        <w:tab/>
        <w:t xml:space="preserve">This section has effect subject to the </w:t>
      </w:r>
      <w:r w:rsidRPr="005071A1">
        <w:rPr>
          <w:i/>
        </w:rPr>
        <w:t>Remuneration Tribunal Act 1973</w:t>
      </w:r>
      <w:r w:rsidRPr="005071A1">
        <w:t>.</w:t>
      </w:r>
    </w:p>
    <w:p w14:paraId="5BB4447D" w14:textId="77777777" w:rsidR="001E12F9" w:rsidRPr="005071A1" w:rsidRDefault="001E12F9" w:rsidP="001E12F9">
      <w:pPr>
        <w:pStyle w:val="ActHead5"/>
      </w:pPr>
      <w:bookmarkStart w:id="260" w:name="_Toc185577642"/>
      <w:r w:rsidRPr="004510F0">
        <w:rPr>
          <w:rStyle w:val="CharSectno"/>
        </w:rPr>
        <w:t>133A</w:t>
      </w:r>
      <w:r w:rsidRPr="005071A1">
        <w:t xml:space="preserve">  Recommendations by Committee to CSC</w:t>
      </w:r>
      <w:bookmarkEnd w:id="260"/>
    </w:p>
    <w:p w14:paraId="2DB46739" w14:textId="77777777" w:rsidR="001E12F9" w:rsidRPr="005071A1" w:rsidRDefault="001E12F9" w:rsidP="001E12F9">
      <w:pPr>
        <w:pStyle w:val="subsection"/>
      </w:pPr>
      <w:r w:rsidRPr="005071A1">
        <w:tab/>
        <w:t>(1)</w:t>
      </w:r>
      <w:r w:rsidRPr="005071A1">
        <w:tab/>
        <w:t>If a Committee makes recommendations to CSC in relation to a decision referred to it, then, after CSC takes into account:</w:t>
      </w:r>
    </w:p>
    <w:p w14:paraId="7CE8BA30" w14:textId="77777777" w:rsidR="001E12F9" w:rsidRPr="005071A1" w:rsidRDefault="001E12F9" w:rsidP="001E12F9">
      <w:pPr>
        <w:pStyle w:val="paragraph"/>
      </w:pPr>
      <w:r w:rsidRPr="005071A1">
        <w:lastRenderedPageBreak/>
        <w:tab/>
        <w:t>(a)</w:t>
      </w:r>
      <w:r w:rsidRPr="005071A1">
        <w:tab/>
        <w:t>the recommendations of the Committee; and</w:t>
      </w:r>
    </w:p>
    <w:p w14:paraId="073BC465" w14:textId="77777777" w:rsidR="001E12F9" w:rsidRPr="005071A1" w:rsidRDefault="001E12F9" w:rsidP="001E12F9">
      <w:pPr>
        <w:pStyle w:val="paragraph"/>
      </w:pPr>
      <w:r w:rsidRPr="005071A1">
        <w:tab/>
        <w:t>(b)</w:t>
      </w:r>
      <w:r w:rsidRPr="005071A1">
        <w:tab/>
        <w:t>any other matter that CSC considers relevant;</w:t>
      </w:r>
    </w:p>
    <w:p w14:paraId="1AE9FB09" w14:textId="77777777" w:rsidR="001E12F9" w:rsidRPr="005071A1" w:rsidRDefault="001E12F9" w:rsidP="001E12F9">
      <w:pPr>
        <w:pStyle w:val="subsection2"/>
      </w:pPr>
      <w:r w:rsidRPr="005071A1">
        <w:t>CSC must make a decision in writing:</w:t>
      </w:r>
    </w:p>
    <w:p w14:paraId="1D503F6B" w14:textId="77777777" w:rsidR="001E12F9" w:rsidRPr="005071A1" w:rsidRDefault="001E12F9" w:rsidP="001E12F9">
      <w:pPr>
        <w:pStyle w:val="paragraph"/>
      </w:pPr>
      <w:r w:rsidRPr="005071A1">
        <w:tab/>
        <w:t>(c)</w:t>
      </w:r>
      <w:r w:rsidRPr="005071A1">
        <w:tab/>
        <w:t>confirming the decision under review; or</w:t>
      </w:r>
    </w:p>
    <w:p w14:paraId="2A9DB9B9" w14:textId="77777777" w:rsidR="001E12F9" w:rsidRPr="005071A1" w:rsidRDefault="001E12F9" w:rsidP="001E12F9">
      <w:pPr>
        <w:pStyle w:val="paragraph"/>
      </w:pPr>
      <w:r w:rsidRPr="005071A1">
        <w:tab/>
        <w:t>(d)</w:t>
      </w:r>
      <w:r w:rsidRPr="005071A1">
        <w:tab/>
        <w:t>varying the decision under review; or</w:t>
      </w:r>
    </w:p>
    <w:p w14:paraId="7FEABD7A" w14:textId="77777777" w:rsidR="001E12F9" w:rsidRPr="005071A1" w:rsidRDefault="001E12F9" w:rsidP="001E12F9">
      <w:pPr>
        <w:pStyle w:val="paragraph"/>
      </w:pPr>
      <w:r w:rsidRPr="005071A1">
        <w:tab/>
        <w:t>(e)</w:t>
      </w:r>
      <w:r w:rsidRPr="005071A1">
        <w:tab/>
        <w:t>setting aside the decision under review and substituting a new decision.</w:t>
      </w:r>
    </w:p>
    <w:p w14:paraId="6B73F844" w14:textId="77777777" w:rsidR="001E12F9" w:rsidRPr="005071A1" w:rsidRDefault="001E12F9" w:rsidP="001E12F9">
      <w:pPr>
        <w:pStyle w:val="subsection"/>
      </w:pPr>
      <w:r w:rsidRPr="005071A1">
        <w:tab/>
        <w:t>(2)</w:t>
      </w:r>
      <w:r w:rsidRPr="005071A1">
        <w:tab/>
        <w:t>CSC’s written decision must include the reasons for its decision.</w:t>
      </w:r>
    </w:p>
    <w:p w14:paraId="5B0827C9" w14:textId="77777777" w:rsidR="001E12F9" w:rsidRPr="005071A1" w:rsidRDefault="001E12F9" w:rsidP="001E12F9">
      <w:pPr>
        <w:pStyle w:val="subsection"/>
      </w:pPr>
      <w:r w:rsidRPr="005071A1">
        <w:tab/>
        <w:t>(3)</w:t>
      </w:r>
      <w:r w:rsidRPr="005071A1">
        <w:tab/>
        <w:t>CSC must make available a copy of its written decision to the applicant.</w:t>
      </w:r>
    </w:p>
    <w:p w14:paraId="62EB3730" w14:textId="77777777" w:rsidR="001E12F9" w:rsidRPr="005071A1" w:rsidRDefault="004510F0" w:rsidP="002477D1">
      <w:pPr>
        <w:pStyle w:val="ActHead3"/>
        <w:pageBreakBefore/>
      </w:pPr>
      <w:bookmarkStart w:id="261" w:name="_Toc185577643"/>
      <w:r w:rsidRPr="004510F0">
        <w:rPr>
          <w:rStyle w:val="CharDivNo"/>
        </w:rPr>
        <w:lastRenderedPageBreak/>
        <w:t>Division 3</w:t>
      </w:r>
      <w:r w:rsidR="001E12F9" w:rsidRPr="005071A1">
        <w:t>—</w:t>
      </w:r>
      <w:r w:rsidR="001E12F9" w:rsidRPr="004510F0">
        <w:rPr>
          <w:rStyle w:val="CharDivText"/>
        </w:rPr>
        <w:t xml:space="preserve">Review of decisions by the </w:t>
      </w:r>
      <w:r w:rsidR="00DB24D2" w:rsidRPr="004510F0">
        <w:rPr>
          <w:rStyle w:val="CharDivText"/>
        </w:rPr>
        <w:t>Administrative Review Tribunal</w:t>
      </w:r>
      <w:bookmarkEnd w:id="261"/>
    </w:p>
    <w:p w14:paraId="74B11F3A" w14:textId="77777777" w:rsidR="001E12F9" w:rsidRPr="005071A1" w:rsidRDefault="001E12F9" w:rsidP="001E12F9">
      <w:pPr>
        <w:pStyle w:val="ActHead5"/>
      </w:pPr>
      <w:bookmarkStart w:id="262" w:name="_Toc185577644"/>
      <w:r w:rsidRPr="004510F0">
        <w:rPr>
          <w:rStyle w:val="CharSectno"/>
        </w:rPr>
        <w:t>133B</w:t>
      </w:r>
      <w:r w:rsidRPr="005071A1">
        <w:t xml:space="preserve">  Review by the </w:t>
      </w:r>
      <w:r w:rsidR="003B232D" w:rsidRPr="005071A1">
        <w:t>Administrative Review Tribunal</w:t>
      </w:r>
      <w:bookmarkEnd w:id="262"/>
    </w:p>
    <w:p w14:paraId="4A07D866" w14:textId="77777777" w:rsidR="001E12F9" w:rsidRPr="005071A1" w:rsidRDefault="001E12F9" w:rsidP="001E12F9">
      <w:pPr>
        <w:pStyle w:val="subsection"/>
      </w:pPr>
      <w:r w:rsidRPr="005071A1">
        <w:tab/>
      </w:r>
      <w:r w:rsidRPr="005071A1">
        <w:tab/>
        <w:t xml:space="preserve">Applications may be made to the </w:t>
      </w:r>
      <w:r w:rsidR="00092076" w:rsidRPr="005071A1">
        <w:t>Administrative Review Tribunal</w:t>
      </w:r>
      <w:r w:rsidRPr="005071A1">
        <w:t xml:space="preserve"> for:</w:t>
      </w:r>
    </w:p>
    <w:p w14:paraId="2A05A34A" w14:textId="77777777" w:rsidR="001E12F9" w:rsidRPr="005071A1" w:rsidRDefault="001E12F9" w:rsidP="001E12F9">
      <w:pPr>
        <w:pStyle w:val="paragraph"/>
      </w:pPr>
      <w:r w:rsidRPr="005071A1">
        <w:tab/>
        <w:t>(a)</w:t>
      </w:r>
      <w:r w:rsidRPr="005071A1">
        <w:tab/>
        <w:t>review of a decision of CSC that has been confirmed or varied by CSC under paragraph</w:t>
      </w:r>
      <w:r w:rsidR="008B2950" w:rsidRPr="005071A1">
        <w:t> </w:t>
      </w:r>
      <w:r w:rsidRPr="005071A1">
        <w:t>127(5)(a) or (b); and</w:t>
      </w:r>
    </w:p>
    <w:p w14:paraId="35560661" w14:textId="77777777" w:rsidR="001E12F9" w:rsidRPr="005071A1" w:rsidRDefault="001E12F9" w:rsidP="001E12F9">
      <w:pPr>
        <w:pStyle w:val="paragraph"/>
      </w:pPr>
      <w:r w:rsidRPr="005071A1">
        <w:tab/>
        <w:t>(b)</w:t>
      </w:r>
      <w:r w:rsidRPr="005071A1">
        <w:tab/>
        <w:t>review of a decision of CSC that has been confirmed or varied by a Reconsideration Advisory Committee under paragraph</w:t>
      </w:r>
      <w:r w:rsidR="008B2950" w:rsidRPr="005071A1">
        <w:t> </w:t>
      </w:r>
      <w:r w:rsidRPr="005071A1">
        <w:t>130(1)(a); and</w:t>
      </w:r>
    </w:p>
    <w:p w14:paraId="403F8F6E" w14:textId="77777777" w:rsidR="001E12F9" w:rsidRPr="005071A1" w:rsidRDefault="001E12F9" w:rsidP="001E12F9">
      <w:pPr>
        <w:pStyle w:val="paragraph"/>
      </w:pPr>
      <w:r w:rsidRPr="005071A1">
        <w:tab/>
        <w:t>(c)</w:t>
      </w:r>
      <w:r w:rsidRPr="005071A1">
        <w:tab/>
        <w:t>review of a decision of CSC that has been confirmed or varied by CSC under paragraph</w:t>
      </w:r>
      <w:r w:rsidR="008B2950" w:rsidRPr="005071A1">
        <w:t> </w:t>
      </w:r>
      <w:r w:rsidRPr="005071A1">
        <w:t>133A(1)(c) or (d).</w:t>
      </w:r>
    </w:p>
    <w:p w14:paraId="616E40C8" w14:textId="77777777" w:rsidR="00B33542" w:rsidRPr="005071A1" w:rsidRDefault="00B33542" w:rsidP="002477D1">
      <w:pPr>
        <w:pStyle w:val="ActHead2"/>
        <w:pageBreakBefore/>
      </w:pPr>
      <w:bookmarkStart w:id="263" w:name="_Toc185577645"/>
      <w:r w:rsidRPr="004510F0">
        <w:rPr>
          <w:rStyle w:val="CharPartNo"/>
        </w:rPr>
        <w:lastRenderedPageBreak/>
        <w:t>Part XII</w:t>
      </w:r>
      <w:r w:rsidRPr="005071A1">
        <w:t>—</w:t>
      </w:r>
      <w:r w:rsidRPr="004510F0">
        <w:rPr>
          <w:rStyle w:val="CharPartText"/>
        </w:rPr>
        <w:t>Miscellaneous</w:t>
      </w:r>
      <w:bookmarkEnd w:id="263"/>
    </w:p>
    <w:p w14:paraId="5DB81FFB" w14:textId="77777777" w:rsidR="00B33542" w:rsidRPr="005071A1" w:rsidRDefault="009B7AF5" w:rsidP="00B33542">
      <w:pPr>
        <w:pStyle w:val="Header"/>
      </w:pPr>
      <w:r w:rsidRPr="004510F0">
        <w:rPr>
          <w:rStyle w:val="CharDivNo"/>
        </w:rPr>
        <w:t xml:space="preserve"> </w:t>
      </w:r>
      <w:r w:rsidRPr="004510F0">
        <w:rPr>
          <w:rStyle w:val="CharDivText"/>
        </w:rPr>
        <w:t xml:space="preserve"> </w:t>
      </w:r>
    </w:p>
    <w:p w14:paraId="7BAFCC87" w14:textId="77777777" w:rsidR="001E12F9" w:rsidRPr="005071A1" w:rsidRDefault="001E12F9" w:rsidP="001E12F9">
      <w:pPr>
        <w:pStyle w:val="ActHead5"/>
      </w:pPr>
      <w:bookmarkStart w:id="264" w:name="_Toc185577646"/>
      <w:r w:rsidRPr="004510F0">
        <w:rPr>
          <w:rStyle w:val="CharSectno"/>
        </w:rPr>
        <w:t>133C</w:t>
      </w:r>
      <w:r w:rsidRPr="005071A1">
        <w:t xml:space="preserve">  CSC to keep records with respect to benefits paid</w:t>
      </w:r>
      <w:bookmarkEnd w:id="264"/>
    </w:p>
    <w:p w14:paraId="224649E9" w14:textId="77777777" w:rsidR="001E12F9" w:rsidRPr="005071A1" w:rsidRDefault="001E12F9" w:rsidP="001E12F9">
      <w:pPr>
        <w:pStyle w:val="subsection"/>
      </w:pPr>
      <w:r w:rsidRPr="005071A1">
        <w:tab/>
      </w:r>
      <w:r w:rsidRPr="005071A1">
        <w:tab/>
        <w:t>CSC</w:t>
      </w:r>
      <w:r w:rsidRPr="005071A1">
        <w:rPr>
          <w:lang w:eastAsia="en-US"/>
        </w:rPr>
        <w:t xml:space="preserve"> must cause proper records to be kept in re</w:t>
      </w:r>
      <w:r w:rsidRPr="005071A1">
        <w:t>spect of benefits paid under this Act.</w:t>
      </w:r>
    </w:p>
    <w:p w14:paraId="7D8E34A6" w14:textId="77777777" w:rsidR="00B33542" w:rsidRPr="005071A1" w:rsidRDefault="00B33542" w:rsidP="00B33542">
      <w:pPr>
        <w:pStyle w:val="ActHead5"/>
      </w:pPr>
      <w:bookmarkStart w:id="265" w:name="_Toc185577647"/>
      <w:r w:rsidRPr="004510F0">
        <w:rPr>
          <w:rStyle w:val="CharSectno"/>
        </w:rPr>
        <w:t>134</w:t>
      </w:r>
      <w:r w:rsidRPr="005071A1">
        <w:t xml:space="preserve">  Benefits to be paid out of Consolidated Revenue</w:t>
      </w:r>
      <w:bookmarkEnd w:id="265"/>
    </w:p>
    <w:p w14:paraId="5386CFAC" w14:textId="77777777" w:rsidR="00B33542" w:rsidRPr="005071A1" w:rsidRDefault="00B33542" w:rsidP="00B33542">
      <w:pPr>
        <w:pStyle w:val="subsection"/>
      </w:pPr>
      <w:r w:rsidRPr="005071A1">
        <w:tab/>
        <w:t>(1)</w:t>
      </w:r>
      <w:r w:rsidRPr="005071A1">
        <w:tab/>
        <w:t xml:space="preserve">Instalments of pension, and any other benefits or moneys, that have become payable to a person under this Act (otherwise than by reason of, or for a reason connected with, the exercise by the Board of its power under </w:t>
      </w:r>
      <w:r w:rsidR="004510F0">
        <w:t>section 1</w:t>
      </w:r>
      <w:r w:rsidRPr="005071A1">
        <w:t>2 to invest moneys of the Fund) or under another Superannuation Act, but have not been paid, or that become payable on or after 1</w:t>
      </w:r>
      <w:r w:rsidR="008B2950" w:rsidRPr="005071A1">
        <w:t> </w:t>
      </w:r>
      <w:r w:rsidRPr="005071A1">
        <w:t>July 1976, shall be paid out of the Consolidated Revenue Fund, which is appropriated accordingly.</w:t>
      </w:r>
    </w:p>
    <w:p w14:paraId="75D9CDA0" w14:textId="77777777" w:rsidR="00B33542" w:rsidRPr="005071A1" w:rsidRDefault="00B33542" w:rsidP="00B33542">
      <w:pPr>
        <w:pStyle w:val="subsection"/>
      </w:pPr>
      <w:r w:rsidRPr="005071A1">
        <w:tab/>
        <w:t>(2)</w:t>
      </w:r>
      <w:r w:rsidRPr="005071A1">
        <w:tab/>
        <w:t xml:space="preserve">In </w:t>
      </w:r>
      <w:r w:rsidR="008B2950" w:rsidRPr="005071A1">
        <w:t>subsection (</w:t>
      </w:r>
      <w:r w:rsidRPr="005071A1">
        <w:t xml:space="preserve">1), </w:t>
      </w:r>
      <w:r w:rsidRPr="005071A1">
        <w:rPr>
          <w:b/>
          <w:i/>
        </w:rPr>
        <w:t>another Superannuation Act</w:t>
      </w:r>
      <w:r w:rsidRPr="005071A1">
        <w:t xml:space="preserve"> means the </w:t>
      </w:r>
      <w:r w:rsidRPr="005071A1">
        <w:rPr>
          <w:i/>
        </w:rPr>
        <w:t>Superannuation Act 1965</w:t>
      </w:r>
      <w:r w:rsidRPr="005071A1">
        <w:t xml:space="preserve">, the </w:t>
      </w:r>
      <w:r w:rsidRPr="005071A1">
        <w:rPr>
          <w:i/>
        </w:rPr>
        <w:t>Superannuation (Pension Increases) Act 1971</w:t>
      </w:r>
      <w:r w:rsidRPr="005071A1">
        <w:t xml:space="preserve">, the </w:t>
      </w:r>
      <w:r w:rsidRPr="005071A1">
        <w:rPr>
          <w:i/>
        </w:rPr>
        <w:t xml:space="preserve">Superannuation (Distribution of Surplus) Act 1974 </w:t>
      </w:r>
      <w:r w:rsidRPr="005071A1">
        <w:t>and any other Act enacted before 1</w:t>
      </w:r>
      <w:r w:rsidR="008B2950" w:rsidRPr="005071A1">
        <w:t> </w:t>
      </w:r>
      <w:r w:rsidRPr="005071A1">
        <w:t>July 1976 that is declared by the regulations to be a Superannuation Act for the purposes of this section.</w:t>
      </w:r>
    </w:p>
    <w:p w14:paraId="3FB272A7" w14:textId="77777777" w:rsidR="00B33542" w:rsidRPr="005071A1" w:rsidRDefault="00B33542" w:rsidP="00B33542">
      <w:pPr>
        <w:pStyle w:val="ActHead5"/>
      </w:pPr>
      <w:bookmarkStart w:id="266" w:name="_Toc185577648"/>
      <w:r w:rsidRPr="004510F0">
        <w:rPr>
          <w:rStyle w:val="CharSectno"/>
        </w:rPr>
        <w:t>135</w:t>
      </w:r>
      <w:r w:rsidRPr="005071A1">
        <w:t xml:space="preserve">  Acceptance of election outside prescribed period</w:t>
      </w:r>
      <w:bookmarkEnd w:id="266"/>
    </w:p>
    <w:p w14:paraId="3BE55080" w14:textId="77777777" w:rsidR="00B33542" w:rsidRPr="005071A1" w:rsidRDefault="00B33542" w:rsidP="00B33542">
      <w:pPr>
        <w:pStyle w:val="subsection"/>
      </w:pPr>
      <w:r w:rsidRPr="005071A1">
        <w:tab/>
        <w:t>(1)</w:t>
      </w:r>
      <w:r w:rsidRPr="005071A1">
        <w:tab/>
        <w:t>Notwithstanding anything contained in this Act, where an election under this Act has been or is made by an employee or pensioner before the commencement, or after the expiration, of the prescribed period, and the Board is satisfied that:</w:t>
      </w:r>
    </w:p>
    <w:p w14:paraId="674E248D" w14:textId="77777777" w:rsidR="00B33542" w:rsidRPr="005071A1" w:rsidRDefault="00B33542" w:rsidP="00B33542">
      <w:pPr>
        <w:pStyle w:val="paragraph"/>
      </w:pPr>
      <w:r w:rsidRPr="005071A1">
        <w:tab/>
        <w:t>(a)</w:t>
      </w:r>
      <w:r w:rsidRPr="005071A1">
        <w:tab/>
        <w:t>hardship would accrue to, or to the dependants of, the employee or pensioner if the election were not recognized; and</w:t>
      </w:r>
    </w:p>
    <w:p w14:paraId="3BDD1E33" w14:textId="77777777" w:rsidR="00B33542" w:rsidRPr="005071A1" w:rsidRDefault="00B33542" w:rsidP="000828EA">
      <w:pPr>
        <w:pStyle w:val="paragraph"/>
      </w:pPr>
      <w:r w:rsidRPr="005071A1">
        <w:lastRenderedPageBreak/>
        <w:tab/>
        <w:t>(b)</w:t>
      </w:r>
      <w:r w:rsidRPr="005071A1">
        <w:tab/>
        <w:t>in all the circumstances of the case it is desirable that the election should be recognized;</w:t>
      </w:r>
    </w:p>
    <w:p w14:paraId="2CDC505D" w14:textId="77777777" w:rsidR="00B33542" w:rsidRPr="005071A1" w:rsidRDefault="00B33542" w:rsidP="00B33542">
      <w:pPr>
        <w:pStyle w:val="subsection2"/>
      </w:pPr>
      <w:r w:rsidRPr="005071A1">
        <w:t>the Board may recognize the election as if it had been made within the prescribed period.</w:t>
      </w:r>
    </w:p>
    <w:p w14:paraId="1B03BE5A" w14:textId="77777777" w:rsidR="00B33542" w:rsidRPr="005071A1" w:rsidRDefault="00B33542" w:rsidP="00B33542">
      <w:pPr>
        <w:pStyle w:val="subsection"/>
      </w:pPr>
      <w:r w:rsidRPr="005071A1">
        <w:tab/>
        <w:t>(2)</w:t>
      </w:r>
      <w:r w:rsidRPr="005071A1">
        <w:tab/>
        <w:t xml:space="preserve">In the event of the retirement of an employee on the ground of invalidity or physical or mental incapacity to perform his duties, within one year after the recognition, under </w:t>
      </w:r>
      <w:r w:rsidR="008B2950" w:rsidRPr="005071A1">
        <w:t>subsection (</w:t>
      </w:r>
      <w:r w:rsidRPr="005071A1">
        <w:t>1), of an election made after the expiration of the prescribed period, he shall, if the election was to contribute for an additional unit or units, be entitled to a refund of the contributions paid in respect of the additional unit or units, but shall not be entitled to any further payment in respect thereof.</w:t>
      </w:r>
    </w:p>
    <w:p w14:paraId="79AA4FDE" w14:textId="77777777" w:rsidR="00B33542" w:rsidRPr="005071A1" w:rsidRDefault="00B33542" w:rsidP="00B33542">
      <w:pPr>
        <w:pStyle w:val="ActHead5"/>
      </w:pPr>
      <w:bookmarkStart w:id="267" w:name="_Toc185577649"/>
      <w:r w:rsidRPr="004510F0">
        <w:rPr>
          <w:rStyle w:val="CharSectno"/>
        </w:rPr>
        <w:t>136</w:t>
      </w:r>
      <w:r w:rsidRPr="005071A1">
        <w:t xml:space="preserve">  Election after retirement of employee</w:t>
      </w:r>
      <w:bookmarkEnd w:id="267"/>
    </w:p>
    <w:p w14:paraId="15C6FB4D" w14:textId="77777777" w:rsidR="00B33542" w:rsidRPr="005071A1" w:rsidRDefault="00B33542" w:rsidP="00B33542">
      <w:pPr>
        <w:pStyle w:val="subsection"/>
      </w:pPr>
      <w:r w:rsidRPr="005071A1">
        <w:tab/>
      </w:r>
      <w:r w:rsidRPr="005071A1">
        <w:tab/>
        <w:t>Where:</w:t>
      </w:r>
    </w:p>
    <w:p w14:paraId="0DA371FF" w14:textId="77777777" w:rsidR="00B33542" w:rsidRPr="005071A1" w:rsidRDefault="00B33542" w:rsidP="00B33542">
      <w:pPr>
        <w:pStyle w:val="paragraph"/>
      </w:pPr>
      <w:r w:rsidRPr="005071A1">
        <w:tab/>
        <w:t>(a)</w:t>
      </w:r>
      <w:r w:rsidRPr="005071A1">
        <w:tab/>
        <w:t>it is provided by this Act that an election may be made by an employee;</w:t>
      </w:r>
    </w:p>
    <w:p w14:paraId="5258FFE1" w14:textId="77777777" w:rsidR="00B33542" w:rsidRPr="005071A1" w:rsidRDefault="00B33542" w:rsidP="00B33542">
      <w:pPr>
        <w:pStyle w:val="paragraph"/>
      </w:pPr>
      <w:r w:rsidRPr="005071A1">
        <w:tab/>
        <w:t>(b)</w:t>
      </w:r>
      <w:r w:rsidRPr="005071A1">
        <w:tab/>
        <w:t>a person purports to make the election after he ceases to be an employee; and</w:t>
      </w:r>
    </w:p>
    <w:p w14:paraId="3B5D3614" w14:textId="77777777" w:rsidR="00B33542" w:rsidRPr="005071A1" w:rsidRDefault="00B33542" w:rsidP="00B33542">
      <w:pPr>
        <w:pStyle w:val="paragraph"/>
      </w:pPr>
      <w:r w:rsidRPr="005071A1">
        <w:tab/>
        <w:t>(c)</w:t>
      </w:r>
      <w:r w:rsidRPr="005071A1">
        <w:tab/>
        <w:t>the Board is satisfied that:</w:t>
      </w:r>
    </w:p>
    <w:p w14:paraId="01F060DB" w14:textId="77777777" w:rsidR="00B33542" w:rsidRPr="005071A1" w:rsidRDefault="00B33542" w:rsidP="00B33542">
      <w:pPr>
        <w:pStyle w:val="paragraphsub"/>
      </w:pPr>
      <w:r w:rsidRPr="005071A1">
        <w:tab/>
        <w:t>(i)</w:t>
      </w:r>
      <w:r w:rsidRPr="005071A1">
        <w:tab/>
        <w:t>hardship would accrue to that person or his dependants if the election were not recognized; and</w:t>
      </w:r>
    </w:p>
    <w:p w14:paraId="7DC05EE3" w14:textId="77777777" w:rsidR="00B33542" w:rsidRPr="005071A1" w:rsidRDefault="00B33542" w:rsidP="00B33542">
      <w:pPr>
        <w:pStyle w:val="paragraphsub"/>
        <w:keepNext/>
      </w:pPr>
      <w:r w:rsidRPr="005071A1">
        <w:tab/>
        <w:t>(ii)</w:t>
      </w:r>
      <w:r w:rsidRPr="005071A1">
        <w:tab/>
        <w:t>in all the circumstances of the case it is desirable that the election should be recognized;</w:t>
      </w:r>
    </w:p>
    <w:p w14:paraId="5805268C" w14:textId="77777777" w:rsidR="00B33542" w:rsidRPr="005071A1" w:rsidRDefault="00B33542" w:rsidP="00B33542">
      <w:pPr>
        <w:pStyle w:val="subsection2"/>
      </w:pPr>
      <w:r w:rsidRPr="005071A1">
        <w:t>the Board may recognize the election as if it had been made before the person ceased to be an employee and, in the case of an election required to be made within a prescribed period, as if it had been made within that period.</w:t>
      </w:r>
    </w:p>
    <w:p w14:paraId="58A4B1FC" w14:textId="77777777" w:rsidR="00B33542" w:rsidRPr="005071A1" w:rsidRDefault="00B33542" w:rsidP="00B33542">
      <w:pPr>
        <w:pStyle w:val="ActHead5"/>
      </w:pPr>
      <w:bookmarkStart w:id="268" w:name="_Toc185577650"/>
      <w:r w:rsidRPr="004510F0">
        <w:rPr>
          <w:rStyle w:val="CharSectno"/>
        </w:rPr>
        <w:lastRenderedPageBreak/>
        <w:t>136A</w:t>
      </w:r>
      <w:r w:rsidRPr="005071A1">
        <w:t xml:space="preserve">  Death may be presumed in certain cases</w:t>
      </w:r>
      <w:bookmarkEnd w:id="268"/>
    </w:p>
    <w:p w14:paraId="414CE451" w14:textId="77777777" w:rsidR="00B33542" w:rsidRPr="005071A1" w:rsidRDefault="00B33542" w:rsidP="00B33542">
      <w:pPr>
        <w:pStyle w:val="subsection"/>
      </w:pPr>
      <w:r w:rsidRPr="005071A1">
        <w:tab/>
      </w:r>
      <w:r w:rsidRPr="005071A1">
        <w:tab/>
        <w:t>If the Commissioner, after consideration of all the circumstances, directs that the death of a person be presumed, this Act applies in relation to that person as if the person had died on such date as is determined by the Commissioner.</w:t>
      </w:r>
    </w:p>
    <w:p w14:paraId="3DDFD41D" w14:textId="77777777" w:rsidR="00B33542" w:rsidRPr="005071A1" w:rsidRDefault="00B33542" w:rsidP="00B33542">
      <w:pPr>
        <w:pStyle w:val="ActHead5"/>
      </w:pPr>
      <w:bookmarkStart w:id="269" w:name="_Toc185577651"/>
      <w:r w:rsidRPr="004510F0">
        <w:rPr>
          <w:rStyle w:val="CharSectno"/>
        </w:rPr>
        <w:t>137</w:t>
      </w:r>
      <w:r w:rsidRPr="005071A1">
        <w:t xml:space="preserve">  Provisions in respect of a fraction of a unit</w:t>
      </w:r>
      <w:bookmarkEnd w:id="269"/>
    </w:p>
    <w:p w14:paraId="4ED92A76" w14:textId="77777777" w:rsidR="00B33542" w:rsidRPr="005071A1" w:rsidRDefault="00B33542" w:rsidP="00B33542">
      <w:pPr>
        <w:pStyle w:val="subsection"/>
      </w:pPr>
      <w:r w:rsidRPr="005071A1">
        <w:tab/>
      </w:r>
      <w:r w:rsidRPr="005071A1">
        <w:tab/>
        <w:t>Where, under this Act:</w:t>
      </w:r>
    </w:p>
    <w:p w14:paraId="7C3EC71B" w14:textId="77777777" w:rsidR="00B33542" w:rsidRPr="005071A1" w:rsidRDefault="00B33542" w:rsidP="00B33542">
      <w:pPr>
        <w:pStyle w:val="paragraph"/>
      </w:pPr>
      <w:r w:rsidRPr="005071A1">
        <w:tab/>
        <w:t>(a)</w:t>
      </w:r>
      <w:r w:rsidRPr="005071A1">
        <w:tab/>
        <w:t>contributions are payable in respect of a fraction of a unit of pension, those contributions shall be in proportion to that fraction; and</w:t>
      </w:r>
    </w:p>
    <w:p w14:paraId="0F6959A3" w14:textId="77777777" w:rsidR="00B33542" w:rsidRPr="005071A1" w:rsidRDefault="00B33542" w:rsidP="00B33542">
      <w:pPr>
        <w:pStyle w:val="paragraph"/>
      </w:pPr>
      <w:r w:rsidRPr="005071A1">
        <w:tab/>
        <w:t>(b)</w:t>
      </w:r>
      <w:r w:rsidRPr="005071A1">
        <w:tab/>
        <w:t>pension is payable in respect of a fraction of a unit of pension, that pension shall be in proportion to that fraction.</w:t>
      </w:r>
    </w:p>
    <w:p w14:paraId="57A07B62" w14:textId="77777777" w:rsidR="00B33542" w:rsidRPr="005071A1" w:rsidRDefault="00B33542" w:rsidP="00B33542">
      <w:pPr>
        <w:pStyle w:val="ActHead5"/>
      </w:pPr>
      <w:bookmarkStart w:id="270" w:name="_Toc185577652"/>
      <w:r w:rsidRPr="004510F0">
        <w:rPr>
          <w:rStyle w:val="CharSectno"/>
        </w:rPr>
        <w:t>138</w:t>
      </w:r>
      <w:r w:rsidRPr="005071A1">
        <w:t xml:space="preserve">  Contributions payable from next pay</w:t>
      </w:r>
      <w:r w:rsidR="004510F0">
        <w:noBreakHyphen/>
      </w:r>
      <w:r w:rsidRPr="005071A1">
        <w:t>day</w:t>
      </w:r>
      <w:bookmarkEnd w:id="270"/>
    </w:p>
    <w:p w14:paraId="42AA4F25" w14:textId="77777777" w:rsidR="00B33542" w:rsidRPr="005071A1" w:rsidRDefault="00B33542" w:rsidP="00B33542">
      <w:pPr>
        <w:pStyle w:val="subsection"/>
      </w:pPr>
      <w:r w:rsidRPr="005071A1">
        <w:tab/>
        <w:t>(1)</w:t>
      </w:r>
      <w:r w:rsidRPr="005071A1">
        <w:tab/>
        <w:t>Where the date from which any contributions would be payable under this Act is not a pay</w:t>
      </w:r>
      <w:r w:rsidR="004510F0">
        <w:noBreakHyphen/>
      </w:r>
      <w:r w:rsidRPr="005071A1">
        <w:t>day, those contributions are payable as from the next following pay</w:t>
      </w:r>
      <w:r w:rsidR="004510F0">
        <w:noBreakHyphen/>
      </w:r>
      <w:r w:rsidRPr="005071A1">
        <w:t>day.</w:t>
      </w:r>
    </w:p>
    <w:p w14:paraId="1AAB118A" w14:textId="77777777" w:rsidR="00B33542" w:rsidRPr="005071A1" w:rsidRDefault="00B33542" w:rsidP="00B33542">
      <w:pPr>
        <w:pStyle w:val="subsection"/>
      </w:pPr>
      <w:r w:rsidRPr="005071A1">
        <w:tab/>
        <w:t>(2)</w:t>
      </w:r>
      <w:r w:rsidRPr="005071A1">
        <w:tab/>
        <w:t>In calculating the rate of the contributions under the appropriate table or tables in the Schedules to be paid fortnightly by a contributor for a unit or units of pension, the obligation of the contributor to contribute for the unit or units shall be deemed to have come into existence on the pay</w:t>
      </w:r>
      <w:r w:rsidR="004510F0">
        <w:noBreakHyphen/>
      </w:r>
      <w:r w:rsidRPr="005071A1">
        <w:t>day as from which the contributions are payable.</w:t>
      </w:r>
    </w:p>
    <w:p w14:paraId="2FCC9F78" w14:textId="77777777" w:rsidR="00B33542" w:rsidRPr="005071A1" w:rsidRDefault="00B33542" w:rsidP="00B33542">
      <w:pPr>
        <w:pStyle w:val="ActHead5"/>
      </w:pPr>
      <w:bookmarkStart w:id="271" w:name="_Toc185577653"/>
      <w:r w:rsidRPr="004510F0">
        <w:rPr>
          <w:rStyle w:val="CharSectno"/>
        </w:rPr>
        <w:t>139</w:t>
      </w:r>
      <w:r w:rsidRPr="005071A1">
        <w:t xml:space="preserve">  Refund of contributions</w:t>
      </w:r>
      <w:bookmarkEnd w:id="271"/>
    </w:p>
    <w:p w14:paraId="580E8B3F" w14:textId="77777777" w:rsidR="00B33542" w:rsidRPr="005071A1" w:rsidRDefault="00B33542" w:rsidP="00B33542">
      <w:pPr>
        <w:pStyle w:val="subsection"/>
      </w:pPr>
      <w:r w:rsidRPr="005071A1">
        <w:tab/>
      </w:r>
      <w:r w:rsidRPr="005071A1">
        <w:tab/>
        <w:t>Where the number of units of pension for or in respect of which a contributor is required to contribute is reduced, any contributions paid by him for or in respect of units of pension in excess of the reduced number of units shall be refunded to him.</w:t>
      </w:r>
    </w:p>
    <w:p w14:paraId="4100C2C2" w14:textId="77777777" w:rsidR="00B33542" w:rsidRPr="005071A1" w:rsidRDefault="00B33542" w:rsidP="00B33542">
      <w:pPr>
        <w:pStyle w:val="ActHead5"/>
      </w:pPr>
      <w:bookmarkStart w:id="272" w:name="_Toc185577654"/>
      <w:r w:rsidRPr="004510F0">
        <w:rPr>
          <w:rStyle w:val="CharSectno"/>
        </w:rPr>
        <w:lastRenderedPageBreak/>
        <w:t>140</w:t>
      </w:r>
      <w:r w:rsidRPr="005071A1">
        <w:t xml:space="preserve">  Question as to invalidity etc. determined by Board on Medical Officer’s report</w:t>
      </w:r>
      <w:bookmarkEnd w:id="272"/>
    </w:p>
    <w:p w14:paraId="553C6245" w14:textId="77777777" w:rsidR="00B33542" w:rsidRPr="005071A1" w:rsidRDefault="00B33542" w:rsidP="00B33542">
      <w:pPr>
        <w:pStyle w:val="subsection"/>
      </w:pPr>
      <w:r w:rsidRPr="005071A1">
        <w:tab/>
      </w:r>
      <w:r w:rsidRPr="005071A1">
        <w:tab/>
        <w:t xml:space="preserve">Whenever any question arises under this Act as to whether a contributor is an invalid, or is physically or mentally incapable of performing his duties, and whether the invalidity or incapacity is due to wilful action on his part for the purpose of obtaining pension, the question shall be determined by the Board (whether before or after the retirement of the contributor) upon a report from a Medical Officer appointed for the purposes of this Act: </w:t>
      </w:r>
    </w:p>
    <w:p w14:paraId="0892CA16" w14:textId="77777777" w:rsidR="00B33542" w:rsidRPr="005071A1" w:rsidRDefault="00C803E7" w:rsidP="00C803E7">
      <w:pPr>
        <w:pStyle w:val="subsection"/>
      </w:pPr>
      <w:r w:rsidRPr="005071A1">
        <w:tab/>
      </w:r>
      <w:r w:rsidRPr="005071A1">
        <w:tab/>
      </w:r>
      <w:r w:rsidR="00B33542" w:rsidRPr="005071A1">
        <w:t>Provided that upon receipt of an adverse report by the Board, and before a determination is arrived at the contributor shall have the right to a second medical report from a doctor mutually agreed upon by the contributor and the Board.</w:t>
      </w:r>
    </w:p>
    <w:p w14:paraId="025F5961" w14:textId="77777777" w:rsidR="00B33542" w:rsidRPr="005071A1" w:rsidRDefault="00B33542" w:rsidP="00B33542">
      <w:pPr>
        <w:pStyle w:val="ActHead5"/>
      </w:pPr>
      <w:bookmarkStart w:id="273" w:name="_Toc185577655"/>
      <w:r w:rsidRPr="004510F0">
        <w:rPr>
          <w:rStyle w:val="CharSectno"/>
        </w:rPr>
        <w:t>142</w:t>
      </w:r>
      <w:r w:rsidRPr="005071A1">
        <w:t xml:space="preserve">  Returns</w:t>
      </w:r>
      <w:bookmarkEnd w:id="273"/>
    </w:p>
    <w:p w14:paraId="1EF4983C" w14:textId="77777777" w:rsidR="00B33542" w:rsidRPr="005071A1" w:rsidRDefault="00B33542" w:rsidP="00B33542">
      <w:pPr>
        <w:pStyle w:val="subsection"/>
      </w:pPr>
      <w:r w:rsidRPr="005071A1">
        <w:tab/>
        <w:t>(1)</w:t>
      </w:r>
      <w:r w:rsidRPr="005071A1">
        <w:tab/>
        <w:t>The Board may at any time require the Commonwealth or an approved authority to furnish such returns with respect to its employees as the Board decides, and may at any time require any employee to furnish such information as the Board deems necessary for the purpose of any investigation in connexion with the Fund.</w:t>
      </w:r>
    </w:p>
    <w:p w14:paraId="2880FFE8" w14:textId="77777777" w:rsidR="00B33542" w:rsidRPr="005071A1" w:rsidRDefault="00B33542" w:rsidP="00B33542">
      <w:pPr>
        <w:pStyle w:val="subsection"/>
      </w:pPr>
      <w:r w:rsidRPr="005071A1">
        <w:tab/>
        <w:t>(2)</w:t>
      </w:r>
      <w:r w:rsidRPr="005071A1">
        <w:tab/>
        <w:t xml:space="preserve">Any employee who, without reasonable excuse (proof whereof shall lie with him) fails to furnish the information required of him under this Act </w:t>
      </w:r>
      <w:r w:rsidR="00145929" w:rsidRPr="005071A1">
        <w:t>commits</w:t>
      </w:r>
      <w:r w:rsidRPr="005071A1">
        <w:t xml:space="preserve"> an offence.</w:t>
      </w:r>
    </w:p>
    <w:p w14:paraId="77E6240C" w14:textId="77777777" w:rsidR="002E26DD" w:rsidRPr="005071A1" w:rsidRDefault="002E26DD" w:rsidP="002E26DD">
      <w:pPr>
        <w:pStyle w:val="Penalty"/>
      </w:pPr>
      <w:r w:rsidRPr="005071A1">
        <w:t>Penalty for a contravention of this subsection:</w:t>
      </w:r>
      <w:r w:rsidRPr="005071A1">
        <w:tab/>
        <w:t>1 penalty unit.</w:t>
      </w:r>
    </w:p>
    <w:p w14:paraId="5301C61C" w14:textId="77777777" w:rsidR="00B33542" w:rsidRPr="005071A1" w:rsidRDefault="00B33542" w:rsidP="00B33542">
      <w:pPr>
        <w:pStyle w:val="ActHead5"/>
      </w:pPr>
      <w:bookmarkStart w:id="274" w:name="_Toc185577656"/>
      <w:r w:rsidRPr="004510F0">
        <w:rPr>
          <w:rStyle w:val="CharSectno"/>
        </w:rPr>
        <w:lastRenderedPageBreak/>
        <w:t>143</w:t>
      </w:r>
      <w:r w:rsidRPr="005071A1">
        <w:t xml:space="preserve">  Assignment of pensions</w:t>
      </w:r>
      <w:bookmarkEnd w:id="274"/>
    </w:p>
    <w:p w14:paraId="061A13CA" w14:textId="77777777" w:rsidR="00B33542" w:rsidRPr="005071A1" w:rsidRDefault="00B33542" w:rsidP="00B33542">
      <w:pPr>
        <w:pStyle w:val="subsection"/>
      </w:pPr>
      <w:r w:rsidRPr="005071A1">
        <w:tab/>
      </w:r>
      <w:r w:rsidRPr="005071A1">
        <w:tab/>
        <w:t xml:space="preserve">Except as prescribed and subject to </w:t>
      </w:r>
      <w:r w:rsidR="004510F0">
        <w:t>section 1</w:t>
      </w:r>
      <w:r w:rsidRPr="005071A1">
        <w:t>43A, pensions and other benefits under this Act are not capable of being assigned or charged or of passing by operation of law, and any moneys payable under this Act on the death of an employee are not liable to be applied or made available in payment of his debts or liabilities.</w:t>
      </w:r>
    </w:p>
    <w:p w14:paraId="3175EA46" w14:textId="77777777" w:rsidR="00B33542" w:rsidRPr="005071A1" w:rsidRDefault="00B33542" w:rsidP="00B33542">
      <w:pPr>
        <w:pStyle w:val="ActHead5"/>
      </w:pPr>
      <w:bookmarkStart w:id="275" w:name="_Toc185577657"/>
      <w:r w:rsidRPr="004510F0">
        <w:rPr>
          <w:rStyle w:val="CharSectno"/>
        </w:rPr>
        <w:t>143A</w:t>
      </w:r>
      <w:r w:rsidRPr="005071A1">
        <w:t xml:space="preserve">  Attachment of pensions</w:t>
      </w:r>
      <w:bookmarkEnd w:id="275"/>
    </w:p>
    <w:p w14:paraId="13A95A9F" w14:textId="77777777" w:rsidR="00B33542" w:rsidRPr="005071A1" w:rsidRDefault="00B33542" w:rsidP="00B33542">
      <w:pPr>
        <w:pStyle w:val="subsection"/>
      </w:pPr>
      <w:r w:rsidRPr="005071A1">
        <w:tab/>
        <w:t>(1)</w:t>
      </w:r>
      <w:r w:rsidRPr="005071A1">
        <w:tab/>
        <w:t>Where a judgment given by a court for the payment of a sum of money has not been fully satisfied by the judgment debtor and the judgment debtor is entitled to a pension or other benefit under this Act, the judgment creditor may serve on the Board, in such manner as is prescribed, a copy of the judgment, certified under the hand of the Registrar or other proper officer of the court by which the judgment was given, and a statutory declaration by the judgment creditor stating that the judgment has not been fully satisfied by the judgment debtor and specifying the amount due by the judgment debtor under the judgment.</w:t>
      </w:r>
    </w:p>
    <w:p w14:paraId="63063B69" w14:textId="77777777" w:rsidR="00B33542" w:rsidRPr="005071A1" w:rsidRDefault="00B33542" w:rsidP="00B33542">
      <w:pPr>
        <w:pStyle w:val="subsection"/>
      </w:pPr>
      <w:r w:rsidRPr="005071A1">
        <w:tab/>
        <w:t>(2)</w:t>
      </w:r>
      <w:r w:rsidRPr="005071A1">
        <w:tab/>
        <w:t xml:space="preserve">Where a copy of a judgment and a statutory declaration are served on the Board in accordance with </w:t>
      </w:r>
      <w:r w:rsidR="008B2950" w:rsidRPr="005071A1">
        <w:t>subsection (</w:t>
      </w:r>
      <w:r w:rsidRPr="005071A1">
        <w:t>1), the Board shall, as soon as practicable, by notice in writing given to the judgment debtor, inform him of the service of those documents and require him, within such period as is specified in the notice and in such manner as is so specified, to notify the Board whether the amount specified in the declaration is still due under the judgment and, if no amount or a lesser amount is due under the judgment, to furnish to the Board, in such manner as is specified in the notice, evidence in support of that fact.</w:t>
      </w:r>
    </w:p>
    <w:p w14:paraId="01220716" w14:textId="77777777" w:rsidR="00B33542" w:rsidRPr="005071A1" w:rsidRDefault="00B33542" w:rsidP="00B33542">
      <w:pPr>
        <w:pStyle w:val="subsection"/>
      </w:pPr>
      <w:r w:rsidRPr="005071A1">
        <w:tab/>
        <w:t>(3)</w:t>
      </w:r>
      <w:r w:rsidRPr="005071A1">
        <w:tab/>
        <w:t xml:space="preserve">A person to whom a notice is given under </w:t>
      </w:r>
      <w:r w:rsidR="008B2950" w:rsidRPr="005071A1">
        <w:t>subsection (</w:t>
      </w:r>
      <w:r w:rsidRPr="005071A1">
        <w:t>2) shall comply with the requirements contained in the notice.</w:t>
      </w:r>
    </w:p>
    <w:p w14:paraId="1176859A" w14:textId="77777777" w:rsidR="00B33542" w:rsidRPr="005071A1" w:rsidRDefault="00B33542" w:rsidP="00B33542">
      <w:pPr>
        <w:pStyle w:val="Penalty"/>
      </w:pPr>
      <w:r w:rsidRPr="005071A1">
        <w:t>Penalty:</w:t>
      </w:r>
      <w:r w:rsidRPr="005071A1">
        <w:tab/>
        <w:t>5 penalty units.</w:t>
      </w:r>
    </w:p>
    <w:p w14:paraId="0AF017AD" w14:textId="77777777" w:rsidR="00B33542" w:rsidRPr="005071A1" w:rsidRDefault="00B33542" w:rsidP="00B33542">
      <w:pPr>
        <w:pStyle w:val="notetext"/>
      </w:pPr>
      <w:r w:rsidRPr="005071A1">
        <w:lastRenderedPageBreak/>
        <w:t>Note:</w:t>
      </w:r>
      <w:r w:rsidRPr="005071A1">
        <w:tab/>
      </w:r>
      <w:smartTag w:uri="urn:schemas-microsoft-com:office:smarttags" w:element="place">
        <w:smartTag w:uri="urn:schemas-microsoft-com:office:smarttags" w:element="City">
          <w:r w:rsidRPr="005071A1">
            <w:t>Part</w:t>
          </w:r>
        </w:smartTag>
        <w:r w:rsidRPr="005071A1">
          <w:t> </w:t>
        </w:r>
        <w:smartTag w:uri="urn:schemas-microsoft-com:office:smarttags" w:element="State">
          <w:r w:rsidRPr="005071A1">
            <w:t>IA</w:t>
          </w:r>
        </w:smartTag>
      </w:smartTag>
      <w:r w:rsidRPr="005071A1">
        <w:t xml:space="preserve"> of the </w:t>
      </w:r>
      <w:r w:rsidRPr="005071A1">
        <w:rPr>
          <w:i/>
        </w:rPr>
        <w:t>Crimes Act 1914</w:t>
      </w:r>
      <w:r w:rsidRPr="005071A1">
        <w:t xml:space="preserve"> contains provisions dealing with penalties.</w:t>
      </w:r>
    </w:p>
    <w:p w14:paraId="37C905B4" w14:textId="77777777" w:rsidR="00B33542" w:rsidRPr="005071A1" w:rsidRDefault="00B33542" w:rsidP="00B33542">
      <w:pPr>
        <w:pStyle w:val="subsection"/>
      </w:pPr>
      <w:r w:rsidRPr="005071A1">
        <w:tab/>
        <w:t>(4)</w:t>
      </w:r>
      <w:r w:rsidRPr="005071A1">
        <w:tab/>
        <w:t>If, at the expiration of the period specified in the notice, the Board is satisfied that an amount is due under the judgment, the Board may, in its discretion, deduct from the pension or benefit, and pay to the judgment creditor, such sums as do not exceed that amount.</w:t>
      </w:r>
    </w:p>
    <w:p w14:paraId="35EC8EEA" w14:textId="77777777" w:rsidR="00B33542" w:rsidRPr="005071A1" w:rsidRDefault="00B33542" w:rsidP="00B33542">
      <w:pPr>
        <w:pStyle w:val="subsection"/>
      </w:pPr>
      <w:r w:rsidRPr="005071A1">
        <w:tab/>
        <w:t>(5)</w:t>
      </w:r>
      <w:r w:rsidRPr="005071A1">
        <w:tab/>
        <w:t>A deduction shall not be made from:</w:t>
      </w:r>
    </w:p>
    <w:p w14:paraId="4F3371EF" w14:textId="77777777" w:rsidR="00B33542" w:rsidRPr="005071A1" w:rsidRDefault="00B33542" w:rsidP="00B33542">
      <w:pPr>
        <w:pStyle w:val="paragraph"/>
      </w:pPr>
      <w:r w:rsidRPr="005071A1">
        <w:tab/>
        <w:t>(a)</w:t>
      </w:r>
      <w:r w:rsidRPr="005071A1">
        <w:tab/>
        <w:t>an instalment of pension payable in respect of a child; or</w:t>
      </w:r>
    </w:p>
    <w:p w14:paraId="03A6D03E" w14:textId="77777777" w:rsidR="00B33542" w:rsidRPr="005071A1" w:rsidRDefault="00B33542" w:rsidP="00B33542">
      <w:pPr>
        <w:pStyle w:val="paragraph"/>
      </w:pPr>
      <w:r w:rsidRPr="005071A1">
        <w:tab/>
        <w:t>(b)</w:t>
      </w:r>
      <w:r w:rsidRPr="005071A1">
        <w:tab/>
        <w:t>an instalment of any other pension if the deduction will reduce the amount of the instalment payable to less than one</w:t>
      </w:r>
      <w:r w:rsidR="004510F0">
        <w:noBreakHyphen/>
      </w:r>
      <w:r w:rsidRPr="005071A1">
        <w:t>half of the amount that would, but for this section, be payable.</w:t>
      </w:r>
    </w:p>
    <w:p w14:paraId="318F9C03" w14:textId="77777777" w:rsidR="00B33542" w:rsidRPr="005071A1" w:rsidRDefault="00B33542" w:rsidP="00B33542">
      <w:pPr>
        <w:pStyle w:val="subsection"/>
      </w:pPr>
      <w:r w:rsidRPr="005071A1">
        <w:tab/>
        <w:t>(6)</w:t>
      </w:r>
      <w:r w:rsidRPr="005071A1">
        <w:tab/>
        <w:t xml:space="preserve">If, after a copy of a judgment given against a pensioner or beneficiary, being a judgment in respect of which the Board is satisfied that an amount is due, has been served in accordance with </w:t>
      </w:r>
      <w:r w:rsidR="008B2950" w:rsidRPr="005071A1">
        <w:t>subsection (</w:t>
      </w:r>
      <w:r w:rsidRPr="005071A1">
        <w:t>1), a copy of another judgment given (whether before or after the first</w:t>
      </w:r>
      <w:r w:rsidR="004510F0">
        <w:noBreakHyphen/>
      </w:r>
      <w:r w:rsidRPr="005071A1">
        <w:t>mentioned judgment) against the same pensioner or beneficiary in favour of the person in whose favour the first</w:t>
      </w:r>
      <w:r w:rsidR="004510F0">
        <w:noBreakHyphen/>
      </w:r>
      <w:r w:rsidRPr="005071A1">
        <w:t>mentioned judgment was given or in favour of another person is served in accordance with that subsection, the Board shall not make a payment in pursuance of this section to the judgment creditor under the other judgment in respect of the amount due under that judgment until the amount due under the first</w:t>
      </w:r>
      <w:r w:rsidR="004510F0">
        <w:noBreakHyphen/>
      </w:r>
      <w:r w:rsidRPr="005071A1">
        <w:t>mentioned judgment has been paid.</w:t>
      </w:r>
    </w:p>
    <w:p w14:paraId="6D60EF7C" w14:textId="77777777" w:rsidR="00B33542" w:rsidRPr="005071A1" w:rsidRDefault="00B33542" w:rsidP="00B33542">
      <w:pPr>
        <w:pStyle w:val="subsection"/>
      </w:pPr>
      <w:r w:rsidRPr="005071A1">
        <w:tab/>
        <w:t>(7)</w:t>
      </w:r>
      <w:r w:rsidRPr="005071A1">
        <w:tab/>
        <w:t>A payment made to a judgment creditor in pursuance of this section out of an amount of benefit payable to a person shall be deemed to be a payment of benefit to the person entitled to benefit.</w:t>
      </w:r>
    </w:p>
    <w:p w14:paraId="3AD0646E" w14:textId="77777777" w:rsidR="00B33542" w:rsidRPr="005071A1" w:rsidRDefault="00B33542" w:rsidP="00B33542">
      <w:pPr>
        <w:pStyle w:val="subsection"/>
      </w:pPr>
      <w:r w:rsidRPr="005071A1">
        <w:tab/>
        <w:t>(8)</w:t>
      </w:r>
      <w:r w:rsidRPr="005071A1">
        <w:tab/>
        <w:t xml:space="preserve">A judgment creditor who serves a copy of a judgment on the Board under </w:t>
      </w:r>
      <w:r w:rsidR="008B2950" w:rsidRPr="005071A1">
        <w:t>subsection (</w:t>
      </w:r>
      <w:r w:rsidRPr="005071A1">
        <w:t xml:space="preserve">1) must, within 21 days after the day that the </w:t>
      </w:r>
      <w:r w:rsidRPr="005071A1">
        <w:lastRenderedPageBreak/>
        <w:t>judgment debt is satisfied, notify the Board, in such manner as is prescribed, that the judgment debt is satisfied.</w:t>
      </w:r>
    </w:p>
    <w:p w14:paraId="67A99784" w14:textId="77777777" w:rsidR="00B33542" w:rsidRPr="005071A1" w:rsidRDefault="00B33542" w:rsidP="00B33542">
      <w:pPr>
        <w:pStyle w:val="Penalty"/>
      </w:pPr>
      <w:r w:rsidRPr="005071A1">
        <w:t>Penalty:</w:t>
      </w:r>
      <w:r w:rsidRPr="005071A1">
        <w:tab/>
        <w:t>5 penalty units.</w:t>
      </w:r>
    </w:p>
    <w:p w14:paraId="70268EB3" w14:textId="77777777" w:rsidR="00B33542" w:rsidRPr="005071A1" w:rsidRDefault="00B33542" w:rsidP="00B33542">
      <w:pPr>
        <w:pStyle w:val="notetext"/>
      </w:pPr>
      <w:r w:rsidRPr="005071A1">
        <w:t>Note:</w:t>
      </w:r>
      <w:r w:rsidRPr="005071A1">
        <w:tab/>
      </w:r>
      <w:smartTag w:uri="urn:schemas-microsoft-com:office:smarttags" w:element="place">
        <w:smartTag w:uri="urn:schemas-microsoft-com:office:smarttags" w:element="City">
          <w:r w:rsidRPr="005071A1">
            <w:t>Part</w:t>
          </w:r>
        </w:smartTag>
        <w:r w:rsidRPr="005071A1">
          <w:t> </w:t>
        </w:r>
        <w:smartTag w:uri="urn:schemas-microsoft-com:office:smarttags" w:element="State">
          <w:r w:rsidRPr="005071A1">
            <w:t>IA</w:t>
          </w:r>
        </w:smartTag>
      </w:smartTag>
      <w:r w:rsidRPr="005071A1">
        <w:t xml:space="preserve"> of the </w:t>
      </w:r>
      <w:r w:rsidRPr="005071A1">
        <w:rPr>
          <w:i/>
        </w:rPr>
        <w:t>Crimes Act 1914</w:t>
      </w:r>
      <w:r w:rsidRPr="005071A1">
        <w:t xml:space="preserve"> contains provisions dealing with penalties.</w:t>
      </w:r>
    </w:p>
    <w:p w14:paraId="123D4A83" w14:textId="77777777" w:rsidR="00B33542" w:rsidRPr="005071A1" w:rsidRDefault="00B33542" w:rsidP="00B33542">
      <w:pPr>
        <w:pStyle w:val="subsection"/>
      </w:pPr>
      <w:r w:rsidRPr="005071A1">
        <w:tab/>
        <w:t>(9)</w:t>
      </w:r>
      <w:r w:rsidRPr="005071A1">
        <w:tab/>
        <w:t>If the amounts paid in pursuance of this section to a judgment creditor in respect of a judgment exceed, in the aggregate, the amount due under the judgment, the excess is repayable by the judgment creditor to the judgment debtor and, in default of payment, may be recovered by the judgment debtor from the judgment creditor in any court of competent jurisdiction.</w:t>
      </w:r>
    </w:p>
    <w:p w14:paraId="54604334" w14:textId="77777777" w:rsidR="00B33542" w:rsidRPr="005071A1" w:rsidRDefault="00B33542" w:rsidP="00B33542">
      <w:pPr>
        <w:pStyle w:val="ActHead5"/>
      </w:pPr>
      <w:bookmarkStart w:id="276" w:name="_Toc185577658"/>
      <w:r w:rsidRPr="004510F0">
        <w:rPr>
          <w:rStyle w:val="CharSectno"/>
        </w:rPr>
        <w:t>144</w:t>
      </w:r>
      <w:r w:rsidRPr="005071A1">
        <w:t xml:space="preserve">  Employees paid in sterling</w:t>
      </w:r>
      <w:bookmarkEnd w:id="276"/>
    </w:p>
    <w:p w14:paraId="0BFF03E6" w14:textId="77777777" w:rsidR="00B33542" w:rsidRPr="005071A1" w:rsidRDefault="00B33542" w:rsidP="00B33542">
      <w:pPr>
        <w:pStyle w:val="subsection"/>
      </w:pPr>
      <w:r w:rsidRPr="005071A1">
        <w:tab/>
        <w:t>(1)</w:t>
      </w:r>
      <w:r w:rsidRPr="005071A1">
        <w:tab/>
        <w:t>Where the salary of an employee is fixed and payable in sterling this Act shall be read as if, for the purposes of calculating:</w:t>
      </w:r>
    </w:p>
    <w:p w14:paraId="51455882" w14:textId="77777777" w:rsidR="00B33542" w:rsidRPr="005071A1" w:rsidRDefault="00B33542" w:rsidP="00B33542">
      <w:pPr>
        <w:pStyle w:val="paragraph"/>
      </w:pPr>
      <w:r w:rsidRPr="005071A1">
        <w:tab/>
        <w:t>(a)</w:t>
      </w:r>
      <w:r w:rsidRPr="005071A1">
        <w:tab/>
        <w:t>the number of units of pension in respect of which the employee shall contribute;</w:t>
      </w:r>
    </w:p>
    <w:p w14:paraId="6C6157C7" w14:textId="77777777" w:rsidR="00B33542" w:rsidRPr="005071A1" w:rsidRDefault="00B33542" w:rsidP="00B33542">
      <w:pPr>
        <w:pStyle w:val="paragraph"/>
      </w:pPr>
      <w:r w:rsidRPr="005071A1">
        <w:tab/>
        <w:t>(b)</w:t>
      </w:r>
      <w:r w:rsidRPr="005071A1">
        <w:tab/>
        <w:t>the contributions payable under this Act by that employee;</w:t>
      </w:r>
    </w:p>
    <w:p w14:paraId="6D71645A" w14:textId="77777777" w:rsidR="00B33542" w:rsidRPr="005071A1" w:rsidRDefault="00B33542" w:rsidP="00B33542">
      <w:pPr>
        <w:pStyle w:val="paragraph"/>
      </w:pPr>
      <w:r w:rsidRPr="005071A1">
        <w:tab/>
        <w:t>(c)</w:t>
      </w:r>
      <w:r w:rsidRPr="005071A1">
        <w:tab/>
        <w:t>any pension or amount becoming payable under this Act to or in respect of that employee; and</w:t>
      </w:r>
    </w:p>
    <w:p w14:paraId="3223C2AA" w14:textId="77777777" w:rsidR="00B33542" w:rsidRPr="005071A1" w:rsidRDefault="00B33542" w:rsidP="00B33542">
      <w:pPr>
        <w:pStyle w:val="paragraph"/>
        <w:keepNext/>
      </w:pPr>
      <w:r w:rsidRPr="005071A1">
        <w:tab/>
        <w:t>(d)</w:t>
      </w:r>
      <w:r w:rsidRPr="005071A1">
        <w:tab/>
        <w:t>any payment for which the Commonwealth becomes liable under this Act in respect of that employee;</w:t>
      </w:r>
    </w:p>
    <w:p w14:paraId="20EFB1E0" w14:textId="77777777" w:rsidR="00B33542" w:rsidRPr="005071A1" w:rsidRDefault="00B33542" w:rsidP="00B33542">
      <w:pPr>
        <w:pStyle w:val="subsection2"/>
      </w:pPr>
      <w:r w:rsidRPr="005071A1">
        <w:t>any reference to any amount of salary, contribution or payment, or to any other amount, were a reference to the amount in sterling that corresponds with that amount.</w:t>
      </w:r>
    </w:p>
    <w:p w14:paraId="2687A81B" w14:textId="77777777" w:rsidR="00B33542" w:rsidRPr="005071A1" w:rsidRDefault="00B33542" w:rsidP="00B33542">
      <w:pPr>
        <w:pStyle w:val="subsection"/>
      </w:pPr>
      <w:r w:rsidRPr="005071A1">
        <w:tab/>
        <w:t>(1A)</w:t>
      </w:r>
      <w:r w:rsidRPr="005071A1">
        <w:tab/>
        <w:t xml:space="preserve">For the purposes of </w:t>
      </w:r>
      <w:r w:rsidR="008B2950" w:rsidRPr="005071A1">
        <w:t>subsection (</w:t>
      </w:r>
      <w:r w:rsidRPr="005071A1">
        <w:t>1), the amount in sterling that corresponds to an amount referred to in this Act shall be calculated on the basis that One pound sterling is the equivalent of $2.</w:t>
      </w:r>
    </w:p>
    <w:p w14:paraId="3D48E375" w14:textId="77777777" w:rsidR="00B33542" w:rsidRPr="005071A1" w:rsidRDefault="00B33542" w:rsidP="00B33542">
      <w:pPr>
        <w:pStyle w:val="subsection"/>
      </w:pPr>
      <w:r w:rsidRPr="005071A1">
        <w:tab/>
        <w:t>(2)</w:t>
      </w:r>
      <w:r w:rsidRPr="005071A1">
        <w:tab/>
        <w:t xml:space="preserve">Where payments made to or from the Fund, the Provident Account or the Reserve Units of Pension Account exceed or are less than </w:t>
      </w:r>
      <w:r w:rsidRPr="005071A1">
        <w:lastRenderedPageBreak/>
        <w:t>the amount of the payment which would, but for this section, have been so made, there shall be payable to the Commonwealth from the Fund, the Provident Account or the Reserve Units of Pension Account, as the case may be, the amount by which its receipts exceed those it would have received but for this section, and the Commonwealth shall recoup the Fund, the Provident Account or the Reserve Units of Pension Account, as the case may be, the amount of any loss sustained by reason of this section.</w:t>
      </w:r>
    </w:p>
    <w:p w14:paraId="304ADC91" w14:textId="77777777" w:rsidR="00B33542" w:rsidRPr="005071A1" w:rsidRDefault="00B33542" w:rsidP="00B33542">
      <w:pPr>
        <w:pStyle w:val="ActHead5"/>
      </w:pPr>
      <w:bookmarkStart w:id="277" w:name="_Toc185577659"/>
      <w:r w:rsidRPr="004510F0">
        <w:rPr>
          <w:rStyle w:val="CharSectno"/>
        </w:rPr>
        <w:t>145</w:t>
      </w:r>
      <w:r w:rsidRPr="005071A1">
        <w:t xml:space="preserve">  Payments to the Commonwealth by approved authorities</w:t>
      </w:r>
      <w:bookmarkEnd w:id="277"/>
    </w:p>
    <w:p w14:paraId="42FC7114" w14:textId="77777777" w:rsidR="00B33542" w:rsidRPr="005071A1" w:rsidRDefault="00B33542" w:rsidP="00B33542">
      <w:pPr>
        <w:pStyle w:val="subsection"/>
      </w:pPr>
      <w:r w:rsidRPr="005071A1">
        <w:tab/>
        <w:t>(1)</w:t>
      </w:r>
      <w:r w:rsidRPr="005071A1">
        <w:tab/>
        <w:t>Where any pension or other benefit is payable on or after 1</w:t>
      </w:r>
      <w:r w:rsidR="008B2950" w:rsidRPr="005071A1">
        <w:t> </w:t>
      </w:r>
      <w:r w:rsidRPr="005071A1">
        <w:t>July 1976 under this Act to or in respect of any person who was employed by an approved authority, the authority shall pay to the Commonwealth, in respect of the payment of that pension or other benefit:</w:t>
      </w:r>
    </w:p>
    <w:p w14:paraId="698AF444" w14:textId="77777777" w:rsidR="00B33542" w:rsidRPr="005071A1" w:rsidRDefault="00B33542" w:rsidP="00B33542">
      <w:pPr>
        <w:pStyle w:val="paragraph"/>
      </w:pPr>
      <w:r w:rsidRPr="005071A1">
        <w:tab/>
        <w:t>(a)</w:t>
      </w:r>
      <w:r w:rsidRPr="005071A1">
        <w:tab/>
        <w:t>such amount as the Minister determines; or</w:t>
      </w:r>
    </w:p>
    <w:p w14:paraId="12C9B30A" w14:textId="77777777" w:rsidR="00B33542" w:rsidRPr="005071A1" w:rsidRDefault="00B33542" w:rsidP="00B33542">
      <w:pPr>
        <w:pStyle w:val="paragraph"/>
        <w:keepNext/>
      </w:pPr>
      <w:r w:rsidRPr="005071A1">
        <w:tab/>
        <w:t>(b)</w:t>
      </w:r>
      <w:r w:rsidRPr="005071A1">
        <w:tab/>
        <w:t>an amount calculated in accordance with a method determined by the Minister in respect of the authority or in respect of authorities included in a class of authorities to which the authority belongs;</w:t>
      </w:r>
    </w:p>
    <w:p w14:paraId="5EE65468" w14:textId="77777777" w:rsidR="00B33542" w:rsidRPr="005071A1" w:rsidRDefault="00B33542" w:rsidP="00B33542">
      <w:pPr>
        <w:pStyle w:val="subsection2"/>
      </w:pPr>
      <w:r w:rsidRPr="005071A1">
        <w:t>and the authority may apply for that purpose any moneys under its control.</w:t>
      </w:r>
    </w:p>
    <w:p w14:paraId="45410873" w14:textId="77777777" w:rsidR="00B33542" w:rsidRPr="005071A1" w:rsidRDefault="00B33542" w:rsidP="00B33542">
      <w:pPr>
        <w:pStyle w:val="subsection"/>
      </w:pPr>
      <w:r w:rsidRPr="005071A1">
        <w:tab/>
        <w:t>(2)</w:t>
      </w:r>
      <w:r w:rsidRPr="005071A1">
        <w:tab/>
        <w:t xml:space="preserve">A determination under </w:t>
      </w:r>
      <w:r w:rsidR="008B2950" w:rsidRPr="005071A1">
        <w:t>subsection (</w:t>
      </w:r>
      <w:r w:rsidRPr="005071A1">
        <w:t>1) may be made at any time before or after the pension or other benefit becomes payable.</w:t>
      </w:r>
    </w:p>
    <w:p w14:paraId="6AEE087B" w14:textId="77777777" w:rsidR="00B33542" w:rsidRPr="005071A1" w:rsidRDefault="00B33542" w:rsidP="00B33542">
      <w:pPr>
        <w:pStyle w:val="subsection"/>
      </w:pPr>
      <w:r w:rsidRPr="005071A1">
        <w:tab/>
        <w:t>(3)</w:t>
      </w:r>
      <w:r w:rsidRPr="005071A1">
        <w:tab/>
        <w:t xml:space="preserve">Nothing in </w:t>
      </w:r>
      <w:r w:rsidR="008B2950" w:rsidRPr="005071A1">
        <w:t>subsection (</w:t>
      </w:r>
      <w:r w:rsidRPr="005071A1">
        <w:t>1) shall be taken to imply that 2 or more authorities cannot, under that subsection, be liable to pay amounts to the Commonwealth in respect of the same amount, being an amount that has been paid to or in respect of a person who has been employed by each of those authorities.</w:t>
      </w:r>
    </w:p>
    <w:p w14:paraId="48C83551" w14:textId="77777777" w:rsidR="00B33542" w:rsidRPr="005071A1" w:rsidRDefault="00B33542" w:rsidP="00B33542">
      <w:pPr>
        <w:pStyle w:val="subsection"/>
      </w:pPr>
      <w:r w:rsidRPr="005071A1">
        <w:lastRenderedPageBreak/>
        <w:tab/>
        <w:t>(4)</w:t>
      </w:r>
      <w:r w:rsidRPr="005071A1">
        <w:tab/>
        <w:t xml:space="preserve">An authority may, and, if the Minister so directs, shall, enter into an arrangement with the Minister for the making of payments to the Commonwealth by the authority, in lieu of payments that, but for the arrangement, the authority would be required to make under </w:t>
      </w:r>
      <w:r w:rsidR="008B2950" w:rsidRPr="005071A1">
        <w:t>subsection (</w:t>
      </w:r>
      <w:r w:rsidRPr="005071A1">
        <w:t>1), being an arrangement that the Minister is satisfied will provide a fair basis of payment to the Commonwealth in respect of amounts paid, payable or likely to become payable out of the Consolidated Revenue Fund to or in respect of persons who have been employed by the authority and the authority may apply for the purposes of the arrangement any moneys under its control.</w:t>
      </w:r>
    </w:p>
    <w:p w14:paraId="43B24E26" w14:textId="77777777" w:rsidR="00B33542" w:rsidRPr="005071A1" w:rsidRDefault="00B33542" w:rsidP="00B33542">
      <w:pPr>
        <w:pStyle w:val="subsection"/>
        <w:keepNext/>
        <w:keepLines/>
      </w:pPr>
      <w:r w:rsidRPr="005071A1">
        <w:tab/>
        <w:t>(5)</w:t>
      </w:r>
      <w:r w:rsidRPr="005071A1">
        <w:tab/>
        <w:t>Where:</w:t>
      </w:r>
    </w:p>
    <w:p w14:paraId="2A6CECF6" w14:textId="77777777" w:rsidR="00B33542" w:rsidRPr="005071A1" w:rsidRDefault="00B33542" w:rsidP="00B33542">
      <w:pPr>
        <w:pStyle w:val="paragraph"/>
      </w:pPr>
      <w:r w:rsidRPr="005071A1">
        <w:tab/>
        <w:t>(a)</w:t>
      </w:r>
      <w:r w:rsidRPr="005071A1">
        <w:tab/>
        <w:t>but for this subsection, an authority would be liable to pay to the Commonwealth an amount or amounts in respect of any pension or other benefit that was paid before 1</w:t>
      </w:r>
      <w:r w:rsidR="008B2950" w:rsidRPr="005071A1">
        <w:t> </w:t>
      </w:r>
      <w:r w:rsidRPr="005071A1">
        <w:t>July 1976 under this Act; and</w:t>
      </w:r>
    </w:p>
    <w:p w14:paraId="2FCB5516" w14:textId="77777777" w:rsidR="00B33542" w:rsidRPr="005071A1" w:rsidRDefault="00B33542" w:rsidP="00B33542">
      <w:pPr>
        <w:pStyle w:val="paragraph"/>
        <w:keepNext/>
      </w:pPr>
      <w:r w:rsidRPr="005071A1">
        <w:tab/>
        <w:t>(b)</w:t>
      </w:r>
      <w:r w:rsidRPr="005071A1">
        <w:tab/>
        <w:t>the Minister determines that the authority should be relieved of that liability;</w:t>
      </w:r>
    </w:p>
    <w:p w14:paraId="268BFDEB" w14:textId="77777777" w:rsidR="00B33542" w:rsidRPr="005071A1" w:rsidRDefault="00B33542" w:rsidP="00B33542">
      <w:pPr>
        <w:pStyle w:val="subsection2"/>
      </w:pPr>
      <w:r w:rsidRPr="005071A1">
        <w:t>the authority ceases, upon the making of the determination, to be liable for that amount or those amounts.</w:t>
      </w:r>
    </w:p>
    <w:p w14:paraId="6398DA70" w14:textId="77777777" w:rsidR="00B33542" w:rsidRPr="005071A1" w:rsidRDefault="00B33542" w:rsidP="00B33542">
      <w:pPr>
        <w:pStyle w:val="subsection"/>
      </w:pPr>
      <w:r w:rsidRPr="005071A1">
        <w:tab/>
        <w:t>(6)</w:t>
      </w:r>
      <w:r w:rsidRPr="005071A1">
        <w:tab/>
        <w:t xml:space="preserve">The reference in </w:t>
      </w:r>
      <w:r w:rsidR="008B2950" w:rsidRPr="005071A1">
        <w:t>subsection (</w:t>
      </w:r>
      <w:r w:rsidRPr="005071A1">
        <w:t>1) to an amount determined by the Minister, or to an amount calculated in accordance with a method determined by the Minister, shall be read as including a reference to a nil amount.</w:t>
      </w:r>
    </w:p>
    <w:p w14:paraId="7A00F21F" w14:textId="77777777" w:rsidR="00B33542" w:rsidRPr="005071A1" w:rsidRDefault="00B33542" w:rsidP="00B33542">
      <w:pPr>
        <w:pStyle w:val="ActHead5"/>
      </w:pPr>
      <w:bookmarkStart w:id="278" w:name="_Toc185577660"/>
      <w:r w:rsidRPr="004510F0">
        <w:rPr>
          <w:rStyle w:val="CharSectno"/>
        </w:rPr>
        <w:t>146</w:t>
      </w:r>
      <w:r w:rsidRPr="005071A1">
        <w:t xml:space="preserve">  Cost of medical examinations</w:t>
      </w:r>
      <w:bookmarkEnd w:id="278"/>
    </w:p>
    <w:p w14:paraId="11557DA2" w14:textId="77777777" w:rsidR="00B33542" w:rsidRPr="005071A1" w:rsidRDefault="00B33542" w:rsidP="00B33542">
      <w:pPr>
        <w:pStyle w:val="subsection"/>
      </w:pPr>
      <w:r w:rsidRPr="005071A1">
        <w:tab/>
      </w:r>
      <w:r w:rsidRPr="005071A1">
        <w:tab/>
        <w:t>Where under this Act a medical examination of a person (being a person who is or becomes employed by an approved authority) is required, the cost of the examination shall be borne by the approved authority and the approved authority may apply for that purpose any moneys under its control.</w:t>
      </w:r>
    </w:p>
    <w:p w14:paraId="17C178C2" w14:textId="77777777" w:rsidR="00B33542" w:rsidRPr="005071A1" w:rsidRDefault="00B33542" w:rsidP="00B33542">
      <w:pPr>
        <w:pStyle w:val="ActHead5"/>
      </w:pPr>
      <w:bookmarkStart w:id="279" w:name="_Toc185577661"/>
      <w:r w:rsidRPr="004510F0">
        <w:rPr>
          <w:rStyle w:val="CharSectno"/>
        </w:rPr>
        <w:lastRenderedPageBreak/>
        <w:t>147</w:t>
      </w:r>
      <w:r w:rsidRPr="005071A1">
        <w:t xml:space="preserve">  Retirement or death as result of war service</w:t>
      </w:r>
      <w:bookmarkEnd w:id="279"/>
    </w:p>
    <w:p w14:paraId="74427A33" w14:textId="77777777" w:rsidR="00B33542" w:rsidRPr="005071A1" w:rsidRDefault="00B33542" w:rsidP="00B33542">
      <w:pPr>
        <w:pStyle w:val="subsection"/>
      </w:pPr>
      <w:r w:rsidRPr="005071A1">
        <w:tab/>
        <w:t>(1)</w:t>
      </w:r>
      <w:r w:rsidRPr="005071A1">
        <w:tab/>
        <w:t>Where the Board is satisfied that any pension or benefit has, whether before or after the commencement of this section, become payable under this Act as the result of the service of a contributor as a member of the Forces, the Commonwealth shall pay to the Fund the amount by which the proportion of the pension or benefit equivalent to the contributions made by the contributor is less than the amount of the pension or benefit.</w:t>
      </w:r>
    </w:p>
    <w:p w14:paraId="3556DA8F" w14:textId="77777777" w:rsidR="00B33542" w:rsidRPr="005071A1" w:rsidRDefault="00B33542" w:rsidP="00B33542">
      <w:pPr>
        <w:pStyle w:val="subsection"/>
      </w:pPr>
      <w:r w:rsidRPr="005071A1">
        <w:tab/>
        <w:t>(2)</w:t>
      </w:r>
      <w:r w:rsidRPr="005071A1">
        <w:tab/>
        <w:t xml:space="preserve">In this section the expression </w:t>
      </w:r>
      <w:r w:rsidRPr="005071A1">
        <w:rPr>
          <w:b/>
          <w:i/>
        </w:rPr>
        <w:t>the Forces</w:t>
      </w:r>
      <w:r w:rsidRPr="005071A1">
        <w:t xml:space="preserve"> means:</w:t>
      </w:r>
    </w:p>
    <w:p w14:paraId="600B664E" w14:textId="057E6CFB" w:rsidR="00B33542" w:rsidRPr="005071A1" w:rsidRDefault="00B33542" w:rsidP="00B33542">
      <w:pPr>
        <w:pStyle w:val="paragraph"/>
      </w:pPr>
      <w:r w:rsidRPr="005071A1">
        <w:tab/>
        <w:t>(a)</w:t>
      </w:r>
      <w:r w:rsidRPr="005071A1">
        <w:tab/>
        <w:t xml:space="preserve">the Naval, Military or Air Forces of the Commonwealth, of the </w:t>
      </w:r>
      <w:smartTag w:uri="urn:schemas-microsoft-com:office:smarttags" w:element="place">
        <w:smartTag w:uri="urn:schemas-microsoft-com:office:smarttags" w:element="country-region">
          <w:r w:rsidRPr="005071A1">
            <w:t>United Kingdom</w:t>
          </w:r>
        </w:smartTag>
      </w:smartTag>
      <w:r w:rsidRPr="005071A1">
        <w:t xml:space="preserve"> or of any other part of the </w:t>
      </w:r>
      <w:r w:rsidR="00B1494D" w:rsidRPr="00E40BFC">
        <w:t>Sovereign’s dominions</w:t>
      </w:r>
      <w:r w:rsidRPr="005071A1">
        <w:t>;</w:t>
      </w:r>
    </w:p>
    <w:p w14:paraId="3060ADAE" w14:textId="77777777" w:rsidR="00B33542" w:rsidRPr="005071A1" w:rsidRDefault="00B33542" w:rsidP="00B33542">
      <w:pPr>
        <w:pStyle w:val="paragraph"/>
      </w:pPr>
      <w:r w:rsidRPr="005071A1">
        <w:tab/>
        <w:t>(b)</w:t>
      </w:r>
      <w:r w:rsidRPr="005071A1">
        <w:tab/>
        <w:t>any nursing service or women’s auxiliary or other service established in connexion with any of the Forces specified in the last preceding paragraph; and</w:t>
      </w:r>
    </w:p>
    <w:p w14:paraId="07F3C2E8" w14:textId="77777777" w:rsidR="00B33542" w:rsidRPr="005071A1" w:rsidRDefault="00B33542" w:rsidP="00B33542">
      <w:pPr>
        <w:pStyle w:val="paragraph"/>
      </w:pPr>
      <w:r w:rsidRPr="005071A1">
        <w:tab/>
        <w:t>(c)</w:t>
      </w:r>
      <w:r w:rsidRPr="005071A1">
        <w:tab/>
        <w:t xml:space="preserve">any other service which the Minister, by order published in the </w:t>
      </w:r>
      <w:r w:rsidRPr="005071A1">
        <w:rPr>
          <w:i/>
        </w:rPr>
        <w:t>Gazette</w:t>
      </w:r>
      <w:r w:rsidRPr="005071A1">
        <w:t>, declares to be included in the Forces for the purposes of this section.</w:t>
      </w:r>
    </w:p>
    <w:p w14:paraId="2D88F7D4" w14:textId="77777777" w:rsidR="00B33542" w:rsidRPr="005071A1" w:rsidRDefault="00B33542" w:rsidP="00B33542">
      <w:pPr>
        <w:pStyle w:val="ActHead5"/>
      </w:pPr>
      <w:bookmarkStart w:id="280" w:name="_Toc185577662"/>
      <w:r w:rsidRPr="004510F0">
        <w:rPr>
          <w:rStyle w:val="CharSectno"/>
        </w:rPr>
        <w:t>148</w:t>
      </w:r>
      <w:r w:rsidRPr="005071A1">
        <w:t xml:space="preserve">  Power to recover</w:t>
      </w:r>
      <w:bookmarkEnd w:id="280"/>
    </w:p>
    <w:p w14:paraId="7A9846AB" w14:textId="77777777" w:rsidR="00B33542" w:rsidRPr="005071A1" w:rsidRDefault="00B33542" w:rsidP="00B33542">
      <w:pPr>
        <w:pStyle w:val="subsection"/>
      </w:pPr>
      <w:r w:rsidRPr="005071A1">
        <w:tab/>
      </w:r>
      <w:r w:rsidRPr="005071A1">
        <w:tab/>
        <w:t>The Board may recover contributions under the Act in any court of competent jurisdiction.</w:t>
      </w:r>
    </w:p>
    <w:p w14:paraId="3EDC1957" w14:textId="77777777" w:rsidR="00B33542" w:rsidRPr="005071A1" w:rsidRDefault="00B33542" w:rsidP="00B33542">
      <w:pPr>
        <w:pStyle w:val="ActHead5"/>
      </w:pPr>
      <w:bookmarkStart w:id="281" w:name="_Toc185577663"/>
      <w:r w:rsidRPr="004510F0">
        <w:rPr>
          <w:rStyle w:val="CharSectno"/>
        </w:rPr>
        <w:t>149</w:t>
      </w:r>
      <w:r w:rsidRPr="005071A1">
        <w:t xml:space="preserve">  Delegation by Minister</w:t>
      </w:r>
      <w:bookmarkEnd w:id="281"/>
    </w:p>
    <w:p w14:paraId="1CC4E4F7" w14:textId="77777777" w:rsidR="00B33542" w:rsidRPr="005071A1" w:rsidRDefault="00B33542" w:rsidP="00B33542">
      <w:pPr>
        <w:pStyle w:val="subsection"/>
      </w:pPr>
      <w:r w:rsidRPr="005071A1">
        <w:tab/>
        <w:t>(1)</w:t>
      </w:r>
      <w:r w:rsidRPr="005071A1">
        <w:tab/>
        <w:t>The Minister may, by writing under his hand, delegate to an officer of the Department that deals with matters arising under this Act, either generally or otherwise as provided in the instrument of delegation, all or any of his powers or functions under this Act.</w:t>
      </w:r>
    </w:p>
    <w:p w14:paraId="4890A0B6" w14:textId="77777777" w:rsidR="00B33542" w:rsidRPr="005071A1" w:rsidRDefault="00B33542" w:rsidP="00B33542">
      <w:pPr>
        <w:pStyle w:val="subsection"/>
      </w:pPr>
      <w:r w:rsidRPr="005071A1">
        <w:lastRenderedPageBreak/>
        <w:tab/>
        <w:t>(2)</w:t>
      </w:r>
      <w:r w:rsidRPr="005071A1">
        <w:tab/>
        <w:t>A power or function so delegated may be exercised or performed by the delegate in accordance with the instrument of delegation.</w:t>
      </w:r>
    </w:p>
    <w:p w14:paraId="6F723CCF" w14:textId="77777777" w:rsidR="00B33542" w:rsidRPr="005071A1" w:rsidRDefault="00B33542" w:rsidP="00B33542">
      <w:pPr>
        <w:pStyle w:val="subsection"/>
      </w:pPr>
      <w:r w:rsidRPr="005071A1">
        <w:tab/>
        <w:t>(3)</w:t>
      </w:r>
      <w:r w:rsidRPr="005071A1">
        <w:tab/>
        <w:t>A delegation under this section is revocable at will and does not prevent the exercise of the power or performance of the function by the Minister.</w:t>
      </w:r>
    </w:p>
    <w:p w14:paraId="0C93B11C" w14:textId="77777777" w:rsidR="00B33542" w:rsidRPr="005071A1" w:rsidRDefault="00B33542" w:rsidP="00B33542">
      <w:pPr>
        <w:pStyle w:val="ActHead5"/>
      </w:pPr>
      <w:bookmarkStart w:id="282" w:name="_Toc185577664"/>
      <w:r w:rsidRPr="004510F0">
        <w:rPr>
          <w:rStyle w:val="CharSectno"/>
        </w:rPr>
        <w:t>149A</w:t>
      </w:r>
      <w:r w:rsidRPr="005071A1">
        <w:t xml:space="preserve">  Delegation by Public Service Board</w:t>
      </w:r>
      <w:bookmarkEnd w:id="282"/>
    </w:p>
    <w:p w14:paraId="18FE45D5" w14:textId="77777777" w:rsidR="00B33542" w:rsidRPr="005071A1" w:rsidRDefault="00B33542" w:rsidP="00B33542">
      <w:pPr>
        <w:pStyle w:val="subsection"/>
      </w:pPr>
      <w:r w:rsidRPr="005071A1">
        <w:tab/>
        <w:t>(1)</w:t>
      </w:r>
      <w:r w:rsidRPr="005071A1">
        <w:tab/>
        <w:t xml:space="preserve">The Public Service Board may, either generally or otherwise as provided in the instrument of delegation, by instrument in writing, delegate to an officer of the Public Service of the Commonwealth all or any of its powers and functions under </w:t>
      </w:r>
      <w:r w:rsidR="008B2950" w:rsidRPr="005071A1">
        <w:t>subsection (</w:t>
      </w:r>
      <w:r w:rsidRPr="005071A1">
        <w:t>5) of section</w:t>
      </w:r>
      <w:r w:rsidR="008B2950" w:rsidRPr="005071A1">
        <w:t> </w:t>
      </w:r>
      <w:r w:rsidRPr="005071A1">
        <w:t xml:space="preserve">4 and </w:t>
      </w:r>
      <w:r w:rsidR="008B2950" w:rsidRPr="005071A1">
        <w:t>subsection (</w:t>
      </w:r>
      <w:r w:rsidRPr="005071A1">
        <w:t>2) of section</w:t>
      </w:r>
      <w:r w:rsidR="008B2950" w:rsidRPr="005071A1">
        <w:t> </w:t>
      </w:r>
      <w:r w:rsidRPr="005071A1">
        <w:t>5.</w:t>
      </w:r>
    </w:p>
    <w:p w14:paraId="6DC9BADE" w14:textId="77777777" w:rsidR="00B33542" w:rsidRPr="005071A1" w:rsidRDefault="00B33542" w:rsidP="00B33542">
      <w:pPr>
        <w:pStyle w:val="subsection"/>
      </w:pPr>
      <w:r w:rsidRPr="005071A1">
        <w:tab/>
        <w:t>(2)</w:t>
      </w:r>
      <w:r w:rsidRPr="005071A1">
        <w:tab/>
        <w:t>A power or function so delegated may be exercised or performed by the delegate in accordance with the instrument of delegation.</w:t>
      </w:r>
    </w:p>
    <w:p w14:paraId="6F12C338" w14:textId="77777777" w:rsidR="00B33542" w:rsidRPr="005071A1" w:rsidRDefault="00B33542" w:rsidP="00B33542">
      <w:pPr>
        <w:pStyle w:val="subsection"/>
      </w:pPr>
      <w:r w:rsidRPr="005071A1">
        <w:tab/>
        <w:t>(3)</w:t>
      </w:r>
      <w:r w:rsidRPr="005071A1">
        <w:tab/>
        <w:t>A delegation under this section is revocable at will and does not prevent the exercise of a power or the performance of a function by the Public Service Board.</w:t>
      </w:r>
    </w:p>
    <w:p w14:paraId="3DD81CD3" w14:textId="77777777" w:rsidR="000F2E4D" w:rsidRPr="005071A1" w:rsidRDefault="000F2E4D" w:rsidP="000F2E4D">
      <w:pPr>
        <w:pStyle w:val="ActHead5"/>
      </w:pPr>
      <w:bookmarkStart w:id="283" w:name="_Toc185577665"/>
      <w:r w:rsidRPr="004510F0">
        <w:rPr>
          <w:rStyle w:val="CharSectno"/>
        </w:rPr>
        <w:t>149AA</w:t>
      </w:r>
      <w:r w:rsidRPr="005071A1">
        <w:t xml:space="preserve">  Minister may request the supply of information</w:t>
      </w:r>
      <w:bookmarkEnd w:id="283"/>
    </w:p>
    <w:p w14:paraId="26D6B0A2" w14:textId="77777777" w:rsidR="000F2E4D" w:rsidRPr="005071A1" w:rsidRDefault="000F2E4D" w:rsidP="000F2E4D">
      <w:pPr>
        <w:pStyle w:val="subsection"/>
      </w:pPr>
      <w:r w:rsidRPr="005071A1">
        <w:tab/>
      </w:r>
      <w:r w:rsidRPr="005071A1">
        <w:tab/>
        <w:t>CSC must give the Minister such information relating to the general administration and operation of this Act as the Minister may from time to time require.</w:t>
      </w:r>
    </w:p>
    <w:p w14:paraId="1542F27F" w14:textId="77777777" w:rsidR="000F2E4D" w:rsidRPr="005071A1" w:rsidRDefault="000F2E4D" w:rsidP="000F2E4D">
      <w:pPr>
        <w:pStyle w:val="ActHead5"/>
      </w:pPr>
      <w:bookmarkStart w:id="284" w:name="_Toc185577666"/>
      <w:r w:rsidRPr="004510F0">
        <w:rPr>
          <w:rStyle w:val="CharSectno"/>
        </w:rPr>
        <w:t>149AB</w:t>
      </w:r>
      <w:r w:rsidRPr="005071A1">
        <w:t xml:space="preserve">  Making false statements to CSC</w:t>
      </w:r>
      <w:bookmarkEnd w:id="284"/>
    </w:p>
    <w:p w14:paraId="445DBC17" w14:textId="77777777" w:rsidR="000F2E4D" w:rsidRPr="005071A1" w:rsidRDefault="000F2E4D" w:rsidP="000F2E4D">
      <w:pPr>
        <w:pStyle w:val="subsection"/>
      </w:pPr>
      <w:r w:rsidRPr="005071A1">
        <w:tab/>
        <w:t>(1)</w:t>
      </w:r>
      <w:r w:rsidRPr="005071A1">
        <w:tab/>
        <w:t xml:space="preserve">If a person is convicted of an offence against </w:t>
      </w:r>
      <w:r w:rsidR="004510F0">
        <w:t>section 1</w:t>
      </w:r>
      <w:r w:rsidRPr="005071A1">
        <w:t xml:space="preserve">35.2, 136.1, 137.1 or 137.2 of the </w:t>
      </w:r>
      <w:r w:rsidRPr="005071A1">
        <w:rPr>
          <w:i/>
        </w:rPr>
        <w:t>Criminal Code</w:t>
      </w:r>
      <w:r w:rsidRPr="005071A1">
        <w:t xml:space="preserve"> that relates to this Act, the court may, in addition to imposing a penalty in respect of the offence, order the person to pay to CSC an amount equal to any amount of benefit paid to the person as a result of the act, failure or omission in respect of which the person was convicted.</w:t>
      </w:r>
    </w:p>
    <w:p w14:paraId="5B05A2E8" w14:textId="77777777" w:rsidR="000F2E4D" w:rsidRPr="005071A1" w:rsidRDefault="000F2E4D" w:rsidP="000F2E4D">
      <w:pPr>
        <w:pStyle w:val="subsection"/>
      </w:pPr>
      <w:r w:rsidRPr="005071A1">
        <w:lastRenderedPageBreak/>
        <w:tab/>
        <w:t>(2)</w:t>
      </w:r>
      <w:r w:rsidRPr="005071A1">
        <w:tab/>
        <w:t xml:space="preserve">For the purposes of </w:t>
      </w:r>
      <w:r w:rsidR="008B2950" w:rsidRPr="005071A1">
        <w:t>subsection (</w:t>
      </w:r>
      <w:r w:rsidRPr="005071A1">
        <w:t>1), a certificate by CSC stating that an amount specified in the certificate is the amount of benefit that has been paid to a person specified in the certificate in consequence of an act, failure or omission specified in the certificate is prima facie evidence of the matters specified in the certificate.</w:t>
      </w:r>
    </w:p>
    <w:p w14:paraId="02479559" w14:textId="77777777" w:rsidR="000F2E4D" w:rsidRPr="005071A1" w:rsidRDefault="000F2E4D" w:rsidP="000F2E4D">
      <w:pPr>
        <w:pStyle w:val="subsection"/>
      </w:pPr>
      <w:r w:rsidRPr="005071A1">
        <w:tab/>
        <w:t>(3)</w:t>
      </w:r>
      <w:r w:rsidRPr="005071A1">
        <w:tab/>
        <w:t xml:space="preserve">In any proceeding, a document purporting to be a certificate under </w:t>
      </w:r>
      <w:r w:rsidR="008B2950" w:rsidRPr="005071A1">
        <w:t>subsection (</w:t>
      </w:r>
      <w:r w:rsidRPr="005071A1">
        <w:t>2) is taken, unless the contrary is proved, to be such a certificate and to have been duly given.</w:t>
      </w:r>
    </w:p>
    <w:p w14:paraId="0F391C80" w14:textId="77777777" w:rsidR="000F2E4D" w:rsidRPr="005071A1" w:rsidRDefault="000F2E4D" w:rsidP="000F2E4D">
      <w:pPr>
        <w:pStyle w:val="subsection"/>
      </w:pPr>
      <w:r w:rsidRPr="005071A1">
        <w:tab/>
        <w:t>(4)</w:t>
      </w:r>
      <w:r w:rsidRPr="005071A1">
        <w:tab/>
        <w:t>In this section:</w:t>
      </w:r>
    </w:p>
    <w:p w14:paraId="1D071194" w14:textId="77777777" w:rsidR="000F2E4D" w:rsidRPr="005071A1" w:rsidRDefault="000F2E4D" w:rsidP="000F2E4D">
      <w:pPr>
        <w:pStyle w:val="Definition"/>
      </w:pPr>
      <w:r w:rsidRPr="005071A1">
        <w:rPr>
          <w:b/>
          <w:i/>
        </w:rPr>
        <w:t>benefit</w:t>
      </w:r>
      <w:r w:rsidRPr="005071A1">
        <w:t xml:space="preserve"> includes pension or other money payable.</w:t>
      </w:r>
    </w:p>
    <w:p w14:paraId="333A124A" w14:textId="77777777" w:rsidR="00B33542" w:rsidRPr="005071A1" w:rsidRDefault="00B33542" w:rsidP="00B33542">
      <w:pPr>
        <w:pStyle w:val="ActHead5"/>
      </w:pPr>
      <w:bookmarkStart w:id="285" w:name="_Toc185577667"/>
      <w:r w:rsidRPr="004510F0">
        <w:rPr>
          <w:rStyle w:val="CharSectno"/>
        </w:rPr>
        <w:t>149B</w:t>
      </w:r>
      <w:r w:rsidRPr="005071A1">
        <w:t xml:space="preserve">  References to Board to include Commissioner</w:t>
      </w:r>
      <w:bookmarkEnd w:id="285"/>
    </w:p>
    <w:p w14:paraId="55DC6B36" w14:textId="77777777" w:rsidR="00B33542" w:rsidRPr="005071A1" w:rsidRDefault="00B33542" w:rsidP="00B33542">
      <w:pPr>
        <w:pStyle w:val="subsection"/>
      </w:pPr>
      <w:r w:rsidRPr="005071A1">
        <w:tab/>
      </w:r>
      <w:r w:rsidRPr="005071A1">
        <w:tab/>
      </w:r>
      <w:r w:rsidR="000F2E4D" w:rsidRPr="005071A1">
        <w:t>From 1</w:t>
      </w:r>
      <w:r w:rsidR="008B2950" w:rsidRPr="005071A1">
        <w:t> </w:t>
      </w:r>
      <w:r w:rsidR="000F2E4D" w:rsidRPr="005071A1">
        <w:t>July 1976 to 30</w:t>
      </w:r>
      <w:r w:rsidR="008B2950" w:rsidRPr="005071A1">
        <w:t> </w:t>
      </w:r>
      <w:r w:rsidR="000F2E4D" w:rsidRPr="005071A1">
        <w:t>June 2011 (both dates inclusive)</w:t>
      </w:r>
      <w:r w:rsidRPr="005071A1">
        <w:t xml:space="preserve">, any reference in this Part to the Board shall, unless the context otherwise requires, be read as including a reference to the Commissioner for Superannuation, but, on and after </w:t>
      </w:r>
      <w:r w:rsidR="00B30264" w:rsidRPr="005071A1">
        <w:t>1</w:t>
      </w:r>
      <w:r w:rsidR="008B2950" w:rsidRPr="005071A1">
        <w:t> </w:t>
      </w:r>
      <w:r w:rsidR="00B30264" w:rsidRPr="005071A1">
        <w:t>July 1976</w:t>
      </w:r>
      <w:r w:rsidRPr="005071A1">
        <w:t xml:space="preserve">, </w:t>
      </w:r>
      <w:r w:rsidR="004510F0">
        <w:t>section 1</w:t>
      </w:r>
      <w:r w:rsidRPr="005071A1">
        <w:t xml:space="preserve">40 of this Act does not have effect except in respect of questions that have arisen before </w:t>
      </w:r>
      <w:r w:rsidR="00B30264" w:rsidRPr="005071A1">
        <w:t>1</w:t>
      </w:r>
      <w:r w:rsidR="008B2950" w:rsidRPr="005071A1">
        <w:t> </w:t>
      </w:r>
      <w:r w:rsidR="00B30264" w:rsidRPr="005071A1">
        <w:t>July 1976</w:t>
      </w:r>
      <w:r w:rsidRPr="005071A1">
        <w:t>.</w:t>
      </w:r>
    </w:p>
    <w:p w14:paraId="0409D7A7" w14:textId="77777777" w:rsidR="00B33542" w:rsidRPr="005071A1" w:rsidRDefault="00B33542" w:rsidP="00B33542">
      <w:pPr>
        <w:pStyle w:val="ActHead5"/>
      </w:pPr>
      <w:bookmarkStart w:id="286" w:name="_Toc185577668"/>
      <w:r w:rsidRPr="004510F0">
        <w:rPr>
          <w:rStyle w:val="CharSectno"/>
        </w:rPr>
        <w:t>150</w:t>
      </w:r>
      <w:r w:rsidRPr="005071A1">
        <w:t xml:space="preserve">  Regulations</w:t>
      </w:r>
      <w:bookmarkEnd w:id="286"/>
    </w:p>
    <w:p w14:paraId="08A2DDC4" w14:textId="77777777" w:rsidR="00B33542" w:rsidRPr="005071A1" w:rsidRDefault="00B33542" w:rsidP="00B33542">
      <w:pPr>
        <w:pStyle w:val="subsection"/>
      </w:pPr>
      <w:r w:rsidRPr="005071A1">
        <w:tab/>
        <w:t>(1)</w:t>
      </w:r>
      <w:r w:rsidRPr="005071A1">
        <w:tab/>
        <w:t>The Governor</w:t>
      </w:r>
      <w:r w:rsidR="004510F0">
        <w:noBreakHyphen/>
      </w:r>
      <w:r w:rsidRPr="005071A1">
        <w:t>General may make regulations, not inconsistent with this Act, prescribing all matters required or permitted to be prescribed, or necessary or convenient to be prescribed, for carrying out or giving effect to this Act, and in particular:</w:t>
      </w:r>
    </w:p>
    <w:p w14:paraId="6B224F3D" w14:textId="77777777" w:rsidR="00B33542" w:rsidRPr="005071A1" w:rsidRDefault="00B33542" w:rsidP="00B33542">
      <w:pPr>
        <w:pStyle w:val="paragraph"/>
      </w:pPr>
      <w:r w:rsidRPr="005071A1">
        <w:tab/>
        <w:t>(a)</w:t>
      </w:r>
      <w:r w:rsidRPr="005071A1">
        <w:tab/>
        <w:t>for prescribing in respect of contributors suffering from invalidity or physical or mental incapacity to perform their duties, all or any of the following matters:</w:t>
      </w:r>
    </w:p>
    <w:p w14:paraId="1E46C95A" w14:textId="77777777" w:rsidR="00B33542" w:rsidRPr="005071A1" w:rsidRDefault="00B33542" w:rsidP="00B33542">
      <w:pPr>
        <w:pStyle w:val="paragraphsub"/>
      </w:pPr>
      <w:r w:rsidRPr="005071A1">
        <w:tab/>
        <w:t>(i)</w:t>
      </w:r>
      <w:r w:rsidRPr="005071A1">
        <w:tab/>
        <w:t>conditions of retirement;</w:t>
      </w:r>
    </w:p>
    <w:p w14:paraId="1CA754A5" w14:textId="77777777" w:rsidR="00B33542" w:rsidRPr="005071A1" w:rsidRDefault="00B33542" w:rsidP="00B33542">
      <w:pPr>
        <w:pStyle w:val="paragraphsub"/>
      </w:pPr>
      <w:r w:rsidRPr="005071A1">
        <w:lastRenderedPageBreak/>
        <w:tab/>
        <w:t>(ii)</w:t>
      </w:r>
      <w:r w:rsidRPr="005071A1">
        <w:tab/>
        <w:t>pensions or other benefits;</w:t>
      </w:r>
    </w:p>
    <w:p w14:paraId="5A66F457" w14:textId="77777777" w:rsidR="00B33542" w:rsidRPr="005071A1" w:rsidRDefault="00B33542" w:rsidP="00B33542">
      <w:pPr>
        <w:pStyle w:val="paragraphsub"/>
      </w:pPr>
      <w:r w:rsidRPr="005071A1">
        <w:tab/>
        <w:t>(iii)</w:t>
      </w:r>
      <w:r w:rsidRPr="005071A1">
        <w:tab/>
        <w:t>provisions for cancellation of pensions or other benefits; and</w:t>
      </w:r>
    </w:p>
    <w:p w14:paraId="3AB88280" w14:textId="77777777" w:rsidR="00B33542" w:rsidRPr="005071A1" w:rsidRDefault="00B33542" w:rsidP="00B33542">
      <w:pPr>
        <w:pStyle w:val="paragraphsub"/>
      </w:pPr>
      <w:r w:rsidRPr="005071A1">
        <w:tab/>
        <w:t>(iv)</w:t>
      </w:r>
      <w:r w:rsidRPr="005071A1">
        <w:tab/>
        <w:t>conditions of compulsory re</w:t>
      </w:r>
      <w:r w:rsidR="004510F0">
        <w:noBreakHyphen/>
      </w:r>
      <w:r w:rsidRPr="005071A1">
        <w:t>employment;</w:t>
      </w:r>
    </w:p>
    <w:p w14:paraId="53733A9F" w14:textId="77777777" w:rsidR="00B33542" w:rsidRPr="005071A1" w:rsidRDefault="00B33542" w:rsidP="00B33542">
      <w:pPr>
        <w:pStyle w:val="paragraph"/>
      </w:pPr>
      <w:r w:rsidRPr="005071A1">
        <w:tab/>
        <w:t>(b)</w:t>
      </w:r>
      <w:r w:rsidRPr="005071A1">
        <w:tab/>
        <w:t>for prescribing the data in respect of mortality, conjugal condition, dependent children, invalidity, and rate of interest to be employed in determining actuarial equivalents for the purposes of this Act, and for prescribing the incidence on the several benefits of the commutations involved in determining such actuarial equivalents;</w:t>
      </w:r>
    </w:p>
    <w:p w14:paraId="069CC29A" w14:textId="77777777" w:rsidR="00B33542" w:rsidRPr="005071A1" w:rsidRDefault="00B33542" w:rsidP="00B33542">
      <w:pPr>
        <w:pStyle w:val="paragraph"/>
      </w:pPr>
      <w:r w:rsidRPr="005071A1">
        <w:tab/>
        <w:t>(c)</w:t>
      </w:r>
      <w:r w:rsidRPr="005071A1">
        <w:tab/>
        <w:t>where under this Act an employee or pensioner may make any election or choice, and the time within which it may be made is not stated in the Act, for prescribing the time within which it must be made and the conditions upon which it may be made; and</w:t>
      </w:r>
    </w:p>
    <w:p w14:paraId="46E24372" w14:textId="77777777" w:rsidR="00B33542" w:rsidRPr="005071A1" w:rsidRDefault="00B33542" w:rsidP="00B33542">
      <w:pPr>
        <w:pStyle w:val="paragraph"/>
      </w:pPr>
      <w:r w:rsidRPr="005071A1">
        <w:tab/>
        <w:t>(d)</w:t>
      </w:r>
      <w:r w:rsidRPr="005071A1">
        <w:tab/>
        <w:t>for prescribing penalties not exceeding 20 penalty units for an offence against the regulations.</w:t>
      </w:r>
    </w:p>
    <w:p w14:paraId="71423A69" w14:textId="77777777" w:rsidR="00B33542" w:rsidRPr="005071A1" w:rsidRDefault="00B33542" w:rsidP="00B33542">
      <w:pPr>
        <w:pStyle w:val="notetext"/>
      </w:pPr>
      <w:r w:rsidRPr="005071A1">
        <w:t>Note:</w:t>
      </w:r>
      <w:r w:rsidRPr="005071A1">
        <w:tab/>
      </w:r>
      <w:smartTag w:uri="urn:schemas-microsoft-com:office:smarttags" w:element="place">
        <w:smartTag w:uri="urn:schemas-microsoft-com:office:smarttags" w:element="City">
          <w:r w:rsidRPr="005071A1">
            <w:t>Part</w:t>
          </w:r>
        </w:smartTag>
        <w:r w:rsidRPr="005071A1">
          <w:t> </w:t>
        </w:r>
        <w:smartTag w:uri="urn:schemas-microsoft-com:office:smarttags" w:element="State">
          <w:r w:rsidRPr="005071A1">
            <w:t>IA</w:t>
          </w:r>
        </w:smartTag>
      </w:smartTag>
      <w:r w:rsidRPr="005071A1">
        <w:t xml:space="preserve"> of the </w:t>
      </w:r>
      <w:r w:rsidRPr="005071A1">
        <w:rPr>
          <w:i/>
        </w:rPr>
        <w:t>Crimes Act 1914</w:t>
      </w:r>
      <w:r w:rsidRPr="005071A1">
        <w:t xml:space="preserve"> contains provisions dealing with penalties.</w:t>
      </w:r>
    </w:p>
    <w:p w14:paraId="14C7D1B9" w14:textId="77777777" w:rsidR="00B33542" w:rsidRPr="005071A1" w:rsidRDefault="00B33542" w:rsidP="00B33542">
      <w:pPr>
        <w:pStyle w:val="subsection"/>
      </w:pPr>
      <w:r w:rsidRPr="005071A1">
        <w:tab/>
        <w:t>(2)</w:t>
      </w:r>
      <w:r w:rsidRPr="005071A1">
        <w:tab/>
        <w:t>The regulations may make provision for modifying this Act, or a provision of this Act specified in the regulations, in the application of this Act or that provision to and in relation to a person who is in receipt of pension under section</w:t>
      </w:r>
      <w:r w:rsidR="008B2950" w:rsidRPr="005071A1">
        <w:t> </w:t>
      </w:r>
      <w:r w:rsidRPr="005071A1">
        <w:t xml:space="preserve">46, 47 or 48, or to and in relation to a prescribed class of such persons, and the modifications that may be made by the regulations include, but are not limited to, modifications providing for payment of pension at a rate other than the rate at which, but for the regulations, the pension would be payable. </w:t>
      </w:r>
    </w:p>
    <w:p w14:paraId="50C5582F" w14:textId="77777777" w:rsidR="00876860" w:rsidRPr="005071A1" w:rsidRDefault="00876860" w:rsidP="00876860">
      <w:pPr>
        <w:rPr>
          <w:lang w:eastAsia="en-AU"/>
        </w:rPr>
        <w:sectPr w:rsidR="00876860" w:rsidRPr="005071A1" w:rsidSect="0020596F">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pgNumType w:start="1"/>
          <w:cols w:space="708"/>
          <w:docGrid w:linePitch="360"/>
        </w:sectPr>
      </w:pPr>
    </w:p>
    <w:p w14:paraId="3DD4E2D5" w14:textId="77777777" w:rsidR="00B33542" w:rsidRPr="005071A1" w:rsidRDefault="00B33542" w:rsidP="00B33542">
      <w:pPr>
        <w:pStyle w:val="ActHead1"/>
      </w:pPr>
      <w:bookmarkStart w:id="287" w:name="_Toc185577669"/>
      <w:r w:rsidRPr="004510F0">
        <w:rPr>
          <w:rStyle w:val="CharChapNo"/>
        </w:rPr>
        <w:lastRenderedPageBreak/>
        <w:t>Third Schedule</w:t>
      </w:r>
      <w:r w:rsidRPr="005071A1">
        <w:t>—</w:t>
      </w:r>
      <w:r w:rsidRPr="004510F0">
        <w:rPr>
          <w:rStyle w:val="CharChapText"/>
        </w:rPr>
        <w:t>Rates of contribution</w:t>
      </w:r>
      <w:bookmarkEnd w:id="287"/>
    </w:p>
    <w:p w14:paraId="2B0EE477" w14:textId="77777777" w:rsidR="00B33542" w:rsidRPr="005071A1" w:rsidRDefault="00B33542" w:rsidP="00B33542">
      <w:pPr>
        <w:pStyle w:val="notemargin"/>
      </w:pPr>
      <w:r w:rsidRPr="005071A1">
        <w:t>Section</w:t>
      </w:r>
      <w:r w:rsidR="008B2950" w:rsidRPr="005071A1">
        <w:t> </w:t>
      </w:r>
      <w:r w:rsidRPr="005071A1">
        <w:t>23(1)</w:t>
      </w:r>
    </w:p>
    <w:p w14:paraId="755F6FF6" w14:textId="77777777" w:rsidR="00674A0D" w:rsidRPr="005071A1" w:rsidRDefault="00674A0D" w:rsidP="00674A0D">
      <w:pPr>
        <w:pStyle w:val="Header"/>
        <w:tabs>
          <w:tab w:val="clear" w:pos="4150"/>
          <w:tab w:val="clear" w:pos="8307"/>
        </w:tabs>
      </w:pPr>
      <w:r w:rsidRPr="004510F0">
        <w:rPr>
          <w:rStyle w:val="CharPartNo"/>
        </w:rPr>
        <w:t xml:space="preserve"> </w:t>
      </w:r>
      <w:r w:rsidRPr="004510F0">
        <w:rPr>
          <w:rStyle w:val="CharPartText"/>
        </w:rPr>
        <w:t xml:space="preserve"> </w:t>
      </w:r>
    </w:p>
    <w:p w14:paraId="69571C30" w14:textId="77777777" w:rsidR="00B33542" w:rsidRPr="005071A1" w:rsidRDefault="00B33542" w:rsidP="00B33542">
      <w:pPr>
        <w:pStyle w:val="ActHead5"/>
      </w:pPr>
      <w:bookmarkStart w:id="288" w:name="_Toc185577670"/>
      <w:r w:rsidRPr="005071A1">
        <w:t>Table I</w:t>
      </w:r>
      <w:bookmarkEnd w:id="288"/>
    </w:p>
    <w:p w14:paraId="4DE145F6" w14:textId="77777777" w:rsidR="00B33542" w:rsidRPr="005071A1" w:rsidRDefault="00B33542" w:rsidP="00B33542">
      <w:pPr>
        <w:spacing w:before="120"/>
      </w:pPr>
      <w:r w:rsidRPr="005071A1">
        <w:t xml:space="preserve">Rates of contribution to be paid fortnightly by male contributors for units of pension where the obligation to contribute for those units existed on or before </w:t>
      </w:r>
      <w:smartTag w:uri="urn:schemas-microsoft-com:office:smarttags" w:element="date">
        <w:smartTagPr>
          <w:attr w:name="Year" w:val="1942"/>
          <w:attr w:name="Day" w:val="2"/>
          <w:attr w:name="Month" w:val="11"/>
        </w:smartTagPr>
        <w:r w:rsidRPr="005071A1">
          <w:t>2nd November, 1942</w:t>
        </w:r>
      </w:smartTag>
      <w:r w:rsidRPr="005071A1">
        <w:t>, based on the retiring age of 65 years and the age next birthday of the contributor when that obligation came into existence</w:t>
      </w:r>
    </w:p>
    <w:p w14:paraId="5645D71E"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1134"/>
        <w:gridCol w:w="1275"/>
        <w:gridCol w:w="284"/>
        <w:gridCol w:w="1060"/>
        <w:gridCol w:w="1119"/>
        <w:gridCol w:w="1326"/>
      </w:tblGrid>
      <w:tr w:rsidR="00B33542" w:rsidRPr="005071A1" w14:paraId="067E0787" w14:textId="77777777" w:rsidTr="003D0621">
        <w:trPr>
          <w:tblHeader/>
        </w:trPr>
        <w:tc>
          <w:tcPr>
            <w:tcW w:w="1101" w:type="dxa"/>
            <w:tcBorders>
              <w:top w:val="single" w:sz="12" w:space="0" w:color="auto"/>
              <w:bottom w:val="single" w:sz="6" w:space="0" w:color="auto"/>
            </w:tcBorders>
            <w:shd w:val="clear" w:color="auto" w:fill="auto"/>
          </w:tcPr>
          <w:p w14:paraId="505A7130" w14:textId="77777777" w:rsidR="00B33542" w:rsidRPr="005071A1" w:rsidRDefault="00B33542" w:rsidP="009B7AF5">
            <w:pPr>
              <w:pStyle w:val="TableHeading"/>
            </w:pPr>
            <w:r w:rsidRPr="005071A1">
              <w:t>Column 1</w:t>
            </w:r>
          </w:p>
        </w:tc>
        <w:tc>
          <w:tcPr>
            <w:tcW w:w="1134" w:type="dxa"/>
            <w:tcBorders>
              <w:top w:val="single" w:sz="12" w:space="0" w:color="auto"/>
              <w:bottom w:val="single" w:sz="6" w:space="0" w:color="auto"/>
            </w:tcBorders>
            <w:shd w:val="clear" w:color="auto" w:fill="auto"/>
          </w:tcPr>
          <w:p w14:paraId="38B52FBB" w14:textId="77777777" w:rsidR="00B33542" w:rsidRPr="005071A1" w:rsidRDefault="00B33542" w:rsidP="009B7AF5">
            <w:pPr>
              <w:pStyle w:val="TableHeading"/>
            </w:pPr>
            <w:r w:rsidRPr="005071A1">
              <w:t>Column 2</w:t>
            </w:r>
          </w:p>
        </w:tc>
        <w:tc>
          <w:tcPr>
            <w:tcW w:w="1275" w:type="dxa"/>
            <w:tcBorders>
              <w:top w:val="single" w:sz="12" w:space="0" w:color="auto"/>
              <w:bottom w:val="single" w:sz="6" w:space="0" w:color="auto"/>
            </w:tcBorders>
            <w:shd w:val="clear" w:color="auto" w:fill="auto"/>
          </w:tcPr>
          <w:p w14:paraId="19F4E4FD" w14:textId="77777777" w:rsidR="00B33542" w:rsidRPr="005071A1" w:rsidRDefault="00B33542" w:rsidP="009B7AF5">
            <w:pPr>
              <w:pStyle w:val="TableHeading"/>
            </w:pPr>
            <w:r w:rsidRPr="005071A1">
              <w:t>Column 3</w:t>
            </w:r>
          </w:p>
        </w:tc>
        <w:tc>
          <w:tcPr>
            <w:tcW w:w="284" w:type="dxa"/>
            <w:tcBorders>
              <w:top w:val="single" w:sz="12" w:space="0" w:color="auto"/>
              <w:bottom w:val="single" w:sz="6" w:space="0" w:color="auto"/>
            </w:tcBorders>
            <w:shd w:val="clear" w:color="auto" w:fill="auto"/>
          </w:tcPr>
          <w:p w14:paraId="63017F65" w14:textId="77777777" w:rsidR="00B33542" w:rsidRPr="005071A1" w:rsidRDefault="00B33542" w:rsidP="009B7AF5">
            <w:pPr>
              <w:pStyle w:val="TableHeading"/>
            </w:pPr>
          </w:p>
        </w:tc>
        <w:tc>
          <w:tcPr>
            <w:tcW w:w="1060" w:type="dxa"/>
            <w:tcBorders>
              <w:top w:val="single" w:sz="12" w:space="0" w:color="auto"/>
              <w:bottom w:val="single" w:sz="6" w:space="0" w:color="auto"/>
            </w:tcBorders>
            <w:shd w:val="clear" w:color="auto" w:fill="auto"/>
          </w:tcPr>
          <w:p w14:paraId="4B813C74" w14:textId="77777777" w:rsidR="00B33542" w:rsidRPr="005071A1" w:rsidRDefault="00B33542" w:rsidP="009B7AF5">
            <w:pPr>
              <w:pStyle w:val="TableHeading"/>
            </w:pPr>
            <w:r w:rsidRPr="005071A1">
              <w:t>Column 4</w:t>
            </w:r>
          </w:p>
        </w:tc>
        <w:tc>
          <w:tcPr>
            <w:tcW w:w="1119" w:type="dxa"/>
            <w:tcBorders>
              <w:top w:val="single" w:sz="12" w:space="0" w:color="auto"/>
              <w:bottom w:val="single" w:sz="6" w:space="0" w:color="auto"/>
            </w:tcBorders>
            <w:shd w:val="clear" w:color="auto" w:fill="auto"/>
          </w:tcPr>
          <w:p w14:paraId="37F90429" w14:textId="77777777" w:rsidR="00B33542" w:rsidRPr="005071A1" w:rsidRDefault="00B33542" w:rsidP="009B7AF5">
            <w:pPr>
              <w:pStyle w:val="TableHeading"/>
            </w:pPr>
            <w:r w:rsidRPr="005071A1">
              <w:t>Column 5</w:t>
            </w:r>
          </w:p>
        </w:tc>
        <w:tc>
          <w:tcPr>
            <w:tcW w:w="1326" w:type="dxa"/>
            <w:tcBorders>
              <w:top w:val="single" w:sz="12" w:space="0" w:color="auto"/>
              <w:bottom w:val="single" w:sz="6" w:space="0" w:color="auto"/>
            </w:tcBorders>
            <w:shd w:val="clear" w:color="auto" w:fill="auto"/>
          </w:tcPr>
          <w:p w14:paraId="67216073" w14:textId="77777777" w:rsidR="00B33542" w:rsidRPr="005071A1" w:rsidRDefault="00B33542" w:rsidP="009B7AF5">
            <w:pPr>
              <w:pStyle w:val="TableHeading"/>
            </w:pPr>
            <w:r w:rsidRPr="005071A1">
              <w:t>Column 6</w:t>
            </w:r>
          </w:p>
        </w:tc>
      </w:tr>
      <w:tr w:rsidR="00B33542" w:rsidRPr="005071A1" w14:paraId="0F28167A" w14:textId="77777777" w:rsidTr="003D0621">
        <w:trPr>
          <w:tblHeader/>
        </w:trPr>
        <w:tc>
          <w:tcPr>
            <w:tcW w:w="1101" w:type="dxa"/>
            <w:tcBorders>
              <w:top w:val="single" w:sz="6" w:space="0" w:color="auto"/>
              <w:bottom w:val="single" w:sz="4" w:space="0" w:color="auto"/>
            </w:tcBorders>
            <w:shd w:val="clear" w:color="auto" w:fill="auto"/>
          </w:tcPr>
          <w:p w14:paraId="2BF3812A" w14:textId="77777777" w:rsidR="00B33542" w:rsidRPr="005071A1" w:rsidRDefault="00B33542" w:rsidP="007A0A31">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134" w:type="dxa"/>
            <w:tcBorders>
              <w:top w:val="single" w:sz="6" w:space="0" w:color="auto"/>
              <w:bottom w:val="single" w:sz="4" w:space="0" w:color="auto"/>
            </w:tcBorders>
            <w:shd w:val="clear" w:color="auto" w:fill="auto"/>
          </w:tcPr>
          <w:p w14:paraId="37AEE7CC" w14:textId="77777777" w:rsidR="00B33542" w:rsidRPr="005071A1" w:rsidRDefault="00B33542" w:rsidP="007A0A31">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Contribution</w:t>
            </w:r>
            <w:r w:rsidRPr="005071A1">
              <w:rPr>
                <w:sz w:val="16"/>
                <w:szCs w:val="16"/>
              </w:rPr>
              <w:br/>
              <w:t>for First</w:t>
            </w:r>
            <w:r w:rsidRPr="005071A1">
              <w:rPr>
                <w:sz w:val="16"/>
                <w:szCs w:val="16"/>
              </w:rPr>
              <w:br/>
              <w:t>Two Units</w:t>
            </w:r>
          </w:p>
        </w:tc>
        <w:tc>
          <w:tcPr>
            <w:tcW w:w="1275" w:type="dxa"/>
            <w:tcBorders>
              <w:top w:val="single" w:sz="6" w:space="0" w:color="auto"/>
              <w:bottom w:val="single" w:sz="4" w:space="0" w:color="auto"/>
            </w:tcBorders>
            <w:shd w:val="clear" w:color="auto" w:fill="auto"/>
          </w:tcPr>
          <w:p w14:paraId="4BFF5826" w14:textId="77777777" w:rsidR="00B33542" w:rsidRPr="005071A1" w:rsidRDefault="00B33542" w:rsidP="007A0A31">
            <w:pPr>
              <w:pStyle w:val="TableHeading"/>
              <w:spacing w:before="40" w:after="40" w:line="180" w:lineRule="atLeast"/>
              <w:rPr>
                <w:sz w:val="16"/>
                <w:szCs w:val="16"/>
              </w:rPr>
            </w:pPr>
            <w:r w:rsidRPr="005071A1">
              <w:rPr>
                <w:sz w:val="16"/>
                <w:szCs w:val="16"/>
              </w:rPr>
              <w:t>Contribution for each Additional Two Units where Contributor is already a Contributor for Two or more Units</w:t>
            </w:r>
          </w:p>
        </w:tc>
        <w:tc>
          <w:tcPr>
            <w:tcW w:w="284" w:type="dxa"/>
            <w:tcBorders>
              <w:top w:val="single" w:sz="6" w:space="0" w:color="auto"/>
              <w:bottom w:val="single" w:sz="4" w:space="0" w:color="auto"/>
            </w:tcBorders>
            <w:shd w:val="clear" w:color="auto" w:fill="auto"/>
          </w:tcPr>
          <w:p w14:paraId="1DE577E2" w14:textId="77777777" w:rsidR="00B33542" w:rsidRPr="005071A1" w:rsidRDefault="00B33542" w:rsidP="007A0A31">
            <w:pPr>
              <w:pStyle w:val="TableHeading"/>
              <w:spacing w:before="40" w:after="40" w:line="180" w:lineRule="atLeast"/>
              <w:rPr>
                <w:sz w:val="16"/>
                <w:szCs w:val="16"/>
              </w:rPr>
            </w:pPr>
          </w:p>
        </w:tc>
        <w:tc>
          <w:tcPr>
            <w:tcW w:w="1060" w:type="dxa"/>
            <w:tcBorders>
              <w:top w:val="single" w:sz="6" w:space="0" w:color="auto"/>
              <w:bottom w:val="single" w:sz="4" w:space="0" w:color="auto"/>
            </w:tcBorders>
            <w:shd w:val="clear" w:color="auto" w:fill="auto"/>
          </w:tcPr>
          <w:p w14:paraId="0734D6EC" w14:textId="77777777" w:rsidR="00B33542" w:rsidRPr="005071A1" w:rsidRDefault="00B33542" w:rsidP="007A0A31">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119" w:type="dxa"/>
            <w:tcBorders>
              <w:top w:val="single" w:sz="6" w:space="0" w:color="auto"/>
              <w:bottom w:val="single" w:sz="4" w:space="0" w:color="auto"/>
            </w:tcBorders>
            <w:shd w:val="clear" w:color="auto" w:fill="auto"/>
          </w:tcPr>
          <w:p w14:paraId="1125C998" w14:textId="77777777" w:rsidR="00B33542" w:rsidRPr="005071A1" w:rsidRDefault="00B33542" w:rsidP="007A0A31">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Contribution</w:t>
            </w:r>
            <w:r w:rsidRPr="005071A1">
              <w:rPr>
                <w:sz w:val="16"/>
                <w:szCs w:val="16"/>
              </w:rPr>
              <w:br/>
              <w:t>for First</w:t>
            </w:r>
            <w:r w:rsidRPr="005071A1">
              <w:rPr>
                <w:sz w:val="16"/>
                <w:szCs w:val="16"/>
              </w:rPr>
              <w:br/>
              <w:t>Two Units</w:t>
            </w:r>
          </w:p>
        </w:tc>
        <w:tc>
          <w:tcPr>
            <w:tcW w:w="1326" w:type="dxa"/>
            <w:tcBorders>
              <w:top w:val="single" w:sz="6" w:space="0" w:color="auto"/>
              <w:bottom w:val="single" w:sz="4" w:space="0" w:color="auto"/>
            </w:tcBorders>
            <w:shd w:val="clear" w:color="auto" w:fill="auto"/>
          </w:tcPr>
          <w:p w14:paraId="71B385FC" w14:textId="77777777" w:rsidR="00B33542" w:rsidRPr="005071A1" w:rsidRDefault="00B33542" w:rsidP="007A0A31">
            <w:pPr>
              <w:pStyle w:val="TableHeading"/>
              <w:spacing w:before="40" w:after="40" w:line="180" w:lineRule="atLeast"/>
              <w:rPr>
                <w:sz w:val="16"/>
                <w:szCs w:val="16"/>
              </w:rPr>
            </w:pPr>
            <w:r w:rsidRPr="005071A1">
              <w:rPr>
                <w:sz w:val="16"/>
                <w:szCs w:val="16"/>
              </w:rPr>
              <w:t>Contribution for each Additional Two Units where Contributor is already a Contributor for Two or more Units</w:t>
            </w:r>
          </w:p>
        </w:tc>
      </w:tr>
      <w:tr w:rsidR="00B33542" w:rsidRPr="005071A1" w14:paraId="0B9AA7BE" w14:textId="77777777" w:rsidTr="003D0621">
        <w:trPr>
          <w:tblHeader/>
        </w:trPr>
        <w:tc>
          <w:tcPr>
            <w:tcW w:w="1101" w:type="dxa"/>
            <w:tcBorders>
              <w:top w:val="single" w:sz="4" w:space="0" w:color="auto"/>
              <w:bottom w:val="single" w:sz="12" w:space="0" w:color="auto"/>
            </w:tcBorders>
            <w:shd w:val="clear" w:color="auto" w:fill="auto"/>
          </w:tcPr>
          <w:p w14:paraId="0FF2F89A" w14:textId="77777777" w:rsidR="00B33542" w:rsidRPr="005071A1" w:rsidRDefault="00B33542" w:rsidP="00E12150">
            <w:pPr>
              <w:pStyle w:val="TableHeading"/>
            </w:pPr>
          </w:p>
        </w:tc>
        <w:tc>
          <w:tcPr>
            <w:tcW w:w="1134" w:type="dxa"/>
            <w:tcBorders>
              <w:top w:val="single" w:sz="4" w:space="0" w:color="auto"/>
              <w:bottom w:val="single" w:sz="12" w:space="0" w:color="auto"/>
            </w:tcBorders>
            <w:shd w:val="clear" w:color="auto" w:fill="auto"/>
          </w:tcPr>
          <w:p w14:paraId="7737DAD9" w14:textId="77777777" w:rsidR="00B33542" w:rsidRPr="005071A1" w:rsidRDefault="00B33542" w:rsidP="00E12150">
            <w:pPr>
              <w:pStyle w:val="TableHeading"/>
            </w:pPr>
            <w:r w:rsidRPr="005071A1">
              <w:t>$</w:t>
            </w:r>
          </w:p>
        </w:tc>
        <w:tc>
          <w:tcPr>
            <w:tcW w:w="1275" w:type="dxa"/>
            <w:tcBorders>
              <w:top w:val="single" w:sz="4" w:space="0" w:color="auto"/>
              <w:bottom w:val="single" w:sz="12" w:space="0" w:color="auto"/>
            </w:tcBorders>
            <w:shd w:val="clear" w:color="auto" w:fill="auto"/>
          </w:tcPr>
          <w:p w14:paraId="34D3ABCC" w14:textId="77777777" w:rsidR="00B33542" w:rsidRPr="005071A1" w:rsidRDefault="00B33542" w:rsidP="00E12150">
            <w:pPr>
              <w:pStyle w:val="TableHeading"/>
            </w:pPr>
            <w:r w:rsidRPr="005071A1">
              <w:t>$</w:t>
            </w:r>
          </w:p>
        </w:tc>
        <w:tc>
          <w:tcPr>
            <w:tcW w:w="284" w:type="dxa"/>
            <w:tcBorders>
              <w:top w:val="single" w:sz="4" w:space="0" w:color="auto"/>
              <w:bottom w:val="single" w:sz="12" w:space="0" w:color="auto"/>
            </w:tcBorders>
            <w:shd w:val="clear" w:color="auto" w:fill="auto"/>
          </w:tcPr>
          <w:p w14:paraId="3772796B" w14:textId="77777777" w:rsidR="00B33542" w:rsidRPr="005071A1" w:rsidRDefault="00B33542" w:rsidP="00E12150">
            <w:pPr>
              <w:pStyle w:val="TableHeading"/>
            </w:pPr>
          </w:p>
        </w:tc>
        <w:tc>
          <w:tcPr>
            <w:tcW w:w="1060" w:type="dxa"/>
            <w:tcBorders>
              <w:top w:val="single" w:sz="4" w:space="0" w:color="auto"/>
              <w:bottom w:val="single" w:sz="12" w:space="0" w:color="auto"/>
            </w:tcBorders>
            <w:shd w:val="clear" w:color="auto" w:fill="auto"/>
          </w:tcPr>
          <w:p w14:paraId="3DA8BC36" w14:textId="77777777" w:rsidR="00B33542" w:rsidRPr="005071A1" w:rsidRDefault="00B33542" w:rsidP="00E12150">
            <w:pPr>
              <w:pStyle w:val="TableHeading"/>
            </w:pPr>
          </w:p>
        </w:tc>
        <w:tc>
          <w:tcPr>
            <w:tcW w:w="1119" w:type="dxa"/>
            <w:tcBorders>
              <w:top w:val="single" w:sz="4" w:space="0" w:color="auto"/>
              <w:bottom w:val="single" w:sz="12" w:space="0" w:color="auto"/>
            </w:tcBorders>
            <w:shd w:val="clear" w:color="auto" w:fill="auto"/>
          </w:tcPr>
          <w:p w14:paraId="0D494241" w14:textId="77777777" w:rsidR="00B33542" w:rsidRPr="005071A1" w:rsidRDefault="00B33542" w:rsidP="00E12150">
            <w:pPr>
              <w:pStyle w:val="TableHeading"/>
            </w:pPr>
            <w:r w:rsidRPr="005071A1">
              <w:t>$</w:t>
            </w:r>
          </w:p>
        </w:tc>
        <w:tc>
          <w:tcPr>
            <w:tcW w:w="1326" w:type="dxa"/>
            <w:tcBorders>
              <w:top w:val="single" w:sz="4" w:space="0" w:color="auto"/>
              <w:bottom w:val="single" w:sz="12" w:space="0" w:color="auto"/>
            </w:tcBorders>
            <w:shd w:val="clear" w:color="auto" w:fill="auto"/>
          </w:tcPr>
          <w:p w14:paraId="4E7F7AE6" w14:textId="77777777" w:rsidR="00B33542" w:rsidRPr="005071A1" w:rsidRDefault="00B33542" w:rsidP="00E12150">
            <w:pPr>
              <w:pStyle w:val="TableHeading"/>
            </w:pPr>
            <w:r w:rsidRPr="005071A1">
              <w:t>$</w:t>
            </w:r>
          </w:p>
        </w:tc>
      </w:tr>
      <w:tr w:rsidR="00B33542" w:rsidRPr="005071A1" w14:paraId="4F937DF5" w14:textId="77777777" w:rsidTr="00E12150">
        <w:tc>
          <w:tcPr>
            <w:tcW w:w="1101" w:type="dxa"/>
            <w:tcBorders>
              <w:top w:val="single" w:sz="12" w:space="0" w:color="auto"/>
            </w:tcBorders>
            <w:shd w:val="clear" w:color="auto" w:fill="auto"/>
          </w:tcPr>
          <w:p w14:paraId="4721E3DD" w14:textId="77777777" w:rsidR="00B33542" w:rsidRPr="005071A1" w:rsidRDefault="00B33542" w:rsidP="009B7AF5">
            <w:pPr>
              <w:pStyle w:val="Tabletext"/>
            </w:pPr>
            <w:r w:rsidRPr="005071A1">
              <w:t>15</w:t>
            </w:r>
          </w:p>
        </w:tc>
        <w:tc>
          <w:tcPr>
            <w:tcW w:w="1134" w:type="dxa"/>
            <w:tcBorders>
              <w:top w:val="single" w:sz="12" w:space="0" w:color="auto"/>
            </w:tcBorders>
            <w:shd w:val="clear" w:color="auto" w:fill="auto"/>
          </w:tcPr>
          <w:p w14:paraId="7A2F65D4" w14:textId="77777777" w:rsidR="00B33542" w:rsidRPr="005071A1" w:rsidRDefault="00B33542" w:rsidP="009B7AF5">
            <w:pPr>
              <w:pStyle w:val="Tabletext"/>
            </w:pPr>
            <w:r w:rsidRPr="005071A1">
              <w:t>0.22</w:t>
            </w:r>
          </w:p>
        </w:tc>
        <w:tc>
          <w:tcPr>
            <w:tcW w:w="1275" w:type="dxa"/>
            <w:tcBorders>
              <w:top w:val="single" w:sz="12" w:space="0" w:color="auto"/>
            </w:tcBorders>
            <w:shd w:val="clear" w:color="auto" w:fill="auto"/>
          </w:tcPr>
          <w:p w14:paraId="07628056" w14:textId="77777777" w:rsidR="00B33542" w:rsidRPr="005071A1" w:rsidRDefault="00B33542" w:rsidP="009B7AF5">
            <w:pPr>
              <w:pStyle w:val="Tabletext"/>
            </w:pPr>
            <w:r w:rsidRPr="005071A1">
              <w:t>0.20</w:t>
            </w:r>
          </w:p>
        </w:tc>
        <w:tc>
          <w:tcPr>
            <w:tcW w:w="284" w:type="dxa"/>
            <w:tcBorders>
              <w:top w:val="single" w:sz="12" w:space="0" w:color="auto"/>
            </w:tcBorders>
            <w:shd w:val="clear" w:color="auto" w:fill="auto"/>
          </w:tcPr>
          <w:p w14:paraId="68E222B4" w14:textId="77777777" w:rsidR="00B33542" w:rsidRPr="005071A1" w:rsidRDefault="00B33542" w:rsidP="009B7AF5">
            <w:pPr>
              <w:pStyle w:val="Tabletext"/>
            </w:pPr>
          </w:p>
        </w:tc>
        <w:tc>
          <w:tcPr>
            <w:tcW w:w="1060" w:type="dxa"/>
            <w:tcBorders>
              <w:top w:val="single" w:sz="12" w:space="0" w:color="auto"/>
            </w:tcBorders>
            <w:shd w:val="clear" w:color="auto" w:fill="auto"/>
          </w:tcPr>
          <w:p w14:paraId="465A4DD3" w14:textId="77777777" w:rsidR="00B33542" w:rsidRPr="005071A1" w:rsidRDefault="00B33542" w:rsidP="009B7AF5">
            <w:pPr>
              <w:pStyle w:val="Tabletext"/>
            </w:pPr>
          </w:p>
        </w:tc>
        <w:tc>
          <w:tcPr>
            <w:tcW w:w="1119" w:type="dxa"/>
            <w:tcBorders>
              <w:top w:val="single" w:sz="12" w:space="0" w:color="auto"/>
            </w:tcBorders>
            <w:shd w:val="clear" w:color="auto" w:fill="auto"/>
          </w:tcPr>
          <w:p w14:paraId="116869DA" w14:textId="77777777" w:rsidR="00B33542" w:rsidRPr="005071A1" w:rsidRDefault="00B33542" w:rsidP="009B7AF5">
            <w:pPr>
              <w:pStyle w:val="Tabletext"/>
            </w:pPr>
          </w:p>
        </w:tc>
        <w:tc>
          <w:tcPr>
            <w:tcW w:w="1326" w:type="dxa"/>
            <w:tcBorders>
              <w:top w:val="single" w:sz="12" w:space="0" w:color="auto"/>
            </w:tcBorders>
            <w:shd w:val="clear" w:color="auto" w:fill="auto"/>
          </w:tcPr>
          <w:p w14:paraId="6DB18DA2" w14:textId="77777777" w:rsidR="00B33542" w:rsidRPr="005071A1" w:rsidRDefault="00B33542" w:rsidP="009B7AF5">
            <w:pPr>
              <w:pStyle w:val="Tabletext"/>
            </w:pPr>
          </w:p>
        </w:tc>
      </w:tr>
      <w:tr w:rsidR="00B33542" w:rsidRPr="005071A1" w14:paraId="4C3F7F2E" w14:textId="77777777" w:rsidTr="00B039CA">
        <w:tc>
          <w:tcPr>
            <w:tcW w:w="1101" w:type="dxa"/>
            <w:shd w:val="clear" w:color="auto" w:fill="auto"/>
          </w:tcPr>
          <w:p w14:paraId="6853EE74" w14:textId="77777777" w:rsidR="00B33542" w:rsidRPr="005071A1" w:rsidRDefault="00B33542" w:rsidP="009B7AF5">
            <w:pPr>
              <w:pStyle w:val="Tabletext"/>
            </w:pPr>
            <w:r w:rsidRPr="005071A1">
              <w:t>16</w:t>
            </w:r>
          </w:p>
        </w:tc>
        <w:tc>
          <w:tcPr>
            <w:tcW w:w="1134" w:type="dxa"/>
            <w:shd w:val="clear" w:color="auto" w:fill="auto"/>
          </w:tcPr>
          <w:p w14:paraId="76EFB8CC" w14:textId="77777777" w:rsidR="00B33542" w:rsidRPr="005071A1" w:rsidRDefault="00B33542" w:rsidP="009B7AF5">
            <w:pPr>
              <w:pStyle w:val="Tabletext"/>
            </w:pPr>
            <w:r w:rsidRPr="005071A1">
              <w:t>0.22</w:t>
            </w:r>
          </w:p>
        </w:tc>
        <w:tc>
          <w:tcPr>
            <w:tcW w:w="1275" w:type="dxa"/>
            <w:shd w:val="clear" w:color="auto" w:fill="auto"/>
          </w:tcPr>
          <w:p w14:paraId="65915016" w14:textId="77777777" w:rsidR="00B33542" w:rsidRPr="005071A1" w:rsidRDefault="00B33542" w:rsidP="009B7AF5">
            <w:pPr>
              <w:pStyle w:val="Tabletext"/>
            </w:pPr>
            <w:r w:rsidRPr="005071A1">
              <w:t>0.20</w:t>
            </w:r>
          </w:p>
        </w:tc>
        <w:tc>
          <w:tcPr>
            <w:tcW w:w="284" w:type="dxa"/>
            <w:shd w:val="clear" w:color="auto" w:fill="auto"/>
          </w:tcPr>
          <w:p w14:paraId="12BA3E14" w14:textId="77777777" w:rsidR="00B33542" w:rsidRPr="005071A1" w:rsidRDefault="00B33542" w:rsidP="009B7AF5">
            <w:pPr>
              <w:pStyle w:val="Tabletext"/>
            </w:pPr>
          </w:p>
        </w:tc>
        <w:tc>
          <w:tcPr>
            <w:tcW w:w="1060" w:type="dxa"/>
            <w:shd w:val="clear" w:color="auto" w:fill="auto"/>
          </w:tcPr>
          <w:p w14:paraId="0DEC2FD4" w14:textId="77777777" w:rsidR="00B33542" w:rsidRPr="005071A1" w:rsidRDefault="00B33542" w:rsidP="009B7AF5">
            <w:pPr>
              <w:pStyle w:val="Tabletext"/>
            </w:pPr>
            <w:r w:rsidRPr="005071A1">
              <w:t>41</w:t>
            </w:r>
          </w:p>
        </w:tc>
        <w:tc>
          <w:tcPr>
            <w:tcW w:w="1119" w:type="dxa"/>
            <w:shd w:val="clear" w:color="auto" w:fill="auto"/>
          </w:tcPr>
          <w:p w14:paraId="38F39216" w14:textId="77777777" w:rsidR="00B33542" w:rsidRPr="005071A1" w:rsidRDefault="00B33542" w:rsidP="009B7AF5">
            <w:pPr>
              <w:pStyle w:val="Tabletext"/>
            </w:pPr>
            <w:r w:rsidRPr="005071A1">
              <w:t>0.76</w:t>
            </w:r>
          </w:p>
        </w:tc>
        <w:tc>
          <w:tcPr>
            <w:tcW w:w="1326" w:type="dxa"/>
            <w:shd w:val="clear" w:color="auto" w:fill="auto"/>
          </w:tcPr>
          <w:p w14:paraId="73382710" w14:textId="77777777" w:rsidR="00B33542" w:rsidRPr="005071A1" w:rsidRDefault="00B33542" w:rsidP="009B7AF5">
            <w:pPr>
              <w:pStyle w:val="Tabletext"/>
            </w:pPr>
            <w:r w:rsidRPr="005071A1">
              <w:t>0.68</w:t>
            </w:r>
          </w:p>
        </w:tc>
      </w:tr>
      <w:tr w:rsidR="00B33542" w:rsidRPr="005071A1" w14:paraId="0F7660FC" w14:textId="77777777" w:rsidTr="00B039CA">
        <w:tc>
          <w:tcPr>
            <w:tcW w:w="1101" w:type="dxa"/>
            <w:shd w:val="clear" w:color="auto" w:fill="auto"/>
          </w:tcPr>
          <w:p w14:paraId="3AFEF6FB" w14:textId="77777777" w:rsidR="00B33542" w:rsidRPr="005071A1" w:rsidRDefault="00B33542" w:rsidP="009B7AF5">
            <w:pPr>
              <w:pStyle w:val="Tabletext"/>
            </w:pPr>
            <w:r w:rsidRPr="005071A1">
              <w:t>17</w:t>
            </w:r>
          </w:p>
        </w:tc>
        <w:tc>
          <w:tcPr>
            <w:tcW w:w="1134" w:type="dxa"/>
            <w:shd w:val="clear" w:color="auto" w:fill="auto"/>
          </w:tcPr>
          <w:p w14:paraId="6255CAE8" w14:textId="77777777" w:rsidR="00B33542" w:rsidRPr="005071A1" w:rsidRDefault="00B33542" w:rsidP="009B7AF5">
            <w:pPr>
              <w:pStyle w:val="Tabletext"/>
            </w:pPr>
            <w:r w:rsidRPr="005071A1">
              <w:t>0.24</w:t>
            </w:r>
          </w:p>
        </w:tc>
        <w:tc>
          <w:tcPr>
            <w:tcW w:w="1275" w:type="dxa"/>
            <w:shd w:val="clear" w:color="auto" w:fill="auto"/>
          </w:tcPr>
          <w:p w14:paraId="10560A50" w14:textId="77777777" w:rsidR="00B33542" w:rsidRPr="005071A1" w:rsidRDefault="00B33542" w:rsidP="009B7AF5">
            <w:pPr>
              <w:pStyle w:val="Tabletext"/>
            </w:pPr>
            <w:r w:rsidRPr="005071A1">
              <w:t>0.22</w:t>
            </w:r>
          </w:p>
        </w:tc>
        <w:tc>
          <w:tcPr>
            <w:tcW w:w="284" w:type="dxa"/>
            <w:shd w:val="clear" w:color="auto" w:fill="auto"/>
          </w:tcPr>
          <w:p w14:paraId="4FD66558" w14:textId="77777777" w:rsidR="00B33542" w:rsidRPr="005071A1" w:rsidRDefault="00B33542" w:rsidP="009B7AF5">
            <w:pPr>
              <w:pStyle w:val="Tabletext"/>
            </w:pPr>
          </w:p>
        </w:tc>
        <w:tc>
          <w:tcPr>
            <w:tcW w:w="1060" w:type="dxa"/>
            <w:shd w:val="clear" w:color="auto" w:fill="auto"/>
          </w:tcPr>
          <w:p w14:paraId="6EFAC957" w14:textId="77777777" w:rsidR="00B33542" w:rsidRPr="005071A1" w:rsidRDefault="00B33542" w:rsidP="009B7AF5">
            <w:pPr>
              <w:pStyle w:val="Tabletext"/>
            </w:pPr>
            <w:r w:rsidRPr="005071A1">
              <w:t>42</w:t>
            </w:r>
          </w:p>
        </w:tc>
        <w:tc>
          <w:tcPr>
            <w:tcW w:w="1119" w:type="dxa"/>
            <w:shd w:val="clear" w:color="auto" w:fill="auto"/>
          </w:tcPr>
          <w:p w14:paraId="260B0FC9" w14:textId="77777777" w:rsidR="00B33542" w:rsidRPr="005071A1" w:rsidRDefault="00B33542" w:rsidP="009B7AF5">
            <w:pPr>
              <w:pStyle w:val="Tabletext"/>
            </w:pPr>
            <w:r w:rsidRPr="005071A1">
              <w:t>0.80</w:t>
            </w:r>
          </w:p>
        </w:tc>
        <w:tc>
          <w:tcPr>
            <w:tcW w:w="1326" w:type="dxa"/>
            <w:shd w:val="clear" w:color="auto" w:fill="auto"/>
          </w:tcPr>
          <w:p w14:paraId="11694B31" w14:textId="77777777" w:rsidR="00B33542" w:rsidRPr="005071A1" w:rsidRDefault="00B33542" w:rsidP="009B7AF5">
            <w:pPr>
              <w:pStyle w:val="Tabletext"/>
            </w:pPr>
            <w:r w:rsidRPr="005071A1">
              <w:t>0.72</w:t>
            </w:r>
          </w:p>
        </w:tc>
      </w:tr>
      <w:tr w:rsidR="00B33542" w:rsidRPr="005071A1" w14:paraId="1FD3A918" w14:textId="77777777" w:rsidTr="00B039CA">
        <w:tc>
          <w:tcPr>
            <w:tcW w:w="1101" w:type="dxa"/>
            <w:shd w:val="clear" w:color="auto" w:fill="auto"/>
          </w:tcPr>
          <w:p w14:paraId="4B735047" w14:textId="77777777" w:rsidR="00B33542" w:rsidRPr="005071A1" w:rsidRDefault="00B33542" w:rsidP="009B7AF5">
            <w:pPr>
              <w:pStyle w:val="Tabletext"/>
            </w:pPr>
            <w:r w:rsidRPr="005071A1">
              <w:t>18</w:t>
            </w:r>
          </w:p>
        </w:tc>
        <w:tc>
          <w:tcPr>
            <w:tcW w:w="1134" w:type="dxa"/>
            <w:shd w:val="clear" w:color="auto" w:fill="auto"/>
          </w:tcPr>
          <w:p w14:paraId="21DB9E7E" w14:textId="77777777" w:rsidR="00B33542" w:rsidRPr="005071A1" w:rsidRDefault="00B33542" w:rsidP="009B7AF5">
            <w:pPr>
              <w:pStyle w:val="Tabletext"/>
            </w:pPr>
            <w:r w:rsidRPr="005071A1">
              <w:t>0.26</w:t>
            </w:r>
          </w:p>
        </w:tc>
        <w:tc>
          <w:tcPr>
            <w:tcW w:w="1275" w:type="dxa"/>
            <w:shd w:val="clear" w:color="auto" w:fill="auto"/>
          </w:tcPr>
          <w:p w14:paraId="015C146E" w14:textId="77777777" w:rsidR="00B33542" w:rsidRPr="005071A1" w:rsidRDefault="00B33542" w:rsidP="009B7AF5">
            <w:pPr>
              <w:pStyle w:val="Tabletext"/>
            </w:pPr>
            <w:r w:rsidRPr="005071A1">
              <w:t>0.22</w:t>
            </w:r>
          </w:p>
        </w:tc>
        <w:tc>
          <w:tcPr>
            <w:tcW w:w="284" w:type="dxa"/>
            <w:shd w:val="clear" w:color="auto" w:fill="auto"/>
          </w:tcPr>
          <w:p w14:paraId="44886C78" w14:textId="77777777" w:rsidR="00B33542" w:rsidRPr="005071A1" w:rsidRDefault="00B33542" w:rsidP="009B7AF5">
            <w:pPr>
              <w:pStyle w:val="Tabletext"/>
            </w:pPr>
          </w:p>
        </w:tc>
        <w:tc>
          <w:tcPr>
            <w:tcW w:w="1060" w:type="dxa"/>
            <w:shd w:val="clear" w:color="auto" w:fill="auto"/>
          </w:tcPr>
          <w:p w14:paraId="40B60D63" w14:textId="77777777" w:rsidR="00B33542" w:rsidRPr="005071A1" w:rsidRDefault="00B33542" w:rsidP="009B7AF5">
            <w:pPr>
              <w:pStyle w:val="Tabletext"/>
            </w:pPr>
            <w:r w:rsidRPr="005071A1">
              <w:t>43</w:t>
            </w:r>
          </w:p>
        </w:tc>
        <w:tc>
          <w:tcPr>
            <w:tcW w:w="1119" w:type="dxa"/>
            <w:shd w:val="clear" w:color="auto" w:fill="auto"/>
          </w:tcPr>
          <w:p w14:paraId="232C7372" w14:textId="77777777" w:rsidR="00B33542" w:rsidRPr="005071A1" w:rsidRDefault="00B33542" w:rsidP="009B7AF5">
            <w:pPr>
              <w:pStyle w:val="Tabletext"/>
            </w:pPr>
            <w:r w:rsidRPr="005071A1">
              <w:t>0.84</w:t>
            </w:r>
          </w:p>
        </w:tc>
        <w:tc>
          <w:tcPr>
            <w:tcW w:w="1326" w:type="dxa"/>
            <w:shd w:val="clear" w:color="auto" w:fill="auto"/>
          </w:tcPr>
          <w:p w14:paraId="7B55A624" w14:textId="77777777" w:rsidR="00B33542" w:rsidRPr="005071A1" w:rsidRDefault="00B33542" w:rsidP="009B7AF5">
            <w:pPr>
              <w:pStyle w:val="Tabletext"/>
            </w:pPr>
            <w:r w:rsidRPr="005071A1">
              <w:t>0.78</w:t>
            </w:r>
          </w:p>
        </w:tc>
      </w:tr>
      <w:tr w:rsidR="00B33542" w:rsidRPr="005071A1" w14:paraId="77369CDD" w14:textId="77777777" w:rsidTr="00B039CA">
        <w:tc>
          <w:tcPr>
            <w:tcW w:w="1101" w:type="dxa"/>
            <w:shd w:val="clear" w:color="auto" w:fill="auto"/>
          </w:tcPr>
          <w:p w14:paraId="160AB47F" w14:textId="77777777" w:rsidR="00B33542" w:rsidRPr="005071A1" w:rsidRDefault="00B33542" w:rsidP="009B7AF5">
            <w:pPr>
              <w:pStyle w:val="Tabletext"/>
            </w:pPr>
            <w:r w:rsidRPr="005071A1">
              <w:t>19</w:t>
            </w:r>
          </w:p>
        </w:tc>
        <w:tc>
          <w:tcPr>
            <w:tcW w:w="1134" w:type="dxa"/>
            <w:shd w:val="clear" w:color="auto" w:fill="auto"/>
          </w:tcPr>
          <w:p w14:paraId="33BB1726" w14:textId="77777777" w:rsidR="00B33542" w:rsidRPr="005071A1" w:rsidRDefault="00B33542" w:rsidP="009B7AF5">
            <w:pPr>
              <w:pStyle w:val="Tabletext"/>
            </w:pPr>
            <w:r w:rsidRPr="005071A1">
              <w:t>0.26</w:t>
            </w:r>
          </w:p>
        </w:tc>
        <w:tc>
          <w:tcPr>
            <w:tcW w:w="1275" w:type="dxa"/>
            <w:shd w:val="clear" w:color="auto" w:fill="auto"/>
          </w:tcPr>
          <w:p w14:paraId="2B73CA53" w14:textId="77777777" w:rsidR="00B33542" w:rsidRPr="005071A1" w:rsidRDefault="00B33542" w:rsidP="009B7AF5">
            <w:pPr>
              <w:pStyle w:val="Tabletext"/>
            </w:pPr>
            <w:r w:rsidRPr="005071A1">
              <w:t>0.24</w:t>
            </w:r>
          </w:p>
        </w:tc>
        <w:tc>
          <w:tcPr>
            <w:tcW w:w="284" w:type="dxa"/>
            <w:shd w:val="clear" w:color="auto" w:fill="auto"/>
          </w:tcPr>
          <w:p w14:paraId="14258A80" w14:textId="77777777" w:rsidR="00B33542" w:rsidRPr="005071A1" w:rsidRDefault="00B33542" w:rsidP="009B7AF5">
            <w:pPr>
              <w:pStyle w:val="Tabletext"/>
            </w:pPr>
          </w:p>
        </w:tc>
        <w:tc>
          <w:tcPr>
            <w:tcW w:w="1060" w:type="dxa"/>
            <w:shd w:val="clear" w:color="auto" w:fill="auto"/>
          </w:tcPr>
          <w:p w14:paraId="7F3F1AC0" w14:textId="77777777" w:rsidR="00B33542" w:rsidRPr="005071A1" w:rsidRDefault="00B33542" w:rsidP="009B7AF5">
            <w:pPr>
              <w:pStyle w:val="Tabletext"/>
            </w:pPr>
            <w:r w:rsidRPr="005071A1">
              <w:t>44</w:t>
            </w:r>
          </w:p>
        </w:tc>
        <w:tc>
          <w:tcPr>
            <w:tcW w:w="1119" w:type="dxa"/>
            <w:shd w:val="clear" w:color="auto" w:fill="auto"/>
          </w:tcPr>
          <w:p w14:paraId="32F2382E" w14:textId="77777777" w:rsidR="00B33542" w:rsidRPr="005071A1" w:rsidRDefault="00B33542" w:rsidP="009B7AF5">
            <w:pPr>
              <w:pStyle w:val="Tabletext"/>
            </w:pPr>
            <w:r w:rsidRPr="005071A1">
              <w:t>0.88</w:t>
            </w:r>
          </w:p>
        </w:tc>
        <w:tc>
          <w:tcPr>
            <w:tcW w:w="1326" w:type="dxa"/>
            <w:shd w:val="clear" w:color="auto" w:fill="auto"/>
          </w:tcPr>
          <w:p w14:paraId="1161FD14" w14:textId="77777777" w:rsidR="00B33542" w:rsidRPr="005071A1" w:rsidRDefault="00B33542" w:rsidP="009B7AF5">
            <w:pPr>
              <w:pStyle w:val="Tabletext"/>
            </w:pPr>
            <w:r w:rsidRPr="005071A1">
              <w:t>0.82</w:t>
            </w:r>
          </w:p>
        </w:tc>
      </w:tr>
      <w:tr w:rsidR="00B33542" w:rsidRPr="005071A1" w14:paraId="0A5F3E0B" w14:textId="77777777" w:rsidTr="00B039CA">
        <w:tc>
          <w:tcPr>
            <w:tcW w:w="1101" w:type="dxa"/>
            <w:shd w:val="clear" w:color="auto" w:fill="auto"/>
          </w:tcPr>
          <w:p w14:paraId="052CB7C2" w14:textId="77777777" w:rsidR="00B33542" w:rsidRPr="005071A1" w:rsidRDefault="00B33542" w:rsidP="009B7AF5">
            <w:pPr>
              <w:pStyle w:val="Tabletext"/>
            </w:pPr>
            <w:r w:rsidRPr="005071A1">
              <w:t>20</w:t>
            </w:r>
          </w:p>
        </w:tc>
        <w:tc>
          <w:tcPr>
            <w:tcW w:w="1134" w:type="dxa"/>
            <w:shd w:val="clear" w:color="auto" w:fill="auto"/>
          </w:tcPr>
          <w:p w14:paraId="1F924F7E" w14:textId="77777777" w:rsidR="00B33542" w:rsidRPr="005071A1" w:rsidRDefault="00B33542" w:rsidP="009B7AF5">
            <w:pPr>
              <w:pStyle w:val="Tabletext"/>
            </w:pPr>
            <w:r w:rsidRPr="005071A1">
              <w:t>0.28</w:t>
            </w:r>
          </w:p>
        </w:tc>
        <w:tc>
          <w:tcPr>
            <w:tcW w:w="1275" w:type="dxa"/>
            <w:shd w:val="clear" w:color="auto" w:fill="auto"/>
          </w:tcPr>
          <w:p w14:paraId="4B004939" w14:textId="77777777" w:rsidR="00B33542" w:rsidRPr="005071A1" w:rsidRDefault="00B33542" w:rsidP="009B7AF5">
            <w:pPr>
              <w:pStyle w:val="Tabletext"/>
            </w:pPr>
            <w:r w:rsidRPr="005071A1">
              <w:t>0.24</w:t>
            </w:r>
          </w:p>
        </w:tc>
        <w:tc>
          <w:tcPr>
            <w:tcW w:w="284" w:type="dxa"/>
            <w:shd w:val="clear" w:color="auto" w:fill="auto"/>
          </w:tcPr>
          <w:p w14:paraId="6505EF3D" w14:textId="77777777" w:rsidR="00B33542" w:rsidRPr="005071A1" w:rsidRDefault="00B33542" w:rsidP="009B7AF5">
            <w:pPr>
              <w:pStyle w:val="Tabletext"/>
            </w:pPr>
          </w:p>
        </w:tc>
        <w:tc>
          <w:tcPr>
            <w:tcW w:w="1060" w:type="dxa"/>
            <w:shd w:val="clear" w:color="auto" w:fill="auto"/>
          </w:tcPr>
          <w:p w14:paraId="2FB7E7B4" w14:textId="77777777" w:rsidR="00B33542" w:rsidRPr="005071A1" w:rsidRDefault="00B33542" w:rsidP="009B7AF5">
            <w:pPr>
              <w:pStyle w:val="Tabletext"/>
            </w:pPr>
            <w:r w:rsidRPr="005071A1">
              <w:t>45</w:t>
            </w:r>
          </w:p>
        </w:tc>
        <w:tc>
          <w:tcPr>
            <w:tcW w:w="1119" w:type="dxa"/>
            <w:shd w:val="clear" w:color="auto" w:fill="auto"/>
          </w:tcPr>
          <w:p w14:paraId="3D40B77D" w14:textId="77777777" w:rsidR="00B33542" w:rsidRPr="005071A1" w:rsidRDefault="00B33542" w:rsidP="009B7AF5">
            <w:pPr>
              <w:pStyle w:val="Tabletext"/>
            </w:pPr>
            <w:r w:rsidRPr="005071A1">
              <w:t>0.92</w:t>
            </w:r>
          </w:p>
        </w:tc>
        <w:tc>
          <w:tcPr>
            <w:tcW w:w="1326" w:type="dxa"/>
            <w:shd w:val="clear" w:color="auto" w:fill="auto"/>
          </w:tcPr>
          <w:p w14:paraId="76CBFABE" w14:textId="77777777" w:rsidR="00B33542" w:rsidRPr="005071A1" w:rsidRDefault="00B33542" w:rsidP="009B7AF5">
            <w:pPr>
              <w:pStyle w:val="Tabletext"/>
            </w:pPr>
            <w:r w:rsidRPr="005071A1">
              <w:t>0.86</w:t>
            </w:r>
          </w:p>
        </w:tc>
      </w:tr>
      <w:tr w:rsidR="00B33542" w:rsidRPr="005071A1" w14:paraId="06AFFAB1" w14:textId="77777777" w:rsidTr="00B039CA">
        <w:tc>
          <w:tcPr>
            <w:tcW w:w="1101" w:type="dxa"/>
            <w:shd w:val="clear" w:color="auto" w:fill="auto"/>
          </w:tcPr>
          <w:p w14:paraId="02DBD895" w14:textId="77777777" w:rsidR="00B33542" w:rsidRPr="005071A1" w:rsidRDefault="00B33542" w:rsidP="009B7AF5">
            <w:pPr>
              <w:pStyle w:val="Tabletext"/>
            </w:pPr>
            <w:r w:rsidRPr="005071A1">
              <w:t>21</w:t>
            </w:r>
          </w:p>
        </w:tc>
        <w:tc>
          <w:tcPr>
            <w:tcW w:w="1134" w:type="dxa"/>
            <w:shd w:val="clear" w:color="auto" w:fill="auto"/>
          </w:tcPr>
          <w:p w14:paraId="47108287" w14:textId="77777777" w:rsidR="00B33542" w:rsidRPr="005071A1" w:rsidRDefault="00B33542" w:rsidP="009B7AF5">
            <w:pPr>
              <w:pStyle w:val="Tabletext"/>
            </w:pPr>
            <w:r w:rsidRPr="005071A1">
              <w:t>0.30</w:t>
            </w:r>
          </w:p>
        </w:tc>
        <w:tc>
          <w:tcPr>
            <w:tcW w:w="1275" w:type="dxa"/>
            <w:shd w:val="clear" w:color="auto" w:fill="auto"/>
          </w:tcPr>
          <w:p w14:paraId="5F6C49F0" w14:textId="77777777" w:rsidR="00B33542" w:rsidRPr="005071A1" w:rsidRDefault="00B33542" w:rsidP="009B7AF5">
            <w:pPr>
              <w:pStyle w:val="Tabletext"/>
            </w:pPr>
            <w:r w:rsidRPr="005071A1">
              <w:t>0.26</w:t>
            </w:r>
          </w:p>
        </w:tc>
        <w:tc>
          <w:tcPr>
            <w:tcW w:w="284" w:type="dxa"/>
            <w:shd w:val="clear" w:color="auto" w:fill="auto"/>
          </w:tcPr>
          <w:p w14:paraId="585D6550" w14:textId="77777777" w:rsidR="00B33542" w:rsidRPr="005071A1" w:rsidRDefault="00B33542" w:rsidP="009B7AF5">
            <w:pPr>
              <w:pStyle w:val="Tabletext"/>
            </w:pPr>
          </w:p>
        </w:tc>
        <w:tc>
          <w:tcPr>
            <w:tcW w:w="1060" w:type="dxa"/>
            <w:shd w:val="clear" w:color="auto" w:fill="auto"/>
          </w:tcPr>
          <w:p w14:paraId="120481D6" w14:textId="77777777" w:rsidR="00B33542" w:rsidRPr="005071A1" w:rsidRDefault="00B33542" w:rsidP="009B7AF5">
            <w:pPr>
              <w:pStyle w:val="Tabletext"/>
            </w:pPr>
            <w:r w:rsidRPr="005071A1">
              <w:t>46</w:t>
            </w:r>
          </w:p>
        </w:tc>
        <w:tc>
          <w:tcPr>
            <w:tcW w:w="1119" w:type="dxa"/>
            <w:shd w:val="clear" w:color="auto" w:fill="auto"/>
          </w:tcPr>
          <w:p w14:paraId="51F5A510" w14:textId="77777777" w:rsidR="00B33542" w:rsidRPr="005071A1" w:rsidRDefault="00B33542" w:rsidP="009B7AF5">
            <w:pPr>
              <w:pStyle w:val="Tabletext"/>
            </w:pPr>
            <w:r w:rsidRPr="005071A1">
              <w:t>0.98</w:t>
            </w:r>
          </w:p>
        </w:tc>
        <w:tc>
          <w:tcPr>
            <w:tcW w:w="1326" w:type="dxa"/>
            <w:shd w:val="clear" w:color="auto" w:fill="auto"/>
          </w:tcPr>
          <w:p w14:paraId="57CA4B1A" w14:textId="77777777" w:rsidR="00B33542" w:rsidRPr="005071A1" w:rsidRDefault="00B33542" w:rsidP="009B7AF5">
            <w:pPr>
              <w:pStyle w:val="Tabletext"/>
            </w:pPr>
            <w:r w:rsidRPr="005071A1">
              <w:t>0.92</w:t>
            </w:r>
          </w:p>
        </w:tc>
      </w:tr>
      <w:tr w:rsidR="00B33542" w:rsidRPr="005071A1" w14:paraId="2ACA05D2" w14:textId="77777777" w:rsidTr="00B039CA">
        <w:tc>
          <w:tcPr>
            <w:tcW w:w="1101" w:type="dxa"/>
            <w:shd w:val="clear" w:color="auto" w:fill="auto"/>
          </w:tcPr>
          <w:p w14:paraId="28310E67" w14:textId="77777777" w:rsidR="00B33542" w:rsidRPr="005071A1" w:rsidRDefault="00B33542" w:rsidP="009B7AF5">
            <w:pPr>
              <w:pStyle w:val="Tabletext"/>
            </w:pPr>
            <w:r w:rsidRPr="005071A1">
              <w:t>22</w:t>
            </w:r>
          </w:p>
        </w:tc>
        <w:tc>
          <w:tcPr>
            <w:tcW w:w="1134" w:type="dxa"/>
            <w:shd w:val="clear" w:color="auto" w:fill="auto"/>
          </w:tcPr>
          <w:p w14:paraId="7D023E6F" w14:textId="77777777" w:rsidR="00B33542" w:rsidRPr="005071A1" w:rsidRDefault="00B33542" w:rsidP="009B7AF5">
            <w:pPr>
              <w:pStyle w:val="Tabletext"/>
            </w:pPr>
            <w:r w:rsidRPr="005071A1">
              <w:t>0.32</w:t>
            </w:r>
          </w:p>
        </w:tc>
        <w:tc>
          <w:tcPr>
            <w:tcW w:w="1275" w:type="dxa"/>
            <w:shd w:val="clear" w:color="auto" w:fill="auto"/>
          </w:tcPr>
          <w:p w14:paraId="5A22314B" w14:textId="77777777" w:rsidR="00B33542" w:rsidRPr="005071A1" w:rsidRDefault="00B33542" w:rsidP="009B7AF5">
            <w:pPr>
              <w:pStyle w:val="Tabletext"/>
            </w:pPr>
            <w:r w:rsidRPr="005071A1">
              <w:t>0.28</w:t>
            </w:r>
          </w:p>
        </w:tc>
        <w:tc>
          <w:tcPr>
            <w:tcW w:w="284" w:type="dxa"/>
            <w:shd w:val="clear" w:color="auto" w:fill="auto"/>
          </w:tcPr>
          <w:p w14:paraId="6CC9E595" w14:textId="77777777" w:rsidR="00B33542" w:rsidRPr="005071A1" w:rsidRDefault="00B33542" w:rsidP="009B7AF5">
            <w:pPr>
              <w:pStyle w:val="Tabletext"/>
            </w:pPr>
          </w:p>
        </w:tc>
        <w:tc>
          <w:tcPr>
            <w:tcW w:w="1060" w:type="dxa"/>
            <w:shd w:val="clear" w:color="auto" w:fill="auto"/>
          </w:tcPr>
          <w:p w14:paraId="18796F15" w14:textId="77777777" w:rsidR="00B33542" w:rsidRPr="005071A1" w:rsidRDefault="00B33542" w:rsidP="009B7AF5">
            <w:pPr>
              <w:pStyle w:val="Tabletext"/>
            </w:pPr>
            <w:r w:rsidRPr="005071A1">
              <w:t>47</w:t>
            </w:r>
          </w:p>
        </w:tc>
        <w:tc>
          <w:tcPr>
            <w:tcW w:w="1119" w:type="dxa"/>
            <w:shd w:val="clear" w:color="auto" w:fill="auto"/>
          </w:tcPr>
          <w:p w14:paraId="05A7261D" w14:textId="77777777" w:rsidR="00B33542" w:rsidRPr="005071A1" w:rsidRDefault="00B33542" w:rsidP="009B7AF5">
            <w:pPr>
              <w:pStyle w:val="Tabletext"/>
            </w:pPr>
            <w:r w:rsidRPr="005071A1">
              <w:t>1.04</w:t>
            </w:r>
          </w:p>
        </w:tc>
        <w:tc>
          <w:tcPr>
            <w:tcW w:w="1326" w:type="dxa"/>
            <w:shd w:val="clear" w:color="auto" w:fill="auto"/>
          </w:tcPr>
          <w:p w14:paraId="786DE3D3" w14:textId="77777777" w:rsidR="00B33542" w:rsidRPr="005071A1" w:rsidRDefault="00B33542" w:rsidP="009B7AF5">
            <w:pPr>
              <w:pStyle w:val="Tabletext"/>
            </w:pPr>
            <w:r w:rsidRPr="005071A1">
              <w:t>0.98</w:t>
            </w:r>
          </w:p>
        </w:tc>
      </w:tr>
      <w:tr w:rsidR="00B33542" w:rsidRPr="005071A1" w14:paraId="0454EDA1" w14:textId="77777777" w:rsidTr="00B039CA">
        <w:tc>
          <w:tcPr>
            <w:tcW w:w="1101" w:type="dxa"/>
            <w:shd w:val="clear" w:color="auto" w:fill="auto"/>
          </w:tcPr>
          <w:p w14:paraId="234E1FFC" w14:textId="77777777" w:rsidR="00B33542" w:rsidRPr="005071A1" w:rsidRDefault="00B33542" w:rsidP="009B7AF5">
            <w:pPr>
              <w:pStyle w:val="Tabletext"/>
            </w:pPr>
            <w:r w:rsidRPr="005071A1">
              <w:t>23</w:t>
            </w:r>
          </w:p>
        </w:tc>
        <w:tc>
          <w:tcPr>
            <w:tcW w:w="1134" w:type="dxa"/>
            <w:shd w:val="clear" w:color="auto" w:fill="auto"/>
          </w:tcPr>
          <w:p w14:paraId="072DC018" w14:textId="77777777" w:rsidR="00B33542" w:rsidRPr="005071A1" w:rsidRDefault="00B33542" w:rsidP="009B7AF5">
            <w:pPr>
              <w:pStyle w:val="Tabletext"/>
            </w:pPr>
            <w:r w:rsidRPr="005071A1">
              <w:t>0.32</w:t>
            </w:r>
          </w:p>
        </w:tc>
        <w:tc>
          <w:tcPr>
            <w:tcW w:w="1275" w:type="dxa"/>
            <w:shd w:val="clear" w:color="auto" w:fill="auto"/>
          </w:tcPr>
          <w:p w14:paraId="012F1F61" w14:textId="77777777" w:rsidR="00B33542" w:rsidRPr="005071A1" w:rsidRDefault="00B33542" w:rsidP="009B7AF5">
            <w:pPr>
              <w:pStyle w:val="Tabletext"/>
            </w:pPr>
            <w:r w:rsidRPr="005071A1">
              <w:t>0.28</w:t>
            </w:r>
          </w:p>
        </w:tc>
        <w:tc>
          <w:tcPr>
            <w:tcW w:w="284" w:type="dxa"/>
            <w:shd w:val="clear" w:color="auto" w:fill="auto"/>
          </w:tcPr>
          <w:p w14:paraId="07D38ABB" w14:textId="77777777" w:rsidR="00B33542" w:rsidRPr="005071A1" w:rsidRDefault="00B33542" w:rsidP="009B7AF5">
            <w:pPr>
              <w:pStyle w:val="Tabletext"/>
            </w:pPr>
          </w:p>
        </w:tc>
        <w:tc>
          <w:tcPr>
            <w:tcW w:w="1060" w:type="dxa"/>
            <w:shd w:val="clear" w:color="auto" w:fill="auto"/>
          </w:tcPr>
          <w:p w14:paraId="597DEE24" w14:textId="77777777" w:rsidR="00B33542" w:rsidRPr="005071A1" w:rsidRDefault="00B33542" w:rsidP="009B7AF5">
            <w:pPr>
              <w:pStyle w:val="Tabletext"/>
            </w:pPr>
            <w:r w:rsidRPr="005071A1">
              <w:t>48</w:t>
            </w:r>
          </w:p>
        </w:tc>
        <w:tc>
          <w:tcPr>
            <w:tcW w:w="1119" w:type="dxa"/>
            <w:shd w:val="clear" w:color="auto" w:fill="auto"/>
          </w:tcPr>
          <w:p w14:paraId="4F25C7FC" w14:textId="77777777" w:rsidR="00B33542" w:rsidRPr="005071A1" w:rsidRDefault="00B33542" w:rsidP="009B7AF5">
            <w:pPr>
              <w:pStyle w:val="Tabletext"/>
            </w:pPr>
            <w:r w:rsidRPr="005071A1">
              <w:t>1.12</w:t>
            </w:r>
          </w:p>
        </w:tc>
        <w:tc>
          <w:tcPr>
            <w:tcW w:w="1326" w:type="dxa"/>
            <w:shd w:val="clear" w:color="auto" w:fill="auto"/>
          </w:tcPr>
          <w:p w14:paraId="7775FC17" w14:textId="77777777" w:rsidR="00B33542" w:rsidRPr="005071A1" w:rsidRDefault="00B33542" w:rsidP="009B7AF5">
            <w:pPr>
              <w:pStyle w:val="Tabletext"/>
            </w:pPr>
            <w:r w:rsidRPr="005071A1">
              <w:t>1.08</w:t>
            </w:r>
          </w:p>
        </w:tc>
      </w:tr>
      <w:tr w:rsidR="00B33542" w:rsidRPr="005071A1" w14:paraId="780B530B" w14:textId="77777777" w:rsidTr="00B039CA">
        <w:tc>
          <w:tcPr>
            <w:tcW w:w="1101" w:type="dxa"/>
            <w:shd w:val="clear" w:color="auto" w:fill="auto"/>
          </w:tcPr>
          <w:p w14:paraId="492CE2EC" w14:textId="77777777" w:rsidR="00B33542" w:rsidRPr="005071A1" w:rsidRDefault="00B33542" w:rsidP="009B7AF5">
            <w:pPr>
              <w:pStyle w:val="Tabletext"/>
            </w:pPr>
            <w:r w:rsidRPr="005071A1">
              <w:t>24</w:t>
            </w:r>
          </w:p>
        </w:tc>
        <w:tc>
          <w:tcPr>
            <w:tcW w:w="1134" w:type="dxa"/>
            <w:shd w:val="clear" w:color="auto" w:fill="auto"/>
          </w:tcPr>
          <w:p w14:paraId="5A0A62BB" w14:textId="77777777" w:rsidR="00B33542" w:rsidRPr="005071A1" w:rsidRDefault="00B33542" w:rsidP="009B7AF5">
            <w:pPr>
              <w:pStyle w:val="Tabletext"/>
            </w:pPr>
            <w:r w:rsidRPr="005071A1">
              <w:t>0.34</w:t>
            </w:r>
          </w:p>
        </w:tc>
        <w:tc>
          <w:tcPr>
            <w:tcW w:w="1275" w:type="dxa"/>
            <w:shd w:val="clear" w:color="auto" w:fill="auto"/>
          </w:tcPr>
          <w:p w14:paraId="5B7A8875" w14:textId="77777777" w:rsidR="00B33542" w:rsidRPr="005071A1" w:rsidRDefault="00B33542" w:rsidP="009B7AF5">
            <w:pPr>
              <w:pStyle w:val="Tabletext"/>
            </w:pPr>
            <w:r w:rsidRPr="005071A1">
              <w:t>0.30</w:t>
            </w:r>
          </w:p>
        </w:tc>
        <w:tc>
          <w:tcPr>
            <w:tcW w:w="284" w:type="dxa"/>
            <w:shd w:val="clear" w:color="auto" w:fill="auto"/>
          </w:tcPr>
          <w:p w14:paraId="06D1D942" w14:textId="77777777" w:rsidR="00B33542" w:rsidRPr="005071A1" w:rsidRDefault="00B33542" w:rsidP="009B7AF5">
            <w:pPr>
              <w:pStyle w:val="Tabletext"/>
            </w:pPr>
          </w:p>
        </w:tc>
        <w:tc>
          <w:tcPr>
            <w:tcW w:w="1060" w:type="dxa"/>
            <w:shd w:val="clear" w:color="auto" w:fill="auto"/>
          </w:tcPr>
          <w:p w14:paraId="3B8869E8" w14:textId="77777777" w:rsidR="00B33542" w:rsidRPr="005071A1" w:rsidRDefault="00B33542" w:rsidP="009B7AF5">
            <w:pPr>
              <w:pStyle w:val="Tabletext"/>
            </w:pPr>
            <w:r w:rsidRPr="005071A1">
              <w:t>49</w:t>
            </w:r>
          </w:p>
        </w:tc>
        <w:tc>
          <w:tcPr>
            <w:tcW w:w="1119" w:type="dxa"/>
            <w:shd w:val="clear" w:color="auto" w:fill="auto"/>
          </w:tcPr>
          <w:p w14:paraId="7B53B435" w14:textId="77777777" w:rsidR="00B33542" w:rsidRPr="005071A1" w:rsidRDefault="00B33542" w:rsidP="009B7AF5">
            <w:pPr>
              <w:pStyle w:val="Tabletext"/>
            </w:pPr>
            <w:r w:rsidRPr="005071A1">
              <w:t>1.20</w:t>
            </w:r>
          </w:p>
        </w:tc>
        <w:tc>
          <w:tcPr>
            <w:tcW w:w="1326" w:type="dxa"/>
            <w:shd w:val="clear" w:color="auto" w:fill="auto"/>
          </w:tcPr>
          <w:p w14:paraId="553547AB" w14:textId="77777777" w:rsidR="00B33542" w:rsidRPr="005071A1" w:rsidRDefault="00B33542" w:rsidP="009B7AF5">
            <w:pPr>
              <w:pStyle w:val="Tabletext"/>
            </w:pPr>
            <w:r w:rsidRPr="005071A1">
              <w:t>1.16</w:t>
            </w:r>
          </w:p>
        </w:tc>
      </w:tr>
      <w:tr w:rsidR="00B33542" w:rsidRPr="005071A1" w14:paraId="0D38F570" w14:textId="77777777" w:rsidTr="00B039CA">
        <w:tc>
          <w:tcPr>
            <w:tcW w:w="1101" w:type="dxa"/>
            <w:shd w:val="clear" w:color="auto" w:fill="auto"/>
          </w:tcPr>
          <w:p w14:paraId="657DCAB9" w14:textId="77777777" w:rsidR="00B33542" w:rsidRPr="005071A1" w:rsidRDefault="00B33542" w:rsidP="009B7AF5">
            <w:pPr>
              <w:pStyle w:val="Tabletext"/>
            </w:pPr>
            <w:r w:rsidRPr="005071A1">
              <w:t>25</w:t>
            </w:r>
          </w:p>
        </w:tc>
        <w:tc>
          <w:tcPr>
            <w:tcW w:w="1134" w:type="dxa"/>
            <w:shd w:val="clear" w:color="auto" w:fill="auto"/>
          </w:tcPr>
          <w:p w14:paraId="25D7139E" w14:textId="77777777" w:rsidR="00B33542" w:rsidRPr="005071A1" w:rsidRDefault="00B33542" w:rsidP="009B7AF5">
            <w:pPr>
              <w:pStyle w:val="Tabletext"/>
            </w:pPr>
            <w:r w:rsidRPr="005071A1">
              <w:t>0.36</w:t>
            </w:r>
          </w:p>
        </w:tc>
        <w:tc>
          <w:tcPr>
            <w:tcW w:w="1275" w:type="dxa"/>
            <w:shd w:val="clear" w:color="auto" w:fill="auto"/>
          </w:tcPr>
          <w:p w14:paraId="47186A44" w14:textId="77777777" w:rsidR="00B33542" w:rsidRPr="005071A1" w:rsidRDefault="00B33542" w:rsidP="009B7AF5">
            <w:pPr>
              <w:pStyle w:val="Tabletext"/>
            </w:pPr>
            <w:r w:rsidRPr="005071A1">
              <w:t>0.32</w:t>
            </w:r>
          </w:p>
        </w:tc>
        <w:tc>
          <w:tcPr>
            <w:tcW w:w="284" w:type="dxa"/>
            <w:shd w:val="clear" w:color="auto" w:fill="auto"/>
          </w:tcPr>
          <w:p w14:paraId="0EB192B1" w14:textId="77777777" w:rsidR="00B33542" w:rsidRPr="005071A1" w:rsidRDefault="00B33542" w:rsidP="009B7AF5">
            <w:pPr>
              <w:pStyle w:val="Tabletext"/>
            </w:pPr>
          </w:p>
        </w:tc>
        <w:tc>
          <w:tcPr>
            <w:tcW w:w="1060" w:type="dxa"/>
            <w:shd w:val="clear" w:color="auto" w:fill="auto"/>
          </w:tcPr>
          <w:p w14:paraId="4D553790" w14:textId="77777777" w:rsidR="00B33542" w:rsidRPr="005071A1" w:rsidRDefault="00B33542" w:rsidP="009B7AF5">
            <w:pPr>
              <w:pStyle w:val="Tabletext"/>
            </w:pPr>
            <w:r w:rsidRPr="005071A1">
              <w:t>50</w:t>
            </w:r>
          </w:p>
        </w:tc>
        <w:tc>
          <w:tcPr>
            <w:tcW w:w="1119" w:type="dxa"/>
            <w:shd w:val="clear" w:color="auto" w:fill="auto"/>
          </w:tcPr>
          <w:p w14:paraId="5941700B" w14:textId="77777777" w:rsidR="00B33542" w:rsidRPr="005071A1" w:rsidRDefault="00B33542" w:rsidP="009B7AF5">
            <w:pPr>
              <w:pStyle w:val="Tabletext"/>
            </w:pPr>
            <w:r w:rsidRPr="005071A1">
              <w:t>1.30</w:t>
            </w:r>
          </w:p>
        </w:tc>
        <w:tc>
          <w:tcPr>
            <w:tcW w:w="1326" w:type="dxa"/>
            <w:shd w:val="clear" w:color="auto" w:fill="auto"/>
          </w:tcPr>
          <w:p w14:paraId="3E7442F1" w14:textId="77777777" w:rsidR="00B33542" w:rsidRPr="005071A1" w:rsidRDefault="00B33542" w:rsidP="009B7AF5">
            <w:pPr>
              <w:pStyle w:val="Tabletext"/>
            </w:pPr>
            <w:r w:rsidRPr="005071A1">
              <w:t>1.24</w:t>
            </w:r>
          </w:p>
        </w:tc>
      </w:tr>
      <w:tr w:rsidR="00B33542" w:rsidRPr="005071A1" w14:paraId="6776277D" w14:textId="77777777" w:rsidTr="00B039CA">
        <w:tc>
          <w:tcPr>
            <w:tcW w:w="1101" w:type="dxa"/>
            <w:shd w:val="clear" w:color="auto" w:fill="auto"/>
          </w:tcPr>
          <w:p w14:paraId="5D2C9404" w14:textId="77777777" w:rsidR="00B33542" w:rsidRPr="005071A1" w:rsidRDefault="00B33542" w:rsidP="009B7AF5">
            <w:pPr>
              <w:pStyle w:val="Tabletext"/>
            </w:pPr>
            <w:r w:rsidRPr="005071A1">
              <w:lastRenderedPageBreak/>
              <w:t>26</w:t>
            </w:r>
          </w:p>
        </w:tc>
        <w:tc>
          <w:tcPr>
            <w:tcW w:w="1134" w:type="dxa"/>
            <w:shd w:val="clear" w:color="auto" w:fill="auto"/>
          </w:tcPr>
          <w:p w14:paraId="12373E7D" w14:textId="77777777" w:rsidR="00B33542" w:rsidRPr="005071A1" w:rsidRDefault="00B33542" w:rsidP="009B7AF5">
            <w:pPr>
              <w:pStyle w:val="Tabletext"/>
            </w:pPr>
            <w:r w:rsidRPr="005071A1">
              <w:t>0.38</w:t>
            </w:r>
          </w:p>
        </w:tc>
        <w:tc>
          <w:tcPr>
            <w:tcW w:w="1275" w:type="dxa"/>
            <w:shd w:val="clear" w:color="auto" w:fill="auto"/>
          </w:tcPr>
          <w:p w14:paraId="6C64FD80" w14:textId="77777777" w:rsidR="00B33542" w:rsidRPr="005071A1" w:rsidRDefault="00B33542" w:rsidP="009B7AF5">
            <w:pPr>
              <w:pStyle w:val="Tabletext"/>
            </w:pPr>
            <w:r w:rsidRPr="005071A1">
              <w:t>0.34</w:t>
            </w:r>
          </w:p>
        </w:tc>
        <w:tc>
          <w:tcPr>
            <w:tcW w:w="284" w:type="dxa"/>
            <w:shd w:val="clear" w:color="auto" w:fill="auto"/>
          </w:tcPr>
          <w:p w14:paraId="795E0B43" w14:textId="77777777" w:rsidR="00B33542" w:rsidRPr="005071A1" w:rsidRDefault="00B33542" w:rsidP="009B7AF5">
            <w:pPr>
              <w:pStyle w:val="Tabletext"/>
            </w:pPr>
          </w:p>
        </w:tc>
        <w:tc>
          <w:tcPr>
            <w:tcW w:w="1060" w:type="dxa"/>
            <w:shd w:val="clear" w:color="auto" w:fill="auto"/>
          </w:tcPr>
          <w:p w14:paraId="27E2FB9B" w14:textId="77777777" w:rsidR="00B33542" w:rsidRPr="005071A1" w:rsidRDefault="00B33542" w:rsidP="009B7AF5">
            <w:pPr>
              <w:pStyle w:val="Tabletext"/>
            </w:pPr>
            <w:r w:rsidRPr="005071A1">
              <w:t>51</w:t>
            </w:r>
          </w:p>
        </w:tc>
        <w:tc>
          <w:tcPr>
            <w:tcW w:w="1119" w:type="dxa"/>
            <w:shd w:val="clear" w:color="auto" w:fill="auto"/>
          </w:tcPr>
          <w:p w14:paraId="49DB434C" w14:textId="77777777" w:rsidR="00B33542" w:rsidRPr="005071A1" w:rsidRDefault="00B33542" w:rsidP="009B7AF5">
            <w:pPr>
              <w:pStyle w:val="Tabletext"/>
            </w:pPr>
            <w:r w:rsidRPr="005071A1">
              <w:t>1.40</w:t>
            </w:r>
          </w:p>
        </w:tc>
        <w:tc>
          <w:tcPr>
            <w:tcW w:w="1326" w:type="dxa"/>
            <w:shd w:val="clear" w:color="auto" w:fill="auto"/>
          </w:tcPr>
          <w:p w14:paraId="7BB19A37" w14:textId="77777777" w:rsidR="00B33542" w:rsidRPr="005071A1" w:rsidRDefault="00B33542" w:rsidP="009B7AF5">
            <w:pPr>
              <w:pStyle w:val="Tabletext"/>
            </w:pPr>
            <w:r w:rsidRPr="005071A1">
              <w:t>1.36</w:t>
            </w:r>
          </w:p>
        </w:tc>
      </w:tr>
      <w:tr w:rsidR="00B33542" w:rsidRPr="005071A1" w14:paraId="6A55465B" w14:textId="77777777" w:rsidTr="00B039CA">
        <w:tc>
          <w:tcPr>
            <w:tcW w:w="1101" w:type="dxa"/>
            <w:shd w:val="clear" w:color="auto" w:fill="auto"/>
          </w:tcPr>
          <w:p w14:paraId="3AD5DBD3" w14:textId="77777777" w:rsidR="00B33542" w:rsidRPr="005071A1" w:rsidRDefault="00B33542" w:rsidP="009B7AF5">
            <w:pPr>
              <w:pStyle w:val="Tabletext"/>
            </w:pPr>
            <w:r w:rsidRPr="005071A1">
              <w:t>27</w:t>
            </w:r>
          </w:p>
        </w:tc>
        <w:tc>
          <w:tcPr>
            <w:tcW w:w="1134" w:type="dxa"/>
            <w:shd w:val="clear" w:color="auto" w:fill="auto"/>
          </w:tcPr>
          <w:p w14:paraId="395EF955" w14:textId="77777777" w:rsidR="00B33542" w:rsidRPr="005071A1" w:rsidRDefault="00B33542" w:rsidP="009B7AF5">
            <w:pPr>
              <w:pStyle w:val="Tabletext"/>
            </w:pPr>
            <w:r w:rsidRPr="005071A1">
              <w:t>0.40</w:t>
            </w:r>
          </w:p>
        </w:tc>
        <w:tc>
          <w:tcPr>
            <w:tcW w:w="1275" w:type="dxa"/>
            <w:shd w:val="clear" w:color="auto" w:fill="auto"/>
          </w:tcPr>
          <w:p w14:paraId="0B8FF6E4" w14:textId="77777777" w:rsidR="00B33542" w:rsidRPr="005071A1" w:rsidRDefault="00B33542" w:rsidP="009B7AF5">
            <w:pPr>
              <w:pStyle w:val="Tabletext"/>
            </w:pPr>
            <w:r w:rsidRPr="005071A1">
              <w:t>0.36</w:t>
            </w:r>
          </w:p>
        </w:tc>
        <w:tc>
          <w:tcPr>
            <w:tcW w:w="284" w:type="dxa"/>
            <w:shd w:val="clear" w:color="auto" w:fill="auto"/>
          </w:tcPr>
          <w:p w14:paraId="2CFF4778" w14:textId="77777777" w:rsidR="00B33542" w:rsidRPr="005071A1" w:rsidRDefault="00B33542" w:rsidP="009B7AF5">
            <w:pPr>
              <w:pStyle w:val="Tabletext"/>
            </w:pPr>
          </w:p>
        </w:tc>
        <w:tc>
          <w:tcPr>
            <w:tcW w:w="1060" w:type="dxa"/>
            <w:shd w:val="clear" w:color="auto" w:fill="auto"/>
          </w:tcPr>
          <w:p w14:paraId="58659ABD" w14:textId="77777777" w:rsidR="00B33542" w:rsidRPr="005071A1" w:rsidRDefault="00B33542" w:rsidP="009B7AF5">
            <w:pPr>
              <w:pStyle w:val="Tabletext"/>
            </w:pPr>
            <w:r w:rsidRPr="005071A1">
              <w:t>52</w:t>
            </w:r>
          </w:p>
        </w:tc>
        <w:tc>
          <w:tcPr>
            <w:tcW w:w="1119" w:type="dxa"/>
            <w:shd w:val="clear" w:color="auto" w:fill="auto"/>
          </w:tcPr>
          <w:p w14:paraId="4CEE1DD3" w14:textId="77777777" w:rsidR="00B33542" w:rsidRPr="005071A1" w:rsidRDefault="00B33542" w:rsidP="009B7AF5">
            <w:pPr>
              <w:pStyle w:val="Tabletext"/>
            </w:pPr>
            <w:r w:rsidRPr="005071A1">
              <w:t>1.52</w:t>
            </w:r>
          </w:p>
        </w:tc>
        <w:tc>
          <w:tcPr>
            <w:tcW w:w="1326" w:type="dxa"/>
            <w:shd w:val="clear" w:color="auto" w:fill="auto"/>
          </w:tcPr>
          <w:p w14:paraId="65FB0755" w14:textId="77777777" w:rsidR="00B33542" w:rsidRPr="005071A1" w:rsidRDefault="00B33542" w:rsidP="009B7AF5">
            <w:pPr>
              <w:pStyle w:val="Tabletext"/>
            </w:pPr>
            <w:r w:rsidRPr="005071A1">
              <w:t>1.48</w:t>
            </w:r>
          </w:p>
        </w:tc>
      </w:tr>
      <w:tr w:rsidR="00B33542" w:rsidRPr="005071A1" w14:paraId="2C732C5C" w14:textId="77777777" w:rsidTr="00B039CA">
        <w:tc>
          <w:tcPr>
            <w:tcW w:w="1101" w:type="dxa"/>
            <w:shd w:val="clear" w:color="auto" w:fill="auto"/>
          </w:tcPr>
          <w:p w14:paraId="64790246" w14:textId="77777777" w:rsidR="00B33542" w:rsidRPr="005071A1" w:rsidRDefault="00B33542" w:rsidP="009B7AF5">
            <w:pPr>
              <w:pStyle w:val="Tabletext"/>
            </w:pPr>
            <w:r w:rsidRPr="005071A1">
              <w:t>28</w:t>
            </w:r>
          </w:p>
        </w:tc>
        <w:tc>
          <w:tcPr>
            <w:tcW w:w="1134" w:type="dxa"/>
            <w:shd w:val="clear" w:color="auto" w:fill="auto"/>
          </w:tcPr>
          <w:p w14:paraId="115922E1" w14:textId="77777777" w:rsidR="00B33542" w:rsidRPr="005071A1" w:rsidRDefault="00B33542" w:rsidP="009B7AF5">
            <w:pPr>
              <w:pStyle w:val="Tabletext"/>
            </w:pPr>
            <w:r w:rsidRPr="005071A1">
              <w:t>0.42</w:t>
            </w:r>
          </w:p>
        </w:tc>
        <w:tc>
          <w:tcPr>
            <w:tcW w:w="1275" w:type="dxa"/>
            <w:shd w:val="clear" w:color="auto" w:fill="auto"/>
          </w:tcPr>
          <w:p w14:paraId="239BD759" w14:textId="77777777" w:rsidR="00B33542" w:rsidRPr="005071A1" w:rsidRDefault="00B33542" w:rsidP="009B7AF5">
            <w:pPr>
              <w:pStyle w:val="Tabletext"/>
            </w:pPr>
            <w:r w:rsidRPr="005071A1">
              <w:t>0.38</w:t>
            </w:r>
          </w:p>
        </w:tc>
        <w:tc>
          <w:tcPr>
            <w:tcW w:w="284" w:type="dxa"/>
            <w:shd w:val="clear" w:color="auto" w:fill="auto"/>
          </w:tcPr>
          <w:p w14:paraId="2CA1415B" w14:textId="77777777" w:rsidR="00B33542" w:rsidRPr="005071A1" w:rsidRDefault="00B33542" w:rsidP="009B7AF5">
            <w:pPr>
              <w:pStyle w:val="Tabletext"/>
            </w:pPr>
          </w:p>
        </w:tc>
        <w:tc>
          <w:tcPr>
            <w:tcW w:w="1060" w:type="dxa"/>
            <w:shd w:val="clear" w:color="auto" w:fill="auto"/>
          </w:tcPr>
          <w:p w14:paraId="41551999" w14:textId="77777777" w:rsidR="00B33542" w:rsidRPr="005071A1" w:rsidRDefault="00B33542" w:rsidP="009B7AF5">
            <w:pPr>
              <w:pStyle w:val="Tabletext"/>
            </w:pPr>
            <w:r w:rsidRPr="005071A1">
              <w:t>53</w:t>
            </w:r>
          </w:p>
        </w:tc>
        <w:tc>
          <w:tcPr>
            <w:tcW w:w="1119" w:type="dxa"/>
            <w:shd w:val="clear" w:color="auto" w:fill="auto"/>
          </w:tcPr>
          <w:p w14:paraId="78C3DEBE" w14:textId="77777777" w:rsidR="00B33542" w:rsidRPr="005071A1" w:rsidRDefault="00B33542" w:rsidP="009B7AF5">
            <w:pPr>
              <w:pStyle w:val="Tabletext"/>
            </w:pPr>
            <w:r w:rsidRPr="005071A1">
              <w:t>1.64</w:t>
            </w:r>
          </w:p>
        </w:tc>
        <w:tc>
          <w:tcPr>
            <w:tcW w:w="1326" w:type="dxa"/>
            <w:shd w:val="clear" w:color="auto" w:fill="auto"/>
          </w:tcPr>
          <w:p w14:paraId="0D4508E7" w14:textId="77777777" w:rsidR="00B33542" w:rsidRPr="005071A1" w:rsidRDefault="00B33542" w:rsidP="009B7AF5">
            <w:pPr>
              <w:pStyle w:val="Tabletext"/>
            </w:pPr>
            <w:r w:rsidRPr="005071A1">
              <w:t>1.62</w:t>
            </w:r>
          </w:p>
        </w:tc>
      </w:tr>
      <w:tr w:rsidR="00B33542" w:rsidRPr="005071A1" w14:paraId="3AE7E41F" w14:textId="77777777" w:rsidTr="00B039CA">
        <w:tc>
          <w:tcPr>
            <w:tcW w:w="1101" w:type="dxa"/>
            <w:shd w:val="clear" w:color="auto" w:fill="auto"/>
          </w:tcPr>
          <w:p w14:paraId="59797FDD" w14:textId="77777777" w:rsidR="00B33542" w:rsidRPr="005071A1" w:rsidRDefault="00B33542" w:rsidP="009B7AF5">
            <w:pPr>
              <w:pStyle w:val="Tabletext"/>
            </w:pPr>
            <w:r w:rsidRPr="005071A1">
              <w:t>29</w:t>
            </w:r>
          </w:p>
        </w:tc>
        <w:tc>
          <w:tcPr>
            <w:tcW w:w="1134" w:type="dxa"/>
            <w:shd w:val="clear" w:color="auto" w:fill="auto"/>
          </w:tcPr>
          <w:p w14:paraId="252B3534" w14:textId="77777777" w:rsidR="00B33542" w:rsidRPr="005071A1" w:rsidRDefault="00B33542" w:rsidP="009B7AF5">
            <w:pPr>
              <w:pStyle w:val="Tabletext"/>
            </w:pPr>
            <w:r w:rsidRPr="005071A1">
              <w:t>0.44</w:t>
            </w:r>
          </w:p>
        </w:tc>
        <w:tc>
          <w:tcPr>
            <w:tcW w:w="1275" w:type="dxa"/>
            <w:shd w:val="clear" w:color="auto" w:fill="auto"/>
          </w:tcPr>
          <w:p w14:paraId="05A4BF4C" w14:textId="77777777" w:rsidR="00B33542" w:rsidRPr="005071A1" w:rsidRDefault="00B33542" w:rsidP="009B7AF5">
            <w:pPr>
              <w:pStyle w:val="Tabletext"/>
            </w:pPr>
            <w:r w:rsidRPr="005071A1">
              <w:t>0.38</w:t>
            </w:r>
          </w:p>
        </w:tc>
        <w:tc>
          <w:tcPr>
            <w:tcW w:w="284" w:type="dxa"/>
            <w:shd w:val="clear" w:color="auto" w:fill="auto"/>
          </w:tcPr>
          <w:p w14:paraId="1C4B6AF4" w14:textId="77777777" w:rsidR="00B33542" w:rsidRPr="005071A1" w:rsidRDefault="00B33542" w:rsidP="009B7AF5">
            <w:pPr>
              <w:pStyle w:val="Tabletext"/>
            </w:pPr>
          </w:p>
        </w:tc>
        <w:tc>
          <w:tcPr>
            <w:tcW w:w="1060" w:type="dxa"/>
            <w:shd w:val="clear" w:color="auto" w:fill="auto"/>
          </w:tcPr>
          <w:p w14:paraId="1452C9CA" w14:textId="77777777" w:rsidR="00B33542" w:rsidRPr="005071A1" w:rsidRDefault="00B33542" w:rsidP="009B7AF5">
            <w:pPr>
              <w:pStyle w:val="Tabletext"/>
            </w:pPr>
            <w:r w:rsidRPr="005071A1">
              <w:t>54</w:t>
            </w:r>
          </w:p>
        </w:tc>
        <w:tc>
          <w:tcPr>
            <w:tcW w:w="1119" w:type="dxa"/>
            <w:shd w:val="clear" w:color="auto" w:fill="auto"/>
          </w:tcPr>
          <w:p w14:paraId="4714183C" w14:textId="77777777" w:rsidR="00B33542" w:rsidRPr="005071A1" w:rsidRDefault="00B33542" w:rsidP="009B7AF5">
            <w:pPr>
              <w:pStyle w:val="Tabletext"/>
            </w:pPr>
            <w:r w:rsidRPr="005071A1">
              <w:t>1.80</w:t>
            </w:r>
          </w:p>
        </w:tc>
        <w:tc>
          <w:tcPr>
            <w:tcW w:w="1326" w:type="dxa"/>
            <w:shd w:val="clear" w:color="auto" w:fill="auto"/>
          </w:tcPr>
          <w:p w14:paraId="68F28512" w14:textId="77777777" w:rsidR="00B33542" w:rsidRPr="005071A1" w:rsidRDefault="00B33542" w:rsidP="009B7AF5">
            <w:pPr>
              <w:pStyle w:val="Tabletext"/>
            </w:pPr>
            <w:r w:rsidRPr="005071A1">
              <w:t>1.78</w:t>
            </w:r>
          </w:p>
        </w:tc>
      </w:tr>
      <w:tr w:rsidR="00B33542" w:rsidRPr="005071A1" w14:paraId="2B6EE324" w14:textId="77777777" w:rsidTr="00B039CA">
        <w:tc>
          <w:tcPr>
            <w:tcW w:w="1101" w:type="dxa"/>
            <w:shd w:val="clear" w:color="auto" w:fill="auto"/>
          </w:tcPr>
          <w:p w14:paraId="6D275845" w14:textId="77777777" w:rsidR="00B33542" w:rsidRPr="005071A1" w:rsidRDefault="00B33542" w:rsidP="009B7AF5">
            <w:pPr>
              <w:pStyle w:val="Tabletext"/>
            </w:pPr>
            <w:r w:rsidRPr="005071A1">
              <w:t>30</w:t>
            </w:r>
          </w:p>
        </w:tc>
        <w:tc>
          <w:tcPr>
            <w:tcW w:w="1134" w:type="dxa"/>
            <w:shd w:val="clear" w:color="auto" w:fill="auto"/>
          </w:tcPr>
          <w:p w14:paraId="19723532" w14:textId="77777777" w:rsidR="00B33542" w:rsidRPr="005071A1" w:rsidRDefault="00B33542" w:rsidP="009B7AF5">
            <w:pPr>
              <w:pStyle w:val="Tabletext"/>
            </w:pPr>
            <w:r w:rsidRPr="005071A1">
              <w:t>0.46</w:t>
            </w:r>
          </w:p>
        </w:tc>
        <w:tc>
          <w:tcPr>
            <w:tcW w:w="1275" w:type="dxa"/>
            <w:shd w:val="clear" w:color="auto" w:fill="auto"/>
          </w:tcPr>
          <w:p w14:paraId="4D6F88D1" w14:textId="77777777" w:rsidR="00B33542" w:rsidRPr="005071A1" w:rsidRDefault="00B33542" w:rsidP="009B7AF5">
            <w:pPr>
              <w:pStyle w:val="Tabletext"/>
            </w:pPr>
            <w:r w:rsidRPr="005071A1">
              <w:t>0.40</w:t>
            </w:r>
          </w:p>
        </w:tc>
        <w:tc>
          <w:tcPr>
            <w:tcW w:w="284" w:type="dxa"/>
            <w:shd w:val="clear" w:color="auto" w:fill="auto"/>
          </w:tcPr>
          <w:p w14:paraId="4AE0A8F8" w14:textId="77777777" w:rsidR="00B33542" w:rsidRPr="005071A1" w:rsidRDefault="00B33542" w:rsidP="009B7AF5">
            <w:pPr>
              <w:pStyle w:val="Tabletext"/>
            </w:pPr>
          </w:p>
        </w:tc>
        <w:tc>
          <w:tcPr>
            <w:tcW w:w="1060" w:type="dxa"/>
            <w:shd w:val="clear" w:color="auto" w:fill="auto"/>
          </w:tcPr>
          <w:p w14:paraId="27BF1347" w14:textId="77777777" w:rsidR="00B33542" w:rsidRPr="005071A1" w:rsidRDefault="00B33542" w:rsidP="009B7AF5">
            <w:pPr>
              <w:pStyle w:val="Tabletext"/>
            </w:pPr>
            <w:r w:rsidRPr="005071A1">
              <w:t>55</w:t>
            </w:r>
          </w:p>
        </w:tc>
        <w:tc>
          <w:tcPr>
            <w:tcW w:w="1119" w:type="dxa"/>
            <w:shd w:val="clear" w:color="auto" w:fill="auto"/>
          </w:tcPr>
          <w:p w14:paraId="685354D2" w14:textId="77777777" w:rsidR="00B33542" w:rsidRPr="005071A1" w:rsidRDefault="00B33542" w:rsidP="009B7AF5">
            <w:pPr>
              <w:pStyle w:val="Tabletext"/>
            </w:pPr>
            <w:r w:rsidRPr="005071A1">
              <w:t>1.98</w:t>
            </w:r>
          </w:p>
        </w:tc>
        <w:tc>
          <w:tcPr>
            <w:tcW w:w="1326" w:type="dxa"/>
            <w:shd w:val="clear" w:color="auto" w:fill="auto"/>
          </w:tcPr>
          <w:p w14:paraId="5FE9E7CF" w14:textId="77777777" w:rsidR="00B33542" w:rsidRPr="005071A1" w:rsidRDefault="00B33542" w:rsidP="009B7AF5">
            <w:pPr>
              <w:pStyle w:val="Tabletext"/>
            </w:pPr>
            <w:r w:rsidRPr="005071A1">
              <w:t>1.96</w:t>
            </w:r>
          </w:p>
        </w:tc>
      </w:tr>
      <w:tr w:rsidR="00B33542" w:rsidRPr="005071A1" w14:paraId="14DBD25C" w14:textId="77777777" w:rsidTr="00B039CA">
        <w:tc>
          <w:tcPr>
            <w:tcW w:w="1101" w:type="dxa"/>
            <w:shd w:val="clear" w:color="auto" w:fill="auto"/>
          </w:tcPr>
          <w:p w14:paraId="580CA7FB" w14:textId="77777777" w:rsidR="00B33542" w:rsidRPr="005071A1" w:rsidRDefault="00B33542" w:rsidP="009B7AF5">
            <w:pPr>
              <w:pStyle w:val="Tabletext"/>
            </w:pPr>
            <w:r w:rsidRPr="005071A1">
              <w:t>31</w:t>
            </w:r>
          </w:p>
        </w:tc>
        <w:tc>
          <w:tcPr>
            <w:tcW w:w="1134" w:type="dxa"/>
            <w:shd w:val="clear" w:color="auto" w:fill="auto"/>
          </w:tcPr>
          <w:p w14:paraId="78952218" w14:textId="77777777" w:rsidR="00B33542" w:rsidRPr="005071A1" w:rsidRDefault="00B33542" w:rsidP="009B7AF5">
            <w:pPr>
              <w:pStyle w:val="Tabletext"/>
            </w:pPr>
            <w:r w:rsidRPr="005071A1">
              <w:t>0.48</w:t>
            </w:r>
          </w:p>
        </w:tc>
        <w:tc>
          <w:tcPr>
            <w:tcW w:w="1275" w:type="dxa"/>
            <w:shd w:val="clear" w:color="auto" w:fill="auto"/>
          </w:tcPr>
          <w:p w14:paraId="0C49F1BA" w14:textId="77777777" w:rsidR="00B33542" w:rsidRPr="005071A1" w:rsidRDefault="00B33542" w:rsidP="009B7AF5">
            <w:pPr>
              <w:pStyle w:val="Tabletext"/>
            </w:pPr>
            <w:r w:rsidRPr="005071A1">
              <w:t>0.42</w:t>
            </w:r>
          </w:p>
        </w:tc>
        <w:tc>
          <w:tcPr>
            <w:tcW w:w="284" w:type="dxa"/>
            <w:shd w:val="clear" w:color="auto" w:fill="auto"/>
          </w:tcPr>
          <w:p w14:paraId="0BCB1B8E" w14:textId="77777777" w:rsidR="00B33542" w:rsidRPr="005071A1" w:rsidRDefault="00B33542" w:rsidP="009B7AF5">
            <w:pPr>
              <w:pStyle w:val="Tabletext"/>
            </w:pPr>
          </w:p>
        </w:tc>
        <w:tc>
          <w:tcPr>
            <w:tcW w:w="1060" w:type="dxa"/>
            <w:shd w:val="clear" w:color="auto" w:fill="auto"/>
          </w:tcPr>
          <w:p w14:paraId="09ECC5CB" w14:textId="77777777" w:rsidR="00B33542" w:rsidRPr="005071A1" w:rsidRDefault="00B33542" w:rsidP="009B7AF5">
            <w:pPr>
              <w:pStyle w:val="Tabletext"/>
            </w:pPr>
            <w:r w:rsidRPr="005071A1">
              <w:t>56</w:t>
            </w:r>
          </w:p>
        </w:tc>
        <w:tc>
          <w:tcPr>
            <w:tcW w:w="1119" w:type="dxa"/>
            <w:shd w:val="clear" w:color="auto" w:fill="auto"/>
          </w:tcPr>
          <w:p w14:paraId="5B6CC0DB" w14:textId="77777777" w:rsidR="00B33542" w:rsidRPr="005071A1" w:rsidRDefault="00B33542" w:rsidP="009B7AF5">
            <w:pPr>
              <w:pStyle w:val="Tabletext"/>
            </w:pPr>
            <w:r w:rsidRPr="005071A1">
              <w:t>2.20</w:t>
            </w:r>
          </w:p>
        </w:tc>
        <w:tc>
          <w:tcPr>
            <w:tcW w:w="1326" w:type="dxa"/>
            <w:shd w:val="clear" w:color="auto" w:fill="auto"/>
          </w:tcPr>
          <w:p w14:paraId="762F6FAA" w14:textId="77777777" w:rsidR="00B33542" w:rsidRPr="005071A1" w:rsidRDefault="00B33542" w:rsidP="009B7AF5">
            <w:pPr>
              <w:pStyle w:val="Tabletext"/>
            </w:pPr>
            <w:r w:rsidRPr="005071A1">
              <w:t>2.18</w:t>
            </w:r>
          </w:p>
        </w:tc>
      </w:tr>
      <w:tr w:rsidR="00B33542" w:rsidRPr="005071A1" w14:paraId="31EC8981" w14:textId="77777777" w:rsidTr="00B039CA">
        <w:tc>
          <w:tcPr>
            <w:tcW w:w="1101" w:type="dxa"/>
            <w:shd w:val="clear" w:color="auto" w:fill="auto"/>
          </w:tcPr>
          <w:p w14:paraId="5021C1CD" w14:textId="77777777" w:rsidR="00B33542" w:rsidRPr="005071A1" w:rsidRDefault="00B33542" w:rsidP="009B7AF5">
            <w:pPr>
              <w:pStyle w:val="Tabletext"/>
            </w:pPr>
            <w:r w:rsidRPr="005071A1">
              <w:t>32</w:t>
            </w:r>
          </w:p>
        </w:tc>
        <w:tc>
          <w:tcPr>
            <w:tcW w:w="1134" w:type="dxa"/>
            <w:shd w:val="clear" w:color="auto" w:fill="auto"/>
          </w:tcPr>
          <w:p w14:paraId="3A14C005" w14:textId="77777777" w:rsidR="00B33542" w:rsidRPr="005071A1" w:rsidRDefault="00B33542" w:rsidP="009B7AF5">
            <w:pPr>
              <w:pStyle w:val="Tabletext"/>
            </w:pPr>
            <w:r w:rsidRPr="005071A1">
              <w:t>0.50</w:t>
            </w:r>
          </w:p>
        </w:tc>
        <w:tc>
          <w:tcPr>
            <w:tcW w:w="1275" w:type="dxa"/>
            <w:shd w:val="clear" w:color="auto" w:fill="auto"/>
          </w:tcPr>
          <w:p w14:paraId="491764E5" w14:textId="77777777" w:rsidR="00B33542" w:rsidRPr="005071A1" w:rsidRDefault="00B33542" w:rsidP="009B7AF5">
            <w:pPr>
              <w:pStyle w:val="Tabletext"/>
            </w:pPr>
            <w:r w:rsidRPr="005071A1">
              <w:t>0.44</w:t>
            </w:r>
          </w:p>
        </w:tc>
        <w:tc>
          <w:tcPr>
            <w:tcW w:w="284" w:type="dxa"/>
            <w:shd w:val="clear" w:color="auto" w:fill="auto"/>
          </w:tcPr>
          <w:p w14:paraId="2186804E" w14:textId="77777777" w:rsidR="00B33542" w:rsidRPr="005071A1" w:rsidRDefault="00B33542" w:rsidP="009B7AF5">
            <w:pPr>
              <w:pStyle w:val="Tabletext"/>
            </w:pPr>
          </w:p>
        </w:tc>
        <w:tc>
          <w:tcPr>
            <w:tcW w:w="1060" w:type="dxa"/>
            <w:shd w:val="clear" w:color="auto" w:fill="auto"/>
          </w:tcPr>
          <w:p w14:paraId="3FF50561" w14:textId="77777777" w:rsidR="00B33542" w:rsidRPr="005071A1" w:rsidRDefault="00B33542" w:rsidP="009B7AF5">
            <w:pPr>
              <w:pStyle w:val="Tabletext"/>
            </w:pPr>
            <w:r w:rsidRPr="005071A1">
              <w:t>57</w:t>
            </w:r>
          </w:p>
        </w:tc>
        <w:tc>
          <w:tcPr>
            <w:tcW w:w="1119" w:type="dxa"/>
            <w:shd w:val="clear" w:color="auto" w:fill="auto"/>
          </w:tcPr>
          <w:p w14:paraId="35DC3A4C" w14:textId="77777777" w:rsidR="00B33542" w:rsidRPr="005071A1" w:rsidRDefault="00B33542" w:rsidP="009B7AF5">
            <w:pPr>
              <w:pStyle w:val="Tabletext"/>
            </w:pPr>
            <w:r w:rsidRPr="005071A1">
              <w:t>2.48</w:t>
            </w:r>
          </w:p>
        </w:tc>
        <w:tc>
          <w:tcPr>
            <w:tcW w:w="1326" w:type="dxa"/>
            <w:shd w:val="clear" w:color="auto" w:fill="auto"/>
          </w:tcPr>
          <w:p w14:paraId="5CB54A34" w14:textId="77777777" w:rsidR="00B33542" w:rsidRPr="005071A1" w:rsidRDefault="00B33542" w:rsidP="009B7AF5">
            <w:pPr>
              <w:pStyle w:val="Tabletext"/>
            </w:pPr>
            <w:r w:rsidRPr="005071A1">
              <w:t>2.46</w:t>
            </w:r>
          </w:p>
        </w:tc>
      </w:tr>
      <w:tr w:rsidR="00B33542" w:rsidRPr="005071A1" w14:paraId="66E97E8C" w14:textId="77777777" w:rsidTr="00B039CA">
        <w:tc>
          <w:tcPr>
            <w:tcW w:w="1101" w:type="dxa"/>
            <w:shd w:val="clear" w:color="auto" w:fill="auto"/>
          </w:tcPr>
          <w:p w14:paraId="5A63E0D2" w14:textId="77777777" w:rsidR="00B33542" w:rsidRPr="005071A1" w:rsidRDefault="00B33542" w:rsidP="009B7AF5">
            <w:pPr>
              <w:pStyle w:val="Tabletext"/>
            </w:pPr>
            <w:r w:rsidRPr="005071A1">
              <w:t>33</w:t>
            </w:r>
          </w:p>
        </w:tc>
        <w:tc>
          <w:tcPr>
            <w:tcW w:w="1134" w:type="dxa"/>
            <w:shd w:val="clear" w:color="auto" w:fill="auto"/>
          </w:tcPr>
          <w:p w14:paraId="44B4B2A7" w14:textId="77777777" w:rsidR="00B33542" w:rsidRPr="005071A1" w:rsidRDefault="00B33542" w:rsidP="009B7AF5">
            <w:pPr>
              <w:pStyle w:val="Tabletext"/>
            </w:pPr>
            <w:r w:rsidRPr="005071A1">
              <w:t>0.52</w:t>
            </w:r>
          </w:p>
        </w:tc>
        <w:tc>
          <w:tcPr>
            <w:tcW w:w="1275" w:type="dxa"/>
            <w:shd w:val="clear" w:color="auto" w:fill="auto"/>
          </w:tcPr>
          <w:p w14:paraId="63368CC1" w14:textId="77777777" w:rsidR="00B33542" w:rsidRPr="005071A1" w:rsidRDefault="00B33542" w:rsidP="009B7AF5">
            <w:pPr>
              <w:pStyle w:val="Tabletext"/>
            </w:pPr>
            <w:r w:rsidRPr="005071A1">
              <w:t>0.46</w:t>
            </w:r>
          </w:p>
        </w:tc>
        <w:tc>
          <w:tcPr>
            <w:tcW w:w="284" w:type="dxa"/>
            <w:shd w:val="clear" w:color="auto" w:fill="auto"/>
          </w:tcPr>
          <w:p w14:paraId="3EC2AB05" w14:textId="77777777" w:rsidR="00B33542" w:rsidRPr="005071A1" w:rsidRDefault="00B33542" w:rsidP="009B7AF5">
            <w:pPr>
              <w:pStyle w:val="Tabletext"/>
            </w:pPr>
          </w:p>
        </w:tc>
        <w:tc>
          <w:tcPr>
            <w:tcW w:w="1060" w:type="dxa"/>
            <w:shd w:val="clear" w:color="auto" w:fill="auto"/>
          </w:tcPr>
          <w:p w14:paraId="4D27AFAA" w14:textId="77777777" w:rsidR="00B33542" w:rsidRPr="005071A1" w:rsidRDefault="00B33542" w:rsidP="009B7AF5">
            <w:pPr>
              <w:pStyle w:val="Tabletext"/>
            </w:pPr>
            <w:r w:rsidRPr="005071A1">
              <w:t>58</w:t>
            </w:r>
          </w:p>
        </w:tc>
        <w:tc>
          <w:tcPr>
            <w:tcW w:w="1119" w:type="dxa"/>
            <w:shd w:val="clear" w:color="auto" w:fill="auto"/>
          </w:tcPr>
          <w:p w14:paraId="068AE63A" w14:textId="77777777" w:rsidR="00B33542" w:rsidRPr="005071A1" w:rsidRDefault="00B33542" w:rsidP="009B7AF5">
            <w:pPr>
              <w:pStyle w:val="Tabletext"/>
            </w:pPr>
            <w:r w:rsidRPr="005071A1">
              <w:t>2.84</w:t>
            </w:r>
          </w:p>
        </w:tc>
        <w:tc>
          <w:tcPr>
            <w:tcW w:w="1326" w:type="dxa"/>
            <w:shd w:val="clear" w:color="auto" w:fill="auto"/>
          </w:tcPr>
          <w:p w14:paraId="19AEEDE7" w14:textId="77777777" w:rsidR="00B33542" w:rsidRPr="005071A1" w:rsidRDefault="00B33542" w:rsidP="009B7AF5">
            <w:pPr>
              <w:pStyle w:val="Tabletext"/>
            </w:pPr>
            <w:r w:rsidRPr="005071A1">
              <w:t>2.80</w:t>
            </w:r>
          </w:p>
        </w:tc>
      </w:tr>
      <w:tr w:rsidR="00B33542" w:rsidRPr="005071A1" w14:paraId="589CC799" w14:textId="77777777" w:rsidTr="00B039CA">
        <w:tc>
          <w:tcPr>
            <w:tcW w:w="1101" w:type="dxa"/>
            <w:shd w:val="clear" w:color="auto" w:fill="auto"/>
          </w:tcPr>
          <w:p w14:paraId="26A8B394" w14:textId="77777777" w:rsidR="00B33542" w:rsidRPr="005071A1" w:rsidRDefault="00B33542" w:rsidP="009B7AF5">
            <w:pPr>
              <w:pStyle w:val="Tabletext"/>
            </w:pPr>
            <w:r w:rsidRPr="005071A1">
              <w:t>34</w:t>
            </w:r>
          </w:p>
        </w:tc>
        <w:tc>
          <w:tcPr>
            <w:tcW w:w="1134" w:type="dxa"/>
            <w:shd w:val="clear" w:color="auto" w:fill="auto"/>
          </w:tcPr>
          <w:p w14:paraId="30FDEBC4" w14:textId="77777777" w:rsidR="00B33542" w:rsidRPr="005071A1" w:rsidRDefault="00B33542" w:rsidP="009B7AF5">
            <w:pPr>
              <w:pStyle w:val="Tabletext"/>
            </w:pPr>
            <w:r w:rsidRPr="005071A1">
              <w:t>0.54</w:t>
            </w:r>
          </w:p>
        </w:tc>
        <w:tc>
          <w:tcPr>
            <w:tcW w:w="1275" w:type="dxa"/>
            <w:shd w:val="clear" w:color="auto" w:fill="auto"/>
          </w:tcPr>
          <w:p w14:paraId="184A7E1F" w14:textId="77777777" w:rsidR="00B33542" w:rsidRPr="005071A1" w:rsidRDefault="00B33542" w:rsidP="009B7AF5">
            <w:pPr>
              <w:pStyle w:val="Tabletext"/>
            </w:pPr>
            <w:r w:rsidRPr="005071A1">
              <w:t>0.48</w:t>
            </w:r>
          </w:p>
        </w:tc>
        <w:tc>
          <w:tcPr>
            <w:tcW w:w="284" w:type="dxa"/>
            <w:shd w:val="clear" w:color="auto" w:fill="auto"/>
          </w:tcPr>
          <w:p w14:paraId="7CD51C69" w14:textId="77777777" w:rsidR="00B33542" w:rsidRPr="005071A1" w:rsidRDefault="00B33542" w:rsidP="009B7AF5">
            <w:pPr>
              <w:pStyle w:val="Tabletext"/>
            </w:pPr>
          </w:p>
        </w:tc>
        <w:tc>
          <w:tcPr>
            <w:tcW w:w="1060" w:type="dxa"/>
            <w:shd w:val="clear" w:color="auto" w:fill="auto"/>
          </w:tcPr>
          <w:p w14:paraId="16AFEE58" w14:textId="77777777" w:rsidR="00B33542" w:rsidRPr="005071A1" w:rsidRDefault="00B33542" w:rsidP="009B7AF5">
            <w:pPr>
              <w:pStyle w:val="Tabletext"/>
            </w:pPr>
            <w:r w:rsidRPr="005071A1">
              <w:t>59</w:t>
            </w:r>
          </w:p>
        </w:tc>
        <w:tc>
          <w:tcPr>
            <w:tcW w:w="1119" w:type="dxa"/>
            <w:shd w:val="clear" w:color="auto" w:fill="auto"/>
          </w:tcPr>
          <w:p w14:paraId="765765BB" w14:textId="77777777" w:rsidR="00B33542" w:rsidRPr="005071A1" w:rsidRDefault="00B33542" w:rsidP="009B7AF5">
            <w:pPr>
              <w:pStyle w:val="Tabletext"/>
            </w:pPr>
            <w:r w:rsidRPr="005071A1">
              <w:t>3.30</w:t>
            </w:r>
          </w:p>
        </w:tc>
        <w:tc>
          <w:tcPr>
            <w:tcW w:w="1326" w:type="dxa"/>
            <w:shd w:val="clear" w:color="auto" w:fill="auto"/>
          </w:tcPr>
          <w:p w14:paraId="11E6A6E1" w14:textId="77777777" w:rsidR="00B33542" w:rsidRPr="005071A1" w:rsidRDefault="00B33542" w:rsidP="009B7AF5">
            <w:pPr>
              <w:pStyle w:val="Tabletext"/>
            </w:pPr>
            <w:r w:rsidRPr="005071A1">
              <w:t>3.28</w:t>
            </w:r>
          </w:p>
        </w:tc>
      </w:tr>
      <w:tr w:rsidR="00B33542" w:rsidRPr="005071A1" w14:paraId="37AD0133" w14:textId="77777777" w:rsidTr="00B039CA">
        <w:tc>
          <w:tcPr>
            <w:tcW w:w="1101" w:type="dxa"/>
            <w:shd w:val="clear" w:color="auto" w:fill="auto"/>
          </w:tcPr>
          <w:p w14:paraId="11A22BD3" w14:textId="77777777" w:rsidR="00B33542" w:rsidRPr="005071A1" w:rsidRDefault="00B33542" w:rsidP="009B7AF5">
            <w:pPr>
              <w:pStyle w:val="Tabletext"/>
            </w:pPr>
            <w:r w:rsidRPr="005071A1">
              <w:t>35</w:t>
            </w:r>
          </w:p>
        </w:tc>
        <w:tc>
          <w:tcPr>
            <w:tcW w:w="1134" w:type="dxa"/>
            <w:shd w:val="clear" w:color="auto" w:fill="auto"/>
          </w:tcPr>
          <w:p w14:paraId="1577FF11" w14:textId="77777777" w:rsidR="00B33542" w:rsidRPr="005071A1" w:rsidRDefault="00B33542" w:rsidP="009B7AF5">
            <w:pPr>
              <w:pStyle w:val="Tabletext"/>
            </w:pPr>
            <w:r w:rsidRPr="005071A1">
              <w:t>0.56</w:t>
            </w:r>
          </w:p>
        </w:tc>
        <w:tc>
          <w:tcPr>
            <w:tcW w:w="1275" w:type="dxa"/>
            <w:shd w:val="clear" w:color="auto" w:fill="auto"/>
          </w:tcPr>
          <w:p w14:paraId="3780F89B" w14:textId="77777777" w:rsidR="00B33542" w:rsidRPr="005071A1" w:rsidRDefault="00B33542" w:rsidP="009B7AF5">
            <w:pPr>
              <w:pStyle w:val="Tabletext"/>
            </w:pPr>
            <w:r w:rsidRPr="005071A1">
              <w:t>0.50</w:t>
            </w:r>
          </w:p>
        </w:tc>
        <w:tc>
          <w:tcPr>
            <w:tcW w:w="284" w:type="dxa"/>
            <w:shd w:val="clear" w:color="auto" w:fill="auto"/>
          </w:tcPr>
          <w:p w14:paraId="69CE2C72" w14:textId="77777777" w:rsidR="00B33542" w:rsidRPr="005071A1" w:rsidRDefault="00B33542" w:rsidP="009B7AF5">
            <w:pPr>
              <w:pStyle w:val="Tabletext"/>
            </w:pPr>
          </w:p>
        </w:tc>
        <w:tc>
          <w:tcPr>
            <w:tcW w:w="1060" w:type="dxa"/>
            <w:shd w:val="clear" w:color="auto" w:fill="auto"/>
          </w:tcPr>
          <w:p w14:paraId="258BFEF6" w14:textId="77777777" w:rsidR="00B33542" w:rsidRPr="005071A1" w:rsidRDefault="00B33542" w:rsidP="009B7AF5">
            <w:pPr>
              <w:pStyle w:val="Tabletext"/>
            </w:pPr>
            <w:r w:rsidRPr="005071A1">
              <w:t>60</w:t>
            </w:r>
          </w:p>
        </w:tc>
        <w:tc>
          <w:tcPr>
            <w:tcW w:w="1119" w:type="dxa"/>
            <w:shd w:val="clear" w:color="auto" w:fill="auto"/>
          </w:tcPr>
          <w:p w14:paraId="06C0EC47" w14:textId="77777777" w:rsidR="00B33542" w:rsidRPr="005071A1" w:rsidRDefault="00B33542" w:rsidP="009B7AF5">
            <w:pPr>
              <w:pStyle w:val="Tabletext"/>
            </w:pPr>
            <w:r w:rsidRPr="005071A1">
              <w:t>3.96</w:t>
            </w:r>
          </w:p>
        </w:tc>
        <w:tc>
          <w:tcPr>
            <w:tcW w:w="1326" w:type="dxa"/>
            <w:shd w:val="clear" w:color="auto" w:fill="auto"/>
          </w:tcPr>
          <w:p w14:paraId="32350928" w14:textId="77777777" w:rsidR="00B33542" w:rsidRPr="005071A1" w:rsidRDefault="00B33542" w:rsidP="009B7AF5">
            <w:pPr>
              <w:pStyle w:val="Tabletext"/>
            </w:pPr>
            <w:r w:rsidRPr="005071A1">
              <w:t>3.92</w:t>
            </w:r>
          </w:p>
        </w:tc>
      </w:tr>
      <w:tr w:rsidR="00B33542" w:rsidRPr="005071A1" w14:paraId="6AC2C7DF" w14:textId="77777777" w:rsidTr="00B039CA">
        <w:tc>
          <w:tcPr>
            <w:tcW w:w="1101" w:type="dxa"/>
            <w:shd w:val="clear" w:color="auto" w:fill="auto"/>
          </w:tcPr>
          <w:p w14:paraId="0313C7D0" w14:textId="77777777" w:rsidR="00B33542" w:rsidRPr="005071A1" w:rsidRDefault="00B33542" w:rsidP="009B7AF5">
            <w:pPr>
              <w:pStyle w:val="Tabletext"/>
            </w:pPr>
            <w:r w:rsidRPr="005071A1">
              <w:t>36</w:t>
            </w:r>
          </w:p>
        </w:tc>
        <w:tc>
          <w:tcPr>
            <w:tcW w:w="1134" w:type="dxa"/>
            <w:shd w:val="clear" w:color="auto" w:fill="auto"/>
          </w:tcPr>
          <w:p w14:paraId="28E53893" w14:textId="77777777" w:rsidR="00B33542" w:rsidRPr="005071A1" w:rsidRDefault="00B33542" w:rsidP="009B7AF5">
            <w:pPr>
              <w:pStyle w:val="Tabletext"/>
            </w:pPr>
            <w:r w:rsidRPr="005071A1">
              <w:t>0.58</w:t>
            </w:r>
          </w:p>
        </w:tc>
        <w:tc>
          <w:tcPr>
            <w:tcW w:w="1275" w:type="dxa"/>
            <w:shd w:val="clear" w:color="auto" w:fill="auto"/>
          </w:tcPr>
          <w:p w14:paraId="7CB83A37" w14:textId="77777777" w:rsidR="00B33542" w:rsidRPr="005071A1" w:rsidRDefault="00B33542" w:rsidP="009B7AF5">
            <w:pPr>
              <w:pStyle w:val="Tabletext"/>
            </w:pPr>
            <w:r w:rsidRPr="005071A1">
              <w:t>0.52</w:t>
            </w:r>
          </w:p>
        </w:tc>
        <w:tc>
          <w:tcPr>
            <w:tcW w:w="284" w:type="dxa"/>
            <w:shd w:val="clear" w:color="auto" w:fill="auto"/>
          </w:tcPr>
          <w:p w14:paraId="429E4684" w14:textId="77777777" w:rsidR="00B33542" w:rsidRPr="005071A1" w:rsidRDefault="00B33542" w:rsidP="009B7AF5">
            <w:pPr>
              <w:pStyle w:val="Tabletext"/>
            </w:pPr>
          </w:p>
        </w:tc>
        <w:tc>
          <w:tcPr>
            <w:tcW w:w="1060" w:type="dxa"/>
            <w:shd w:val="clear" w:color="auto" w:fill="auto"/>
          </w:tcPr>
          <w:p w14:paraId="4D041D94" w14:textId="77777777" w:rsidR="00B33542" w:rsidRPr="005071A1" w:rsidRDefault="00B33542" w:rsidP="009B7AF5">
            <w:pPr>
              <w:pStyle w:val="Tabletext"/>
            </w:pPr>
            <w:r w:rsidRPr="005071A1">
              <w:t>61</w:t>
            </w:r>
          </w:p>
        </w:tc>
        <w:tc>
          <w:tcPr>
            <w:tcW w:w="1119" w:type="dxa"/>
            <w:shd w:val="clear" w:color="auto" w:fill="auto"/>
          </w:tcPr>
          <w:p w14:paraId="31EF98A0" w14:textId="77777777" w:rsidR="00B33542" w:rsidRPr="005071A1" w:rsidRDefault="00B33542" w:rsidP="009B7AF5">
            <w:pPr>
              <w:pStyle w:val="Tabletext"/>
            </w:pPr>
            <w:r w:rsidRPr="005071A1">
              <w:t>4.96</w:t>
            </w:r>
          </w:p>
        </w:tc>
        <w:tc>
          <w:tcPr>
            <w:tcW w:w="1326" w:type="dxa"/>
            <w:shd w:val="clear" w:color="auto" w:fill="auto"/>
          </w:tcPr>
          <w:p w14:paraId="4FBEEE24" w14:textId="77777777" w:rsidR="00B33542" w:rsidRPr="005071A1" w:rsidRDefault="00B33542" w:rsidP="009B7AF5">
            <w:pPr>
              <w:pStyle w:val="Tabletext"/>
            </w:pPr>
            <w:r w:rsidRPr="005071A1">
              <w:t>4.92</w:t>
            </w:r>
          </w:p>
        </w:tc>
      </w:tr>
      <w:tr w:rsidR="00B33542" w:rsidRPr="005071A1" w14:paraId="539416A4" w14:textId="77777777" w:rsidTr="00B039CA">
        <w:tc>
          <w:tcPr>
            <w:tcW w:w="1101" w:type="dxa"/>
            <w:shd w:val="clear" w:color="auto" w:fill="auto"/>
          </w:tcPr>
          <w:p w14:paraId="4D7AAC53" w14:textId="77777777" w:rsidR="00B33542" w:rsidRPr="005071A1" w:rsidRDefault="00B33542" w:rsidP="009B7AF5">
            <w:pPr>
              <w:pStyle w:val="Tabletext"/>
            </w:pPr>
            <w:r w:rsidRPr="005071A1">
              <w:t>37</w:t>
            </w:r>
          </w:p>
        </w:tc>
        <w:tc>
          <w:tcPr>
            <w:tcW w:w="1134" w:type="dxa"/>
            <w:shd w:val="clear" w:color="auto" w:fill="auto"/>
          </w:tcPr>
          <w:p w14:paraId="7631BEB8" w14:textId="77777777" w:rsidR="00B33542" w:rsidRPr="005071A1" w:rsidRDefault="00B33542" w:rsidP="009B7AF5">
            <w:pPr>
              <w:pStyle w:val="Tabletext"/>
            </w:pPr>
            <w:r w:rsidRPr="005071A1">
              <w:t>0.62</w:t>
            </w:r>
          </w:p>
        </w:tc>
        <w:tc>
          <w:tcPr>
            <w:tcW w:w="1275" w:type="dxa"/>
            <w:shd w:val="clear" w:color="auto" w:fill="auto"/>
          </w:tcPr>
          <w:p w14:paraId="6D6E9F7D" w14:textId="77777777" w:rsidR="00B33542" w:rsidRPr="005071A1" w:rsidRDefault="00B33542" w:rsidP="009B7AF5">
            <w:pPr>
              <w:pStyle w:val="Tabletext"/>
            </w:pPr>
            <w:r w:rsidRPr="005071A1">
              <w:t>0.56</w:t>
            </w:r>
          </w:p>
        </w:tc>
        <w:tc>
          <w:tcPr>
            <w:tcW w:w="284" w:type="dxa"/>
            <w:shd w:val="clear" w:color="auto" w:fill="auto"/>
          </w:tcPr>
          <w:p w14:paraId="47E967FC" w14:textId="77777777" w:rsidR="00B33542" w:rsidRPr="005071A1" w:rsidRDefault="00B33542" w:rsidP="009B7AF5">
            <w:pPr>
              <w:pStyle w:val="Tabletext"/>
            </w:pPr>
          </w:p>
        </w:tc>
        <w:tc>
          <w:tcPr>
            <w:tcW w:w="1060" w:type="dxa"/>
            <w:shd w:val="clear" w:color="auto" w:fill="auto"/>
          </w:tcPr>
          <w:p w14:paraId="604705D6" w14:textId="77777777" w:rsidR="00B33542" w:rsidRPr="005071A1" w:rsidRDefault="00B33542" w:rsidP="009B7AF5">
            <w:pPr>
              <w:pStyle w:val="Tabletext"/>
            </w:pPr>
            <w:r w:rsidRPr="005071A1">
              <w:t>62</w:t>
            </w:r>
          </w:p>
        </w:tc>
        <w:tc>
          <w:tcPr>
            <w:tcW w:w="1119" w:type="dxa"/>
            <w:shd w:val="clear" w:color="auto" w:fill="auto"/>
          </w:tcPr>
          <w:p w14:paraId="1FB7D409" w14:textId="77777777" w:rsidR="00B33542" w:rsidRPr="005071A1" w:rsidRDefault="00B33542" w:rsidP="009B7AF5">
            <w:pPr>
              <w:pStyle w:val="Tabletext"/>
            </w:pPr>
            <w:r w:rsidRPr="005071A1">
              <w:t>6.62</w:t>
            </w:r>
          </w:p>
        </w:tc>
        <w:tc>
          <w:tcPr>
            <w:tcW w:w="1326" w:type="dxa"/>
            <w:shd w:val="clear" w:color="auto" w:fill="auto"/>
          </w:tcPr>
          <w:p w14:paraId="6A4E2952" w14:textId="77777777" w:rsidR="00B33542" w:rsidRPr="005071A1" w:rsidRDefault="00B33542" w:rsidP="009B7AF5">
            <w:pPr>
              <w:pStyle w:val="Tabletext"/>
            </w:pPr>
            <w:r w:rsidRPr="005071A1">
              <w:t>6.58</w:t>
            </w:r>
          </w:p>
        </w:tc>
      </w:tr>
      <w:tr w:rsidR="00B33542" w:rsidRPr="005071A1" w14:paraId="3040E5E0" w14:textId="77777777" w:rsidTr="00B039CA">
        <w:tc>
          <w:tcPr>
            <w:tcW w:w="1101" w:type="dxa"/>
            <w:shd w:val="clear" w:color="auto" w:fill="auto"/>
          </w:tcPr>
          <w:p w14:paraId="733561F9" w14:textId="77777777" w:rsidR="00B33542" w:rsidRPr="005071A1" w:rsidRDefault="00B33542" w:rsidP="009B7AF5">
            <w:pPr>
              <w:pStyle w:val="Tabletext"/>
            </w:pPr>
            <w:r w:rsidRPr="005071A1">
              <w:t>38</w:t>
            </w:r>
          </w:p>
        </w:tc>
        <w:tc>
          <w:tcPr>
            <w:tcW w:w="1134" w:type="dxa"/>
            <w:shd w:val="clear" w:color="auto" w:fill="auto"/>
          </w:tcPr>
          <w:p w14:paraId="61FC89D6" w14:textId="77777777" w:rsidR="00B33542" w:rsidRPr="005071A1" w:rsidRDefault="00B33542" w:rsidP="009B7AF5">
            <w:pPr>
              <w:pStyle w:val="Tabletext"/>
            </w:pPr>
            <w:r w:rsidRPr="005071A1">
              <w:t>0.64</w:t>
            </w:r>
          </w:p>
        </w:tc>
        <w:tc>
          <w:tcPr>
            <w:tcW w:w="1275" w:type="dxa"/>
            <w:shd w:val="clear" w:color="auto" w:fill="auto"/>
          </w:tcPr>
          <w:p w14:paraId="3040C4AA" w14:textId="77777777" w:rsidR="00B33542" w:rsidRPr="005071A1" w:rsidRDefault="00B33542" w:rsidP="009B7AF5">
            <w:pPr>
              <w:pStyle w:val="Tabletext"/>
            </w:pPr>
            <w:r w:rsidRPr="005071A1">
              <w:t>0.58</w:t>
            </w:r>
          </w:p>
        </w:tc>
        <w:tc>
          <w:tcPr>
            <w:tcW w:w="284" w:type="dxa"/>
            <w:shd w:val="clear" w:color="auto" w:fill="auto"/>
          </w:tcPr>
          <w:p w14:paraId="3FC57324" w14:textId="77777777" w:rsidR="00B33542" w:rsidRPr="005071A1" w:rsidRDefault="00B33542" w:rsidP="009B7AF5">
            <w:pPr>
              <w:pStyle w:val="Tabletext"/>
            </w:pPr>
          </w:p>
        </w:tc>
        <w:tc>
          <w:tcPr>
            <w:tcW w:w="1060" w:type="dxa"/>
            <w:shd w:val="clear" w:color="auto" w:fill="auto"/>
          </w:tcPr>
          <w:p w14:paraId="14DF0D90" w14:textId="77777777" w:rsidR="00B33542" w:rsidRPr="005071A1" w:rsidRDefault="00B33542" w:rsidP="009B7AF5">
            <w:pPr>
              <w:pStyle w:val="Tabletext"/>
            </w:pPr>
            <w:r w:rsidRPr="005071A1">
              <w:t>63</w:t>
            </w:r>
          </w:p>
        </w:tc>
        <w:tc>
          <w:tcPr>
            <w:tcW w:w="1119" w:type="dxa"/>
            <w:shd w:val="clear" w:color="auto" w:fill="auto"/>
          </w:tcPr>
          <w:p w14:paraId="4C180CDA" w14:textId="77777777" w:rsidR="00B33542" w:rsidRPr="005071A1" w:rsidRDefault="00B33542" w:rsidP="009B7AF5">
            <w:pPr>
              <w:pStyle w:val="Tabletext"/>
            </w:pPr>
            <w:r w:rsidRPr="005071A1">
              <w:t>9.98</w:t>
            </w:r>
          </w:p>
        </w:tc>
        <w:tc>
          <w:tcPr>
            <w:tcW w:w="1326" w:type="dxa"/>
            <w:shd w:val="clear" w:color="auto" w:fill="auto"/>
          </w:tcPr>
          <w:p w14:paraId="51B1E23C" w14:textId="77777777" w:rsidR="00B33542" w:rsidRPr="005071A1" w:rsidRDefault="00B33542" w:rsidP="009B7AF5">
            <w:pPr>
              <w:pStyle w:val="Tabletext"/>
            </w:pPr>
            <w:r w:rsidRPr="005071A1">
              <w:t>9.94</w:t>
            </w:r>
          </w:p>
        </w:tc>
      </w:tr>
      <w:tr w:rsidR="00B33542" w:rsidRPr="005071A1" w14:paraId="59152492" w14:textId="77777777" w:rsidTr="00B039CA">
        <w:tc>
          <w:tcPr>
            <w:tcW w:w="1101" w:type="dxa"/>
            <w:tcBorders>
              <w:bottom w:val="single" w:sz="4" w:space="0" w:color="auto"/>
            </w:tcBorders>
            <w:shd w:val="clear" w:color="auto" w:fill="auto"/>
          </w:tcPr>
          <w:p w14:paraId="44BF8031" w14:textId="77777777" w:rsidR="00B33542" w:rsidRPr="005071A1" w:rsidRDefault="00B33542" w:rsidP="009B7AF5">
            <w:pPr>
              <w:pStyle w:val="Tabletext"/>
            </w:pPr>
            <w:r w:rsidRPr="005071A1">
              <w:t>39</w:t>
            </w:r>
          </w:p>
        </w:tc>
        <w:tc>
          <w:tcPr>
            <w:tcW w:w="1134" w:type="dxa"/>
            <w:tcBorders>
              <w:bottom w:val="single" w:sz="4" w:space="0" w:color="auto"/>
            </w:tcBorders>
            <w:shd w:val="clear" w:color="auto" w:fill="auto"/>
          </w:tcPr>
          <w:p w14:paraId="01A5AC06" w14:textId="77777777" w:rsidR="00B33542" w:rsidRPr="005071A1" w:rsidRDefault="00B33542" w:rsidP="009B7AF5">
            <w:pPr>
              <w:pStyle w:val="Tabletext"/>
            </w:pPr>
            <w:r w:rsidRPr="005071A1">
              <w:t>0.68</w:t>
            </w:r>
          </w:p>
        </w:tc>
        <w:tc>
          <w:tcPr>
            <w:tcW w:w="1275" w:type="dxa"/>
            <w:tcBorders>
              <w:bottom w:val="single" w:sz="4" w:space="0" w:color="auto"/>
            </w:tcBorders>
            <w:shd w:val="clear" w:color="auto" w:fill="auto"/>
          </w:tcPr>
          <w:p w14:paraId="4BC51BF3" w14:textId="77777777" w:rsidR="00B33542" w:rsidRPr="005071A1" w:rsidRDefault="00B33542" w:rsidP="009B7AF5">
            <w:pPr>
              <w:pStyle w:val="Tabletext"/>
            </w:pPr>
            <w:r w:rsidRPr="005071A1">
              <w:t>0.62</w:t>
            </w:r>
          </w:p>
        </w:tc>
        <w:tc>
          <w:tcPr>
            <w:tcW w:w="284" w:type="dxa"/>
            <w:tcBorders>
              <w:bottom w:val="single" w:sz="4" w:space="0" w:color="auto"/>
            </w:tcBorders>
            <w:shd w:val="clear" w:color="auto" w:fill="auto"/>
          </w:tcPr>
          <w:p w14:paraId="63CE14D7" w14:textId="77777777" w:rsidR="00B33542" w:rsidRPr="005071A1" w:rsidRDefault="00B33542" w:rsidP="009B7AF5">
            <w:pPr>
              <w:pStyle w:val="Tabletext"/>
            </w:pPr>
          </w:p>
        </w:tc>
        <w:tc>
          <w:tcPr>
            <w:tcW w:w="1060" w:type="dxa"/>
            <w:tcBorders>
              <w:bottom w:val="single" w:sz="4" w:space="0" w:color="auto"/>
            </w:tcBorders>
            <w:shd w:val="clear" w:color="auto" w:fill="auto"/>
          </w:tcPr>
          <w:p w14:paraId="7402600F" w14:textId="77777777" w:rsidR="00B33542" w:rsidRPr="005071A1" w:rsidRDefault="00B33542" w:rsidP="009B7AF5">
            <w:pPr>
              <w:pStyle w:val="Tabletext"/>
            </w:pPr>
            <w:r w:rsidRPr="005071A1">
              <w:t>64</w:t>
            </w:r>
          </w:p>
        </w:tc>
        <w:tc>
          <w:tcPr>
            <w:tcW w:w="1119" w:type="dxa"/>
            <w:tcBorders>
              <w:bottom w:val="single" w:sz="4" w:space="0" w:color="auto"/>
            </w:tcBorders>
            <w:shd w:val="clear" w:color="auto" w:fill="auto"/>
          </w:tcPr>
          <w:p w14:paraId="1A2C0521" w14:textId="77777777" w:rsidR="00B33542" w:rsidRPr="005071A1" w:rsidRDefault="00B33542" w:rsidP="009B7AF5">
            <w:pPr>
              <w:pStyle w:val="Tabletext"/>
            </w:pPr>
            <w:r w:rsidRPr="005071A1">
              <w:t>20.16</w:t>
            </w:r>
          </w:p>
        </w:tc>
        <w:tc>
          <w:tcPr>
            <w:tcW w:w="1326" w:type="dxa"/>
            <w:tcBorders>
              <w:bottom w:val="single" w:sz="4" w:space="0" w:color="auto"/>
            </w:tcBorders>
            <w:shd w:val="clear" w:color="auto" w:fill="auto"/>
          </w:tcPr>
          <w:p w14:paraId="25CD8933" w14:textId="77777777" w:rsidR="00B33542" w:rsidRPr="005071A1" w:rsidRDefault="00B33542" w:rsidP="009B7AF5">
            <w:pPr>
              <w:pStyle w:val="Tabletext"/>
            </w:pPr>
            <w:r w:rsidRPr="005071A1">
              <w:t>20.08</w:t>
            </w:r>
          </w:p>
        </w:tc>
      </w:tr>
      <w:tr w:rsidR="00B33542" w:rsidRPr="005071A1" w14:paraId="15CA83B6" w14:textId="77777777" w:rsidTr="00B039CA">
        <w:tc>
          <w:tcPr>
            <w:tcW w:w="1101" w:type="dxa"/>
            <w:tcBorders>
              <w:bottom w:val="single" w:sz="12" w:space="0" w:color="auto"/>
            </w:tcBorders>
            <w:shd w:val="clear" w:color="auto" w:fill="auto"/>
          </w:tcPr>
          <w:p w14:paraId="1B28D3FA" w14:textId="77777777" w:rsidR="00B33542" w:rsidRPr="005071A1" w:rsidRDefault="00B33542" w:rsidP="009B7AF5">
            <w:pPr>
              <w:pStyle w:val="Tabletext"/>
            </w:pPr>
            <w:r w:rsidRPr="005071A1">
              <w:t>40</w:t>
            </w:r>
          </w:p>
        </w:tc>
        <w:tc>
          <w:tcPr>
            <w:tcW w:w="1134" w:type="dxa"/>
            <w:tcBorders>
              <w:bottom w:val="single" w:sz="12" w:space="0" w:color="auto"/>
            </w:tcBorders>
            <w:shd w:val="clear" w:color="auto" w:fill="auto"/>
          </w:tcPr>
          <w:p w14:paraId="0858D69F" w14:textId="77777777" w:rsidR="00B33542" w:rsidRPr="005071A1" w:rsidRDefault="00B33542" w:rsidP="009B7AF5">
            <w:pPr>
              <w:pStyle w:val="Tabletext"/>
            </w:pPr>
            <w:r w:rsidRPr="005071A1">
              <w:t>0.72</w:t>
            </w:r>
          </w:p>
        </w:tc>
        <w:tc>
          <w:tcPr>
            <w:tcW w:w="1275" w:type="dxa"/>
            <w:tcBorders>
              <w:bottom w:val="single" w:sz="12" w:space="0" w:color="auto"/>
            </w:tcBorders>
            <w:shd w:val="clear" w:color="auto" w:fill="auto"/>
          </w:tcPr>
          <w:p w14:paraId="532E3919" w14:textId="77777777" w:rsidR="00B33542" w:rsidRPr="005071A1" w:rsidRDefault="00B33542" w:rsidP="009B7AF5">
            <w:pPr>
              <w:pStyle w:val="Tabletext"/>
            </w:pPr>
            <w:r w:rsidRPr="005071A1">
              <w:t>0.66</w:t>
            </w:r>
          </w:p>
        </w:tc>
        <w:tc>
          <w:tcPr>
            <w:tcW w:w="284" w:type="dxa"/>
            <w:tcBorders>
              <w:bottom w:val="single" w:sz="12" w:space="0" w:color="auto"/>
            </w:tcBorders>
            <w:shd w:val="clear" w:color="auto" w:fill="auto"/>
          </w:tcPr>
          <w:p w14:paraId="2F515BC9" w14:textId="77777777" w:rsidR="00B33542" w:rsidRPr="005071A1" w:rsidRDefault="00B33542" w:rsidP="009B7AF5">
            <w:pPr>
              <w:pStyle w:val="Tabletext"/>
            </w:pPr>
          </w:p>
        </w:tc>
        <w:tc>
          <w:tcPr>
            <w:tcW w:w="1060" w:type="dxa"/>
            <w:tcBorders>
              <w:bottom w:val="single" w:sz="12" w:space="0" w:color="auto"/>
            </w:tcBorders>
            <w:shd w:val="clear" w:color="auto" w:fill="auto"/>
          </w:tcPr>
          <w:p w14:paraId="5F3AF07B" w14:textId="77777777" w:rsidR="00B33542" w:rsidRPr="005071A1" w:rsidRDefault="00B33542" w:rsidP="009B7AF5">
            <w:pPr>
              <w:pStyle w:val="Tabletext"/>
            </w:pPr>
            <w:r w:rsidRPr="005071A1">
              <w:t>65</w:t>
            </w:r>
          </w:p>
        </w:tc>
        <w:tc>
          <w:tcPr>
            <w:tcW w:w="1119" w:type="dxa"/>
            <w:tcBorders>
              <w:bottom w:val="single" w:sz="12" w:space="0" w:color="auto"/>
            </w:tcBorders>
            <w:shd w:val="clear" w:color="auto" w:fill="auto"/>
          </w:tcPr>
          <w:p w14:paraId="73287CF1" w14:textId="77777777" w:rsidR="00B33542" w:rsidRPr="005071A1" w:rsidRDefault="00B33542" w:rsidP="009B7AF5">
            <w:pPr>
              <w:pStyle w:val="Tabletext"/>
            </w:pPr>
            <w:r w:rsidRPr="005071A1">
              <w:t>20.56</w:t>
            </w:r>
          </w:p>
        </w:tc>
        <w:tc>
          <w:tcPr>
            <w:tcW w:w="1326" w:type="dxa"/>
            <w:tcBorders>
              <w:bottom w:val="single" w:sz="12" w:space="0" w:color="auto"/>
            </w:tcBorders>
            <w:shd w:val="clear" w:color="auto" w:fill="auto"/>
          </w:tcPr>
          <w:p w14:paraId="734E16B8" w14:textId="77777777" w:rsidR="00B33542" w:rsidRPr="005071A1" w:rsidRDefault="00B33542" w:rsidP="009B7AF5">
            <w:pPr>
              <w:pStyle w:val="Tabletext"/>
            </w:pPr>
            <w:r w:rsidRPr="005071A1">
              <w:t>20.48</w:t>
            </w:r>
          </w:p>
        </w:tc>
      </w:tr>
    </w:tbl>
    <w:p w14:paraId="152BA221" w14:textId="77777777" w:rsidR="00B33542" w:rsidRPr="005071A1" w:rsidRDefault="00B33542" w:rsidP="00674A0D">
      <w:pPr>
        <w:pStyle w:val="ActHead5"/>
        <w:pageBreakBefore/>
      </w:pPr>
      <w:bookmarkStart w:id="289" w:name="_Toc185577671"/>
      <w:r w:rsidRPr="005071A1">
        <w:lastRenderedPageBreak/>
        <w:t>Table II</w:t>
      </w:r>
      <w:bookmarkEnd w:id="289"/>
    </w:p>
    <w:p w14:paraId="45F78AA1" w14:textId="77777777" w:rsidR="00B33542" w:rsidRPr="005071A1" w:rsidRDefault="00B33542" w:rsidP="00B33542">
      <w:pPr>
        <w:spacing w:before="120"/>
      </w:pPr>
      <w:r w:rsidRPr="005071A1">
        <w:t xml:space="preserve">Rates of contribution to be paid fortnightly by female contributors for units of pension where the obligation to contribute for those units existed on or before </w:t>
      </w:r>
      <w:smartTag w:uri="urn:schemas-microsoft-com:office:smarttags" w:element="date">
        <w:smartTagPr>
          <w:attr w:name="Year" w:val="1942"/>
          <w:attr w:name="Day" w:val="2"/>
          <w:attr w:name="Month" w:val="11"/>
        </w:smartTagPr>
        <w:r w:rsidRPr="005071A1">
          <w:t>2nd November, 1942</w:t>
        </w:r>
      </w:smartTag>
      <w:r w:rsidRPr="005071A1">
        <w:t>, based on a retiring age of 65 years and the age next birthday of the contributor when that obligation came into existence</w:t>
      </w:r>
    </w:p>
    <w:p w14:paraId="448E16A2"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526"/>
        <w:gridCol w:w="1701"/>
        <w:gridCol w:w="283"/>
        <w:gridCol w:w="1843"/>
        <w:gridCol w:w="1559"/>
      </w:tblGrid>
      <w:tr w:rsidR="00B33542" w:rsidRPr="005071A1" w14:paraId="72330C2C" w14:textId="77777777" w:rsidTr="009B7AF5">
        <w:trPr>
          <w:tblHeader/>
        </w:trPr>
        <w:tc>
          <w:tcPr>
            <w:tcW w:w="1526" w:type="dxa"/>
            <w:tcBorders>
              <w:top w:val="single" w:sz="12" w:space="0" w:color="auto"/>
              <w:bottom w:val="single" w:sz="6" w:space="0" w:color="auto"/>
            </w:tcBorders>
            <w:shd w:val="clear" w:color="auto" w:fill="auto"/>
          </w:tcPr>
          <w:p w14:paraId="1A071E05" w14:textId="77777777" w:rsidR="00B33542" w:rsidRPr="005071A1" w:rsidRDefault="00B33542" w:rsidP="009B7AF5">
            <w:pPr>
              <w:pStyle w:val="TableHeading"/>
            </w:pPr>
            <w:r w:rsidRPr="005071A1">
              <w:t>Column 1</w:t>
            </w:r>
          </w:p>
        </w:tc>
        <w:tc>
          <w:tcPr>
            <w:tcW w:w="1701" w:type="dxa"/>
            <w:tcBorders>
              <w:top w:val="single" w:sz="12" w:space="0" w:color="auto"/>
              <w:bottom w:val="single" w:sz="6" w:space="0" w:color="auto"/>
            </w:tcBorders>
            <w:shd w:val="clear" w:color="auto" w:fill="auto"/>
          </w:tcPr>
          <w:p w14:paraId="1E175F24" w14:textId="77777777" w:rsidR="00B33542" w:rsidRPr="005071A1" w:rsidRDefault="00B33542" w:rsidP="009B7AF5">
            <w:pPr>
              <w:pStyle w:val="TableHeading"/>
            </w:pPr>
            <w:r w:rsidRPr="005071A1">
              <w:t>Column 2</w:t>
            </w:r>
          </w:p>
        </w:tc>
        <w:tc>
          <w:tcPr>
            <w:tcW w:w="283" w:type="dxa"/>
            <w:tcBorders>
              <w:top w:val="single" w:sz="12" w:space="0" w:color="auto"/>
              <w:bottom w:val="single" w:sz="6" w:space="0" w:color="auto"/>
            </w:tcBorders>
            <w:shd w:val="clear" w:color="auto" w:fill="auto"/>
          </w:tcPr>
          <w:p w14:paraId="01A999D6" w14:textId="77777777" w:rsidR="00B33542" w:rsidRPr="005071A1" w:rsidRDefault="00B33542" w:rsidP="009B7AF5">
            <w:pPr>
              <w:pStyle w:val="TableHeading"/>
            </w:pPr>
          </w:p>
        </w:tc>
        <w:tc>
          <w:tcPr>
            <w:tcW w:w="1843" w:type="dxa"/>
            <w:tcBorders>
              <w:top w:val="single" w:sz="12" w:space="0" w:color="auto"/>
              <w:bottom w:val="single" w:sz="6" w:space="0" w:color="auto"/>
            </w:tcBorders>
            <w:shd w:val="clear" w:color="auto" w:fill="auto"/>
          </w:tcPr>
          <w:p w14:paraId="627F4B3B" w14:textId="77777777" w:rsidR="00B33542" w:rsidRPr="005071A1" w:rsidRDefault="00B33542" w:rsidP="009B7AF5">
            <w:pPr>
              <w:pStyle w:val="TableHeading"/>
            </w:pPr>
            <w:r w:rsidRPr="005071A1">
              <w:t>Column 3</w:t>
            </w:r>
          </w:p>
        </w:tc>
        <w:tc>
          <w:tcPr>
            <w:tcW w:w="1559" w:type="dxa"/>
            <w:tcBorders>
              <w:top w:val="single" w:sz="12" w:space="0" w:color="auto"/>
              <w:bottom w:val="single" w:sz="6" w:space="0" w:color="auto"/>
            </w:tcBorders>
            <w:shd w:val="clear" w:color="auto" w:fill="auto"/>
          </w:tcPr>
          <w:p w14:paraId="487601E2" w14:textId="77777777" w:rsidR="00B33542" w:rsidRPr="005071A1" w:rsidRDefault="00B33542" w:rsidP="009B7AF5">
            <w:pPr>
              <w:pStyle w:val="TableHeading"/>
            </w:pPr>
            <w:r w:rsidRPr="005071A1">
              <w:t>Column 4</w:t>
            </w:r>
          </w:p>
        </w:tc>
      </w:tr>
      <w:tr w:rsidR="00B33542" w:rsidRPr="005071A1" w14:paraId="072DE93B" w14:textId="77777777" w:rsidTr="009B7AF5">
        <w:trPr>
          <w:tblHeader/>
        </w:trPr>
        <w:tc>
          <w:tcPr>
            <w:tcW w:w="1526" w:type="dxa"/>
            <w:tcBorders>
              <w:top w:val="single" w:sz="6" w:space="0" w:color="auto"/>
              <w:bottom w:val="single" w:sz="6" w:space="0" w:color="auto"/>
            </w:tcBorders>
            <w:shd w:val="clear" w:color="auto" w:fill="auto"/>
          </w:tcPr>
          <w:p w14:paraId="2B66E25B" w14:textId="77777777" w:rsidR="00B33542" w:rsidRPr="005071A1" w:rsidRDefault="00B33542" w:rsidP="00E12150">
            <w:pPr>
              <w:pStyle w:val="TableHeading"/>
              <w:spacing w:before="40" w:after="40" w:line="180" w:lineRule="atLeast"/>
              <w:rPr>
                <w:sz w:val="16"/>
                <w:szCs w:val="16"/>
              </w:rPr>
            </w:pPr>
            <w:r w:rsidRPr="005071A1">
              <w:rPr>
                <w:sz w:val="16"/>
                <w:szCs w:val="16"/>
              </w:rPr>
              <w:br/>
              <w:t>Age next Birthday</w:t>
            </w:r>
          </w:p>
        </w:tc>
        <w:tc>
          <w:tcPr>
            <w:tcW w:w="1701" w:type="dxa"/>
            <w:tcBorders>
              <w:top w:val="single" w:sz="6" w:space="0" w:color="auto"/>
              <w:bottom w:val="single" w:sz="6" w:space="0" w:color="auto"/>
            </w:tcBorders>
            <w:shd w:val="clear" w:color="auto" w:fill="auto"/>
          </w:tcPr>
          <w:p w14:paraId="250685F7" w14:textId="77777777" w:rsidR="00B33542" w:rsidRPr="005071A1" w:rsidRDefault="00B33542" w:rsidP="00E12150">
            <w:pPr>
              <w:pStyle w:val="TableHeading"/>
              <w:spacing w:before="40" w:after="40" w:line="180" w:lineRule="atLeast"/>
              <w:rPr>
                <w:sz w:val="16"/>
                <w:szCs w:val="16"/>
              </w:rPr>
            </w:pPr>
            <w:r w:rsidRPr="005071A1">
              <w:rPr>
                <w:sz w:val="16"/>
                <w:szCs w:val="16"/>
              </w:rPr>
              <w:t>Contribution for each Two Units</w:t>
            </w:r>
          </w:p>
        </w:tc>
        <w:tc>
          <w:tcPr>
            <w:tcW w:w="283" w:type="dxa"/>
            <w:tcBorders>
              <w:top w:val="single" w:sz="6" w:space="0" w:color="auto"/>
              <w:bottom w:val="single" w:sz="6" w:space="0" w:color="auto"/>
            </w:tcBorders>
            <w:shd w:val="clear" w:color="auto" w:fill="auto"/>
          </w:tcPr>
          <w:p w14:paraId="064E2475" w14:textId="77777777" w:rsidR="00B33542" w:rsidRPr="005071A1" w:rsidRDefault="00B33542" w:rsidP="00E12150">
            <w:pPr>
              <w:pStyle w:val="TableHeading"/>
              <w:spacing w:before="40" w:after="40" w:line="180" w:lineRule="atLeast"/>
              <w:rPr>
                <w:sz w:val="16"/>
                <w:szCs w:val="16"/>
              </w:rPr>
            </w:pPr>
          </w:p>
        </w:tc>
        <w:tc>
          <w:tcPr>
            <w:tcW w:w="1843" w:type="dxa"/>
            <w:tcBorders>
              <w:top w:val="single" w:sz="6" w:space="0" w:color="auto"/>
              <w:bottom w:val="single" w:sz="6" w:space="0" w:color="auto"/>
            </w:tcBorders>
            <w:shd w:val="clear" w:color="auto" w:fill="auto"/>
          </w:tcPr>
          <w:p w14:paraId="7ED95A2B" w14:textId="77777777" w:rsidR="00B33542" w:rsidRPr="005071A1" w:rsidRDefault="00B33542" w:rsidP="00E12150">
            <w:pPr>
              <w:pStyle w:val="TableHeading"/>
              <w:spacing w:before="40" w:after="40" w:line="180" w:lineRule="atLeast"/>
              <w:rPr>
                <w:sz w:val="16"/>
                <w:szCs w:val="16"/>
              </w:rPr>
            </w:pPr>
            <w:r w:rsidRPr="005071A1">
              <w:rPr>
                <w:sz w:val="16"/>
                <w:szCs w:val="16"/>
              </w:rPr>
              <w:br/>
              <w:t>Age next Birthday</w:t>
            </w:r>
          </w:p>
        </w:tc>
        <w:tc>
          <w:tcPr>
            <w:tcW w:w="1559" w:type="dxa"/>
            <w:tcBorders>
              <w:top w:val="single" w:sz="6" w:space="0" w:color="auto"/>
              <w:bottom w:val="single" w:sz="6" w:space="0" w:color="auto"/>
            </w:tcBorders>
            <w:shd w:val="clear" w:color="auto" w:fill="auto"/>
          </w:tcPr>
          <w:p w14:paraId="73651044" w14:textId="77777777" w:rsidR="00B33542" w:rsidRPr="005071A1" w:rsidRDefault="00B33542" w:rsidP="00E12150">
            <w:pPr>
              <w:pStyle w:val="TableHeading"/>
              <w:spacing w:before="40" w:after="40" w:line="180" w:lineRule="atLeast"/>
              <w:rPr>
                <w:sz w:val="16"/>
                <w:szCs w:val="16"/>
              </w:rPr>
            </w:pPr>
            <w:r w:rsidRPr="005071A1">
              <w:rPr>
                <w:sz w:val="16"/>
                <w:szCs w:val="16"/>
              </w:rPr>
              <w:t>Contribution for each Two Units</w:t>
            </w:r>
          </w:p>
        </w:tc>
      </w:tr>
      <w:tr w:rsidR="00B33542" w:rsidRPr="005071A1" w14:paraId="735EB0FF" w14:textId="77777777" w:rsidTr="009B7AF5">
        <w:trPr>
          <w:tblHeader/>
        </w:trPr>
        <w:tc>
          <w:tcPr>
            <w:tcW w:w="1526" w:type="dxa"/>
            <w:tcBorders>
              <w:top w:val="single" w:sz="6" w:space="0" w:color="auto"/>
              <w:bottom w:val="single" w:sz="12" w:space="0" w:color="auto"/>
            </w:tcBorders>
            <w:shd w:val="clear" w:color="auto" w:fill="auto"/>
          </w:tcPr>
          <w:p w14:paraId="07593EE6" w14:textId="77777777" w:rsidR="00B33542" w:rsidRPr="005071A1" w:rsidRDefault="00B33542" w:rsidP="00E12150">
            <w:pPr>
              <w:pStyle w:val="TableHeading"/>
            </w:pPr>
          </w:p>
        </w:tc>
        <w:tc>
          <w:tcPr>
            <w:tcW w:w="1701" w:type="dxa"/>
            <w:tcBorders>
              <w:top w:val="single" w:sz="6" w:space="0" w:color="auto"/>
              <w:bottom w:val="single" w:sz="12" w:space="0" w:color="auto"/>
            </w:tcBorders>
            <w:shd w:val="clear" w:color="auto" w:fill="auto"/>
          </w:tcPr>
          <w:p w14:paraId="05CEB574" w14:textId="77777777" w:rsidR="00B33542" w:rsidRPr="005071A1" w:rsidRDefault="00B33542" w:rsidP="00E12150">
            <w:pPr>
              <w:pStyle w:val="TableHeading"/>
            </w:pPr>
            <w:r w:rsidRPr="005071A1">
              <w:t>$</w:t>
            </w:r>
          </w:p>
        </w:tc>
        <w:tc>
          <w:tcPr>
            <w:tcW w:w="283" w:type="dxa"/>
            <w:tcBorders>
              <w:top w:val="single" w:sz="6" w:space="0" w:color="auto"/>
              <w:bottom w:val="single" w:sz="12" w:space="0" w:color="auto"/>
            </w:tcBorders>
            <w:shd w:val="clear" w:color="auto" w:fill="auto"/>
          </w:tcPr>
          <w:p w14:paraId="6613E9F2" w14:textId="77777777" w:rsidR="00B33542" w:rsidRPr="005071A1" w:rsidRDefault="00B33542" w:rsidP="00E12150">
            <w:pPr>
              <w:pStyle w:val="TableHeading"/>
            </w:pPr>
          </w:p>
        </w:tc>
        <w:tc>
          <w:tcPr>
            <w:tcW w:w="1843" w:type="dxa"/>
            <w:tcBorders>
              <w:top w:val="single" w:sz="6" w:space="0" w:color="auto"/>
              <w:bottom w:val="single" w:sz="12" w:space="0" w:color="auto"/>
            </w:tcBorders>
            <w:shd w:val="clear" w:color="auto" w:fill="auto"/>
          </w:tcPr>
          <w:p w14:paraId="2502DBB5" w14:textId="77777777" w:rsidR="00B33542" w:rsidRPr="005071A1" w:rsidRDefault="00B33542" w:rsidP="00E12150">
            <w:pPr>
              <w:pStyle w:val="TableHeading"/>
            </w:pPr>
          </w:p>
        </w:tc>
        <w:tc>
          <w:tcPr>
            <w:tcW w:w="1559" w:type="dxa"/>
            <w:tcBorders>
              <w:top w:val="single" w:sz="6" w:space="0" w:color="auto"/>
              <w:bottom w:val="single" w:sz="12" w:space="0" w:color="auto"/>
            </w:tcBorders>
            <w:shd w:val="clear" w:color="auto" w:fill="auto"/>
          </w:tcPr>
          <w:p w14:paraId="79B36CB7" w14:textId="77777777" w:rsidR="00B33542" w:rsidRPr="005071A1" w:rsidRDefault="00B33542" w:rsidP="00E12150">
            <w:pPr>
              <w:pStyle w:val="TableHeading"/>
            </w:pPr>
            <w:r w:rsidRPr="005071A1">
              <w:t>$</w:t>
            </w:r>
          </w:p>
        </w:tc>
      </w:tr>
      <w:tr w:rsidR="00B33542" w:rsidRPr="005071A1" w14:paraId="65775FA9" w14:textId="77777777" w:rsidTr="009B7AF5">
        <w:tc>
          <w:tcPr>
            <w:tcW w:w="1526" w:type="dxa"/>
            <w:tcBorders>
              <w:top w:val="single" w:sz="12" w:space="0" w:color="auto"/>
            </w:tcBorders>
            <w:shd w:val="clear" w:color="auto" w:fill="auto"/>
          </w:tcPr>
          <w:p w14:paraId="12B9250B" w14:textId="77777777" w:rsidR="00B33542" w:rsidRPr="005071A1" w:rsidRDefault="00B33542" w:rsidP="009B7AF5">
            <w:pPr>
              <w:pStyle w:val="Tabletext"/>
            </w:pPr>
            <w:r w:rsidRPr="005071A1">
              <w:t>15</w:t>
            </w:r>
          </w:p>
        </w:tc>
        <w:tc>
          <w:tcPr>
            <w:tcW w:w="1701" w:type="dxa"/>
            <w:tcBorders>
              <w:top w:val="single" w:sz="12" w:space="0" w:color="auto"/>
            </w:tcBorders>
            <w:shd w:val="clear" w:color="auto" w:fill="auto"/>
          </w:tcPr>
          <w:p w14:paraId="63CEDAF4" w14:textId="77777777" w:rsidR="00B33542" w:rsidRPr="005071A1" w:rsidRDefault="00B33542" w:rsidP="009B7AF5">
            <w:pPr>
              <w:pStyle w:val="Tabletext"/>
            </w:pPr>
            <w:r w:rsidRPr="005071A1">
              <w:t>0.14</w:t>
            </w:r>
          </w:p>
        </w:tc>
        <w:tc>
          <w:tcPr>
            <w:tcW w:w="283" w:type="dxa"/>
            <w:tcBorders>
              <w:top w:val="single" w:sz="12" w:space="0" w:color="auto"/>
            </w:tcBorders>
            <w:shd w:val="clear" w:color="auto" w:fill="auto"/>
          </w:tcPr>
          <w:p w14:paraId="11B2B92E" w14:textId="77777777" w:rsidR="00B33542" w:rsidRPr="005071A1" w:rsidRDefault="00B33542" w:rsidP="009B7AF5">
            <w:pPr>
              <w:pStyle w:val="Tabletext"/>
            </w:pPr>
          </w:p>
        </w:tc>
        <w:tc>
          <w:tcPr>
            <w:tcW w:w="1843" w:type="dxa"/>
            <w:tcBorders>
              <w:top w:val="single" w:sz="12" w:space="0" w:color="auto"/>
            </w:tcBorders>
            <w:shd w:val="clear" w:color="auto" w:fill="auto"/>
          </w:tcPr>
          <w:p w14:paraId="1076DAD4" w14:textId="77777777" w:rsidR="00B33542" w:rsidRPr="005071A1" w:rsidRDefault="00B33542" w:rsidP="009B7AF5">
            <w:pPr>
              <w:pStyle w:val="Tabletext"/>
            </w:pPr>
          </w:p>
        </w:tc>
        <w:tc>
          <w:tcPr>
            <w:tcW w:w="1559" w:type="dxa"/>
            <w:tcBorders>
              <w:top w:val="single" w:sz="12" w:space="0" w:color="auto"/>
            </w:tcBorders>
            <w:shd w:val="clear" w:color="auto" w:fill="auto"/>
          </w:tcPr>
          <w:p w14:paraId="3AB5A493" w14:textId="77777777" w:rsidR="00B33542" w:rsidRPr="005071A1" w:rsidRDefault="00B33542" w:rsidP="009B7AF5">
            <w:pPr>
              <w:pStyle w:val="Tabletext"/>
            </w:pPr>
          </w:p>
        </w:tc>
      </w:tr>
      <w:tr w:rsidR="00B33542" w:rsidRPr="005071A1" w14:paraId="7DA08EAF" w14:textId="77777777" w:rsidTr="009B7AF5">
        <w:tc>
          <w:tcPr>
            <w:tcW w:w="1526" w:type="dxa"/>
            <w:shd w:val="clear" w:color="auto" w:fill="auto"/>
          </w:tcPr>
          <w:p w14:paraId="2F9DC271" w14:textId="77777777" w:rsidR="00B33542" w:rsidRPr="005071A1" w:rsidRDefault="00B33542" w:rsidP="009B7AF5">
            <w:pPr>
              <w:pStyle w:val="Tabletext"/>
            </w:pPr>
            <w:r w:rsidRPr="005071A1">
              <w:t>16</w:t>
            </w:r>
          </w:p>
        </w:tc>
        <w:tc>
          <w:tcPr>
            <w:tcW w:w="1701" w:type="dxa"/>
            <w:shd w:val="clear" w:color="auto" w:fill="auto"/>
          </w:tcPr>
          <w:p w14:paraId="5239400B" w14:textId="77777777" w:rsidR="00B33542" w:rsidRPr="005071A1" w:rsidRDefault="00B33542" w:rsidP="009B7AF5">
            <w:pPr>
              <w:pStyle w:val="Tabletext"/>
            </w:pPr>
            <w:r w:rsidRPr="005071A1">
              <w:t>0.14</w:t>
            </w:r>
          </w:p>
        </w:tc>
        <w:tc>
          <w:tcPr>
            <w:tcW w:w="283" w:type="dxa"/>
            <w:shd w:val="clear" w:color="auto" w:fill="auto"/>
          </w:tcPr>
          <w:p w14:paraId="795ABB69" w14:textId="77777777" w:rsidR="00B33542" w:rsidRPr="005071A1" w:rsidRDefault="00B33542" w:rsidP="009B7AF5">
            <w:pPr>
              <w:pStyle w:val="Tabletext"/>
            </w:pPr>
          </w:p>
        </w:tc>
        <w:tc>
          <w:tcPr>
            <w:tcW w:w="1843" w:type="dxa"/>
            <w:shd w:val="clear" w:color="auto" w:fill="auto"/>
          </w:tcPr>
          <w:p w14:paraId="28D4AE0C" w14:textId="77777777" w:rsidR="00B33542" w:rsidRPr="005071A1" w:rsidRDefault="00B33542" w:rsidP="009B7AF5">
            <w:pPr>
              <w:pStyle w:val="Tabletext"/>
            </w:pPr>
            <w:r w:rsidRPr="005071A1">
              <w:t>41</w:t>
            </w:r>
          </w:p>
        </w:tc>
        <w:tc>
          <w:tcPr>
            <w:tcW w:w="1559" w:type="dxa"/>
            <w:shd w:val="clear" w:color="auto" w:fill="auto"/>
          </w:tcPr>
          <w:p w14:paraId="0225C26D" w14:textId="77777777" w:rsidR="00B33542" w:rsidRPr="005071A1" w:rsidRDefault="00B33542" w:rsidP="009B7AF5">
            <w:pPr>
              <w:pStyle w:val="Tabletext"/>
            </w:pPr>
            <w:r w:rsidRPr="005071A1">
              <w:t>0.54</w:t>
            </w:r>
          </w:p>
        </w:tc>
      </w:tr>
      <w:tr w:rsidR="00B33542" w:rsidRPr="005071A1" w14:paraId="1050E354" w14:textId="77777777" w:rsidTr="009B7AF5">
        <w:tc>
          <w:tcPr>
            <w:tcW w:w="1526" w:type="dxa"/>
            <w:shd w:val="clear" w:color="auto" w:fill="auto"/>
          </w:tcPr>
          <w:p w14:paraId="138ECD89" w14:textId="77777777" w:rsidR="00B33542" w:rsidRPr="005071A1" w:rsidRDefault="00B33542" w:rsidP="009B7AF5">
            <w:pPr>
              <w:pStyle w:val="Tabletext"/>
            </w:pPr>
            <w:r w:rsidRPr="005071A1">
              <w:t>17</w:t>
            </w:r>
          </w:p>
        </w:tc>
        <w:tc>
          <w:tcPr>
            <w:tcW w:w="1701" w:type="dxa"/>
            <w:shd w:val="clear" w:color="auto" w:fill="auto"/>
          </w:tcPr>
          <w:p w14:paraId="686FB1D8" w14:textId="77777777" w:rsidR="00B33542" w:rsidRPr="005071A1" w:rsidRDefault="00B33542" w:rsidP="009B7AF5">
            <w:pPr>
              <w:pStyle w:val="Tabletext"/>
            </w:pPr>
            <w:r w:rsidRPr="005071A1">
              <w:t>0.14</w:t>
            </w:r>
          </w:p>
        </w:tc>
        <w:tc>
          <w:tcPr>
            <w:tcW w:w="283" w:type="dxa"/>
            <w:shd w:val="clear" w:color="auto" w:fill="auto"/>
          </w:tcPr>
          <w:p w14:paraId="2006AAB3" w14:textId="77777777" w:rsidR="00B33542" w:rsidRPr="005071A1" w:rsidRDefault="00B33542" w:rsidP="009B7AF5">
            <w:pPr>
              <w:pStyle w:val="Tabletext"/>
            </w:pPr>
          </w:p>
        </w:tc>
        <w:tc>
          <w:tcPr>
            <w:tcW w:w="1843" w:type="dxa"/>
            <w:shd w:val="clear" w:color="auto" w:fill="auto"/>
          </w:tcPr>
          <w:p w14:paraId="3ACF58D7" w14:textId="77777777" w:rsidR="00B33542" w:rsidRPr="005071A1" w:rsidRDefault="00B33542" w:rsidP="009B7AF5">
            <w:pPr>
              <w:pStyle w:val="Tabletext"/>
            </w:pPr>
            <w:r w:rsidRPr="005071A1">
              <w:t>42</w:t>
            </w:r>
          </w:p>
        </w:tc>
        <w:tc>
          <w:tcPr>
            <w:tcW w:w="1559" w:type="dxa"/>
            <w:shd w:val="clear" w:color="auto" w:fill="auto"/>
          </w:tcPr>
          <w:p w14:paraId="3F8FF258" w14:textId="77777777" w:rsidR="00B33542" w:rsidRPr="005071A1" w:rsidRDefault="00B33542" w:rsidP="009B7AF5">
            <w:pPr>
              <w:pStyle w:val="Tabletext"/>
            </w:pPr>
            <w:r w:rsidRPr="005071A1">
              <w:t>0.58</w:t>
            </w:r>
          </w:p>
        </w:tc>
      </w:tr>
      <w:tr w:rsidR="00B33542" w:rsidRPr="005071A1" w14:paraId="6288E57A" w14:textId="77777777" w:rsidTr="009B7AF5">
        <w:tc>
          <w:tcPr>
            <w:tcW w:w="1526" w:type="dxa"/>
            <w:shd w:val="clear" w:color="auto" w:fill="auto"/>
          </w:tcPr>
          <w:p w14:paraId="0A2DBA54" w14:textId="77777777" w:rsidR="00B33542" w:rsidRPr="005071A1" w:rsidRDefault="00B33542" w:rsidP="009B7AF5">
            <w:pPr>
              <w:pStyle w:val="Tabletext"/>
            </w:pPr>
            <w:r w:rsidRPr="005071A1">
              <w:t>18</w:t>
            </w:r>
          </w:p>
        </w:tc>
        <w:tc>
          <w:tcPr>
            <w:tcW w:w="1701" w:type="dxa"/>
            <w:shd w:val="clear" w:color="auto" w:fill="auto"/>
          </w:tcPr>
          <w:p w14:paraId="1751CD75" w14:textId="77777777" w:rsidR="00B33542" w:rsidRPr="005071A1" w:rsidRDefault="00B33542" w:rsidP="009B7AF5">
            <w:pPr>
              <w:pStyle w:val="Tabletext"/>
            </w:pPr>
            <w:r w:rsidRPr="005071A1">
              <w:t>0.16</w:t>
            </w:r>
          </w:p>
        </w:tc>
        <w:tc>
          <w:tcPr>
            <w:tcW w:w="283" w:type="dxa"/>
            <w:shd w:val="clear" w:color="auto" w:fill="auto"/>
          </w:tcPr>
          <w:p w14:paraId="3843CA09" w14:textId="77777777" w:rsidR="00B33542" w:rsidRPr="005071A1" w:rsidRDefault="00B33542" w:rsidP="009B7AF5">
            <w:pPr>
              <w:pStyle w:val="Tabletext"/>
            </w:pPr>
          </w:p>
        </w:tc>
        <w:tc>
          <w:tcPr>
            <w:tcW w:w="1843" w:type="dxa"/>
            <w:shd w:val="clear" w:color="auto" w:fill="auto"/>
          </w:tcPr>
          <w:p w14:paraId="1BAA8E84" w14:textId="77777777" w:rsidR="00B33542" w:rsidRPr="005071A1" w:rsidRDefault="00B33542" w:rsidP="009B7AF5">
            <w:pPr>
              <w:pStyle w:val="Tabletext"/>
            </w:pPr>
            <w:r w:rsidRPr="005071A1">
              <w:t>43</w:t>
            </w:r>
          </w:p>
        </w:tc>
        <w:tc>
          <w:tcPr>
            <w:tcW w:w="1559" w:type="dxa"/>
            <w:shd w:val="clear" w:color="auto" w:fill="auto"/>
          </w:tcPr>
          <w:p w14:paraId="792A3039" w14:textId="77777777" w:rsidR="00B33542" w:rsidRPr="005071A1" w:rsidRDefault="00B33542" w:rsidP="009B7AF5">
            <w:pPr>
              <w:pStyle w:val="Tabletext"/>
            </w:pPr>
            <w:r w:rsidRPr="005071A1">
              <w:t>0.62</w:t>
            </w:r>
          </w:p>
        </w:tc>
      </w:tr>
      <w:tr w:rsidR="00B33542" w:rsidRPr="005071A1" w14:paraId="65556FCE" w14:textId="77777777" w:rsidTr="009B7AF5">
        <w:tc>
          <w:tcPr>
            <w:tcW w:w="1526" w:type="dxa"/>
            <w:shd w:val="clear" w:color="auto" w:fill="auto"/>
          </w:tcPr>
          <w:p w14:paraId="38D87361" w14:textId="77777777" w:rsidR="00B33542" w:rsidRPr="005071A1" w:rsidRDefault="00B33542" w:rsidP="009B7AF5">
            <w:pPr>
              <w:pStyle w:val="Tabletext"/>
            </w:pPr>
            <w:r w:rsidRPr="005071A1">
              <w:t>19</w:t>
            </w:r>
          </w:p>
        </w:tc>
        <w:tc>
          <w:tcPr>
            <w:tcW w:w="1701" w:type="dxa"/>
            <w:shd w:val="clear" w:color="auto" w:fill="auto"/>
          </w:tcPr>
          <w:p w14:paraId="62CF25F4" w14:textId="77777777" w:rsidR="00B33542" w:rsidRPr="005071A1" w:rsidRDefault="00B33542" w:rsidP="009B7AF5">
            <w:pPr>
              <w:pStyle w:val="Tabletext"/>
            </w:pPr>
            <w:r w:rsidRPr="005071A1">
              <w:t>0.16</w:t>
            </w:r>
          </w:p>
        </w:tc>
        <w:tc>
          <w:tcPr>
            <w:tcW w:w="283" w:type="dxa"/>
            <w:shd w:val="clear" w:color="auto" w:fill="auto"/>
          </w:tcPr>
          <w:p w14:paraId="3FEFFA0D" w14:textId="77777777" w:rsidR="00B33542" w:rsidRPr="005071A1" w:rsidRDefault="00B33542" w:rsidP="009B7AF5">
            <w:pPr>
              <w:pStyle w:val="Tabletext"/>
            </w:pPr>
          </w:p>
        </w:tc>
        <w:tc>
          <w:tcPr>
            <w:tcW w:w="1843" w:type="dxa"/>
            <w:shd w:val="clear" w:color="auto" w:fill="auto"/>
          </w:tcPr>
          <w:p w14:paraId="74589A96" w14:textId="77777777" w:rsidR="00B33542" w:rsidRPr="005071A1" w:rsidRDefault="00B33542" w:rsidP="009B7AF5">
            <w:pPr>
              <w:pStyle w:val="Tabletext"/>
            </w:pPr>
            <w:r w:rsidRPr="005071A1">
              <w:t>44</w:t>
            </w:r>
          </w:p>
        </w:tc>
        <w:tc>
          <w:tcPr>
            <w:tcW w:w="1559" w:type="dxa"/>
            <w:shd w:val="clear" w:color="auto" w:fill="auto"/>
          </w:tcPr>
          <w:p w14:paraId="062F72D8" w14:textId="77777777" w:rsidR="00B33542" w:rsidRPr="005071A1" w:rsidRDefault="00B33542" w:rsidP="009B7AF5">
            <w:pPr>
              <w:pStyle w:val="Tabletext"/>
            </w:pPr>
            <w:r w:rsidRPr="005071A1">
              <w:t>0.66</w:t>
            </w:r>
          </w:p>
        </w:tc>
      </w:tr>
      <w:tr w:rsidR="00B33542" w:rsidRPr="005071A1" w14:paraId="3C05FDA3" w14:textId="77777777" w:rsidTr="009B7AF5">
        <w:tc>
          <w:tcPr>
            <w:tcW w:w="1526" w:type="dxa"/>
            <w:shd w:val="clear" w:color="auto" w:fill="auto"/>
          </w:tcPr>
          <w:p w14:paraId="19AF198A" w14:textId="77777777" w:rsidR="00B33542" w:rsidRPr="005071A1" w:rsidRDefault="00B33542" w:rsidP="009B7AF5">
            <w:pPr>
              <w:pStyle w:val="Tabletext"/>
            </w:pPr>
            <w:r w:rsidRPr="005071A1">
              <w:t>20</w:t>
            </w:r>
          </w:p>
        </w:tc>
        <w:tc>
          <w:tcPr>
            <w:tcW w:w="1701" w:type="dxa"/>
            <w:shd w:val="clear" w:color="auto" w:fill="auto"/>
          </w:tcPr>
          <w:p w14:paraId="6D738597" w14:textId="77777777" w:rsidR="00B33542" w:rsidRPr="005071A1" w:rsidRDefault="00B33542" w:rsidP="009B7AF5">
            <w:pPr>
              <w:pStyle w:val="Tabletext"/>
            </w:pPr>
            <w:r w:rsidRPr="005071A1">
              <w:t>0.18</w:t>
            </w:r>
          </w:p>
        </w:tc>
        <w:tc>
          <w:tcPr>
            <w:tcW w:w="283" w:type="dxa"/>
            <w:shd w:val="clear" w:color="auto" w:fill="auto"/>
          </w:tcPr>
          <w:p w14:paraId="03D8F67C" w14:textId="77777777" w:rsidR="00B33542" w:rsidRPr="005071A1" w:rsidRDefault="00B33542" w:rsidP="009B7AF5">
            <w:pPr>
              <w:pStyle w:val="Tabletext"/>
            </w:pPr>
          </w:p>
        </w:tc>
        <w:tc>
          <w:tcPr>
            <w:tcW w:w="1843" w:type="dxa"/>
            <w:shd w:val="clear" w:color="auto" w:fill="auto"/>
          </w:tcPr>
          <w:p w14:paraId="357493A4" w14:textId="77777777" w:rsidR="00B33542" w:rsidRPr="005071A1" w:rsidRDefault="00B33542" w:rsidP="009B7AF5">
            <w:pPr>
              <w:pStyle w:val="Tabletext"/>
            </w:pPr>
            <w:r w:rsidRPr="005071A1">
              <w:t>45</w:t>
            </w:r>
          </w:p>
        </w:tc>
        <w:tc>
          <w:tcPr>
            <w:tcW w:w="1559" w:type="dxa"/>
            <w:shd w:val="clear" w:color="auto" w:fill="auto"/>
          </w:tcPr>
          <w:p w14:paraId="5450D4F1" w14:textId="77777777" w:rsidR="00B33542" w:rsidRPr="005071A1" w:rsidRDefault="00B33542" w:rsidP="009B7AF5">
            <w:pPr>
              <w:pStyle w:val="Tabletext"/>
            </w:pPr>
            <w:r w:rsidRPr="005071A1">
              <w:t>0.72</w:t>
            </w:r>
          </w:p>
        </w:tc>
      </w:tr>
      <w:tr w:rsidR="00B33542" w:rsidRPr="005071A1" w14:paraId="1C0F3985" w14:textId="77777777" w:rsidTr="009B7AF5">
        <w:tc>
          <w:tcPr>
            <w:tcW w:w="1526" w:type="dxa"/>
            <w:shd w:val="clear" w:color="auto" w:fill="auto"/>
          </w:tcPr>
          <w:p w14:paraId="4CE0391F" w14:textId="77777777" w:rsidR="00B33542" w:rsidRPr="005071A1" w:rsidRDefault="00B33542" w:rsidP="009B7AF5">
            <w:pPr>
              <w:pStyle w:val="Tabletext"/>
            </w:pPr>
            <w:r w:rsidRPr="005071A1">
              <w:t>21</w:t>
            </w:r>
          </w:p>
        </w:tc>
        <w:tc>
          <w:tcPr>
            <w:tcW w:w="1701" w:type="dxa"/>
            <w:shd w:val="clear" w:color="auto" w:fill="auto"/>
          </w:tcPr>
          <w:p w14:paraId="50FC2B1C" w14:textId="77777777" w:rsidR="00B33542" w:rsidRPr="005071A1" w:rsidRDefault="00B33542" w:rsidP="009B7AF5">
            <w:pPr>
              <w:pStyle w:val="Tabletext"/>
            </w:pPr>
            <w:r w:rsidRPr="005071A1">
              <w:t>0.18</w:t>
            </w:r>
          </w:p>
        </w:tc>
        <w:tc>
          <w:tcPr>
            <w:tcW w:w="283" w:type="dxa"/>
            <w:shd w:val="clear" w:color="auto" w:fill="auto"/>
          </w:tcPr>
          <w:p w14:paraId="750EAAA2" w14:textId="77777777" w:rsidR="00B33542" w:rsidRPr="005071A1" w:rsidRDefault="00B33542" w:rsidP="009B7AF5">
            <w:pPr>
              <w:pStyle w:val="Tabletext"/>
            </w:pPr>
          </w:p>
        </w:tc>
        <w:tc>
          <w:tcPr>
            <w:tcW w:w="1843" w:type="dxa"/>
            <w:shd w:val="clear" w:color="auto" w:fill="auto"/>
          </w:tcPr>
          <w:p w14:paraId="4EB50468" w14:textId="77777777" w:rsidR="00B33542" w:rsidRPr="005071A1" w:rsidRDefault="00B33542" w:rsidP="009B7AF5">
            <w:pPr>
              <w:pStyle w:val="Tabletext"/>
            </w:pPr>
            <w:r w:rsidRPr="005071A1">
              <w:t>46</w:t>
            </w:r>
          </w:p>
        </w:tc>
        <w:tc>
          <w:tcPr>
            <w:tcW w:w="1559" w:type="dxa"/>
            <w:shd w:val="clear" w:color="auto" w:fill="auto"/>
          </w:tcPr>
          <w:p w14:paraId="1176F7DB" w14:textId="77777777" w:rsidR="00B33542" w:rsidRPr="005071A1" w:rsidRDefault="00B33542" w:rsidP="009B7AF5">
            <w:pPr>
              <w:pStyle w:val="Tabletext"/>
            </w:pPr>
            <w:r w:rsidRPr="005071A1">
              <w:t>0.76</w:t>
            </w:r>
          </w:p>
        </w:tc>
      </w:tr>
      <w:tr w:rsidR="00B33542" w:rsidRPr="005071A1" w14:paraId="69F74BAF" w14:textId="77777777" w:rsidTr="009B7AF5">
        <w:tc>
          <w:tcPr>
            <w:tcW w:w="1526" w:type="dxa"/>
            <w:shd w:val="clear" w:color="auto" w:fill="auto"/>
          </w:tcPr>
          <w:p w14:paraId="0F1E5632" w14:textId="77777777" w:rsidR="00B33542" w:rsidRPr="005071A1" w:rsidRDefault="00B33542" w:rsidP="009B7AF5">
            <w:pPr>
              <w:pStyle w:val="Tabletext"/>
            </w:pPr>
            <w:r w:rsidRPr="005071A1">
              <w:t>22</w:t>
            </w:r>
          </w:p>
        </w:tc>
        <w:tc>
          <w:tcPr>
            <w:tcW w:w="1701" w:type="dxa"/>
            <w:shd w:val="clear" w:color="auto" w:fill="auto"/>
          </w:tcPr>
          <w:p w14:paraId="19DD7C75" w14:textId="77777777" w:rsidR="00B33542" w:rsidRPr="005071A1" w:rsidRDefault="00B33542" w:rsidP="009B7AF5">
            <w:pPr>
              <w:pStyle w:val="Tabletext"/>
            </w:pPr>
            <w:r w:rsidRPr="005071A1">
              <w:t>0.18</w:t>
            </w:r>
          </w:p>
        </w:tc>
        <w:tc>
          <w:tcPr>
            <w:tcW w:w="283" w:type="dxa"/>
            <w:shd w:val="clear" w:color="auto" w:fill="auto"/>
          </w:tcPr>
          <w:p w14:paraId="60FC4222" w14:textId="77777777" w:rsidR="00B33542" w:rsidRPr="005071A1" w:rsidRDefault="00B33542" w:rsidP="009B7AF5">
            <w:pPr>
              <w:pStyle w:val="Tabletext"/>
            </w:pPr>
          </w:p>
        </w:tc>
        <w:tc>
          <w:tcPr>
            <w:tcW w:w="1843" w:type="dxa"/>
            <w:shd w:val="clear" w:color="auto" w:fill="auto"/>
          </w:tcPr>
          <w:p w14:paraId="488203F1" w14:textId="77777777" w:rsidR="00B33542" w:rsidRPr="005071A1" w:rsidRDefault="00B33542" w:rsidP="009B7AF5">
            <w:pPr>
              <w:pStyle w:val="Tabletext"/>
            </w:pPr>
            <w:r w:rsidRPr="005071A1">
              <w:t>47</w:t>
            </w:r>
          </w:p>
        </w:tc>
        <w:tc>
          <w:tcPr>
            <w:tcW w:w="1559" w:type="dxa"/>
            <w:shd w:val="clear" w:color="auto" w:fill="auto"/>
          </w:tcPr>
          <w:p w14:paraId="3EDE1C7A" w14:textId="77777777" w:rsidR="00B33542" w:rsidRPr="005071A1" w:rsidRDefault="00B33542" w:rsidP="009B7AF5">
            <w:pPr>
              <w:pStyle w:val="Tabletext"/>
            </w:pPr>
            <w:r w:rsidRPr="005071A1">
              <w:t>0.82</w:t>
            </w:r>
          </w:p>
        </w:tc>
      </w:tr>
      <w:tr w:rsidR="00B33542" w:rsidRPr="005071A1" w14:paraId="5E1B353A" w14:textId="77777777" w:rsidTr="009B7AF5">
        <w:tc>
          <w:tcPr>
            <w:tcW w:w="1526" w:type="dxa"/>
            <w:shd w:val="clear" w:color="auto" w:fill="auto"/>
          </w:tcPr>
          <w:p w14:paraId="4F1F70D5" w14:textId="77777777" w:rsidR="00B33542" w:rsidRPr="005071A1" w:rsidRDefault="00B33542" w:rsidP="009B7AF5">
            <w:pPr>
              <w:pStyle w:val="Tabletext"/>
            </w:pPr>
            <w:r w:rsidRPr="005071A1">
              <w:t>23</w:t>
            </w:r>
          </w:p>
        </w:tc>
        <w:tc>
          <w:tcPr>
            <w:tcW w:w="1701" w:type="dxa"/>
            <w:shd w:val="clear" w:color="auto" w:fill="auto"/>
          </w:tcPr>
          <w:p w14:paraId="043889AD" w14:textId="77777777" w:rsidR="00B33542" w:rsidRPr="005071A1" w:rsidRDefault="00B33542" w:rsidP="009B7AF5">
            <w:pPr>
              <w:pStyle w:val="Tabletext"/>
            </w:pPr>
            <w:r w:rsidRPr="005071A1">
              <w:t>0.20</w:t>
            </w:r>
          </w:p>
        </w:tc>
        <w:tc>
          <w:tcPr>
            <w:tcW w:w="283" w:type="dxa"/>
            <w:shd w:val="clear" w:color="auto" w:fill="auto"/>
          </w:tcPr>
          <w:p w14:paraId="080673B7" w14:textId="77777777" w:rsidR="00B33542" w:rsidRPr="005071A1" w:rsidRDefault="00B33542" w:rsidP="009B7AF5">
            <w:pPr>
              <w:pStyle w:val="Tabletext"/>
            </w:pPr>
          </w:p>
        </w:tc>
        <w:tc>
          <w:tcPr>
            <w:tcW w:w="1843" w:type="dxa"/>
            <w:shd w:val="clear" w:color="auto" w:fill="auto"/>
          </w:tcPr>
          <w:p w14:paraId="7A91D9FE" w14:textId="77777777" w:rsidR="00B33542" w:rsidRPr="005071A1" w:rsidRDefault="00B33542" w:rsidP="009B7AF5">
            <w:pPr>
              <w:pStyle w:val="Tabletext"/>
            </w:pPr>
            <w:r w:rsidRPr="005071A1">
              <w:t>48</w:t>
            </w:r>
          </w:p>
        </w:tc>
        <w:tc>
          <w:tcPr>
            <w:tcW w:w="1559" w:type="dxa"/>
            <w:shd w:val="clear" w:color="auto" w:fill="auto"/>
          </w:tcPr>
          <w:p w14:paraId="4864CD0D" w14:textId="77777777" w:rsidR="00B33542" w:rsidRPr="005071A1" w:rsidRDefault="00B33542" w:rsidP="009B7AF5">
            <w:pPr>
              <w:pStyle w:val="Tabletext"/>
            </w:pPr>
            <w:r w:rsidRPr="005071A1">
              <w:t>0.88</w:t>
            </w:r>
          </w:p>
        </w:tc>
      </w:tr>
      <w:tr w:rsidR="00B33542" w:rsidRPr="005071A1" w14:paraId="192631A4" w14:textId="77777777" w:rsidTr="009B7AF5">
        <w:tc>
          <w:tcPr>
            <w:tcW w:w="1526" w:type="dxa"/>
            <w:shd w:val="clear" w:color="auto" w:fill="auto"/>
          </w:tcPr>
          <w:p w14:paraId="54D5D32D" w14:textId="77777777" w:rsidR="00B33542" w:rsidRPr="005071A1" w:rsidRDefault="00B33542" w:rsidP="009B7AF5">
            <w:pPr>
              <w:pStyle w:val="Tabletext"/>
            </w:pPr>
            <w:r w:rsidRPr="005071A1">
              <w:t>24</w:t>
            </w:r>
          </w:p>
        </w:tc>
        <w:tc>
          <w:tcPr>
            <w:tcW w:w="1701" w:type="dxa"/>
            <w:shd w:val="clear" w:color="auto" w:fill="auto"/>
          </w:tcPr>
          <w:p w14:paraId="2A134EC6" w14:textId="77777777" w:rsidR="00B33542" w:rsidRPr="005071A1" w:rsidRDefault="00B33542" w:rsidP="009B7AF5">
            <w:pPr>
              <w:pStyle w:val="Tabletext"/>
            </w:pPr>
            <w:r w:rsidRPr="005071A1">
              <w:t>0.22</w:t>
            </w:r>
          </w:p>
        </w:tc>
        <w:tc>
          <w:tcPr>
            <w:tcW w:w="283" w:type="dxa"/>
            <w:shd w:val="clear" w:color="auto" w:fill="auto"/>
          </w:tcPr>
          <w:p w14:paraId="41C1CB36" w14:textId="77777777" w:rsidR="00B33542" w:rsidRPr="005071A1" w:rsidRDefault="00B33542" w:rsidP="009B7AF5">
            <w:pPr>
              <w:pStyle w:val="Tabletext"/>
            </w:pPr>
          </w:p>
        </w:tc>
        <w:tc>
          <w:tcPr>
            <w:tcW w:w="1843" w:type="dxa"/>
            <w:shd w:val="clear" w:color="auto" w:fill="auto"/>
          </w:tcPr>
          <w:p w14:paraId="429DA2D2" w14:textId="77777777" w:rsidR="00B33542" w:rsidRPr="005071A1" w:rsidRDefault="00B33542" w:rsidP="009B7AF5">
            <w:pPr>
              <w:pStyle w:val="Tabletext"/>
            </w:pPr>
            <w:r w:rsidRPr="005071A1">
              <w:t>49</w:t>
            </w:r>
          </w:p>
        </w:tc>
        <w:tc>
          <w:tcPr>
            <w:tcW w:w="1559" w:type="dxa"/>
            <w:shd w:val="clear" w:color="auto" w:fill="auto"/>
          </w:tcPr>
          <w:p w14:paraId="347C21B7" w14:textId="77777777" w:rsidR="00B33542" w:rsidRPr="005071A1" w:rsidRDefault="00B33542" w:rsidP="009B7AF5">
            <w:pPr>
              <w:pStyle w:val="Tabletext"/>
            </w:pPr>
            <w:r w:rsidRPr="005071A1">
              <w:t>0.96</w:t>
            </w:r>
          </w:p>
        </w:tc>
      </w:tr>
      <w:tr w:rsidR="00B33542" w:rsidRPr="005071A1" w14:paraId="11BB2DCF" w14:textId="77777777" w:rsidTr="009B7AF5">
        <w:tc>
          <w:tcPr>
            <w:tcW w:w="1526" w:type="dxa"/>
            <w:shd w:val="clear" w:color="auto" w:fill="auto"/>
          </w:tcPr>
          <w:p w14:paraId="694B10FB" w14:textId="77777777" w:rsidR="00B33542" w:rsidRPr="005071A1" w:rsidRDefault="00B33542" w:rsidP="009B7AF5">
            <w:pPr>
              <w:pStyle w:val="Tabletext"/>
            </w:pPr>
            <w:r w:rsidRPr="005071A1">
              <w:t>25</w:t>
            </w:r>
          </w:p>
        </w:tc>
        <w:tc>
          <w:tcPr>
            <w:tcW w:w="1701" w:type="dxa"/>
            <w:shd w:val="clear" w:color="auto" w:fill="auto"/>
          </w:tcPr>
          <w:p w14:paraId="7FD7540E" w14:textId="77777777" w:rsidR="00B33542" w:rsidRPr="005071A1" w:rsidRDefault="00B33542" w:rsidP="009B7AF5">
            <w:pPr>
              <w:pStyle w:val="Tabletext"/>
            </w:pPr>
            <w:r w:rsidRPr="005071A1">
              <w:t>0.22</w:t>
            </w:r>
          </w:p>
        </w:tc>
        <w:tc>
          <w:tcPr>
            <w:tcW w:w="283" w:type="dxa"/>
            <w:shd w:val="clear" w:color="auto" w:fill="auto"/>
          </w:tcPr>
          <w:p w14:paraId="02C0AC5A" w14:textId="77777777" w:rsidR="00B33542" w:rsidRPr="005071A1" w:rsidRDefault="00B33542" w:rsidP="009B7AF5">
            <w:pPr>
              <w:pStyle w:val="Tabletext"/>
            </w:pPr>
          </w:p>
        </w:tc>
        <w:tc>
          <w:tcPr>
            <w:tcW w:w="1843" w:type="dxa"/>
            <w:shd w:val="clear" w:color="auto" w:fill="auto"/>
          </w:tcPr>
          <w:p w14:paraId="34A0B790" w14:textId="77777777" w:rsidR="00B33542" w:rsidRPr="005071A1" w:rsidRDefault="00B33542" w:rsidP="009B7AF5">
            <w:pPr>
              <w:pStyle w:val="Tabletext"/>
            </w:pPr>
            <w:r w:rsidRPr="005071A1">
              <w:t>50</w:t>
            </w:r>
          </w:p>
        </w:tc>
        <w:tc>
          <w:tcPr>
            <w:tcW w:w="1559" w:type="dxa"/>
            <w:shd w:val="clear" w:color="auto" w:fill="auto"/>
          </w:tcPr>
          <w:p w14:paraId="14AED201" w14:textId="77777777" w:rsidR="00B33542" w:rsidRPr="005071A1" w:rsidRDefault="00B33542" w:rsidP="009B7AF5">
            <w:pPr>
              <w:pStyle w:val="Tabletext"/>
            </w:pPr>
            <w:r w:rsidRPr="005071A1">
              <w:t>1.04</w:t>
            </w:r>
          </w:p>
        </w:tc>
      </w:tr>
      <w:tr w:rsidR="00B33542" w:rsidRPr="005071A1" w14:paraId="58B30CC9" w14:textId="77777777" w:rsidTr="009B7AF5">
        <w:tc>
          <w:tcPr>
            <w:tcW w:w="1526" w:type="dxa"/>
            <w:shd w:val="clear" w:color="auto" w:fill="auto"/>
          </w:tcPr>
          <w:p w14:paraId="54D90F93" w14:textId="77777777" w:rsidR="00B33542" w:rsidRPr="005071A1" w:rsidRDefault="00B33542" w:rsidP="009B7AF5">
            <w:pPr>
              <w:pStyle w:val="Tabletext"/>
            </w:pPr>
            <w:r w:rsidRPr="005071A1">
              <w:t>26</w:t>
            </w:r>
          </w:p>
        </w:tc>
        <w:tc>
          <w:tcPr>
            <w:tcW w:w="1701" w:type="dxa"/>
            <w:shd w:val="clear" w:color="auto" w:fill="auto"/>
          </w:tcPr>
          <w:p w14:paraId="26376F24" w14:textId="77777777" w:rsidR="00B33542" w:rsidRPr="005071A1" w:rsidRDefault="00B33542" w:rsidP="009B7AF5">
            <w:pPr>
              <w:pStyle w:val="Tabletext"/>
            </w:pPr>
            <w:r w:rsidRPr="005071A1">
              <w:t>0.24</w:t>
            </w:r>
          </w:p>
        </w:tc>
        <w:tc>
          <w:tcPr>
            <w:tcW w:w="283" w:type="dxa"/>
            <w:shd w:val="clear" w:color="auto" w:fill="auto"/>
          </w:tcPr>
          <w:p w14:paraId="37AF91C5" w14:textId="77777777" w:rsidR="00B33542" w:rsidRPr="005071A1" w:rsidRDefault="00B33542" w:rsidP="009B7AF5">
            <w:pPr>
              <w:pStyle w:val="Tabletext"/>
            </w:pPr>
          </w:p>
        </w:tc>
        <w:tc>
          <w:tcPr>
            <w:tcW w:w="1843" w:type="dxa"/>
            <w:shd w:val="clear" w:color="auto" w:fill="auto"/>
          </w:tcPr>
          <w:p w14:paraId="6577F64D" w14:textId="77777777" w:rsidR="00B33542" w:rsidRPr="005071A1" w:rsidRDefault="00B33542" w:rsidP="009B7AF5">
            <w:pPr>
              <w:pStyle w:val="Tabletext"/>
            </w:pPr>
            <w:r w:rsidRPr="005071A1">
              <w:t>51</w:t>
            </w:r>
          </w:p>
        </w:tc>
        <w:tc>
          <w:tcPr>
            <w:tcW w:w="1559" w:type="dxa"/>
            <w:shd w:val="clear" w:color="auto" w:fill="auto"/>
          </w:tcPr>
          <w:p w14:paraId="4630C99B" w14:textId="77777777" w:rsidR="00B33542" w:rsidRPr="005071A1" w:rsidRDefault="00B33542" w:rsidP="009B7AF5">
            <w:pPr>
              <w:pStyle w:val="Tabletext"/>
            </w:pPr>
            <w:r w:rsidRPr="005071A1">
              <w:t>1.14</w:t>
            </w:r>
          </w:p>
        </w:tc>
      </w:tr>
      <w:tr w:rsidR="00B33542" w:rsidRPr="005071A1" w14:paraId="5E1D8378" w14:textId="77777777" w:rsidTr="009B7AF5">
        <w:tc>
          <w:tcPr>
            <w:tcW w:w="1526" w:type="dxa"/>
            <w:shd w:val="clear" w:color="auto" w:fill="auto"/>
          </w:tcPr>
          <w:p w14:paraId="67FE4DD0" w14:textId="77777777" w:rsidR="00B33542" w:rsidRPr="005071A1" w:rsidRDefault="00B33542" w:rsidP="009B7AF5">
            <w:pPr>
              <w:pStyle w:val="Tabletext"/>
            </w:pPr>
            <w:r w:rsidRPr="005071A1">
              <w:t>27</w:t>
            </w:r>
          </w:p>
        </w:tc>
        <w:tc>
          <w:tcPr>
            <w:tcW w:w="1701" w:type="dxa"/>
            <w:shd w:val="clear" w:color="auto" w:fill="auto"/>
          </w:tcPr>
          <w:p w14:paraId="21FC19C1" w14:textId="77777777" w:rsidR="00B33542" w:rsidRPr="005071A1" w:rsidRDefault="00B33542" w:rsidP="009B7AF5">
            <w:pPr>
              <w:pStyle w:val="Tabletext"/>
            </w:pPr>
            <w:r w:rsidRPr="005071A1">
              <w:t>0.24</w:t>
            </w:r>
          </w:p>
        </w:tc>
        <w:tc>
          <w:tcPr>
            <w:tcW w:w="283" w:type="dxa"/>
            <w:shd w:val="clear" w:color="auto" w:fill="auto"/>
          </w:tcPr>
          <w:p w14:paraId="5F74B7E2" w14:textId="77777777" w:rsidR="00B33542" w:rsidRPr="005071A1" w:rsidRDefault="00B33542" w:rsidP="009B7AF5">
            <w:pPr>
              <w:pStyle w:val="Tabletext"/>
            </w:pPr>
          </w:p>
        </w:tc>
        <w:tc>
          <w:tcPr>
            <w:tcW w:w="1843" w:type="dxa"/>
            <w:shd w:val="clear" w:color="auto" w:fill="auto"/>
          </w:tcPr>
          <w:p w14:paraId="1BBF50D7" w14:textId="77777777" w:rsidR="00B33542" w:rsidRPr="005071A1" w:rsidRDefault="00B33542" w:rsidP="009B7AF5">
            <w:pPr>
              <w:pStyle w:val="Tabletext"/>
            </w:pPr>
            <w:r w:rsidRPr="005071A1">
              <w:t>52</w:t>
            </w:r>
          </w:p>
        </w:tc>
        <w:tc>
          <w:tcPr>
            <w:tcW w:w="1559" w:type="dxa"/>
            <w:shd w:val="clear" w:color="auto" w:fill="auto"/>
          </w:tcPr>
          <w:p w14:paraId="158D05A0" w14:textId="77777777" w:rsidR="00B33542" w:rsidRPr="005071A1" w:rsidRDefault="00B33542" w:rsidP="009B7AF5">
            <w:pPr>
              <w:pStyle w:val="Tabletext"/>
            </w:pPr>
            <w:r w:rsidRPr="005071A1">
              <w:t>1.26</w:t>
            </w:r>
          </w:p>
        </w:tc>
      </w:tr>
      <w:tr w:rsidR="00B33542" w:rsidRPr="005071A1" w14:paraId="001EB938" w14:textId="77777777" w:rsidTr="009B7AF5">
        <w:tc>
          <w:tcPr>
            <w:tcW w:w="1526" w:type="dxa"/>
            <w:shd w:val="clear" w:color="auto" w:fill="auto"/>
          </w:tcPr>
          <w:p w14:paraId="2D498336" w14:textId="77777777" w:rsidR="00B33542" w:rsidRPr="005071A1" w:rsidRDefault="00B33542" w:rsidP="009B7AF5">
            <w:pPr>
              <w:pStyle w:val="Tabletext"/>
            </w:pPr>
            <w:r w:rsidRPr="005071A1">
              <w:t>28</w:t>
            </w:r>
          </w:p>
        </w:tc>
        <w:tc>
          <w:tcPr>
            <w:tcW w:w="1701" w:type="dxa"/>
            <w:shd w:val="clear" w:color="auto" w:fill="auto"/>
          </w:tcPr>
          <w:p w14:paraId="783B88AE" w14:textId="77777777" w:rsidR="00B33542" w:rsidRPr="005071A1" w:rsidRDefault="00B33542" w:rsidP="009B7AF5">
            <w:pPr>
              <w:pStyle w:val="Tabletext"/>
            </w:pPr>
            <w:r w:rsidRPr="005071A1">
              <w:t>0.26</w:t>
            </w:r>
          </w:p>
        </w:tc>
        <w:tc>
          <w:tcPr>
            <w:tcW w:w="283" w:type="dxa"/>
            <w:shd w:val="clear" w:color="auto" w:fill="auto"/>
          </w:tcPr>
          <w:p w14:paraId="1EF761CA" w14:textId="77777777" w:rsidR="00B33542" w:rsidRPr="005071A1" w:rsidRDefault="00B33542" w:rsidP="009B7AF5">
            <w:pPr>
              <w:pStyle w:val="Tabletext"/>
            </w:pPr>
          </w:p>
        </w:tc>
        <w:tc>
          <w:tcPr>
            <w:tcW w:w="1843" w:type="dxa"/>
            <w:shd w:val="clear" w:color="auto" w:fill="auto"/>
          </w:tcPr>
          <w:p w14:paraId="136F4F7D" w14:textId="77777777" w:rsidR="00B33542" w:rsidRPr="005071A1" w:rsidRDefault="00B33542" w:rsidP="009B7AF5">
            <w:pPr>
              <w:pStyle w:val="Tabletext"/>
            </w:pPr>
            <w:r w:rsidRPr="005071A1">
              <w:t>53</w:t>
            </w:r>
          </w:p>
        </w:tc>
        <w:tc>
          <w:tcPr>
            <w:tcW w:w="1559" w:type="dxa"/>
            <w:shd w:val="clear" w:color="auto" w:fill="auto"/>
          </w:tcPr>
          <w:p w14:paraId="30491E5E" w14:textId="77777777" w:rsidR="00B33542" w:rsidRPr="005071A1" w:rsidRDefault="00B33542" w:rsidP="009B7AF5">
            <w:pPr>
              <w:pStyle w:val="Tabletext"/>
            </w:pPr>
            <w:r w:rsidRPr="005071A1">
              <w:t>1.38</w:t>
            </w:r>
          </w:p>
        </w:tc>
      </w:tr>
      <w:tr w:rsidR="00B33542" w:rsidRPr="005071A1" w14:paraId="5F406992" w14:textId="77777777" w:rsidTr="009B7AF5">
        <w:tc>
          <w:tcPr>
            <w:tcW w:w="1526" w:type="dxa"/>
            <w:shd w:val="clear" w:color="auto" w:fill="auto"/>
          </w:tcPr>
          <w:p w14:paraId="35B44E3E" w14:textId="77777777" w:rsidR="00B33542" w:rsidRPr="005071A1" w:rsidRDefault="00B33542" w:rsidP="009B7AF5">
            <w:pPr>
              <w:pStyle w:val="Tabletext"/>
            </w:pPr>
            <w:r w:rsidRPr="005071A1">
              <w:t>29</w:t>
            </w:r>
          </w:p>
        </w:tc>
        <w:tc>
          <w:tcPr>
            <w:tcW w:w="1701" w:type="dxa"/>
            <w:shd w:val="clear" w:color="auto" w:fill="auto"/>
          </w:tcPr>
          <w:p w14:paraId="612A8381" w14:textId="77777777" w:rsidR="00B33542" w:rsidRPr="005071A1" w:rsidRDefault="00B33542" w:rsidP="009B7AF5">
            <w:pPr>
              <w:pStyle w:val="Tabletext"/>
            </w:pPr>
            <w:r w:rsidRPr="005071A1">
              <w:t>0.28</w:t>
            </w:r>
          </w:p>
        </w:tc>
        <w:tc>
          <w:tcPr>
            <w:tcW w:w="283" w:type="dxa"/>
            <w:shd w:val="clear" w:color="auto" w:fill="auto"/>
          </w:tcPr>
          <w:p w14:paraId="3703D211" w14:textId="77777777" w:rsidR="00B33542" w:rsidRPr="005071A1" w:rsidRDefault="00B33542" w:rsidP="009B7AF5">
            <w:pPr>
              <w:pStyle w:val="Tabletext"/>
            </w:pPr>
          </w:p>
        </w:tc>
        <w:tc>
          <w:tcPr>
            <w:tcW w:w="1843" w:type="dxa"/>
            <w:shd w:val="clear" w:color="auto" w:fill="auto"/>
          </w:tcPr>
          <w:p w14:paraId="289EA6BA" w14:textId="77777777" w:rsidR="00B33542" w:rsidRPr="005071A1" w:rsidRDefault="00B33542" w:rsidP="009B7AF5">
            <w:pPr>
              <w:pStyle w:val="Tabletext"/>
            </w:pPr>
            <w:r w:rsidRPr="005071A1">
              <w:t>54</w:t>
            </w:r>
          </w:p>
        </w:tc>
        <w:tc>
          <w:tcPr>
            <w:tcW w:w="1559" w:type="dxa"/>
            <w:shd w:val="clear" w:color="auto" w:fill="auto"/>
          </w:tcPr>
          <w:p w14:paraId="696EEB29" w14:textId="77777777" w:rsidR="00B33542" w:rsidRPr="005071A1" w:rsidRDefault="00B33542" w:rsidP="009B7AF5">
            <w:pPr>
              <w:pStyle w:val="Tabletext"/>
            </w:pPr>
            <w:r w:rsidRPr="005071A1">
              <w:t>1.52</w:t>
            </w:r>
          </w:p>
        </w:tc>
      </w:tr>
      <w:tr w:rsidR="00B33542" w:rsidRPr="005071A1" w14:paraId="3EBF8802" w14:textId="77777777" w:rsidTr="009B7AF5">
        <w:tc>
          <w:tcPr>
            <w:tcW w:w="1526" w:type="dxa"/>
            <w:shd w:val="clear" w:color="auto" w:fill="auto"/>
          </w:tcPr>
          <w:p w14:paraId="451EF289" w14:textId="77777777" w:rsidR="00B33542" w:rsidRPr="005071A1" w:rsidRDefault="00B33542" w:rsidP="009B7AF5">
            <w:pPr>
              <w:pStyle w:val="Tabletext"/>
            </w:pPr>
            <w:r w:rsidRPr="005071A1">
              <w:t>30</w:t>
            </w:r>
          </w:p>
        </w:tc>
        <w:tc>
          <w:tcPr>
            <w:tcW w:w="1701" w:type="dxa"/>
            <w:shd w:val="clear" w:color="auto" w:fill="auto"/>
          </w:tcPr>
          <w:p w14:paraId="4F4B4C35" w14:textId="77777777" w:rsidR="00B33542" w:rsidRPr="005071A1" w:rsidRDefault="00B33542" w:rsidP="009B7AF5">
            <w:pPr>
              <w:pStyle w:val="Tabletext"/>
            </w:pPr>
            <w:r w:rsidRPr="005071A1">
              <w:t>0.28</w:t>
            </w:r>
          </w:p>
        </w:tc>
        <w:tc>
          <w:tcPr>
            <w:tcW w:w="283" w:type="dxa"/>
            <w:shd w:val="clear" w:color="auto" w:fill="auto"/>
          </w:tcPr>
          <w:p w14:paraId="16B77050" w14:textId="77777777" w:rsidR="00B33542" w:rsidRPr="005071A1" w:rsidRDefault="00B33542" w:rsidP="009B7AF5">
            <w:pPr>
              <w:pStyle w:val="Tabletext"/>
            </w:pPr>
          </w:p>
        </w:tc>
        <w:tc>
          <w:tcPr>
            <w:tcW w:w="1843" w:type="dxa"/>
            <w:shd w:val="clear" w:color="auto" w:fill="auto"/>
          </w:tcPr>
          <w:p w14:paraId="165C657D" w14:textId="77777777" w:rsidR="00B33542" w:rsidRPr="005071A1" w:rsidRDefault="00B33542" w:rsidP="009B7AF5">
            <w:pPr>
              <w:pStyle w:val="Tabletext"/>
            </w:pPr>
            <w:r w:rsidRPr="005071A1">
              <w:t>55</w:t>
            </w:r>
          </w:p>
        </w:tc>
        <w:tc>
          <w:tcPr>
            <w:tcW w:w="1559" w:type="dxa"/>
            <w:shd w:val="clear" w:color="auto" w:fill="auto"/>
          </w:tcPr>
          <w:p w14:paraId="71AE1744" w14:textId="77777777" w:rsidR="00B33542" w:rsidRPr="005071A1" w:rsidRDefault="00B33542" w:rsidP="009B7AF5">
            <w:pPr>
              <w:pStyle w:val="Tabletext"/>
            </w:pPr>
            <w:r w:rsidRPr="005071A1">
              <w:t>1.68</w:t>
            </w:r>
          </w:p>
        </w:tc>
      </w:tr>
      <w:tr w:rsidR="00B33542" w:rsidRPr="005071A1" w14:paraId="45EB6CC7" w14:textId="77777777" w:rsidTr="009B7AF5">
        <w:tc>
          <w:tcPr>
            <w:tcW w:w="1526" w:type="dxa"/>
            <w:shd w:val="clear" w:color="auto" w:fill="auto"/>
          </w:tcPr>
          <w:p w14:paraId="54D19BC1" w14:textId="77777777" w:rsidR="00B33542" w:rsidRPr="005071A1" w:rsidRDefault="00B33542" w:rsidP="009B7AF5">
            <w:pPr>
              <w:pStyle w:val="Tabletext"/>
            </w:pPr>
            <w:r w:rsidRPr="005071A1">
              <w:t>31</w:t>
            </w:r>
          </w:p>
        </w:tc>
        <w:tc>
          <w:tcPr>
            <w:tcW w:w="1701" w:type="dxa"/>
            <w:shd w:val="clear" w:color="auto" w:fill="auto"/>
          </w:tcPr>
          <w:p w14:paraId="08510B97" w14:textId="77777777" w:rsidR="00B33542" w:rsidRPr="005071A1" w:rsidRDefault="00B33542" w:rsidP="009B7AF5">
            <w:pPr>
              <w:pStyle w:val="Tabletext"/>
            </w:pPr>
            <w:r w:rsidRPr="005071A1">
              <w:t>0.30</w:t>
            </w:r>
          </w:p>
        </w:tc>
        <w:tc>
          <w:tcPr>
            <w:tcW w:w="283" w:type="dxa"/>
            <w:shd w:val="clear" w:color="auto" w:fill="auto"/>
          </w:tcPr>
          <w:p w14:paraId="2836567B" w14:textId="77777777" w:rsidR="00B33542" w:rsidRPr="005071A1" w:rsidRDefault="00B33542" w:rsidP="009B7AF5">
            <w:pPr>
              <w:pStyle w:val="Tabletext"/>
            </w:pPr>
          </w:p>
        </w:tc>
        <w:tc>
          <w:tcPr>
            <w:tcW w:w="1843" w:type="dxa"/>
            <w:shd w:val="clear" w:color="auto" w:fill="auto"/>
          </w:tcPr>
          <w:p w14:paraId="47A0701E" w14:textId="77777777" w:rsidR="00B33542" w:rsidRPr="005071A1" w:rsidRDefault="00B33542" w:rsidP="009B7AF5">
            <w:pPr>
              <w:pStyle w:val="Tabletext"/>
            </w:pPr>
            <w:r w:rsidRPr="005071A1">
              <w:t>56</w:t>
            </w:r>
          </w:p>
        </w:tc>
        <w:tc>
          <w:tcPr>
            <w:tcW w:w="1559" w:type="dxa"/>
            <w:shd w:val="clear" w:color="auto" w:fill="auto"/>
          </w:tcPr>
          <w:p w14:paraId="70FA1B04" w14:textId="77777777" w:rsidR="00B33542" w:rsidRPr="005071A1" w:rsidRDefault="00B33542" w:rsidP="009B7AF5">
            <w:pPr>
              <w:pStyle w:val="Tabletext"/>
            </w:pPr>
            <w:r w:rsidRPr="005071A1">
              <w:t>1.88</w:t>
            </w:r>
          </w:p>
        </w:tc>
      </w:tr>
      <w:tr w:rsidR="00B33542" w:rsidRPr="005071A1" w14:paraId="0CFB2F5E" w14:textId="77777777" w:rsidTr="009B7AF5">
        <w:tc>
          <w:tcPr>
            <w:tcW w:w="1526" w:type="dxa"/>
            <w:shd w:val="clear" w:color="auto" w:fill="auto"/>
          </w:tcPr>
          <w:p w14:paraId="73B8DFBD" w14:textId="77777777" w:rsidR="00B33542" w:rsidRPr="005071A1" w:rsidRDefault="00B33542" w:rsidP="009B7AF5">
            <w:pPr>
              <w:pStyle w:val="Tabletext"/>
            </w:pPr>
            <w:r w:rsidRPr="005071A1">
              <w:t>32</w:t>
            </w:r>
          </w:p>
        </w:tc>
        <w:tc>
          <w:tcPr>
            <w:tcW w:w="1701" w:type="dxa"/>
            <w:shd w:val="clear" w:color="auto" w:fill="auto"/>
          </w:tcPr>
          <w:p w14:paraId="166C4083" w14:textId="77777777" w:rsidR="00B33542" w:rsidRPr="005071A1" w:rsidRDefault="00B33542" w:rsidP="009B7AF5">
            <w:pPr>
              <w:pStyle w:val="Tabletext"/>
            </w:pPr>
            <w:r w:rsidRPr="005071A1">
              <w:t>0.32</w:t>
            </w:r>
          </w:p>
        </w:tc>
        <w:tc>
          <w:tcPr>
            <w:tcW w:w="283" w:type="dxa"/>
            <w:shd w:val="clear" w:color="auto" w:fill="auto"/>
          </w:tcPr>
          <w:p w14:paraId="51F395F7" w14:textId="77777777" w:rsidR="00B33542" w:rsidRPr="005071A1" w:rsidRDefault="00B33542" w:rsidP="009B7AF5">
            <w:pPr>
              <w:pStyle w:val="Tabletext"/>
            </w:pPr>
          </w:p>
        </w:tc>
        <w:tc>
          <w:tcPr>
            <w:tcW w:w="1843" w:type="dxa"/>
            <w:shd w:val="clear" w:color="auto" w:fill="auto"/>
          </w:tcPr>
          <w:p w14:paraId="08CCFD4D" w14:textId="77777777" w:rsidR="00B33542" w:rsidRPr="005071A1" w:rsidRDefault="00B33542" w:rsidP="009B7AF5">
            <w:pPr>
              <w:pStyle w:val="Tabletext"/>
            </w:pPr>
            <w:r w:rsidRPr="005071A1">
              <w:t>57</w:t>
            </w:r>
          </w:p>
        </w:tc>
        <w:tc>
          <w:tcPr>
            <w:tcW w:w="1559" w:type="dxa"/>
            <w:shd w:val="clear" w:color="auto" w:fill="auto"/>
          </w:tcPr>
          <w:p w14:paraId="3B1E1AE9" w14:textId="77777777" w:rsidR="00B33542" w:rsidRPr="005071A1" w:rsidRDefault="00B33542" w:rsidP="009B7AF5">
            <w:pPr>
              <w:pStyle w:val="Tabletext"/>
            </w:pPr>
            <w:r w:rsidRPr="005071A1">
              <w:t>2.14</w:t>
            </w:r>
          </w:p>
        </w:tc>
      </w:tr>
      <w:tr w:rsidR="00B33542" w:rsidRPr="005071A1" w14:paraId="7E58CBAE" w14:textId="77777777" w:rsidTr="009B7AF5">
        <w:tc>
          <w:tcPr>
            <w:tcW w:w="1526" w:type="dxa"/>
            <w:shd w:val="clear" w:color="auto" w:fill="auto"/>
          </w:tcPr>
          <w:p w14:paraId="1B54F102" w14:textId="77777777" w:rsidR="00B33542" w:rsidRPr="005071A1" w:rsidRDefault="00B33542" w:rsidP="009B7AF5">
            <w:pPr>
              <w:pStyle w:val="Tabletext"/>
            </w:pPr>
            <w:r w:rsidRPr="005071A1">
              <w:lastRenderedPageBreak/>
              <w:t>33</w:t>
            </w:r>
          </w:p>
        </w:tc>
        <w:tc>
          <w:tcPr>
            <w:tcW w:w="1701" w:type="dxa"/>
            <w:shd w:val="clear" w:color="auto" w:fill="auto"/>
          </w:tcPr>
          <w:p w14:paraId="24AE949F" w14:textId="77777777" w:rsidR="00B33542" w:rsidRPr="005071A1" w:rsidRDefault="00B33542" w:rsidP="009B7AF5">
            <w:pPr>
              <w:pStyle w:val="Tabletext"/>
            </w:pPr>
            <w:r w:rsidRPr="005071A1">
              <w:t>0.34</w:t>
            </w:r>
          </w:p>
        </w:tc>
        <w:tc>
          <w:tcPr>
            <w:tcW w:w="283" w:type="dxa"/>
            <w:shd w:val="clear" w:color="auto" w:fill="auto"/>
          </w:tcPr>
          <w:p w14:paraId="588868C2" w14:textId="77777777" w:rsidR="00B33542" w:rsidRPr="005071A1" w:rsidRDefault="00B33542" w:rsidP="009B7AF5">
            <w:pPr>
              <w:pStyle w:val="Tabletext"/>
            </w:pPr>
          </w:p>
        </w:tc>
        <w:tc>
          <w:tcPr>
            <w:tcW w:w="1843" w:type="dxa"/>
            <w:shd w:val="clear" w:color="auto" w:fill="auto"/>
          </w:tcPr>
          <w:p w14:paraId="0427C1E2" w14:textId="77777777" w:rsidR="00B33542" w:rsidRPr="005071A1" w:rsidRDefault="00B33542" w:rsidP="009B7AF5">
            <w:pPr>
              <w:pStyle w:val="Tabletext"/>
            </w:pPr>
            <w:r w:rsidRPr="005071A1">
              <w:t>58</w:t>
            </w:r>
          </w:p>
        </w:tc>
        <w:tc>
          <w:tcPr>
            <w:tcW w:w="1559" w:type="dxa"/>
            <w:shd w:val="clear" w:color="auto" w:fill="auto"/>
          </w:tcPr>
          <w:p w14:paraId="0445A1B2" w14:textId="77777777" w:rsidR="00B33542" w:rsidRPr="005071A1" w:rsidRDefault="00B33542" w:rsidP="009B7AF5">
            <w:pPr>
              <w:pStyle w:val="Tabletext"/>
            </w:pPr>
            <w:r w:rsidRPr="005071A1">
              <w:t>2.48</w:t>
            </w:r>
          </w:p>
        </w:tc>
      </w:tr>
      <w:tr w:rsidR="00B33542" w:rsidRPr="005071A1" w14:paraId="4A9FD424" w14:textId="77777777" w:rsidTr="009B7AF5">
        <w:tc>
          <w:tcPr>
            <w:tcW w:w="1526" w:type="dxa"/>
            <w:shd w:val="clear" w:color="auto" w:fill="auto"/>
          </w:tcPr>
          <w:p w14:paraId="2F8ABDE2" w14:textId="77777777" w:rsidR="00B33542" w:rsidRPr="005071A1" w:rsidRDefault="00B33542" w:rsidP="009B7AF5">
            <w:pPr>
              <w:pStyle w:val="Tabletext"/>
            </w:pPr>
            <w:r w:rsidRPr="005071A1">
              <w:t>34</w:t>
            </w:r>
          </w:p>
        </w:tc>
        <w:tc>
          <w:tcPr>
            <w:tcW w:w="1701" w:type="dxa"/>
            <w:shd w:val="clear" w:color="auto" w:fill="auto"/>
          </w:tcPr>
          <w:p w14:paraId="78A361B0" w14:textId="77777777" w:rsidR="00B33542" w:rsidRPr="005071A1" w:rsidRDefault="00B33542" w:rsidP="009B7AF5">
            <w:pPr>
              <w:pStyle w:val="Tabletext"/>
            </w:pPr>
            <w:r w:rsidRPr="005071A1">
              <w:t>0.36</w:t>
            </w:r>
          </w:p>
        </w:tc>
        <w:tc>
          <w:tcPr>
            <w:tcW w:w="283" w:type="dxa"/>
            <w:shd w:val="clear" w:color="auto" w:fill="auto"/>
          </w:tcPr>
          <w:p w14:paraId="2EE78DEE" w14:textId="77777777" w:rsidR="00B33542" w:rsidRPr="005071A1" w:rsidRDefault="00B33542" w:rsidP="009B7AF5">
            <w:pPr>
              <w:pStyle w:val="Tabletext"/>
            </w:pPr>
          </w:p>
        </w:tc>
        <w:tc>
          <w:tcPr>
            <w:tcW w:w="1843" w:type="dxa"/>
            <w:shd w:val="clear" w:color="auto" w:fill="auto"/>
          </w:tcPr>
          <w:p w14:paraId="043CBA02" w14:textId="77777777" w:rsidR="00B33542" w:rsidRPr="005071A1" w:rsidRDefault="00B33542" w:rsidP="009B7AF5">
            <w:pPr>
              <w:pStyle w:val="Tabletext"/>
            </w:pPr>
            <w:r w:rsidRPr="005071A1">
              <w:t>59</w:t>
            </w:r>
          </w:p>
        </w:tc>
        <w:tc>
          <w:tcPr>
            <w:tcW w:w="1559" w:type="dxa"/>
            <w:shd w:val="clear" w:color="auto" w:fill="auto"/>
          </w:tcPr>
          <w:p w14:paraId="28B88A56" w14:textId="77777777" w:rsidR="00B33542" w:rsidRPr="005071A1" w:rsidRDefault="00B33542" w:rsidP="009B7AF5">
            <w:pPr>
              <w:pStyle w:val="Tabletext"/>
            </w:pPr>
            <w:r w:rsidRPr="005071A1">
              <w:t>2.90</w:t>
            </w:r>
          </w:p>
        </w:tc>
      </w:tr>
      <w:tr w:rsidR="00B33542" w:rsidRPr="005071A1" w14:paraId="4E109B06" w14:textId="77777777" w:rsidTr="009B7AF5">
        <w:tc>
          <w:tcPr>
            <w:tcW w:w="1526" w:type="dxa"/>
            <w:shd w:val="clear" w:color="auto" w:fill="auto"/>
          </w:tcPr>
          <w:p w14:paraId="709A4D2E" w14:textId="77777777" w:rsidR="00B33542" w:rsidRPr="005071A1" w:rsidRDefault="00B33542" w:rsidP="009B7AF5">
            <w:pPr>
              <w:pStyle w:val="Tabletext"/>
            </w:pPr>
            <w:r w:rsidRPr="005071A1">
              <w:t>35</w:t>
            </w:r>
          </w:p>
        </w:tc>
        <w:tc>
          <w:tcPr>
            <w:tcW w:w="1701" w:type="dxa"/>
            <w:shd w:val="clear" w:color="auto" w:fill="auto"/>
          </w:tcPr>
          <w:p w14:paraId="6A8FD153" w14:textId="77777777" w:rsidR="00B33542" w:rsidRPr="005071A1" w:rsidRDefault="00B33542" w:rsidP="009B7AF5">
            <w:pPr>
              <w:pStyle w:val="Tabletext"/>
            </w:pPr>
            <w:r w:rsidRPr="005071A1">
              <w:t>0.38</w:t>
            </w:r>
          </w:p>
        </w:tc>
        <w:tc>
          <w:tcPr>
            <w:tcW w:w="283" w:type="dxa"/>
            <w:shd w:val="clear" w:color="auto" w:fill="auto"/>
          </w:tcPr>
          <w:p w14:paraId="2A5E417C" w14:textId="77777777" w:rsidR="00B33542" w:rsidRPr="005071A1" w:rsidRDefault="00B33542" w:rsidP="009B7AF5">
            <w:pPr>
              <w:pStyle w:val="Tabletext"/>
            </w:pPr>
          </w:p>
        </w:tc>
        <w:tc>
          <w:tcPr>
            <w:tcW w:w="1843" w:type="dxa"/>
            <w:shd w:val="clear" w:color="auto" w:fill="auto"/>
          </w:tcPr>
          <w:p w14:paraId="7D02EDD6" w14:textId="77777777" w:rsidR="00B33542" w:rsidRPr="005071A1" w:rsidRDefault="00B33542" w:rsidP="009B7AF5">
            <w:pPr>
              <w:pStyle w:val="Tabletext"/>
            </w:pPr>
            <w:r w:rsidRPr="005071A1">
              <w:t>60</w:t>
            </w:r>
          </w:p>
        </w:tc>
        <w:tc>
          <w:tcPr>
            <w:tcW w:w="1559" w:type="dxa"/>
            <w:shd w:val="clear" w:color="auto" w:fill="auto"/>
          </w:tcPr>
          <w:p w14:paraId="746B28FE" w14:textId="77777777" w:rsidR="00B33542" w:rsidRPr="005071A1" w:rsidRDefault="00B33542" w:rsidP="009B7AF5">
            <w:pPr>
              <w:pStyle w:val="Tabletext"/>
            </w:pPr>
            <w:r w:rsidRPr="005071A1">
              <w:t>3.50</w:t>
            </w:r>
          </w:p>
        </w:tc>
      </w:tr>
      <w:tr w:rsidR="00B33542" w:rsidRPr="005071A1" w14:paraId="57DED451" w14:textId="77777777" w:rsidTr="009B7AF5">
        <w:tc>
          <w:tcPr>
            <w:tcW w:w="1526" w:type="dxa"/>
            <w:shd w:val="clear" w:color="auto" w:fill="auto"/>
          </w:tcPr>
          <w:p w14:paraId="6E180DAB" w14:textId="77777777" w:rsidR="00B33542" w:rsidRPr="005071A1" w:rsidRDefault="00B33542" w:rsidP="009B7AF5">
            <w:pPr>
              <w:pStyle w:val="Tabletext"/>
            </w:pPr>
            <w:r w:rsidRPr="005071A1">
              <w:t>36</w:t>
            </w:r>
          </w:p>
        </w:tc>
        <w:tc>
          <w:tcPr>
            <w:tcW w:w="1701" w:type="dxa"/>
            <w:shd w:val="clear" w:color="auto" w:fill="auto"/>
          </w:tcPr>
          <w:p w14:paraId="2BD146D1" w14:textId="77777777" w:rsidR="00B33542" w:rsidRPr="005071A1" w:rsidRDefault="00B33542" w:rsidP="009B7AF5">
            <w:pPr>
              <w:pStyle w:val="Tabletext"/>
            </w:pPr>
            <w:r w:rsidRPr="005071A1">
              <w:t>0.40</w:t>
            </w:r>
          </w:p>
        </w:tc>
        <w:tc>
          <w:tcPr>
            <w:tcW w:w="283" w:type="dxa"/>
            <w:shd w:val="clear" w:color="auto" w:fill="auto"/>
          </w:tcPr>
          <w:p w14:paraId="169696C5" w14:textId="77777777" w:rsidR="00B33542" w:rsidRPr="005071A1" w:rsidRDefault="00B33542" w:rsidP="009B7AF5">
            <w:pPr>
              <w:pStyle w:val="Tabletext"/>
            </w:pPr>
          </w:p>
        </w:tc>
        <w:tc>
          <w:tcPr>
            <w:tcW w:w="1843" w:type="dxa"/>
            <w:shd w:val="clear" w:color="auto" w:fill="auto"/>
          </w:tcPr>
          <w:p w14:paraId="2A22CB0D" w14:textId="77777777" w:rsidR="00B33542" w:rsidRPr="005071A1" w:rsidRDefault="00B33542" w:rsidP="009B7AF5">
            <w:pPr>
              <w:pStyle w:val="Tabletext"/>
            </w:pPr>
            <w:r w:rsidRPr="005071A1">
              <w:t>61</w:t>
            </w:r>
          </w:p>
        </w:tc>
        <w:tc>
          <w:tcPr>
            <w:tcW w:w="1559" w:type="dxa"/>
            <w:shd w:val="clear" w:color="auto" w:fill="auto"/>
          </w:tcPr>
          <w:p w14:paraId="13D47024" w14:textId="77777777" w:rsidR="00B33542" w:rsidRPr="005071A1" w:rsidRDefault="00B33542" w:rsidP="009B7AF5">
            <w:pPr>
              <w:pStyle w:val="Tabletext"/>
            </w:pPr>
            <w:r w:rsidRPr="005071A1">
              <w:t>4.42</w:t>
            </w:r>
          </w:p>
        </w:tc>
      </w:tr>
      <w:tr w:rsidR="00B33542" w:rsidRPr="005071A1" w14:paraId="1907D65D" w14:textId="77777777" w:rsidTr="009B7AF5">
        <w:tc>
          <w:tcPr>
            <w:tcW w:w="1526" w:type="dxa"/>
            <w:shd w:val="clear" w:color="auto" w:fill="auto"/>
          </w:tcPr>
          <w:p w14:paraId="1A840CF5" w14:textId="77777777" w:rsidR="00B33542" w:rsidRPr="005071A1" w:rsidRDefault="00B33542" w:rsidP="009B7AF5">
            <w:pPr>
              <w:pStyle w:val="Tabletext"/>
            </w:pPr>
            <w:r w:rsidRPr="005071A1">
              <w:t>37</w:t>
            </w:r>
          </w:p>
        </w:tc>
        <w:tc>
          <w:tcPr>
            <w:tcW w:w="1701" w:type="dxa"/>
            <w:shd w:val="clear" w:color="auto" w:fill="auto"/>
          </w:tcPr>
          <w:p w14:paraId="56F1CB33" w14:textId="77777777" w:rsidR="00B33542" w:rsidRPr="005071A1" w:rsidRDefault="00B33542" w:rsidP="009B7AF5">
            <w:pPr>
              <w:pStyle w:val="Tabletext"/>
            </w:pPr>
            <w:r w:rsidRPr="005071A1">
              <w:t>0.42</w:t>
            </w:r>
          </w:p>
        </w:tc>
        <w:tc>
          <w:tcPr>
            <w:tcW w:w="283" w:type="dxa"/>
            <w:shd w:val="clear" w:color="auto" w:fill="auto"/>
          </w:tcPr>
          <w:p w14:paraId="150D4636" w14:textId="77777777" w:rsidR="00B33542" w:rsidRPr="005071A1" w:rsidRDefault="00B33542" w:rsidP="009B7AF5">
            <w:pPr>
              <w:pStyle w:val="Tabletext"/>
            </w:pPr>
          </w:p>
        </w:tc>
        <w:tc>
          <w:tcPr>
            <w:tcW w:w="1843" w:type="dxa"/>
            <w:shd w:val="clear" w:color="auto" w:fill="auto"/>
          </w:tcPr>
          <w:p w14:paraId="394B4190" w14:textId="77777777" w:rsidR="00B33542" w:rsidRPr="005071A1" w:rsidRDefault="00B33542" w:rsidP="009B7AF5">
            <w:pPr>
              <w:pStyle w:val="Tabletext"/>
            </w:pPr>
            <w:r w:rsidRPr="005071A1">
              <w:t>62</w:t>
            </w:r>
          </w:p>
        </w:tc>
        <w:tc>
          <w:tcPr>
            <w:tcW w:w="1559" w:type="dxa"/>
            <w:shd w:val="clear" w:color="auto" w:fill="auto"/>
          </w:tcPr>
          <w:p w14:paraId="171EF0C8" w14:textId="77777777" w:rsidR="00B33542" w:rsidRPr="005071A1" w:rsidRDefault="00B33542" w:rsidP="009B7AF5">
            <w:pPr>
              <w:pStyle w:val="Tabletext"/>
            </w:pPr>
            <w:r w:rsidRPr="005071A1">
              <w:t>5.96</w:t>
            </w:r>
          </w:p>
        </w:tc>
      </w:tr>
      <w:tr w:rsidR="00B33542" w:rsidRPr="005071A1" w14:paraId="70DF672B" w14:textId="77777777" w:rsidTr="009B7AF5">
        <w:tc>
          <w:tcPr>
            <w:tcW w:w="1526" w:type="dxa"/>
            <w:shd w:val="clear" w:color="auto" w:fill="auto"/>
          </w:tcPr>
          <w:p w14:paraId="5CB77FFB" w14:textId="77777777" w:rsidR="00B33542" w:rsidRPr="005071A1" w:rsidRDefault="00B33542" w:rsidP="009B7AF5">
            <w:pPr>
              <w:pStyle w:val="Tabletext"/>
            </w:pPr>
            <w:r w:rsidRPr="005071A1">
              <w:t>38</w:t>
            </w:r>
          </w:p>
        </w:tc>
        <w:tc>
          <w:tcPr>
            <w:tcW w:w="1701" w:type="dxa"/>
            <w:shd w:val="clear" w:color="auto" w:fill="auto"/>
          </w:tcPr>
          <w:p w14:paraId="06B5A3FE" w14:textId="77777777" w:rsidR="00B33542" w:rsidRPr="005071A1" w:rsidRDefault="00B33542" w:rsidP="009B7AF5">
            <w:pPr>
              <w:pStyle w:val="Tabletext"/>
            </w:pPr>
            <w:r w:rsidRPr="005071A1">
              <w:t>0.44</w:t>
            </w:r>
          </w:p>
        </w:tc>
        <w:tc>
          <w:tcPr>
            <w:tcW w:w="283" w:type="dxa"/>
            <w:shd w:val="clear" w:color="auto" w:fill="auto"/>
          </w:tcPr>
          <w:p w14:paraId="0160F8A8" w14:textId="77777777" w:rsidR="00B33542" w:rsidRPr="005071A1" w:rsidRDefault="00B33542" w:rsidP="009B7AF5">
            <w:pPr>
              <w:pStyle w:val="Tabletext"/>
            </w:pPr>
          </w:p>
        </w:tc>
        <w:tc>
          <w:tcPr>
            <w:tcW w:w="1843" w:type="dxa"/>
            <w:shd w:val="clear" w:color="auto" w:fill="auto"/>
          </w:tcPr>
          <w:p w14:paraId="002FED0C" w14:textId="77777777" w:rsidR="00B33542" w:rsidRPr="005071A1" w:rsidRDefault="00B33542" w:rsidP="009B7AF5">
            <w:pPr>
              <w:pStyle w:val="Tabletext"/>
            </w:pPr>
            <w:r w:rsidRPr="005071A1">
              <w:t>63</w:t>
            </w:r>
          </w:p>
        </w:tc>
        <w:tc>
          <w:tcPr>
            <w:tcW w:w="1559" w:type="dxa"/>
            <w:shd w:val="clear" w:color="auto" w:fill="auto"/>
          </w:tcPr>
          <w:p w14:paraId="49A598B0" w14:textId="77777777" w:rsidR="00B33542" w:rsidRPr="005071A1" w:rsidRDefault="00B33542" w:rsidP="009B7AF5">
            <w:pPr>
              <w:pStyle w:val="Tabletext"/>
            </w:pPr>
            <w:r w:rsidRPr="005071A1">
              <w:t>9.06</w:t>
            </w:r>
          </w:p>
        </w:tc>
      </w:tr>
      <w:tr w:rsidR="00B33542" w:rsidRPr="005071A1" w14:paraId="04850122" w14:textId="77777777" w:rsidTr="009B7AF5">
        <w:tc>
          <w:tcPr>
            <w:tcW w:w="1526" w:type="dxa"/>
            <w:tcBorders>
              <w:bottom w:val="single" w:sz="4" w:space="0" w:color="auto"/>
            </w:tcBorders>
            <w:shd w:val="clear" w:color="auto" w:fill="auto"/>
          </w:tcPr>
          <w:p w14:paraId="4585DF25" w14:textId="77777777" w:rsidR="00B33542" w:rsidRPr="005071A1" w:rsidRDefault="00B33542" w:rsidP="009B7AF5">
            <w:pPr>
              <w:pStyle w:val="Tabletext"/>
            </w:pPr>
            <w:r w:rsidRPr="005071A1">
              <w:t>39</w:t>
            </w:r>
          </w:p>
        </w:tc>
        <w:tc>
          <w:tcPr>
            <w:tcW w:w="1701" w:type="dxa"/>
            <w:tcBorders>
              <w:bottom w:val="single" w:sz="4" w:space="0" w:color="auto"/>
            </w:tcBorders>
            <w:shd w:val="clear" w:color="auto" w:fill="auto"/>
          </w:tcPr>
          <w:p w14:paraId="3BCE7877" w14:textId="77777777" w:rsidR="00B33542" w:rsidRPr="005071A1" w:rsidRDefault="00B33542" w:rsidP="009B7AF5">
            <w:pPr>
              <w:pStyle w:val="Tabletext"/>
            </w:pPr>
            <w:r w:rsidRPr="005071A1">
              <w:t>0.48</w:t>
            </w:r>
          </w:p>
        </w:tc>
        <w:tc>
          <w:tcPr>
            <w:tcW w:w="283" w:type="dxa"/>
            <w:tcBorders>
              <w:bottom w:val="single" w:sz="4" w:space="0" w:color="auto"/>
            </w:tcBorders>
            <w:shd w:val="clear" w:color="auto" w:fill="auto"/>
          </w:tcPr>
          <w:p w14:paraId="7AF047E4" w14:textId="77777777" w:rsidR="00B33542" w:rsidRPr="005071A1" w:rsidRDefault="00B33542" w:rsidP="009B7AF5">
            <w:pPr>
              <w:pStyle w:val="Tabletext"/>
            </w:pPr>
          </w:p>
        </w:tc>
        <w:tc>
          <w:tcPr>
            <w:tcW w:w="1843" w:type="dxa"/>
            <w:tcBorders>
              <w:bottom w:val="single" w:sz="4" w:space="0" w:color="auto"/>
            </w:tcBorders>
            <w:shd w:val="clear" w:color="auto" w:fill="auto"/>
          </w:tcPr>
          <w:p w14:paraId="6F02EDC9" w14:textId="77777777" w:rsidR="00B33542" w:rsidRPr="005071A1" w:rsidRDefault="00B33542" w:rsidP="009B7AF5">
            <w:pPr>
              <w:pStyle w:val="Tabletext"/>
            </w:pPr>
            <w:r w:rsidRPr="005071A1">
              <w:t>64</w:t>
            </w:r>
          </w:p>
        </w:tc>
        <w:tc>
          <w:tcPr>
            <w:tcW w:w="1559" w:type="dxa"/>
            <w:tcBorders>
              <w:bottom w:val="single" w:sz="4" w:space="0" w:color="auto"/>
            </w:tcBorders>
            <w:shd w:val="clear" w:color="auto" w:fill="auto"/>
          </w:tcPr>
          <w:p w14:paraId="5E6930E1" w14:textId="77777777" w:rsidR="00B33542" w:rsidRPr="005071A1" w:rsidRDefault="00B33542" w:rsidP="009B7AF5">
            <w:pPr>
              <w:pStyle w:val="Tabletext"/>
            </w:pPr>
            <w:r w:rsidRPr="005071A1">
              <w:t>18.46</w:t>
            </w:r>
          </w:p>
        </w:tc>
      </w:tr>
      <w:tr w:rsidR="00B33542" w:rsidRPr="005071A1" w14:paraId="10D1FEB8" w14:textId="77777777" w:rsidTr="009B7AF5">
        <w:tc>
          <w:tcPr>
            <w:tcW w:w="1526" w:type="dxa"/>
            <w:tcBorders>
              <w:bottom w:val="single" w:sz="12" w:space="0" w:color="auto"/>
            </w:tcBorders>
            <w:shd w:val="clear" w:color="auto" w:fill="auto"/>
          </w:tcPr>
          <w:p w14:paraId="7D891D36" w14:textId="77777777" w:rsidR="00B33542" w:rsidRPr="005071A1" w:rsidRDefault="00B33542" w:rsidP="009B7AF5">
            <w:pPr>
              <w:pStyle w:val="Tabletext"/>
            </w:pPr>
            <w:r w:rsidRPr="005071A1">
              <w:t>40</w:t>
            </w:r>
          </w:p>
        </w:tc>
        <w:tc>
          <w:tcPr>
            <w:tcW w:w="1701" w:type="dxa"/>
            <w:tcBorders>
              <w:bottom w:val="single" w:sz="12" w:space="0" w:color="auto"/>
            </w:tcBorders>
            <w:shd w:val="clear" w:color="auto" w:fill="auto"/>
          </w:tcPr>
          <w:p w14:paraId="103292BC" w14:textId="77777777" w:rsidR="00B33542" w:rsidRPr="005071A1" w:rsidRDefault="00B33542" w:rsidP="009B7AF5">
            <w:pPr>
              <w:pStyle w:val="Tabletext"/>
            </w:pPr>
            <w:r w:rsidRPr="005071A1">
              <w:t>0.52</w:t>
            </w:r>
          </w:p>
        </w:tc>
        <w:tc>
          <w:tcPr>
            <w:tcW w:w="283" w:type="dxa"/>
            <w:tcBorders>
              <w:bottom w:val="single" w:sz="12" w:space="0" w:color="auto"/>
            </w:tcBorders>
            <w:shd w:val="clear" w:color="auto" w:fill="auto"/>
          </w:tcPr>
          <w:p w14:paraId="7F340258" w14:textId="77777777" w:rsidR="00B33542" w:rsidRPr="005071A1" w:rsidRDefault="00B33542" w:rsidP="009B7AF5">
            <w:pPr>
              <w:pStyle w:val="Tabletext"/>
            </w:pPr>
          </w:p>
        </w:tc>
        <w:tc>
          <w:tcPr>
            <w:tcW w:w="1843" w:type="dxa"/>
            <w:tcBorders>
              <w:bottom w:val="single" w:sz="12" w:space="0" w:color="auto"/>
            </w:tcBorders>
            <w:shd w:val="clear" w:color="auto" w:fill="auto"/>
          </w:tcPr>
          <w:p w14:paraId="094AF830" w14:textId="77777777" w:rsidR="00B33542" w:rsidRPr="005071A1" w:rsidRDefault="00B33542" w:rsidP="009B7AF5">
            <w:pPr>
              <w:pStyle w:val="Tabletext"/>
            </w:pPr>
            <w:r w:rsidRPr="005071A1">
              <w:t>65</w:t>
            </w:r>
          </w:p>
        </w:tc>
        <w:tc>
          <w:tcPr>
            <w:tcW w:w="1559" w:type="dxa"/>
            <w:tcBorders>
              <w:bottom w:val="single" w:sz="12" w:space="0" w:color="auto"/>
            </w:tcBorders>
            <w:shd w:val="clear" w:color="auto" w:fill="auto"/>
          </w:tcPr>
          <w:p w14:paraId="1C1FF3A0" w14:textId="77777777" w:rsidR="00B33542" w:rsidRPr="005071A1" w:rsidRDefault="00B33542" w:rsidP="009B7AF5">
            <w:pPr>
              <w:pStyle w:val="Tabletext"/>
            </w:pPr>
            <w:r w:rsidRPr="005071A1">
              <w:t>18.82</w:t>
            </w:r>
          </w:p>
        </w:tc>
      </w:tr>
    </w:tbl>
    <w:p w14:paraId="63259828" w14:textId="77777777" w:rsidR="00B33542" w:rsidRPr="005071A1" w:rsidRDefault="00B33542" w:rsidP="00674A0D">
      <w:pPr>
        <w:pStyle w:val="ActHead5"/>
        <w:pageBreakBefore/>
      </w:pPr>
      <w:bookmarkStart w:id="290" w:name="_Toc185577672"/>
      <w:r w:rsidRPr="005071A1">
        <w:lastRenderedPageBreak/>
        <w:t>Table III</w:t>
      </w:r>
      <w:bookmarkEnd w:id="290"/>
    </w:p>
    <w:p w14:paraId="344B2307" w14:textId="77777777" w:rsidR="00B33542" w:rsidRPr="005071A1" w:rsidRDefault="00B33542" w:rsidP="00B33542">
      <w:pPr>
        <w:spacing w:before="120"/>
      </w:pPr>
      <w:r w:rsidRPr="005071A1">
        <w:t xml:space="preserve">Rates of contribution to be paid fortnightly by male contributors for units of pension where the obligation to contribute for those units existed on or before </w:t>
      </w:r>
      <w:smartTag w:uri="urn:schemas-microsoft-com:office:smarttags" w:element="date">
        <w:smartTagPr>
          <w:attr w:name="Year" w:val="1942"/>
          <w:attr w:name="Day" w:val="2"/>
          <w:attr w:name="Month" w:val="11"/>
        </w:smartTagPr>
        <w:r w:rsidRPr="005071A1">
          <w:t>2nd November, 1942</w:t>
        </w:r>
      </w:smartTag>
      <w:r w:rsidRPr="005071A1">
        <w:t>, based on a retiring age of 60 years and the age next birthday of the contributor when that obligation came into existence</w:t>
      </w:r>
    </w:p>
    <w:p w14:paraId="418B9DFB"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668"/>
        <w:gridCol w:w="2409"/>
        <w:gridCol w:w="2977"/>
      </w:tblGrid>
      <w:tr w:rsidR="00B33542" w:rsidRPr="005071A1" w14:paraId="11E8F4A9" w14:textId="77777777" w:rsidTr="009B7AF5">
        <w:trPr>
          <w:tblHeader/>
        </w:trPr>
        <w:tc>
          <w:tcPr>
            <w:tcW w:w="1668" w:type="dxa"/>
            <w:tcBorders>
              <w:top w:val="single" w:sz="12" w:space="0" w:color="auto"/>
              <w:bottom w:val="single" w:sz="6" w:space="0" w:color="auto"/>
            </w:tcBorders>
            <w:shd w:val="clear" w:color="auto" w:fill="auto"/>
          </w:tcPr>
          <w:p w14:paraId="2438893E" w14:textId="77777777" w:rsidR="00B33542" w:rsidRPr="005071A1" w:rsidRDefault="00B33542" w:rsidP="009B7AF5">
            <w:pPr>
              <w:pStyle w:val="TableHeading"/>
            </w:pPr>
            <w:r w:rsidRPr="005071A1">
              <w:t>Column 1</w:t>
            </w:r>
          </w:p>
        </w:tc>
        <w:tc>
          <w:tcPr>
            <w:tcW w:w="2409" w:type="dxa"/>
            <w:tcBorders>
              <w:top w:val="single" w:sz="12" w:space="0" w:color="auto"/>
              <w:bottom w:val="single" w:sz="6" w:space="0" w:color="auto"/>
            </w:tcBorders>
            <w:shd w:val="clear" w:color="auto" w:fill="auto"/>
          </w:tcPr>
          <w:p w14:paraId="27F5C7F2" w14:textId="77777777" w:rsidR="00B33542" w:rsidRPr="005071A1" w:rsidRDefault="00B33542" w:rsidP="009B7AF5">
            <w:pPr>
              <w:pStyle w:val="TableHeading"/>
            </w:pPr>
            <w:r w:rsidRPr="005071A1">
              <w:t>Column 2</w:t>
            </w:r>
          </w:p>
        </w:tc>
        <w:tc>
          <w:tcPr>
            <w:tcW w:w="2977" w:type="dxa"/>
            <w:tcBorders>
              <w:top w:val="single" w:sz="12" w:space="0" w:color="auto"/>
              <w:bottom w:val="single" w:sz="6" w:space="0" w:color="auto"/>
            </w:tcBorders>
            <w:shd w:val="clear" w:color="auto" w:fill="auto"/>
          </w:tcPr>
          <w:p w14:paraId="1B046024" w14:textId="77777777" w:rsidR="00B33542" w:rsidRPr="005071A1" w:rsidRDefault="00B33542" w:rsidP="009B7AF5">
            <w:pPr>
              <w:pStyle w:val="TableHeading"/>
            </w:pPr>
            <w:r w:rsidRPr="005071A1">
              <w:t>Column 3</w:t>
            </w:r>
          </w:p>
        </w:tc>
      </w:tr>
      <w:tr w:rsidR="00B33542" w:rsidRPr="005071A1" w14:paraId="4B9C9D70" w14:textId="77777777" w:rsidTr="009B7AF5">
        <w:trPr>
          <w:tblHeader/>
        </w:trPr>
        <w:tc>
          <w:tcPr>
            <w:tcW w:w="1668" w:type="dxa"/>
            <w:tcBorders>
              <w:top w:val="single" w:sz="6" w:space="0" w:color="auto"/>
              <w:bottom w:val="single" w:sz="6" w:space="0" w:color="auto"/>
            </w:tcBorders>
            <w:shd w:val="clear" w:color="auto" w:fill="auto"/>
          </w:tcPr>
          <w:p w14:paraId="30FEB7FC" w14:textId="77777777" w:rsidR="00B33542" w:rsidRPr="005071A1" w:rsidRDefault="00B33542" w:rsidP="00E12150">
            <w:pPr>
              <w:pStyle w:val="TableHeading"/>
              <w:spacing w:before="40" w:after="40" w:line="180" w:lineRule="atLeast"/>
              <w:rPr>
                <w:sz w:val="16"/>
                <w:szCs w:val="16"/>
              </w:rPr>
            </w:pPr>
            <w:r w:rsidRPr="005071A1">
              <w:rPr>
                <w:sz w:val="16"/>
                <w:szCs w:val="16"/>
              </w:rPr>
              <w:br/>
            </w:r>
            <w:r w:rsidRPr="005071A1">
              <w:rPr>
                <w:sz w:val="16"/>
                <w:szCs w:val="16"/>
              </w:rPr>
              <w:br/>
              <w:t>Age next Birthday</w:t>
            </w:r>
          </w:p>
        </w:tc>
        <w:tc>
          <w:tcPr>
            <w:tcW w:w="2409" w:type="dxa"/>
            <w:tcBorders>
              <w:top w:val="single" w:sz="6" w:space="0" w:color="auto"/>
              <w:bottom w:val="single" w:sz="6" w:space="0" w:color="auto"/>
            </w:tcBorders>
            <w:shd w:val="clear" w:color="auto" w:fill="auto"/>
          </w:tcPr>
          <w:p w14:paraId="36E5080D" w14:textId="77777777" w:rsidR="00B33542" w:rsidRPr="005071A1" w:rsidRDefault="00B33542" w:rsidP="00E12150">
            <w:pPr>
              <w:pStyle w:val="TableHeading"/>
              <w:spacing w:before="40" w:after="40" w:line="180" w:lineRule="atLeast"/>
              <w:rPr>
                <w:sz w:val="16"/>
                <w:szCs w:val="16"/>
              </w:rPr>
            </w:pPr>
            <w:r w:rsidRPr="005071A1">
              <w:rPr>
                <w:sz w:val="16"/>
                <w:szCs w:val="16"/>
              </w:rPr>
              <w:br/>
              <w:t>Contribution for</w:t>
            </w:r>
            <w:r w:rsidRPr="005071A1">
              <w:rPr>
                <w:sz w:val="16"/>
                <w:szCs w:val="16"/>
              </w:rPr>
              <w:br/>
              <w:t>First Two Units</w:t>
            </w:r>
          </w:p>
        </w:tc>
        <w:tc>
          <w:tcPr>
            <w:tcW w:w="2977" w:type="dxa"/>
            <w:tcBorders>
              <w:top w:val="single" w:sz="6" w:space="0" w:color="auto"/>
              <w:bottom w:val="single" w:sz="6" w:space="0" w:color="auto"/>
            </w:tcBorders>
            <w:shd w:val="clear" w:color="auto" w:fill="auto"/>
          </w:tcPr>
          <w:p w14:paraId="0B72BBD5" w14:textId="77777777" w:rsidR="00B33542" w:rsidRPr="005071A1" w:rsidRDefault="00B33542" w:rsidP="00E12150">
            <w:pPr>
              <w:pStyle w:val="TableHeading"/>
              <w:spacing w:before="40" w:after="40" w:line="180" w:lineRule="atLeast"/>
              <w:rPr>
                <w:sz w:val="16"/>
                <w:szCs w:val="16"/>
              </w:rPr>
            </w:pPr>
            <w:r w:rsidRPr="005071A1">
              <w:rPr>
                <w:sz w:val="16"/>
                <w:szCs w:val="16"/>
              </w:rPr>
              <w:t>Contribution for each Additional Two Units where Contributor is already a Contributor for Two or more Units</w:t>
            </w:r>
          </w:p>
        </w:tc>
      </w:tr>
      <w:tr w:rsidR="00B33542" w:rsidRPr="005071A1" w14:paraId="6BC6383D" w14:textId="77777777" w:rsidTr="009B7AF5">
        <w:trPr>
          <w:tblHeader/>
        </w:trPr>
        <w:tc>
          <w:tcPr>
            <w:tcW w:w="1668" w:type="dxa"/>
            <w:tcBorders>
              <w:top w:val="single" w:sz="6" w:space="0" w:color="auto"/>
              <w:bottom w:val="single" w:sz="12" w:space="0" w:color="auto"/>
            </w:tcBorders>
            <w:shd w:val="clear" w:color="auto" w:fill="auto"/>
          </w:tcPr>
          <w:p w14:paraId="5250C154" w14:textId="77777777" w:rsidR="00B33542" w:rsidRPr="005071A1" w:rsidRDefault="00B33542" w:rsidP="00E12150">
            <w:pPr>
              <w:pStyle w:val="TableHeading"/>
            </w:pPr>
          </w:p>
        </w:tc>
        <w:tc>
          <w:tcPr>
            <w:tcW w:w="2409" w:type="dxa"/>
            <w:tcBorders>
              <w:top w:val="single" w:sz="6" w:space="0" w:color="auto"/>
              <w:bottom w:val="single" w:sz="12" w:space="0" w:color="auto"/>
            </w:tcBorders>
            <w:shd w:val="clear" w:color="auto" w:fill="auto"/>
          </w:tcPr>
          <w:p w14:paraId="7F15A614" w14:textId="77777777" w:rsidR="00B33542" w:rsidRPr="005071A1" w:rsidRDefault="00B33542" w:rsidP="00E12150">
            <w:pPr>
              <w:pStyle w:val="TableHeading"/>
            </w:pPr>
            <w:r w:rsidRPr="005071A1">
              <w:t>$</w:t>
            </w:r>
          </w:p>
        </w:tc>
        <w:tc>
          <w:tcPr>
            <w:tcW w:w="2977" w:type="dxa"/>
            <w:tcBorders>
              <w:top w:val="single" w:sz="6" w:space="0" w:color="auto"/>
              <w:bottom w:val="single" w:sz="12" w:space="0" w:color="auto"/>
            </w:tcBorders>
            <w:shd w:val="clear" w:color="auto" w:fill="auto"/>
          </w:tcPr>
          <w:p w14:paraId="7C91430D" w14:textId="77777777" w:rsidR="00B33542" w:rsidRPr="005071A1" w:rsidRDefault="00B33542" w:rsidP="00E12150">
            <w:pPr>
              <w:pStyle w:val="TableHeading"/>
            </w:pPr>
            <w:r w:rsidRPr="005071A1">
              <w:t>$</w:t>
            </w:r>
          </w:p>
        </w:tc>
      </w:tr>
      <w:tr w:rsidR="00B33542" w:rsidRPr="005071A1" w14:paraId="26613359" w14:textId="77777777" w:rsidTr="009B7AF5">
        <w:tc>
          <w:tcPr>
            <w:tcW w:w="1668" w:type="dxa"/>
            <w:tcBorders>
              <w:top w:val="single" w:sz="12" w:space="0" w:color="auto"/>
            </w:tcBorders>
            <w:shd w:val="clear" w:color="auto" w:fill="auto"/>
          </w:tcPr>
          <w:p w14:paraId="2E68795E" w14:textId="77777777" w:rsidR="00B33542" w:rsidRPr="005071A1" w:rsidRDefault="00B33542" w:rsidP="009B7AF5">
            <w:pPr>
              <w:pStyle w:val="Tabletext"/>
            </w:pPr>
            <w:r w:rsidRPr="005071A1">
              <w:t>15</w:t>
            </w:r>
          </w:p>
        </w:tc>
        <w:tc>
          <w:tcPr>
            <w:tcW w:w="2409" w:type="dxa"/>
            <w:tcBorders>
              <w:top w:val="single" w:sz="12" w:space="0" w:color="auto"/>
            </w:tcBorders>
            <w:shd w:val="clear" w:color="auto" w:fill="auto"/>
          </w:tcPr>
          <w:p w14:paraId="7904D2B4" w14:textId="77777777" w:rsidR="00B33542" w:rsidRPr="005071A1" w:rsidRDefault="00B33542" w:rsidP="009B7AF5">
            <w:pPr>
              <w:pStyle w:val="Tabletext"/>
            </w:pPr>
            <w:r w:rsidRPr="005071A1">
              <w:t>0.26</w:t>
            </w:r>
          </w:p>
        </w:tc>
        <w:tc>
          <w:tcPr>
            <w:tcW w:w="2977" w:type="dxa"/>
            <w:tcBorders>
              <w:top w:val="single" w:sz="12" w:space="0" w:color="auto"/>
            </w:tcBorders>
            <w:shd w:val="clear" w:color="auto" w:fill="auto"/>
          </w:tcPr>
          <w:p w14:paraId="49142F23" w14:textId="77777777" w:rsidR="00B33542" w:rsidRPr="005071A1" w:rsidRDefault="00B33542" w:rsidP="009B7AF5">
            <w:pPr>
              <w:pStyle w:val="Tabletext"/>
            </w:pPr>
            <w:r w:rsidRPr="005071A1">
              <w:t>0.24</w:t>
            </w:r>
          </w:p>
        </w:tc>
      </w:tr>
      <w:tr w:rsidR="00B33542" w:rsidRPr="005071A1" w14:paraId="48495DE0" w14:textId="77777777" w:rsidTr="009B7AF5">
        <w:tc>
          <w:tcPr>
            <w:tcW w:w="1668" w:type="dxa"/>
            <w:shd w:val="clear" w:color="auto" w:fill="auto"/>
          </w:tcPr>
          <w:p w14:paraId="79FBAACE" w14:textId="77777777" w:rsidR="00B33542" w:rsidRPr="005071A1" w:rsidRDefault="00B33542" w:rsidP="009B7AF5">
            <w:pPr>
              <w:pStyle w:val="Tabletext"/>
            </w:pPr>
            <w:r w:rsidRPr="005071A1">
              <w:t>16</w:t>
            </w:r>
          </w:p>
        </w:tc>
        <w:tc>
          <w:tcPr>
            <w:tcW w:w="2409" w:type="dxa"/>
            <w:shd w:val="clear" w:color="auto" w:fill="auto"/>
          </w:tcPr>
          <w:p w14:paraId="46D499FF" w14:textId="77777777" w:rsidR="00B33542" w:rsidRPr="005071A1" w:rsidRDefault="00B33542" w:rsidP="009B7AF5">
            <w:pPr>
              <w:pStyle w:val="Tabletext"/>
            </w:pPr>
            <w:r w:rsidRPr="005071A1">
              <w:t>0.26</w:t>
            </w:r>
          </w:p>
        </w:tc>
        <w:tc>
          <w:tcPr>
            <w:tcW w:w="2977" w:type="dxa"/>
            <w:shd w:val="clear" w:color="auto" w:fill="auto"/>
          </w:tcPr>
          <w:p w14:paraId="65249A89" w14:textId="77777777" w:rsidR="00B33542" w:rsidRPr="005071A1" w:rsidRDefault="00B33542" w:rsidP="009B7AF5">
            <w:pPr>
              <w:pStyle w:val="Tabletext"/>
            </w:pPr>
            <w:r w:rsidRPr="005071A1">
              <w:t>0.24</w:t>
            </w:r>
          </w:p>
        </w:tc>
      </w:tr>
      <w:tr w:rsidR="00B33542" w:rsidRPr="005071A1" w14:paraId="1268969D" w14:textId="77777777" w:rsidTr="009B7AF5">
        <w:tc>
          <w:tcPr>
            <w:tcW w:w="1668" w:type="dxa"/>
            <w:shd w:val="clear" w:color="auto" w:fill="auto"/>
          </w:tcPr>
          <w:p w14:paraId="41A327A0" w14:textId="77777777" w:rsidR="00B33542" w:rsidRPr="005071A1" w:rsidRDefault="00B33542" w:rsidP="009B7AF5">
            <w:pPr>
              <w:pStyle w:val="Tabletext"/>
            </w:pPr>
            <w:r w:rsidRPr="005071A1">
              <w:t>17</w:t>
            </w:r>
          </w:p>
        </w:tc>
        <w:tc>
          <w:tcPr>
            <w:tcW w:w="2409" w:type="dxa"/>
            <w:shd w:val="clear" w:color="auto" w:fill="auto"/>
          </w:tcPr>
          <w:p w14:paraId="2B340961" w14:textId="77777777" w:rsidR="00B33542" w:rsidRPr="005071A1" w:rsidRDefault="00B33542" w:rsidP="009B7AF5">
            <w:pPr>
              <w:pStyle w:val="Tabletext"/>
            </w:pPr>
            <w:r w:rsidRPr="005071A1">
              <w:t>0.28</w:t>
            </w:r>
          </w:p>
        </w:tc>
        <w:tc>
          <w:tcPr>
            <w:tcW w:w="2977" w:type="dxa"/>
            <w:shd w:val="clear" w:color="auto" w:fill="auto"/>
          </w:tcPr>
          <w:p w14:paraId="0658A96E" w14:textId="77777777" w:rsidR="00B33542" w:rsidRPr="005071A1" w:rsidRDefault="00B33542" w:rsidP="009B7AF5">
            <w:pPr>
              <w:pStyle w:val="Tabletext"/>
            </w:pPr>
            <w:r w:rsidRPr="005071A1">
              <w:t>0.26</w:t>
            </w:r>
          </w:p>
        </w:tc>
      </w:tr>
      <w:tr w:rsidR="00B33542" w:rsidRPr="005071A1" w14:paraId="41A6F3E9" w14:textId="77777777" w:rsidTr="009B7AF5">
        <w:tc>
          <w:tcPr>
            <w:tcW w:w="1668" w:type="dxa"/>
            <w:shd w:val="clear" w:color="auto" w:fill="auto"/>
          </w:tcPr>
          <w:p w14:paraId="5166BA9C" w14:textId="77777777" w:rsidR="00B33542" w:rsidRPr="005071A1" w:rsidRDefault="00B33542" w:rsidP="009B7AF5">
            <w:pPr>
              <w:pStyle w:val="Tabletext"/>
            </w:pPr>
            <w:r w:rsidRPr="005071A1">
              <w:t>18</w:t>
            </w:r>
          </w:p>
        </w:tc>
        <w:tc>
          <w:tcPr>
            <w:tcW w:w="2409" w:type="dxa"/>
            <w:shd w:val="clear" w:color="auto" w:fill="auto"/>
          </w:tcPr>
          <w:p w14:paraId="6D11C7A3" w14:textId="77777777" w:rsidR="00B33542" w:rsidRPr="005071A1" w:rsidRDefault="00B33542" w:rsidP="009B7AF5">
            <w:pPr>
              <w:pStyle w:val="Tabletext"/>
            </w:pPr>
            <w:r w:rsidRPr="005071A1">
              <w:t>0.30</w:t>
            </w:r>
          </w:p>
        </w:tc>
        <w:tc>
          <w:tcPr>
            <w:tcW w:w="2977" w:type="dxa"/>
            <w:shd w:val="clear" w:color="auto" w:fill="auto"/>
          </w:tcPr>
          <w:p w14:paraId="5E24B7AB" w14:textId="77777777" w:rsidR="00B33542" w:rsidRPr="005071A1" w:rsidRDefault="00B33542" w:rsidP="009B7AF5">
            <w:pPr>
              <w:pStyle w:val="Tabletext"/>
            </w:pPr>
            <w:r w:rsidRPr="005071A1">
              <w:t>0.26</w:t>
            </w:r>
          </w:p>
        </w:tc>
      </w:tr>
      <w:tr w:rsidR="00B33542" w:rsidRPr="005071A1" w14:paraId="33257E5E" w14:textId="77777777" w:rsidTr="009B7AF5">
        <w:tc>
          <w:tcPr>
            <w:tcW w:w="1668" w:type="dxa"/>
            <w:shd w:val="clear" w:color="auto" w:fill="auto"/>
          </w:tcPr>
          <w:p w14:paraId="3CE814DA" w14:textId="77777777" w:rsidR="00B33542" w:rsidRPr="005071A1" w:rsidRDefault="00B33542" w:rsidP="009B7AF5">
            <w:pPr>
              <w:pStyle w:val="Tabletext"/>
            </w:pPr>
            <w:r w:rsidRPr="005071A1">
              <w:t>19</w:t>
            </w:r>
          </w:p>
        </w:tc>
        <w:tc>
          <w:tcPr>
            <w:tcW w:w="2409" w:type="dxa"/>
            <w:shd w:val="clear" w:color="auto" w:fill="auto"/>
          </w:tcPr>
          <w:p w14:paraId="2E74B58E" w14:textId="77777777" w:rsidR="00B33542" w:rsidRPr="005071A1" w:rsidRDefault="00B33542" w:rsidP="009B7AF5">
            <w:pPr>
              <w:pStyle w:val="Tabletext"/>
            </w:pPr>
            <w:r w:rsidRPr="005071A1">
              <w:t>0.32</w:t>
            </w:r>
          </w:p>
        </w:tc>
        <w:tc>
          <w:tcPr>
            <w:tcW w:w="2977" w:type="dxa"/>
            <w:shd w:val="clear" w:color="auto" w:fill="auto"/>
          </w:tcPr>
          <w:p w14:paraId="4E65D191" w14:textId="77777777" w:rsidR="00B33542" w:rsidRPr="005071A1" w:rsidRDefault="00B33542" w:rsidP="009B7AF5">
            <w:pPr>
              <w:pStyle w:val="Tabletext"/>
            </w:pPr>
            <w:r w:rsidRPr="005071A1">
              <w:t>0.28</w:t>
            </w:r>
          </w:p>
        </w:tc>
      </w:tr>
      <w:tr w:rsidR="00B33542" w:rsidRPr="005071A1" w14:paraId="352BD1F7" w14:textId="77777777" w:rsidTr="009B7AF5">
        <w:tc>
          <w:tcPr>
            <w:tcW w:w="1668" w:type="dxa"/>
            <w:shd w:val="clear" w:color="auto" w:fill="auto"/>
          </w:tcPr>
          <w:p w14:paraId="406DBC0F" w14:textId="77777777" w:rsidR="00B33542" w:rsidRPr="005071A1" w:rsidRDefault="00B33542" w:rsidP="009B7AF5">
            <w:pPr>
              <w:pStyle w:val="Tabletext"/>
            </w:pPr>
            <w:r w:rsidRPr="005071A1">
              <w:t>20</w:t>
            </w:r>
          </w:p>
        </w:tc>
        <w:tc>
          <w:tcPr>
            <w:tcW w:w="2409" w:type="dxa"/>
            <w:shd w:val="clear" w:color="auto" w:fill="auto"/>
          </w:tcPr>
          <w:p w14:paraId="4CD4521B" w14:textId="77777777" w:rsidR="00B33542" w:rsidRPr="005071A1" w:rsidRDefault="00B33542" w:rsidP="009B7AF5">
            <w:pPr>
              <w:pStyle w:val="Tabletext"/>
            </w:pPr>
            <w:r w:rsidRPr="005071A1">
              <w:t>0.32</w:t>
            </w:r>
          </w:p>
        </w:tc>
        <w:tc>
          <w:tcPr>
            <w:tcW w:w="2977" w:type="dxa"/>
            <w:shd w:val="clear" w:color="auto" w:fill="auto"/>
          </w:tcPr>
          <w:p w14:paraId="085EBAAA" w14:textId="77777777" w:rsidR="00B33542" w:rsidRPr="005071A1" w:rsidRDefault="00B33542" w:rsidP="009B7AF5">
            <w:pPr>
              <w:pStyle w:val="Tabletext"/>
            </w:pPr>
            <w:r w:rsidRPr="005071A1">
              <w:t>0.30</w:t>
            </w:r>
          </w:p>
        </w:tc>
      </w:tr>
      <w:tr w:rsidR="00B33542" w:rsidRPr="005071A1" w14:paraId="4191C4E0" w14:textId="77777777" w:rsidTr="009B7AF5">
        <w:tc>
          <w:tcPr>
            <w:tcW w:w="1668" w:type="dxa"/>
            <w:shd w:val="clear" w:color="auto" w:fill="auto"/>
          </w:tcPr>
          <w:p w14:paraId="6D22D223" w14:textId="77777777" w:rsidR="00B33542" w:rsidRPr="005071A1" w:rsidRDefault="00B33542" w:rsidP="009B7AF5">
            <w:pPr>
              <w:pStyle w:val="Tabletext"/>
            </w:pPr>
            <w:r w:rsidRPr="005071A1">
              <w:t>21</w:t>
            </w:r>
          </w:p>
        </w:tc>
        <w:tc>
          <w:tcPr>
            <w:tcW w:w="2409" w:type="dxa"/>
            <w:shd w:val="clear" w:color="auto" w:fill="auto"/>
          </w:tcPr>
          <w:p w14:paraId="6BE467A6" w14:textId="77777777" w:rsidR="00B33542" w:rsidRPr="005071A1" w:rsidRDefault="00B33542" w:rsidP="009B7AF5">
            <w:pPr>
              <w:pStyle w:val="Tabletext"/>
            </w:pPr>
            <w:r w:rsidRPr="005071A1">
              <w:t>0.34</w:t>
            </w:r>
          </w:p>
        </w:tc>
        <w:tc>
          <w:tcPr>
            <w:tcW w:w="2977" w:type="dxa"/>
            <w:shd w:val="clear" w:color="auto" w:fill="auto"/>
          </w:tcPr>
          <w:p w14:paraId="34692A8A" w14:textId="77777777" w:rsidR="00B33542" w:rsidRPr="005071A1" w:rsidRDefault="00B33542" w:rsidP="009B7AF5">
            <w:pPr>
              <w:pStyle w:val="Tabletext"/>
            </w:pPr>
            <w:r w:rsidRPr="005071A1">
              <w:t>0.32</w:t>
            </w:r>
          </w:p>
        </w:tc>
      </w:tr>
      <w:tr w:rsidR="00B33542" w:rsidRPr="005071A1" w14:paraId="21842CE5" w14:textId="77777777" w:rsidTr="009B7AF5">
        <w:tc>
          <w:tcPr>
            <w:tcW w:w="1668" w:type="dxa"/>
            <w:shd w:val="clear" w:color="auto" w:fill="auto"/>
          </w:tcPr>
          <w:p w14:paraId="103AAFED" w14:textId="77777777" w:rsidR="00B33542" w:rsidRPr="005071A1" w:rsidRDefault="00B33542" w:rsidP="009B7AF5">
            <w:pPr>
              <w:pStyle w:val="Tabletext"/>
            </w:pPr>
            <w:r w:rsidRPr="005071A1">
              <w:t>22</w:t>
            </w:r>
          </w:p>
        </w:tc>
        <w:tc>
          <w:tcPr>
            <w:tcW w:w="2409" w:type="dxa"/>
            <w:shd w:val="clear" w:color="auto" w:fill="auto"/>
          </w:tcPr>
          <w:p w14:paraId="367BD5D0" w14:textId="77777777" w:rsidR="00B33542" w:rsidRPr="005071A1" w:rsidRDefault="00B33542" w:rsidP="009B7AF5">
            <w:pPr>
              <w:pStyle w:val="Tabletext"/>
            </w:pPr>
            <w:r w:rsidRPr="005071A1">
              <w:t>0.36</w:t>
            </w:r>
          </w:p>
        </w:tc>
        <w:tc>
          <w:tcPr>
            <w:tcW w:w="2977" w:type="dxa"/>
            <w:shd w:val="clear" w:color="auto" w:fill="auto"/>
          </w:tcPr>
          <w:p w14:paraId="47C667AD" w14:textId="77777777" w:rsidR="00B33542" w:rsidRPr="005071A1" w:rsidRDefault="00B33542" w:rsidP="009B7AF5">
            <w:pPr>
              <w:pStyle w:val="Tabletext"/>
            </w:pPr>
            <w:r w:rsidRPr="005071A1">
              <w:t>0.32</w:t>
            </w:r>
          </w:p>
        </w:tc>
      </w:tr>
      <w:tr w:rsidR="00B33542" w:rsidRPr="005071A1" w14:paraId="1308D7C6" w14:textId="77777777" w:rsidTr="009B7AF5">
        <w:tc>
          <w:tcPr>
            <w:tcW w:w="1668" w:type="dxa"/>
            <w:shd w:val="clear" w:color="auto" w:fill="auto"/>
          </w:tcPr>
          <w:p w14:paraId="66BB06E2" w14:textId="77777777" w:rsidR="00B33542" w:rsidRPr="005071A1" w:rsidRDefault="00B33542" w:rsidP="009B7AF5">
            <w:pPr>
              <w:pStyle w:val="Tabletext"/>
            </w:pPr>
            <w:r w:rsidRPr="005071A1">
              <w:t>23</w:t>
            </w:r>
          </w:p>
        </w:tc>
        <w:tc>
          <w:tcPr>
            <w:tcW w:w="2409" w:type="dxa"/>
            <w:shd w:val="clear" w:color="auto" w:fill="auto"/>
          </w:tcPr>
          <w:p w14:paraId="3004070F" w14:textId="77777777" w:rsidR="00B33542" w:rsidRPr="005071A1" w:rsidRDefault="00B33542" w:rsidP="009B7AF5">
            <w:pPr>
              <w:pStyle w:val="Tabletext"/>
            </w:pPr>
            <w:r w:rsidRPr="005071A1">
              <w:t>0.38</w:t>
            </w:r>
          </w:p>
        </w:tc>
        <w:tc>
          <w:tcPr>
            <w:tcW w:w="2977" w:type="dxa"/>
            <w:shd w:val="clear" w:color="auto" w:fill="auto"/>
          </w:tcPr>
          <w:p w14:paraId="258FA710" w14:textId="77777777" w:rsidR="00B33542" w:rsidRPr="005071A1" w:rsidRDefault="00B33542" w:rsidP="009B7AF5">
            <w:pPr>
              <w:pStyle w:val="Tabletext"/>
            </w:pPr>
            <w:r w:rsidRPr="005071A1">
              <w:t>0.34</w:t>
            </w:r>
          </w:p>
        </w:tc>
      </w:tr>
      <w:tr w:rsidR="00B33542" w:rsidRPr="005071A1" w14:paraId="0B11110E" w14:textId="77777777" w:rsidTr="009B7AF5">
        <w:tc>
          <w:tcPr>
            <w:tcW w:w="1668" w:type="dxa"/>
            <w:shd w:val="clear" w:color="auto" w:fill="auto"/>
          </w:tcPr>
          <w:p w14:paraId="554A7AEE" w14:textId="77777777" w:rsidR="00B33542" w:rsidRPr="005071A1" w:rsidRDefault="00B33542" w:rsidP="009B7AF5">
            <w:pPr>
              <w:pStyle w:val="Tabletext"/>
            </w:pPr>
            <w:r w:rsidRPr="005071A1">
              <w:t>24</w:t>
            </w:r>
          </w:p>
        </w:tc>
        <w:tc>
          <w:tcPr>
            <w:tcW w:w="2409" w:type="dxa"/>
            <w:shd w:val="clear" w:color="auto" w:fill="auto"/>
          </w:tcPr>
          <w:p w14:paraId="255AD88D" w14:textId="77777777" w:rsidR="00B33542" w:rsidRPr="005071A1" w:rsidRDefault="00B33542" w:rsidP="009B7AF5">
            <w:pPr>
              <w:pStyle w:val="Tabletext"/>
            </w:pPr>
            <w:r w:rsidRPr="005071A1">
              <w:t>0.40</w:t>
            </w:r>
          </w:p>
        </w:tc>
        <w:tc>
          <w:tcPr>
            <w:tcW w:w="2977" w:type="dxa"/>
            <w:shd w:val="clear" w:color="auto" w:fill="auto"/>
          </w:tcPr>
          <w:p w14:paraId="293255C4" w14:textId="77777777" w:rsidR="00B33542" w:rsidRPr="005071A1" w:rsidRDefault="00B33542" w:rsidP="009B7AF5">
            <w:pPr>
              <w:pStyle w:val="Tabletext"/>
            </w:pPr>
            <w:r w:rsidRPr="005071A1">
              <w:t>0.36</w:t>
            </w:r>
          </w:p>
        </w:tc>
      </w:tr>
      <w:tr w:rsidR="00B33542" w:rsidRPr="005071A1" w14:paraId="3E400A66" w14:textId="77777777" w:rsidTr="009B7AF5">
        <w:tc>
          <w:tcPr>
            <w:tcW w:w="1668" w:type="dxa"/>
            <w:shd w:val="clear" w:color="auto" w:fill="auto"/>
          </w:tcPr>
          <w:p w14:paraId="28C7F930" w14:textId="77777777" w:rsidR="00B33542" w:rsidRPr="005071A1" w:rsidRDefault="00B33542" w:rsidP="009B7AF5">
            <w:pPr>
              <w:pStyle w:val="Tabletext"/>
            </w:pPr>
            <w:r w:rsidRPr="005071A1">
              <w:t>25</w:t>
            </w:r>
          </w:p>
        </w:tc>
        <w:tc>
          <w:tcPr>
            <w:tcW w:w="2409" w:type="dxa"/>
            <w:shd w:val="clear" w:color="auto" w:fill="auto"/>
          </w:tcPr>
          <w:p w14:paraId="1AAF7BA2" w14:textId="77777777" w:rsidR="00B33542" w:rsidRPr="005071A1" w:rsidRDefault="00B33542" w:rsidP="009B7AF5">
            <w:pPr>
              <w:pStyle w:val="Tabletext"/>
            </w:pPr>
            <w:r w:rsidRPr="005071A1">
              <w:t>0.42</w:t>
            </w:r>
          </w:p>
        </w:tc>
        <w:tc>
          <w:tcPr>
            <w:tcW w:w="2977" w:type="dxa"/>
            <w:shd w:val="clear" w:color="auto" w:fill="auto"/>
          </w:tcPr>
          <w:p w14:paraId="5926BD7B" w14:textId="77777777" w:rsidR="00B33542" w:rsidRPr="005071A1" w:rsidRDefault="00B33542" w:rsidP="009B7AF5">
            <w:pPr>
              <w:pStyle w:val="Tabletext"/>
            </w:pPr>
            <w:r w:rsidRPr="005071A1">
              <w:t>0.38</w:t>
            </w:r>
          </w:p>
        </w:tc>
      </w:tr>
      <w:tr w:rsidR="00B33542" w:rsidRPr="005071A1" w14:paraId="490CB59A" w14:textId="77777777" w:rsidTr="009B7AF5">
        <w:tc>
          <w:tcPr>
            <w:tcW w:w="1668" w:type="dxa"/>
            <w:shd w:val="clear" w:color="auto" w:fill="auto"/>
          </w:tcPr>
          <w:p w14:paraId="39DBC86B" w14:textId="77777777" w:rsidR="00B33542" w:rsidRPr="005071A1" w:rsidRDefault="00B33542" w:rsidP="009B7AF5">
            <w:pPr>
              <w:pStyle w:val="Tabletext"/>
            </w:pPr>
            <w:r w:rsidRPr="005071A1">
              <w:t>26</w:t>
            </w:r>
          </w:p>
        </w:tc>
        <w:tc>
          <w:tcPr>
            <w:tcW w:w="2409" w:type="dxa"/>
            <w:shd w:val="clear" w:color="auto" w:fill="auto"/>
          </w:tcPr>
          <w:p w14:paraId="3FA470C9" w14:textId="77777777" w:rsidR="00B33542" w:rsidRPr="005071A1" w:rsidRDefault="00B33542" w:rsidP="009B7AF5">
            <w:pPr>
              <w:pStyle w:val="Tabletext"/>
            </w:pPr>
            <w:r w:rsidRPr="005071A1">
              <w:t>0.46</w:t>
            </w:r>
          </w:p>
        </w:tc>
        <w:tc>
          <w:tcPr>
            <w:tcW w:w="2977" w:type="dxa"/>
            <w:shd w:val="clear" w:color="auto" w:fill="auto"/>
          </w:tcPr>
          <w:p w14:paraId="2287A68A" w14:textId="77777777" w:rsidR="00B33542" w:rsidRPr="005071A1" w:rsidRDefault="00B33542" w:rsidP="009B7AF5">
            <w:pPr>
              <w:pStyle w:val="Tabletext"/>
            </w:pPr>
            <w:r w:rsidRPr="005071A1">
              <w:t>0.40</w:t>
            </w:r>
          </w:p>
        </w:tc>
      </w:tr>
      <w:tr w:rsidR="00B33542" w:rsidRPr="005071A1" w14:paraId="521ABE93" w14:textId="77777777" w:rsidTr="009B7AF5">
        <w:tc>
          <w:tcPr>
            <w:tcW w:w="1668" w:type="dxa"/>
            <w:shd w:val="clear" w:color="auto" w:fill="auto"/>
          </w:tcPr>
          <w:p w14:paraId="079FBB00" w14:textId="77777777" w:rsidR="00B33542" w:rsidRPr="005071A1" w:rsidRDefault="00B33542" w:rsidP="009B7AF5">
            <w:pPr>
              <w:pStyle w:val="Tabletext"/>
            </w:pPr>
            <w:r w:rsidRPr="005071A1">
              <w:t>27</w:t>
            </w:r>
          </w:p>
        </w:tc>
        <w:tc>
          <w:tcPr>
            <w:tcW w:w="2409" w:type="dxa"/>
            <w:shd w:val="clear" w:color="auto" w:fill="auto"/>
          </w:tcPr>
          <w:p w14:paraId="15D5B19D" w14:textId="77777777" w:rsidR="00B33542" w:rsidRPr="005071A1" w:rsidRDefault="00B33542" w:rsidP="009B7AF5">
            <w:pPr>
              <w:pStyle w:val="Tabletext"/>
            </w:pPr>
            <w:r w:rsidRPr="005071A1">
              <w:t>0.48</w:t>
            </w:r>
          </w:p>
        </w:tc>
        <w:tc>
          <w:tcPr>
            <w:tcW w:w="2977" w:type="dxa"/>
            <w:shd w:val="clear" w:color="auto" w:fill="auto"/>
          </w:tcPr>
          <w:p w14:paraId="420B99DE" w14:textId="77777777" w:rsidR="00B33542" w:rsidRPr="005071A1" w:rsidRDefault="00B33542" w:rsidP="009B7AF5">
            <w:pPr>
              <w:pStyle w:val="Tabletext"/>
            </w:pPr>
            <w:r w:rsidRPr="005071A1">
              <w:t>0.42</w:t>
            </w:r>
          </w:p>
        </w:tc>
      </w:tr>
      <w:tr w:rsidR="00B33542" w:rsidRPr="005071A1" w14:paraId="2174A55D" w14:textId="77777777" w:rsidTr="009B7AF5">
        <w:tc>
          <w:tcPr>
            <w:tcW w:w="1668" w:type="dxa"/>
            <w:shd w:val="clear" w:color="auto" w:fill="auto"/>
          </w:tcPr>
          <w:p w14:paraId="670E00F1" w14:textId="77777777" w:rsidR="00B33542" w:rsidRPr="005071A1" w:rsidRDefault="00B33542" w:rsidP="009B7AF5">
            <w:pPr>
              <w:pStyle w:val="Tabletext"/>
            </w:pPr>
            <w:r w:rsidRPr="005071A1">
              <w:t>28</w:t>
            </w:r>
          </w:p>
        </w:tc>
        <w:tc>
          <w:tcPr>
            <w:tcW w:w="2409" w:type="dxa"/>
            <w:shd w:val="clear" w:color="auto" w:fill="auto"/>
          </w:tcPr>
          <w:p w14:paraId="1F46FAD7" w14:textId="77777777" w:rsidR="00B33542" w:rsidRPr="005071A1" w:rsidRDefault="00B33542" w:rsidP="009B7AF5">
            <w:pPr>
              <w:pStyle w:val="Tabletext"/>
            </w:pPr>
            <w:r w:rsidRPr="005071A1">
              <w:t>0.50</w:t>
            </w:r>
          </w:p>
        </w:tc>
        <w:tc>
          <w:tcPr>
            <w:tcW w:w="2977" w:type="dxa"/>
            <w:shd w:val="clear" w:color="auto" w:fill="auto"/>
          </w:tcPr>
          <w:p w14:paraId="0111C30E" w14:textId="77777777" w:rsidR="00B33542" w:rsidRPr="005071A1" w:rsidRDefault="00B33542" w:rsidP="009B7AF5">
            <w:pPr>
              <w:pStyle w:val="Tabletext"/>
            </w:pPr>
            <w:r w:rsidRPr="005071A1">
              <w:t>0.44</w:t>
            </w:r>
          </w:p>
        </w:tc>
      </w:tr>
      <w:tr w:rsidR="00B33542" w:rsidRPr="005071A1" w14:paraId="56A9764B" w14:textId="77777777" w:rsidTr="009B7AF5">
        <w:tc>
          <w:tcPr>
            <w:tcW w:w="1668" w:type="dxa"/>
            <w:shd w:val="clear" w:color="auto" w:fill="auto"/>
          </w:tcPr>
          <w:p w14:paraId="12F899E2" w14:textId="77777777" w:rsidR="00B33542" w:rsidRPr="005071A1" w:rsidRDefault="00B33542" w:rsidP="009B7AF5">
            <w:pPr>
              <w:pStyle w:val="Tabletext"/>
            </w:pPr>
            <w:r w:rsidRPr="005071A1">
              <w:t>29</w:t>
            </w:r>
          </w:p>
        </w:tc>
        <w:tc>
          <w:tcPr>
            <w:tcW w:w="2409" w:type="dxa"/>
            <w:shd w:val="clear" w:color="auto" w:fill="auto"/>
          </w:tcPr>
          <w:p w14:paraId="663441D0" w14:textId="77777777" w:rsidR="00B33542" w:rsidRPr="005071A1" w:rsidRDefault="00B33542" w:rsidP="009B7AF5">
            <w:pPr>
              <w:pStyle w:val="Tabletext"/>
            </w:pPr>
            <w:r w:rsidRPr="005071A1">
              <w:t>0.52</w:t>
            </w:r>
          </w:p>
        </w:tc>
        <w:tc>
          <w:tcPr>
            <w:tcW w:w="2977" w:type="dxa"/>
            <w:shd w:val="clear" w:color="auto" w:fill="auto"/>
          </w:tcPr>
          <w:p w14:paraId="7DCDAE6D" w14:textId="77777777" w:rsidR="00B33542" w:rsidRPr="005071A1" w:rsidRDefault="00B33542" w:rsidP="009B7AF5">
            <w:pPr>
              <w:pStyle w:val="Tabletext"/>
            </w:pPr>
            <w:r w:rsidRPr="005071A1">
              <w:t>0.48</w:t>
            </w:r>
          </w:p>
        </w:tc>
      </w:tr>
      <w:tr w:rsidR="00B33542" w:rsidRPr="005071A1" w14:paraId="41CD7929" w14:textId="77777777" w:rsidTr="009B7AF5">
        <w:tc>
          <w:tcPr>
            <w:tcW w:w="1668" w:type="dxa"/>
            <w:shd w:val="clear" w:color="auto" w:fill="auto"/>
          </w:tcPr>
          <w:p w14:paraId="3E2C0E43" w14:textId="77777777" w:rsidR="00B33542" w:rsidRPr="005071A1" w:rsidRDefault="00B33542" w:rsidP="009B7AF5">
            <w:pPr>
              <w:pStyle w:val="Tabletext"/>
            </w:pPr>
            <w:r w:rsidRPr="005071A1">
              <w:t>30</w:t>
            </w:r>
          </w:p>
        </w:tc>
        <w:tc>
          <w:tcPr>
            <w:tcW w:w="2409" w:type="dxa"/>
            <w:shd w:val="clear" w:color="auto" w:fill="auto"/>
          </w:tcPr>
          <w:p w14:paraId="3B2BF336" w14:textId="77777777" w:rsidR="00B33542" w:rsidRPr="005071A1" w:rsidRDefault="00B33542" w:rsidP="009B7AF5">
            <w:pPr>
              <w:pStyle w:val="Tabletext"/>
            </w:pPr>
            <w:r w:rsidRPr="005071A1">
              <w:t>0.54</w:t>
            </w:r>
          </w:p>
        </w:tc>
        <w:tc>
          <w:tcPr>
            <w:tcW w:w="2977" w:type="dxa"/>
            <w:shd w:val="clear" w:color="auto" w:fill="auto"/>
          </w:tcPr>
          <w:p w14:paraId="201E346A" w14:textId="77777777" w:rsidR="00B33542" w:rsidRPr="005071A1" w:rsidRDefault="00B33542" w:rsidP="009B7AF5">
            <w:pPr>
              <w:pStyle w:val="Tabletext"/>
            </w:pPr>
            <w:r w:rsidRPr="005071A1">
              <w:t>0.50</w:t>
            </w:r>
          </w:p>
        </w:tc>
      </w:tr>
      <w:tr w:rsidR="00B33542" w:rsidRPr="005071A1" w14:paraId="19C01F61" w14:textId="77777777" w:rsidTr="009B7AF5">
        <w:tc>
          <w:tcPr>
            <w:tcW w:w="1668" w:type="dxa"/>
            <w:shd w:val="clear" w:color="auto" w:fill="auto"/>
          </w:tcPr>
          <w:p w14:paraId="02ADEBA5" w14:textId="77777777" w:rsidR="00B33542" w:rsidRPr="005071A1" w:rsidRDefault="00B33542" w:rsidP="009B7AF5">
            <w:pPr>
              <w:pStyle w:val="Tabletext"/>
            </w:pPr>
            <w:r w:rsidRPr="005071A1">
              <w:t>31</w:t>
            </w:r>
          </w:p>
        </w:tc>
        <w:tc>
          <w:tcPr>
            <w:tcW w:w="2409" w:type="dxa"/>
            <w:shd w:val="clear" w:color="auto" w:fill="auto"/>
          </w:tcPr>
          <w:p w14:paraId="6535D2EF" w14:textId="77777777" w:rsidR="00B33542" w:rsidRPr="005071A1" w:rsidRDefault="00B33542" w:rsidP="009B7AF5">
            <w:pPr>
              <w:pStyle w:val="Tabletext"/>
            </w:pPr>
            <w:r w:rsidRPr="005071A1">
              <w:t>0.58</w:t>
            </w:r>
          </w:p>
        </w:tc>
        <w:tc>
          <w:tcPr>
            <w:tcW w:w="2977" w:type="dxa"/>
            <w:shd w:val="clear" w:color="auto" w:fill="auto"/>
          </w:tcPr>
          <w:p w14:paraId="5CEA0B4B" w14:textId="77777777" w:rsidR="00B33542" w:rsidRPr="005071A1" w:rsidRDefault="00B33542" w:rsidP="009B7AF5">
            <w:pPr>
              <w:pStyle w:val="Tabletext"/>
            </w:pPr>
            <w:r w:rsidRPr="005071A1">
              <w:t>0.52</w:t>
            </w:r>
          </w:p>
        </w:tc>
      </w:tr>
      <w:tr w:rsidR="00B33542" w:rsidRPr="005071A1" w14:paraId="02B4624A" w14:textId="77777777" w:rsidTr="009B7AF5">
        <w:tc>
          <w:tcPr>
            <w:tcW w:w="1668" w:type="dxa"/>
            <w:shd w:val="clear" w:color="auto" w:fill="auto"/>
          </w:tcPr>
          <w:p w14:paraId="7A808BA0" w14:textId="77777777" w:rsidR="00B33542" w:rsidRPr="005071A1" w:rsidRDefault="00B33542" w:rsidP="009B7AF5">
            <w:pPr>
              <w:pStyle w:val="Tabletext"/>
            </w:pPr>
            <w:r w:rsidRPr="005071A1">
              <w:t>32</w:t>
            </w:r>
          </w:p>
        </w:tc>
        <w:tc>
          <w:tcPr>
            <w:tcW w:w="2409" w:type="dxa"/>
            <w:shd w:val="clear" w:color="auto" w:fill="auto"/>
          </w:tcPr>
          <w:p w14:paraId="30796C97" w14:textId="77777777" w:rsidR="00B33542" w:rsidRPr="005071A1" w:rsidRDefault="00B33542" w:rsidP="009B7AF5">
            <w:pPr>
              <w:pStyle w:val="Tabletext"/>
            </w:pPr>
            <w:r w:rsidRPr="005071A1">
              <w:t>0.60</w:t>
            </w:r>
          </w:p>
        </w:tc>
        <w:tc>
          <w:tcPr>
            <w:tcW w:w="2977" w:type="dxa"/>
            <w:shd w:val="clear" w:color="auto" w:fill="auto"/>
          </w:tcPr>
          <w:p w14:paraId="3D47B340" w14:textId="77777777" w:rsidR="00B33542" w:rsidRPr="005071A1" w:rsidRDefault="00B33542" w:rsidP="009B7AF5">
            <w:pPr>
              <w:pStyle w:val="Tabletext"/>
            </w:pPr>
            <w:r w:rsidRPr="005071A1">
              <w:t>0.54</w:t>
            </w:r>
          </w:p>
        </w:tc>
      </w:tr>
      <w:tr w:rsidR="00B33542" w:rsidRPr="005071A1" w14:paraId="22F94265" w14:textId="77777777" w:rsidTr="009B7AF5">
        <w:tc>
          <w:tcPr>
            <w:tcW w:w="1668" w:type="dxa"/>
            <w:shd w:val="clear" w:color="auto" w:fill="auto"/>
          </w:tcPr>
          <w:p w14:paraId="5D2B61A9" w14:textId="77777777" w:rsidR="00B33542" w:rsidRPr="005071A1" w:rsidRDefault="00B33542" w:rsidP="009B7AF5">
            <w:pPr>
              <w:pStyle w:val="Tabletext"/>
            </w:pPr>
            <w:r w:rsidRPr="005071A1">
              <w:lastRenderedPageBreak/>
              <w:t>33</w:t>
            </w:r>
          </w:p>
        </w:tc>
        <w:tc>
          <w:tcPr>
            <w:tcW w:w="2409" w:type="dxa"/>
            <w:shd w:val="clear" w:color="auto" w:fill="auto"/>
          </w:tcPr>
          <w:p w14:paraId="644E73C0" w14:textId="77777777" w:rsidR="00B33542" w:rsidRPr="005071A1" w:rsidRDefault="00B33542" w:rsidP="009B7AF5">
            <w:pPr>
              <w:pStyle w:val="Tabletext"/>
            </w:pPr>
            <w:r w:rsidRPr="005071A1">
              <w:t>0.64</w:t>
            </w:r>
          </w:p>
        </w:tc>
        <w:tc>
          <w:tcPr>
            <w:tcW w:w="2977" w:type="dxa"/>
            <w:shd w:val="clear" w:color="auto" w:fill="auto"/>
          </w:tcPr>
          <w:p w14:paraId="30BB780C" w14:textId="77777777" w:rsidR="00B33542" w:rsidRPr="005071A1" w:rsidRDefault="00B33542" w:rsidP="009B7AF5">
            <w:pPr>
              <w:pStyle w:val="Tabletext"/>
            </w:pPr>
            <w:r w:rsidRPr="005071A1">
              <w:t>0.58</w:t>
            </w:r>
          </w:p>
        </w:tc>
      </w:tr>
      <w:tr w:rsidR="00B33542" w:rsidRPr="005071A1" w14:paraId="10E5B800" w14:textId="77777777" w:rsidTr="009B7AF5">
        <w:tc>
          <w:tcPr>
            <w:tcW w:w="1668" w:type="dxa"/>
            <w:shd w:val="clear" w:color="auto" w:fill="auto"/>
          </w:tcPr>
          <w:p w14:paraId="4F74F4F5" w14:textId="77777777" w:rsidR="00B33542" w:rsidRPr="005071A1" w:rsidRDefault="00B33542" w:rsidP="009B7AF5">
            <w:pPr>
              <w:pStyle w:val="Tabletext"/>
            </w:pPr>
            <w:r w:rsidRPr="005071A1">
              <w:t>34</w:t>
            </w:r>
          </w:p>
        </w:tc>
        <w:tc>
          <w:tcPr>
            <w:tcW w:w="2409" w:type="dxa"/>
            <w:shd w:val="clear" w:color="auto" w:fill="auto"/>
          </w:tcPr>
          <w:p w14:paraId="54E633CB" w14:textId="77777777" w:rsidR="00B33542" w:rsidRPr="005071A1" w:rsidRDefault="00B33542" w:rsidP="009B7AF5">
            <w:pPr>
              <w:pStyle w:val="Tabletext"/>
            </w:pPr>
            <w:r w:rsidRPr="005071A1">
              <w:t>0.68</w:t>
            </w:r>
          </w:p>
        </w:tc>
        <w:tc>
          <w:tcPr>
            <w:tcW w:w="2977" w:type="dxa"/>
            <w:shd w:val="clear" w:color="auto" w:fill="auto"/>
          </w:tcPr>
          <w:p w14:paraId="1E5DD5F4" w14:textId="77777777" w:rsidR="00B33542" w:rsidRPr="005071A1" w:rsidRDefault="00B33542" w:rsidP="009B7AF5">
            <w:pPr>
              <w:pStyle w:val="Tabletext"/>
            </w:pPr>
            <w:r w:rsidRPr="005071A1">
              <w:t>0.62</w:t>
            </w:r>
          </w:p>
        </w:tc>
      </w:tr>
      <w:tr w:rsidR="00B33542" w:rsidRPr="005071A1" w14:paraId="5A532F2D" w14:textId="77777777" w:rsidTr="009B7AF5">
        <w:tc>
          <w:tcPr>
            <w:tcW w:w="1668" w:type="dxa"/>
            <w:shd w:val="clear" w:color="auto" w:fill="auto"/>
          </w:tcPr>
          <w:p w14:paraId="57D0A0FB" w14:textId="77777777" w:rsidR="00B33542" w:rsidRPr="005071A1" w:rsidRDefault="00B33542" w:rsidP="009B7AF5">
            <w:pPr>
              <w:pStyle w:val="Tabletext"/>
            </w:pPr>
            <w:r w:rsidRPr="005071A1">
              <w:t>35</w:t>
            </w:r>
          </w:p>
        </w:tc>
        <w:tc>
          <w:tcPr>
            <w:tcW w:w="2409" w:type="dxa"/>
            <w:shd w:val="clear" w:color="auto" w:fill="auto"/>
          </w:tcPr>
          <w:p w14:paraId="79BC93DF" w14:textId="77777777" w:rsidR="00B33542" w:rsidRPr="005071A1" w:rsidRDefault="00B33542" w:rsidP="009B7AF5">
            <w:pPr>
              <w:pStyle w:val="Tabletext"/>
            </w:pPr>
            <w:r w:rsidRPr="005071A1">
              <w:t>0.70</w:t>
            </w:r>
          </w:p>
        </w:tc>
        <w:tc>
          <w:tcPr>
            <w:tcW w:w="2977" w:type="dxa"/>
            <w:shd w:val="clear" w:color="auto" w:fill="auto"/>
          </w:tcPr>
          <w:p w14:paraId="5281D848" w14:textId="77777777" w:rsidR="00B33542" w:rsidRPr="005071A1" w:rsidRDefault="00B33542" w:rsidP="009B7AF5">
            <w:pPr>
              <w:pStyle w:val="Tabletext"/>
            </w:pPr>
            <w:r w:rsidRPr="005071A1">
              <w:t>0.64</w:t>
            </w:r>
          </w:p>
        </w:tc>
      </w:tr>
      <w:tr w:rsidR="00B33542" w:rsidRPr="005071A1" w14:paraId="56A92158" w14:textId="77777777" w:rsidTr="009B7AF5">
        <w:tc>
          <w:tcPr>
            <w:tcW w:w="1668" w:type="dxa"/>
            <w:shd w:val="clear" w:color="auto" w:fill="auto"/>
          </w:tcPr>
          <w:p w14:paraId="4445B634" w14:textId="77777777" w:rsidR="00B33542" w:rsidRPr="005071A1" w:rsidRDefault="00B33542" w:rsidP="009B7AF5">
            <w:pPr>
              <w:pStyle w:val="Tabletext"/>
            </w:pPr>
            <w:r w:rsidRPr="005071A1">
              <w:t>36</w:t>
            </w:r>
          </w:p>
        </w:tc>
        <w:tc>
          <w:tcPr>
            <w:tcW w:w="2409" w:type="dxa"/>
            <w:shd w:val="clear" w:color="auto" w:fill="auto"/>
          </w:tcPr>
          <w:p w14:paraId="416BAF19" w14:textId="77777777" w:rsidR="00B33542" w:rsidRPr="005071A1" w:rsidRDefault="00B33542" w:rsidP="009B7AF5">
            <w:pPr>
              <w:pStyle w:val="Tabletext"/>
            </w:pPr>
            <w:r w:rsidRPr="005071A1">
              <w:t>0.74</w:t>
            </w:r>
          </w:p>
        </w:tc>
        <w:tc>
          <w:tcPr>
            <w:tcW w:w="2977" w:type="dxa"/>
            <w:shd w:val="clear" w:color="auto" w:fill="auto"/>
          </w:tcPr>
          <w:p w14:paraId="5B29337D" w14:textId="77777777" w:rsidR="00B33542" w:rsidRPr="005071A1" w:rsidRDefault="00B33542" w:rsidP="009B7AF5">
            <w:pPr>
              <w:pStyle w:val="Tabletext"/>
            </w:pPr>
            <w:r w:rsidRPr="005071A1">
              <w:t>0.68</w:t>
            </w:r>
          </w:p>
        </w:tc>
      </w:tr>
      <w:tr w:rsidR="00B33542" w:rsidRPr="005071A1" w14:paraId="557B540A" w14:textId="77777777" w:rsidTr="009B7AF5">
        <w:tc>
          <w:tcPr>
            <w:tcW w:w="1668" w:type="dxa"/>
            <w:shd w:val="clear" w:color="auto" w:fill="auto"/>
          </w:tcPr>
          <w:p w14:paraId="31710C21" w14:textId="77777777" w:rsidR="00B33542" w:rsidRPr="005071A1" w:rsidRDefault="00B33542" w:rsidP="009B7AF5">
            <w:pPr>
              <w:pStyle w:val="Tabletext"/>
            </w:pPr>
            <w:r w:rsidRPr="005071A1">
              <w:t>37</w:t>
            </w:r>
          </w:p>
        </w:tc>
        <w:tc>
          <w:tcPr>
            <w:tcW w:w="2409" w:type="dxa"/>
            <w:shd w:val="clear" w:color="auto" w:fill="auto"/>
          </w:tcPr>
          <w:p w14:paraId="58EB1BB0" w14:textId="77777777" w:rsidR="00B33542" w:rsidRPr="005071A1" w:rsidRDefault="00B33542" w:rsidP="009B7AF5">
            <w:pPr>
              <w:pStyle w:val="Tabletext"/>
            </w:pPr>
            <w:r w:rsidRPr="005071A1">
              <w:t>0.80</w:t>
            </w:r>
          </w:p>
        </w:tc>
        <w:tc>
          <w:tcPr>
            <w:tcW w:w="2977" w:type="dxa"/>
            <w:shd w:val="clear" w:color="auto" w:fill="auto"/>
          </w:tcPr>
          <w:p w14:paraId="4E9216A3" w14:textId="77777777" w:rsidR="00B33542" w:rsidRPr="005071A1" w:rsidRDefault="00B33542" w:rsidP="009B7AF5">
            <w:pPr>
              <w:pStyle w:val="Tabletext"/>
            </w:pPr>
            <w:r w:rsidRPr="005071A1">
              <w:t>0.72</w:t>
            </w:r>
          </w:p>
        </w:tc>
      </w:tr>
      <w:tr w:rsidR="00B33542" w:rsidRPr="005071A1" w14:paraId="292B72CD" w14:textId="77777777" w:rsidTr="009B7AF5">
        <w:tc>
          <w:tcPr>
            <w:tcW w:w="1668" w:type="dxa"/>
            <w:shd w:val="clear" w:color="auto" w:fill="auto"/>
          </w:tcPr>
          <w:p w14:paraId="7753E1E4" w14:textId="77777777" w:rsidR="00B33542" w:rsidRPr="005071A1" w:rsidRDefault="00B33542" w:rsidP="009B7AF5">
            <w:pPr>
              <w:pStyle w:val="Tabletext"/>
            </w:pPr>
            <w:r w:rsidRPr="005071A1">
              <w:t>38</w:t>
            </w:r>
          </w:p>
        </w:tc>
        <w:tc>
          <w:tcPr>
            <w:tcW w:w="2409" w:type="dxa"/>
            <w:shd w:val="clear" w:color="auto" w:fill="auto"/>
          </w:tcPr>
          <w:p w14:paraId="680DD4FF" w14:textId="77777777" w:rsidR="00B33542" w:rsidRPr="005071A1" w:rsidRDefault="00B33542" w:rsidP="009B7AF5">
            <w:pPr>
              <w:pStyle w:val="Tabletext"/>
            </w:pPr>
            <w:r w:rsidRPr="005071A1">
              <w:t>0.84</w:t>
            </w:r>
          </w:p>
        </w:tc>
        <w:tc>
          <w:tcPr>
            <w:tcW w:w="2977" w:type="dxa"/>
            <w:shd w:val="clear" w:color="auto" w:fill="auto"/>
          </w:tcPr>
          <w:p w14:paraId="75B12D80" w14:textId="77777777" w:rsidR="00B33542" w:rsidRPr="005071A1" w:rsidRDefault="00B33542" w:rsidP="009B7AF5">
            <w:pPr>
              <w:pStyle w:val="Tabletext"/>
            </w:pPr>
            <w:r w:rsidRPr="005071A1">
              <w:t>0.78</w:t>
            </w:r>
          </w:p>
        </w:tc>
      </w:tr>
      <w:tr w:rsidR="00B33542" w:rsidRPr="005071A1" w14:paraId="37ACE3B4" w14:textId="77777777" w:rsidTr="009B7AF5">
        <w:tc>
          <w:tcPr>
            <w:tcW w:w="1668" w:type="dxa"/>
            <w:shd w:val="clear" w:color="auto" w:fill="auto"/>
          </w:tcPr>
          <w:p w14:paraId="02DFDA26" w14:textId="77777777" w:rsidR="00B33542" w:rsidRPr="005071A1" w:rsidRDefault="00B33542" w:rsidP="009B7AF5">
            <w:pPr>
              <w:pStyle w:val="Tabletext"/>
            </w:pPr>
            <w:r w:rsidRPr="005071A1">
              <w:t>39</w:t>
            </w:r>
          </w:p>
        </w:tc>
        <w:tc>
          <w:tcPr>
            <w:tcW w:w="2409" w:type="dxa"/>
            <w:shd w:val="clear" w:color="auto" w:fill="auto"/>
          </w:tcPr>
          <w:p w14:paraId="60C095B5" w14:textId="77777777" w:rsidR="00B33542" w:rsidRPr="005071A1" w:rsidRDefault="00B33542" w:rsidP="009B7AF5">
            <w:pPr>
              <w:pStyle w:val="Tabletext"/>
            </w:pPr>
            <w:r w:rsidRPr="005071A1">
              <w:t>0.88</w:t>
            </w:r>
          </w:p>
        </w:tc>
        <w:tc>
          <w:tcPr>
            <w:tcW w:w="2977" w:type="dxa"/>
            <w:shd w:val="clear" w:color="auto" w:fill="auto"/>
          </w:tcPr>
          <w:p w14:paraId="573C198C" w14:textId="77777777" w:rsidR="00B33542" w:rsidRPr="005071A1" w:rsidRDefault="00B33542" w:rsidP="009B7AF5">
            <w:pPr>
              <w:pStyle w:val="Tabletext"/>
            </w:pPr>
            <w:r w:rsidRPr="005071A1">
              <w:t>0.82</w:t>
            </w:r>
          </w:p>
        </w:tc>
      </w:tr>
      <w:tr w:rsidR="00B33542" w:rsidRPr="005071A1" w14:paraId="6C25B12F" w14:textId="77777777" w:rsidTr="009B7AF5">
        <w:tc>
          <w:tcPr>
            <w:tcW w:w="1668" w:type="dxa"/>
            <w:shd w:val="clear" w:color="auto" w:fill="auto"/>
          </w:tcPr>
          <w:p w14:paraId="7EA8540B" w14:textId="77777777" w:rsidR="00B33542" w:rsidRPr="005071A1" w:rsidRDefault="00B33542" w:rsidP="009B7AF5">
            <w:pPr>
              <w:pStyle w:val="Tabletext"/>
            </w:pPr>
            <w:r w:rsidRPr="005071A1">
              <w:t>40</w:t>
            </w:r>
          </w:p>
        </w:tc>
        <w:tc>
          <w:tcPr>
            <w:tcW w:w="2409" w:type="dxa"/>
            <w:shd w:val="clear" w:color="auto" w:fill="auto"/>
          </w:tcPr>
          <w:p w14:paraId="1AAD1A2B" w14:textId="77777777" w:rsidR="00B33542" w:rsidRPr="005071A1" w:rsidRDefault="00B33542" w:rsidP="009B7AF5">
            <w:pPr>
              <w:pStyle w:val="Tabletext"/>
            </w:pPr>
            <w:r w:rsidRPr="005071A1">
              <w:t>0.94</w:t>
            </w:r>
          </w:p>
        </w:tc>
        <w:tc>
          <w:tcPr>
            <w:tcW w:w="2977" w:type="dxa"/>
            <w:shd w:val="clear" w:color="auto" w:fill="auto"/>
          </w:tcPr>
          <w:p w14:paraId="7DD193F2" w14:textId="77777777" w:rsidR="00B33542" w:rsidRPr="005071A1" w:rsidRDefault="00B33542" w:rsidP="009B7AF5">
            <w:pPr>
              <w:pStyle w:val="Tabletext"/>
            </w:pPr>
            <w:r w:rsidRPr="005071A1">
              <w:t>0.88</w:t>
            </w:r>
          </w:p>
        </w:tc>
      </w:tr>
      <w:tr w:rsidR="00B33542" w:rsidRPr="005071A1" w14:paraId="5CDB82D7" w14:textId="77777777" w:rsidTr="009B7AF5">
        <w:tc>
          <w:tcPr>
            <w:tcW w:w="1668" w:type="dxa"/>
            <w:shd w:val="clear" w:color="auto" w:fill="auto"/>
          </w:tcPr>
          <w:p w14:paraId="7D0B4517" w14:textId="77777777" w:rsidR="00B33542" w:rsidRPr="005071A1" w:rsidRDefault="00B33542" w:rsidP="009B7AF5">
            <w:pPr>
              <w:pStyle w:val="Tabletext"/>
            </w:pPr>
            <w:r w:rsidRPr="005071A1">
              <w:t>41</w:t>
            </w:r>
          </w:p>
        </w:tc>
        <w:tc>
          <w:tcPr>
            <w:tcW w:w="2409" w:type="dxa"/>
            <w:shd w:val="clear" w:color="auto" w:fill="auto"/>
          </w:tcPr>
          <w:p w14:paraId="34668EA6" w14:textId="77777777" w:rsidR="00B33542" w:rsidRPr="005071A1" w:rsidRDefault="00B33542" w:rsidP="009B7AF5">
            <w:pPr>
              <w:pStyle w:val="Tabletext"/>
            </w:pPr>
            <w:r w:rsidRPr="005071A1">
              <w:t>1.00</w:t>
            </w:r>
          </w:p>
        </w:tc>
        <w:tc>
          <w:tcPr>
            <w:tcW w:w="2977" w:type="dxa"/>
            <w:shd w:val="clear" w:color="auto" w:fill="auto"/>
          </w:tcPr>
          <w:p w14:paraId="5D7B438E" w14:textId="77777777" w:rsidR="00B33542" w:rsidRPr="005071A1" w:rsidRDefault="00B33542" w:rsidP="009B7AF5">
            <w:pPr>
              <w:pStyle w:val="Tabletext"/>
            </w:pPr>
            <w:r w:rsidRPr="005071A1">
              <w:t>0.94</w:t>
            </w:r>
          </w:p>
        </w:tc>
      </w:tr>
      <w:tr w:rsidR="00B33542" w:rsidRPr="005071A1" w14:paraId="526A6AFA" w14:textId="77777777" w:rsidTr="009B7AF5">
        <w:tc>
          <w:tcPr>
            <w:tcW w:w="1668" w:type="dxa"/>
            <w:shd w:val="clear" w:color="auto" w:fill="auto"/>
          </w:tcPr>
          <w:p w14:paraId="6C374D4A" w14:textId="77777777" w:rsidR="00B33542" w:rsidRPr="005071A1" w:rsidRDefault="00B33542" w:rsidP="009B7AF5">
            <w:pPr>
              <w:pStyle w:val="Tabletext"/>
            </w:pPr>
            <w:r w:rsidRPr="005071A1">
              <w:t>42</w:t>
            </w:r>
          </w:p>
        </w:tc>
        <w:tc>
          <w:tcPr>
            <w:tcW w:w="2409" w:type="dxa"/>
            <w:shd w:val="clear" w:color="auto" w:fill="auto"/>
          </w:tcPr>
          <w:p w14:paraId="209D1243" w14:textId="77777777" w:rsidR="00B33542" w:rsidRPr="005071A1" w:rsidRDefault="00B33542" w:rsidP="009B7AF5">
            <w:pPr>
              <w:pStyle w:val="Tabletext"/>
            </w:pPr>
            <w:r w:rsidRPr="005071A1">
              <w:t>1.08</w:t>
            </w:r>
          </w:p>
        </w:tc>
        <w:tc>
          <w:tcPr>
            <w:tcW w:w="2977" w:type="dxa"/>
            <w:shd w:val="clear" w:color="auto" w:fill="auto"/>
          </w:tcPr>
          <w:p w14:paraId="44D249EA" w14:textId="77777777" w:rsidR="00B33542" w:rsidRPr="005071A1" w:rsidRDefault="00B33542" w:rsidP="009B7AF5">
            <w:pPr>
              <w:pStyle w:val="Tabletext"/>
            </w:pPr>
            <w:r w:rsidRPr="005071A1">
              <w:t>1.00</w:t>
            </w:r>
          </w:p>
        </w:tc>
      </w:tr>
      <w:tr w:rsidR="00B33542" w:rsidRPr="005071A1" w14:paraId="4D033EDF" w14:textId="77777777" w:rsidTr="009B7AF5">
        <w:tc>
          <w:tcPr>
            <w:tcW w:w="1668" w:type="dxa"/>
            <w:shd w:val="clear" w:color="auto" w:fill="auto"/>
          </w:tcPr>
          <w:p w14:paraId="5796D1E9" w14:textId="77777777" w:rsidR="00B33542" w:rsidRPr="005071A1" w:rsidRDefault="00B33542" w:rsidP="009B7AF5">
            <w:pPr>
              <w:pStyle w:val="Tabletext"/>
            </w:pPr>
            <w:r w:rsidRPr="005071A1">
              <w:t>43</w:t>
            </w:r>
          </w:p>
        </w:tc>
        <w:tc>
          <w:tcPr>
            <w:tcW w:w="2409" w:type="dxa"/>
            <w:shd w:val="clear" w:color="auto" w:fill="auto"/>
          </w:tcPr>
          <w:p w14:paraId="4FFFB05C" w14:textId="77777777" w:rsidR="00B33542" w:rsidRPr="005071A1" w:rsidRDefault="00B33542" w:rsidP="009B7AF5">
            <w:pPr>
              <w:pStyle w:val="Tabletext"/>
            </w:pPr>
            <w:r w:rsidRPr="005071A1">
              <w:t>1.14</w:t>
            </w:r>
          </w:p>
        </w:tc>
        <w:tc>
          <w:tcPr>
            <w:tcW w:w="2977" w:type="dxa"/>
            <w:shd w:val="clear" w:color="auto" w:fill="auto"/>
          </w:tcPr>
          <w:p w14:paraId="1F1D95A9" w14:textId="77777777" w:rsidR="00B33542" w:rsidRPr="005071A1" w:rsidRDefault="00B33542" w:rsidP="009B7AF5">
            <w:pPr>
              <w:pStyle w:val="Tabletext"/>
            </w:pPr>
            <w:r w:rsidRPr="005071A1">
              <w:t>1.08</w:t>
            </w:r>
          </w:p>
        </w:tc>
      </w:tr>
      <w:tr w:rsidR="00B33542" w:rsidRPr="005071A1" w14:paraId="0B34DB1E" w14:textId="77777777" w:rsidTr="009B7AF5">
        <w:tc>
          <w:tcPr>
            <w:tcW w:w="1668" w:type="dxa"/>
            <w:shd w:val="clear" w:color="auto" w:fill="auto"/>
          </w:tcPr>
          <w:p w14:paraId="108FDFFC" w14:textId="77777777" w:rsidR="00B33542" w:rsidRPr="005071A1" w:rsidRDefault="00B33542" w:rsidP="009B7AF5">
            <w:pPr>
              <w:pStyle w:val="Tabletext"/>
            </w:pPr>
            <w:r w:rsidRPr="005071A1">
              <w:t>44</w:t>
            </w:r>
          </w:p>
        </w:tc>
        <w:tc>
          <w:tcPr>
            <w:tcW w:w="2409" w:type="dxa"/>
            <w:shd w:val="clear" w:color="auto" w:fill="auto"/>
          </w:tcPr>
          <w:p w14:paraId="7A907A65" w14:textId="77777777" w:rsidR="00B33542" w:rsidRPr="005071A1" w:rsidRDefault="00B33542" w:rsidP="009B7AF5">
            <w:pPr>
              <w:pStyle w:val="Tabletext"/>
            </w:pPr>
            <w:r w:rsidRPr="005071A1">
              <w:t>1.24</w:t>
            </w:r>
          </w:p>
        </w:tc>
        <w:tc>
          <w:tcPr>
            <w:tcW w:w="2977" w:type="dxa"/>
            <w:shd w:val="clear" w:color="auto" w:fill="auto"/>
          </w:tcPr>
          <w:p w14:paraId="13B46935" w14:textId="77777777" w:rsidR="00B33542" w:rsidRPr="005071A1" w:rsidRDefault="00B33542" w:rsidP="009B7AF5">
            <w:pPr>
              <w:pStyle w:val="Tabletext"/>
            </w:pPr>
            <w:r w:rsidRPr="005071A1">
              <w:t>1.18</w:t>
            </w:r>
          </w:p>
        </w:tc>
      </w:tr>
      <w:tr w:rsidR="00B33542" w:rsidRPr="005071A1" w14:paraId="223A6AFA" w14:textId="77777777" w:rsidTr="009B7AF5">
        <w:tc>
          <w:tcPr>
            <w:tcW w:w="1668" w:type="dxa"/>
            <w:shd w:val="clear" w:color="auto" w:fill="auto"/>
          </w:tcPr>
          <w:p w14:paraId="05C6BE9B" w14:textId="77777777" w:rsidR="00B33542" w:rsidRPr="005071A1" w:rsidRDefault="00B33542" w:rsidP="009B7AF5">
            <w:pPr>
              <w:pStyle w:val="Tabletext"/>
            </w:pPr>
            <w:r w:rsidRPr="005071A1">
              <w:t>45</w:t>
            </w:r>
          </w:p>
        </w:tc>
        <w:tc>
          <w:tcPr>
            <w:tcW w:w="2409" w:type="dxa"/>
            <w:shd w:val="clear" w:color="auto" w:fill="auto"/>
          </w:tcPr>
          <w:p w14:paraId="348AF655" w14:textId="77777777" w:rsidR="00B33542" w:rsidRPr="005071A1" w:rsidRDefault="00B33542" w:rsidP="009B7AF5">
            <w:pPr>
              <w:pStyle w:val="Tabletext"/>
            </w:pPr>
            <w:r w:rsidRPr="005071A1">
              <w:t>1.34</w:t>
            </w:r>
          </w:p>
        </w:tc>
        <w:tc>
          <w:tcPr>
            <w:tcW w:w="2977" w:type="dxa"/>
            <w:shd w:val="clear" w:color="auto" w:fill="auto"/>
          </w:tcPr>
          <w:p w14:paraId="5218F34B" w14:textId="77777777" w:rsidR="00B33542" w:rsidRPr="005071A1" w:rsidRDefault="00B33542" w:rsidP="009B7AF5">
            <w:pPr>
              <w:pStyle w:val="Tabletext"/>
            </w:pPr>
            <w:r w:rsidRPr="005071A1">
              <w:t>1.28</w:t>
            </w:r>
          </w:p>
        </w:tc>
      </w:tr>
      <w:tr w:rsidR="00B33542" w:rsidRPr="005071A1" w14:paraId="5FA6AC20" w14:textId="77777777" w:rsidTr="009B7AF5">
        <w:tc>
          <w:tcPr>
            <w:tcW w:w="1668" w:type="dxa"/>
            <w:shd w:val="clear" w:color="auto" w:fill="auto"/>
          </w:tcPr>
          <w:p w14:paraId="3626AD6C" w14:textId="77777777" w:rsidR="00B33542" w:rsidRPr="005071A1" w:rsidRDefault="00B33542" w:rsidP="009B7AF5">
            <w:pPr>
              <w:pStyle w:val="Tabletext"/>
            </w:pPr>
            <w:r w:rsidRPr="005071A1">
              <w:t>46</w:t>
            </w:r>
          </w:p>
        </w:tc>
        <w:tc>
          <w:tcPr>
            <w:tcW w:w="2409" w:type="dxa"/>
            <w:shd w:val="clear" w:color="auto" w:fill="auto"/>
          </w:tcPr>
          <w:p w14:paraId="04D7CF58" w14:textId="77777777" w:rsidR="00B33542" w:rsidRPr="005071A1" w:rsidRDefault="00B33542" w:rsidP="009B7AF5">
            <w:pPr>
              <w:pStyle w:val="Tabletext"/>
            </w:pPr>
            <w:r w:rsidRPr="005071A1">
              <w:t>1.44</w:t>
            </w:r>
          </w:p>
        </w:tc>
        <w:tc>
          <w:tcPr>
            <w:tcW w:w="2977" w:type="dxa"/>
            <w:shd w:val="clear" w:color="auto" w:fill="auto"/>
          </w:tcPr>
          <w:p w14:paraId="663A24E7" w14:textId="77777777" w:rsidR="00B33542" w:rsidRPr="005071A1" w:rsidRDefault="00B33542" w:rsidP="009B7AF5">
            <w:pPr>
              <w:pStyle w:val="Tabletext"/>
            </w:pPr>
            <w:r w:rsidRPr="005071A1">
              <w:t>1.38</w:t>
            </w:r>
          </w:p>
        </w:tc>
      </w:tr>
      <w:tr w:rsidR="00B33542" w:rsidRPr="005071A1" w14:paraId="7232E57C" w14:textId="77777777" w:rsidTr="009B7AF5">
        <w:tc>
          <w:tcPr>
            <w:tcW w:w="1668" w:type="dxa"/>
            <w:shd w:val="clear" w:color="auto" w:fill="auto"/>
          </w:tcPr>
          <w:p w14:paraId="18262B48" w14:textId="77777777" w:rsidR="00B33542" w:rsidRPr="005071A1" w:rsidRDefault="00B33542" w:rsidP="009B7AF5">
            <w:pPr>
              <w:pStyle w:val="Tabletext"/>
            </w:pPr>
            <w:r w:rsidRPr="005071A1">
              <w:t>47</w:t>
            </w:r>
          </w:p>
        </w:tc>
        <w:tc>
          <w:tcPr>
            <w:tcW w:w="2409" w:type="dxa"/>
            <w:shd w:val="clear" w:color="auto" w:fill="auto"/>
          </w:tcPr>
          <w:p w14:paraId="0B5732F7" w14:textId="77777777" w:rsidR="00B33542" w:rsidRPr="005071A1" w:rsidRDefault="00B33542" w:rsidP="009B7AF5">
            <w:pPr>
              <w:pStyle w:val="Tabletext"/>
            </w:pPr>
            <w:r w:rsidRPr="005071A1">
              <w:t>1.58</w:t>
            </w:r>
          </w:p>
        </w:tc>
        <w:tc>
          <w:tcPr>
            <w:tcW w:w="2977" w:type="dxa"/>
            <w:shd w:val="clear" w:color="auto" w:fill="auto"/>
          </w:tcPr>
          <w:p w14:paraId="2B4ADDFC" w14:textId="77777777" w:rsidR="00B33542" w:rsidRPr="005071A1" w:rsidRDefault="00B33542" w:rsidP="009B7AF5">
            <w:pPr>
              <w:pStyle w:val="Tabletext"/>
            </w:pPr>
            <w:r w:rsidRPr="005071A1">
              <w:t>1.52</w:t>
            </w:r>
          </w:p>
        </w:tc>
      </w:tr>
      <w:tr w:rsidR="00B33542" w:rsidRPr="005071A1" w14:paraId="2976F5E1" w14:textId="77777777" w:rsidTr="009B7AF5">
        <w:tc>
          <w:tcPr>
            <w:tcW w:w="1668" w:type="dxa"/>
            <w:shd w:val="clear" w:color="auto" w:fill="auto"/>
          </w:tcPr>
          <w:p w14:paraId="259AB731" w14:textId="77777777" w:rsidR="00B33542" w:rsidRPr="005071A1" w:rsidRDefault="00B33542" w:rsidP="009B7AF5">
            <w:pPr>
              <w:pStyle w:val="Tabletext"/>
            </w:pPr>
            <w:r w:rsidRPr="005071A1">
              <w:t>48</w:t>
            </w:r>
          </w:p>
        </w:tc>
        <w:tc>
          <w:tcPr>
            <w:tcW w:w="2409" w:type="dxa"/>
            <w:shd w:val="clear" w:color="auto" w:fill="auto"/>
          </w:tcPr>
          <w:p w14:paraId="3B729111" w14:textId="77777777" w:rsidR="00B33542" w:rsidRPr="005071A1" w:rsidRDefault="00B33542" w:rsidP="009B7AF5">
            <w:pPr>
              <w:pStyle w:val="Tabletext"/>
            </w:pPr>
            <w:r w:rsidRPr="005071A1">
              <w:t>1.72</w:t>
            </w:r>
          </w:p>
        </w:tc>
        <w:tc>
          <w:tcPr>
            <w:tcW w:w="2977" w:type="dxa"/>
            <w:shd w:val="clear" w:color="auto" w:fill="auto"/>
          </w:tcPr>
          <w:p w14:paraId="353410D8" w14:textId="77777777" w:rsidR="00B33542" w:rsidRPr="005071A1" w:rsidRDefault="00B33542" w:rsidP="009B7AF5">
            <w:pPr>
              <w:pStyle w:val="Tabletext"/>
            </w:pPr>
            <w:r w:rsidRPr="005071A1">
              <w:t>1.66</w:t>
            </w:r>
          </w:p>
        </w:tc>
      </w:tr>
      <w:tr w:rsidR="00B33542" w:rsidRPr="005071A1" w14:paraId="19AAEB6C" w14:textId="77777777" w:rsidTr="009B7AF5">
        <w:tc>
          <w:tcPr>
            <w:tcW w:w="1668" w:type="dxa"/>
            <w:shd w:val="clear" w:color="auto" w:fill="auto"/>
          </w:tcPr>
          <w:p w14:paraId="53C3702F" w14:textId="77777777" w:rsidR="00B33542" w:rsidRPr="005071A1" w:rsidRDefault="00B33542" w:rsidP="009B7AF5">
            <w:pPr>
              <w:pStyle w:val="Tabletext"/>
            </w:pPr>
            <w:r w:rsidRPr="005071A1">
              <w:t>49</w:t>
            </w:r>
          </w:p>
        </w:tc>
        <w:tc>
          <w:tcPr>
            <w:tcW w:w="2409" w:type="dxa"/>
            <w:shd w:val="clear" w:color="auto" w:fill="auto"/>
          </w:tcPr>
          <w:p w14:paraId="0BB3A4CD" w14:textId="77777777" w:rsidR="00B33542" w:rsidRPr="005071A1" w:rsidRDefault="00B33542" w:rsidP="009B7AF5">
            <w:pPr>
              <w:pStyle w:val="Tabletext"/>
            </w:pPr>
            <w:r w:rsidRPr="005071A1">
              <w:t>1.90</w:t>
            </w:r>
          </w:p>
        </w:tc>
        <w:tc>
          <w:tcPr>
            <w:tcW w:w="2977" w:type="dxa"/>
            <w:shd w:val="clear" w:color="auto" w:fill="auto"/>
          </w:tcPr>
          <w:p w14:paraId="05C60B44" w14:textId="77777777" w:rsidR="00B33542" w:rsidRPr="005071A1" w:rsidRDefault="00B33542" w:rsidP="009B7AF5">
            <w:pPr>
              <w:pStyle w:val="Tabletext"/>
            </w:pPr>
            <w:r w:rsidRPr="005071A1">
              <w:t>1.84</w:t>
            </w:r>
          </w:p>
        </w:tc>
      </w:tr>
      <w:tr w:rsidR="00B33542" w:rsidRPr="005071A1" w14:paraId="7C1BD3FD" w14:textId="77777777" w:rsidTr="009B7AF5">
        <w:tc>
          <w:tcPr>
            <w:tcW w:w="1668" w:type="dxa"/>
            <w:shd w:val="clear" w:color="auto" w:fill="auto"/>
          </w:tcPr>
          <w:p w14:paraId="4D165F28" w14:textId="77777777" w:rsidR="00B33542" w:rsidRPr="005071A1" w:rsidRDefault="00B33542" w:rsidP="009B7AF5">
            <w:pPr>
              <w:pStyle w:val="Tabletext"/>
            </w:pPr>
            <w:r w:rsidRPr="005071A1">
              <w:t>50</w:t>
            </w:r>
          </w:p>
        </w:tc>
        <w:tc>
          <w:tcPr>
            <w:tcW w:w="2409" w:type="dxa"/>
            <w:shd w:val="clear" w:color="auto" w:fill="auto"/>
          </w:tcPr>
          <w:p w14:paraId="6E4D61F6" w14:textId="77777777" w:rsidR="00B33542" w:rsidRPr="005071A1" w:rsidRDefault="00B33542" w:rsidP="009B7AF5">
            <w:pPr>
              <w:pStyle w:val="Tabletext"/>
            </w:pPr>
            <w:r w:rsidRPr="005071A1">
              <w:t>2.12</w:t>
            </w:r>
          </w:p>
        </w:tc>
        <w:tc>
          <w:tcPr>
            <w:tcW w:w="2977" w:type="dxa"/>
            <w:shd w:val="clear" w:color="auto" w:fill="auto"/>
          </w:tcPr>
          <w:p w14:paraId="29B411CE" w14:textId="77777777" w:rsidR="00B33542" w:rsidRPr="005071A1" w:rsidRDefault="00B33542" w:rsidP="009B7AF5">
            <w:pPr>
              <w:pStyle w:val="Tabletext"/>
            </w:pPr>
            <w:r w:rsidRPr="005071A1">
              <w:t>2.06</w:t>
            </w:r>
          </w:p>
        </w:tc>
      </w:tr>
      <w:tr w:rsidR="00B33542" w:rsidRPr="005071A1" w14:paraId="30E9B4C9" w14:textId="77777777" w:rsidTr="009B7AF5">
        <w:tc>
          <w:tcPr>
            <w:tcW w:w="1668" w:type="dxa"/>
            <w:shd w:val="clear" w:color="auto" w:fill="auto"/>
          </w:tcPr>
          <w:p w14:paraId="52A08E0A" w14:textId="77777777" w:rsidR="00B33542" w:rsidRPr="005071A1" w:rsidRDefault="00B33542" w:rsidP="009B7AF5">
            <w:pPr>
              <w:pStyle w:val="Tabletext"/>
            </w:pPr>
            <w:r w:rsidRPr="005071A1">
              <w:t>51</w:t>
            </w:r>
          </w:p>
        </w:tc>
        <w:tc>
          <w:tcPr>
            <w:tcW w:w="2409" w:type="dxa"/>
            <w:shd w:val="clear" w:color="auto" w:fill="auto"/>
          </w:tcPr>
          <w:p w14:paraId="7475FCA8" w14:textId="77777777" w:rsidR="00B33542" w:rsidRPr="005071A1" w:rsidRDefault="00B33542" w:rsidP="009B7AF5">
            <w:pPr>
              <w:pStyle w:val="Tabletext"/>
            </w:pPr>
            <w:r w:rsidRPr="005071A1">
              <w:t>2.38</w:t>
            </w:r>
          </w:p>
        </w:tc>
        <w:tc>
          <w:tcPr>
            <w:tcW w:w="2977" w:type="dxa"/>
            <w:shd w:val="clear" w:color="auto" w:fill="auto"/>
          </w:tcPr>
          <w:p w14:paraId="6D6AAFDD" w14:textId="77777777" w:rsidR="00B33542" w:rsidRPr="005071A1" w:rsidRDefault="00B33542" w:rsidP="009B7AF5">
            <w:pPr>
              <w:pStyle w:val="Tabletext"/>
            </w:pPr>
            <w:r w:rsidRPr="005071A1">
              <w:t>2.32</w:t>
            </w:r>
          </w:p>
        </w:tc>
      </w:tr>
      <w:tr w:rsidR="00B33542" w:rsidRPr="005071A1" w14:paraId="6298D52F" w14:textId="77777777" w:rsidTr="009B7AF5">
        <w:tc>
          <w:tcPr>
            <w:tcW w:w="1668" w:type="dxa"/>
            <w:shd w:val="clear" w:color="auto" w:fill="auto"/>
          </w:tcPr>
          <w:p w14:paraId="10C95478" w14:textId="77777777" w:rsidR="00B33542" w:rsidRPr="005071A1" w:rsidRDefault="00B33542" w:rsidP="009B7AF5">
            <w:pPr>
              <w:pStyle w:val="Tabletext"/>
            </w:pPr>
            <w:r w:rsidRPr="005071A1">
              <w:t>52</w:t>
            </w:r>
          </w:p>
        </w:tc>
        <w:tc>
          <w:tcPr>
            <w:tcW w:w="2409" w:type="dxa"/>
            <w:shd w:val="clear" w:color="auto" w:fill="auto"/>
          </w:tcPr>
          <w:p w14:paraId="16BA4415" w14:textId="77777777" w:rsidR="00B33542" w:rsidRPr="005071A1" w:rsidRDefault="00B33542" w:rsidP="009B7AF5">
            <w:pPr>
              <w:pStyle w:val="Tabletext"/>
            </w:pPr>
            <w:r w:rsidRPr="005071A1">
              <w:t>2.70</w:t>
            </w:r>
          </w:p>
        </w:tc>
        <w:tc>
          <w:tcPr>
            <w:tcW w:w="2977" w:type="dxa"/>
            <w:shd w:val="clear" w:color="auto" w:fill="auto"/>
          </w:tcPr>
          <w:p w14:paraId="02D28DDC" w14:textId="77777777" w:rsidR="00B33542" w:rsidRPr="005071A1" w:rsidRDefault="00B33542" w:rsidP="009B7AF5">
            <w:pPr>
              <w:pStyle w:val="Tabletext"/>
            </w:pPr>
            <w:r w:rsidRPr="005071A1">
              <w:t>2.64</w:t>
            </w:r>
          </w:p>
        </w:tc>
      </w:tr>
      <w:tr w:rsidR="00B33542" w:rsidRPr="005071A1" w14:paraId="6FB2047F" w14:textId="77777777" w:rsidTr="009B7AF5">
        <w:tc>
          <w:tcPr>
            <w:tcW w:w="1668" w:type="dxa"/>
            <w:shd w:val="clear" w:color="auto" w:fill="auto"/>
          </w:tcPr>
          <w:p w14:paraId="1C3768FC" w14:textId="77777777" w:rsidR="00B33542" w:rsidRPr="005071A1" w:rsidRDefault="00B33542" w:rsidP="009B7AF5">
            <w:pPr>
              <w:pStyle w:val="Tabletext"/>
            </w:pPr>
            <w:r w:rsidRPr="005071A1">
              <w:t>53</w:t>
            </w:r>
          </w:p>
        </w:tc>
        <w:tc>
          <w:tcPr>
            <w:tcW w:w="2409" w:type="dxa"/>
            <w:shd w:val="clear" w:color="auto" w:fill="auto"/>
          </w:tcPr>
          <w:p w14:paraId="14C34E29" w14:textId="77777777" w:rsidR="00B33542" w:rsidRPr="005071A1" w:rsidRDefault="00B33542" w:rsidP="009B7AF5">
            <w:pPr>
              <w:pStyle w:val="Tabletext"/>
            </w:pPr>
            <w:r w:rsidRPr="005071A1">
              <w:t>3.12</w:t>
            </w:r>
          </w:p>
        </w:tc>
        <w:tc>
          <w:tcPr>
            <w:tcW w:w="2977" w:type="dxa"/>
            <w:shd w:val="clear" w:color="auto" w:fill="auto"/>
          </w:tcPr>
          <w:p w14:paraId="239A40BB" w14:textId="77777777" w:rsidR="00B33542" w:rsidRPr="005071A1" w:rsidRDefault="00B33542" w:rsidP="009B7AF5">
            <w:pPr>
              <w:pStyle w:val="Tabletext"/>
            </w:pPr>
            <w:r w:rsidRPr="005071A1">
              <w:t>3.06</w:t>
            </w:r>
          </w:p>
        </w:tc>
      </w:tr>
      <w:tr w:rsidR="00B33542" w:rsidRPr="005071A1" w14:paraId="572382D0" w14:textId="77777777" w:rsidTr="009B7AF5">
        <w:tc>
          <w:tcPr>
            <w:tcW w:w="1668" w:type="dxa"/>
            <w:shd w:val="clear" w:color="auto" w:fill="auto"/>
          </w:tcPr>
          <w:p w14:paraId="1B636FAE" w14:textId="77777777" w:rsidR="00B33542" w:rsidRPr="005071A1" w:rsidRDefault="00B33542" w:rsidP="009B7AF5">
            <w:pPr>
              <w:pStyle w:val="Tabletext"/>
            </w:pPr>
            <w:r w:rsidRPr="005071A1">
              <w:t>54</w:t>
            </w:r>
          </w:p>
        </w:tc>
        <w:tc>
          <w:tcPr>
            <w:tcW w:w="2409" w:type="dxa"/>
            <w:shd w:val="clear" w:color="auto" w:fill="auto"/>
          </w:tcPr>
          <w:p w14:paraId="50C01D48" w14:textId="77777777" w:rsidR="00B33542" w:rsidRPr="005071A1" w:rsidRDefault="00B33542" w:rsidP="009B7AF5">
            <w:pPr>
              <w:pStyle w:val="Tabletext"/>
            </w:pPr>
            <w:r w:rsidRPr="005071A1">
              <w:t>3.68</w:t>
            </w:r>
          </w:p>
        </w:tc>
        <w:tc>
          <w:tcPr>
            <w:tcW w:w="2977" w:type="dxa"/>
            <w:shd w:val="clear" w:color="auto" w:fill="auto"/>
          </w:tcPr>
          <w:p w14:paraId="75304066" w14:textId="77777777" w:rsidR="00B33542" w:rsidRPr="005071A1" w:rsidRDefault="00B33542" w:rsidP="009B7AF5">
            <w:pPr>
              <w:pStyle w:val="Tabletext"/>
            </w:pPr>
            <w:r w:rsidRPr="005071A1">
              <w:t>3.62</w:t>
            </w:r>
          </w:p>
        </w:tc>
      </w:tr>
      <w:tr w:rsidR="00B33542" w:rsidRPr="005071A1" w14:paraId="5314E20D" w14:textId="77777777" w:rsidTr="009B7AF5">
        <w:tc>
          <w:tcPr>
            <w:tcW w:w="1668" w:type="dxa"/>
            <w:shd w:val="clear" w:color="auto" w:fill="auto"/>
          </w:tcPr>
          <w:p w14:paraId="085E45D9" w14:textId="77777777" w:rsidR="00B33542" w:rsidRPr="005071A1" w:rsidRDefault="00B33542" w:rsidP="009B7AF5">
            <w:pPr>
              <w:pStyle w:val="Tabletext"/>
            </w:pPr>
            <w:r w:rsidRPr="005071A1">
              <w:t>55</w:t>
            </w:r>
          </w:p>
        </w:tc>
        <w:tc>
          <w:tcPr>
            <w:tcW w:w="2409" w:type="dxa"/>
            <w:shd w:val="clear" w:color="auto" w:fill="auto"/>
          </w:tcPr>
          <w:p w14:paraId="23AA58F8" w14:textId="77777777" w:rsidR="00B33542" w:rsidRPr="005071A1" w:rsidRDefault="00B33542" w:rsidP="009B7AF5">
            <w:pPr>
              <w:pStyle w:val="Tabletext"/>
            </w:pPr>
            <w:r w:rsidRPr="005071A1">
              <w:t>4.48</w:t>
            </w:r>
          </w:p>
        </w:tc>
        <w:tc>
          <w:tcPr>
            <w:tcW w:w="2977" w:type="dxa"/>
            <w:shd w:val="clear" w:color="auto" w:fill="auto"/>
          </w:tcPr>
          <w:p w14:paraId="5923F257" w14:textId="77777777" w:rsidR="00B33542" w:rsidRPr="005071A1" w:rsidRDefault="00B33542" w:rsidP="009B7AF5">
            <w:pPr>
              <w:pStyle w:val="Tabletext"/>
            </w:pPr>
            <w:r w:rsidRPr="005071A1">
              <w:t>4.42</w:t>
            </w:r>
          </w:p>
        </w:tc>
      </w:tr>
      <w:tr w:rsidR="00B33542" w:rsidRPr="005071A1" w14:paraId="0900413F" w14:textId="77777777" w:rsidTr="009B7AF5">
        <w:tc>
          <w:tcPr>
            <w:tcW w:w="1668" w:type="dxa"/>
            <w:shd w:val="clear" w:color="auto" w:fill="auto"/>
          </w:tcPr>
          <w:p w14:paraId="6330DC85" w14:textId="77777777" w:rsidR="00B33542" w:rsidRPr="005071A1" w:rsidRDefault="00B33542" w:rsidP="009B7AF5">
            <w:pPr>
              <w:pStyle w:val="Tabletext"/>
            </w:pPr>
            <w:r w:rsidRPr="005071A1">
              <w:t>56</w:t>
            </w:r>
          </w:p>
        </w:tc>
        <w:tc>
          <w:tcPr>
            <w:tcW w:w="2409" w:type="dxa"/>
            <w:shd w:val="clear" w:color="auto" w:fill="auto"/>
          </w:tcPr>
          <w:p w14:paraId="6488C550" w14:textId="77777777" w:rsidR="00B33542" w:rsidRPr="005071A1" w:rsidRDefault="00B33542" w:rsidP="009B7AF5">
            <w:pPr>
              <w:pStyle w:val="Tabletext"/>
            </w:pPr>
            <w:r w:rsidRPr="005071A1">
              <w:t>5.66</w:t>
            </w:r>
          </w:p>
        </w:tc>
        <w:tc>
          <w:tcPr>
            <w:tcW w:w="2977" w:type="dxa"/>
            <w:shd w:val="clear" w:color="auto" w:fill="auto"/>
          </w:tcPr>
          <w:p w14:paraId="6E067696" w14:textId="77777777" w:rsidR="00B33542" w:rsidRPr="005071A1" w:rsidRDefault="00B33542" w:rsidP="009B7AF5">
            <w:pPr>
              <w:pStyle w:val="Tabletext"/>
            </w:pPr>
            <w:r w:rsidRPr="005071A1">
              <w:t>5.60</w:t>
            </w:r>
          </w:p>
        </w:tc>
      </w:tr>
      <w:tr w:rsidR="00B33542" w:rsidRPr="005071A1" w14:paraId="287DA401" w14:textId="77777777" w:rsidTr="009B7AF5">
        <w:tc>
          <w:tcPr>
            <w:tcW w:w="1668" w:type="dxa"/>
            <w:shd w:val="clear" w:color="auto" w:fill="auto"/>
          </w:tcPr>
          <w:p w14:paraId="69D3BEF6" w14:textId="77777777" w:rsidR="00B33542" w:rsidRPr="005071A1" w:rsidRDefault="00B33542" w:rsidP="009B7AF5">
            <w:pPr>
              <w:pStyle w:val="Tabletext"/>
            </w:pPr>
            <w:r w:rsidRPr="005071A1">
              <w:t>57</w:t>
            </w:r>
          </w:p>
        </w:tc>
        <w:tc>
          <w:tcPr>
            <w:tcW w:w="2409" w:type="dxa"/>
            <w:shd w:val="clear" w:color="auto" w:fill="auto"/>
          </w:tcPr>
          <w:p w14:paraId="7B51E298" w14:textId="77777777" w:rsidR="00B33542" w:rsidRPr="005071A1" w:rsidRDefault="00B33542" w:rsidP="009B7AF5">
            <w:pPr>
              <w:pStyle w:val="Tabletext"/>
            </w:pPr>
            <w:r w:rsidRPr="005071A1">
              <w:t>7.64</w:t>
            </w:r>
          </w:p>
        </w:tc>
        <w:tc>
          <w:tcPr>
            <w:tcW w:w="2977" w:type="dxa"/>
            <w:shd w:val="clear" w:color="auto" w:fill="auto"/>
          </w:tcPr>
          <w:p w14:paraId="0F6ECB65" w14:textId="77777777" w:rsidR="00B33542" w:rsidRPr="005071A1" w:rsidRDefault="00B33542" w:rsidP="009B7AF5">
            <w:pPr>
              <w:pStyle w:val="Tabletext"/>
            </w:pPr>
            <w:r w:rsidRPr="005071A1">
              <w:t>7.56</w:t>
            </w:r>
          </w:p>
        </w:tc>
      </w:tr>
      <w:tr w:rsidR="00B33542" w:rsidRPr="005071A1" w14:paraId="1928D6BD" w14:textId="77777777" w:rsidTr="009B7AF5">
        <w:tc>
          <w:tcPr>
            <w:tcW w:w="1668" w:type="dxa"/>
            <w:shd w:val="clear" w:color="auto" w:fill="auto"/>
          </w:tcPr>
          <w:p w14:paraId="77098AAF" w14:textId="77777777" w:rsidR="00B33542" w:rsidRPr="005071A1" w:rsidRDefault="00B33542" w:rsidP="009B7AF5">
            <w:pPr>
              <w:pStyle w:val="Tabletext"/>
            </w:pPr>
            <w:r w:rsidRPr="005071A1">
              <w:t>58</w:t>
            </w:r>
          </w:p>
        </w:tc>
        <w:tc>
          <w:tcPr>
            <w:tcW w:w="2409" w:type="dxa"/>
            <w:shd w:val="clear" w:color="auto" w:fill="auto"/>
          </w:tcPr>
          <w:p w14:paraId="441A50FD" w14:textId="77777777" w:rsidR="00B33542" w:rsidRPr="005071A1" w:rsidRDefault="00B33542" w:rsidP="009B7AF5">
            <w:pPr>
              <w:pStyle w:val="Tabletext"/>
            </w:pPr>
            <w:r w:rsidRPr="005071A1">
              <w:t>11.62</w:t>
            </w:r>
          </w:p>
        </w:tc>
        <w:tc>
          <w:tcPr>
            <w:tcW w:w="2977" w:type="dxa"/>
            <w:shd w:val="clear" w:color="auto" w:fill="auto"/>
          </w:tcPr>
          <w:p w14:paraId="40A1C5AA" w14:textId="77777777" w:rsidR="00B33542" w:rsidRPr="005071A1" w:rsidRDefault="00B33542" w:rsidP="009B7AF5">
            <w:pPr>
              <w:pStyle w:val="Tabletext"/>
            </w:pPr>
            <w:r w:rsidRPr="005071A1">
              <w:t>11.52</w:t>
            </w:r>
          </w:p>
        </w:tc>
      </w:tr>
      <w:tr w:rsidR="00B33542" w:rsidRPr="005071A1" w14:paraId="0C14DB59" w14:textId="77777777" w:rsidTr="009B7AF5">
        <w:tc>
          <w:tcPr>
            <w:tcW w:w="1668" w:type="dxa"/>
            <w:tcBorders>
              <w:bottom w:val="single" w:sz="4" w:space="0" w:color="auto"/>
            </w:tcBorders>
            <w:shd w:val="clear" w:color="auto" w:fill="auto"/>
          </w:tcPr>
          <w:p w14:paraId="4EC2CB2E" w14:textId="77777777" w:rsidR="00B33542" w:rsidRPr="005071A1" w:rsidRDefault="00B33542" w:rsidP="009B7AF5">
            <w:pPr>
              <w:pStyle w:val="Tabletext"/>
            </w:pPr>
            <w:r w:rsidRPr="005071A1">
              <w:lastRenderedPageBreak/>
              <w:t>59</w:t>
            </w:r>
          </w:p>
        </w:tc>
        <w:tc>
          <w:tcPr>
            <w:tcW w:w="2409" w:type="dxa"/>
            <w:tcBorders>
              <w:bottom w:val="single" w:sz="4" w:space="0" w:color="auto"/>
            </w:tcBorders>
            <w:shd w:val="clear" w:color="auto" w:fill="auto"/>
          </w:tcPr>
          <w:p w14:paraId="21F9783B" w14:textId="77777777" w:rsidR="00B33542" w:rsidRPr="005071A1" w:rsidRDefault="00B33542" w:rsidP="009B7AF5">
            <w:pPr>
              <w:pStyle w:val="Tabletext"/>
            </w:pPr>
            <w:r w:rsidRPr="005071A1">
              <w:t>23.60</w:t>
            </w:r>
          </w:p>
        </w:tc>
        <w:tc>
          <w:tcPr>
            <w:tcW w:w="2977" w:type="dxa"/>
            <w:tcBorders>
              <w:bottom w:val="single" w:sz="4" w:space="0" w:color="auto"/>
            </w:tcBorders>
            <w:shd w:val="clear" w:color="auto" w:fill="auto"/>
          </w:tcPr>
          <w:p w14:paraId="7A864513" w14:textId="77777777" w:rsidR="00B33542" w:rsidRPr="005071A1" w:rsidRDefault="00B33542" w:rsidP="009B7AF5">
            <w:pPr>
              <w:pStyle w:val="Tabletext"/>
            </w:pPr>
            <w:r w:rsidRPr="005071A1">
              <w:t>23.44</w:t>
            </w:r>
          </w:p>
        </w:tc>
      </w:tr>
      <w:tr w:rsidR="00B33542" w:rsidRPr="005071A1" w14:paraId="2D4B3075" w14:textId="77777777" w:rsidTr="009B7AF5">
        <w:tc>
          <w:tcPr>
            <w:tcW w:w="1668" w:type="dxa"/>
            <w:tcBorders>
              <w:bottom w:val="single" w:sz="12" w:space="0" w:color="auto"/>
            </w:tcBorders>
            <w:shd w:val="clear" w:color="auto" w:fill="auto"/>
          </w:tcPr>
          <w:p w14:paraId="172F991C" w14:textId="77777777" w:rsidR="00B33542" w:rsidRPr="005071A1" w:rsidRDefault="00B33542" w:rsidP="009B7AF5">
            <w:pPr>
              <w:pStyle w:val="Tabletext"/>
            </w:pPr>
            <w:r w:rsidRPr="005071A1">
              <w:t>60</w:t>
            </w:r>
          </w:p>
        </w:tc>
        <w:tc>
          <w:tcPr>
            <w:tcW w:w="2409" w:type="dxa"/>
            <w:tcBorders>
              <w:bottom w:val="single" w:sz="12" w:space="0" w:color="auto"/>
            </w:tcBorders>
            <w:shd w:val="clear" w:color="auto" w:fill="auto"/>
          </w:tcPr>
          <w:p w14:paraId="18118E5B" w14:textId="77777777" w:rsidR="00B33542" w:rsidRPr="005071A1" w:rsidRDefault="00B33542" w:rsidP="009B7AF5">
            <w:pPr>
              <w:pStyle w:val="Tabletext"/>
            </w:pPr>
            <w:r w:rsidRPr="005071A1">
              <w:t>24.08</w:t>
            </w:r>
          </w:p>
        </w:tc>
        <w:tc>
          <w:tcPr>
            <w:tcW w:w="2977" w:type="dxa"/>
            <w:tcBorders>
              <w:bottom w:val="single" w:sz="12" w:space="0" w:color="auto"/>
            </w:tcBorders>
            <w:shd w:val="clear" w:color="auto" w:fill="auto"/>
          </w:tcPr>
          <w:p w14:paraId="748F01F6" w14:textId="77777777" w:rsidR="00B33542" w:rsidRPr="005071A1" w:rsidRDefault="00B33542" w:rsidP="009B7AF5">
            <w:pPr>
              <w:pStyle w:val="Tabletext"/>
            </w:pPr>
            <w:r w:rsidRPr="005071A1">
              <w:t>23.92</w:t>
            </w:r>
          </w:p>
        </w:tc>
      </w:tr>
    </w:tbl>
    <w:p w14:paraId="388EB62C" w14:textId="77777777" w:rsidR="00B33542" w:rsidRPr="005071A1" w:rsidRDefault="00B33542" w:rsidP="00674A0D">
      <w:pPr>
        <w:pStyle w:val="ActHead5"/>
        <w:pageBreakBefore/>
      </w:pPr>
      <w:bookmarkStart w:id="291" w:name="_Toc185577673"/>
      <w:r w:rsidRPr="005071A1">
        <w:lastRenderedPageBreak/>
        <w:t>Table IV</w:t>
      </w:r>
      <w:bookmarkEnd w:id="291"/>
    </w:p>
    <w:p w14:paraId="55EF7C44" w14:textId="77777777" w:rsidR="00B33542" w:rsidRPr="005071A1" w:rsidRDefault="00B33542" w:rsidP="00B33542">
      <w:pPr>
        <w:spacing w:before="120"/>
      </w:pPr>
      <w:r w:rsidRPr="005071A1">
        <w:t xml:space="preserve">Rates of contribution to be paid fortnightly by female contributors for units of pension where the obligation to contribute for those units existed on or before </w:t>
      </w:r>
      <w:smartTag w:uri="urn:schemas-microsoft-com:office:smarttags" w:element="date">
        <w:smartTagPr>
          <w:attr w:name="Year" w:val="1942"/>
          <w:attr w:name="Day" w:val="2"/>
          <w:attr w:name="Month" w:val="11"/>
        </w:smartTagPr>
        <w:r w:rsidRPr="005071A1">
          <w:t>2nd November, 1942</w:t>
        </w:r>
      </w:smartTag>
      <w:r w:rsidRPr="005071A1">
        <w:t>, based on a retiring age of 60 years and the age next birthday of the contributor when that obligation came into existence</w:t>
      </w:r>
    </w:p>
    <w:p w14:paraId="5F7F2514"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24"/>
        <w:gridCol w:w="1824"/>
        <w:gridCol w:w="288"/>
        <w:gridCol w:w="1701"/>
        <w:gridCol w:w="1659"/>
      </w:tblGrid>
      <w:tr w:rsidR="00B33542" w:rsidRPr="005071A1" w14:paraId="017DC9CA" w14:textId="77777777" w:rsidTr="009B7AF5">
        <w:trPr>
          <w:tblHeader/>
        </w:trPr>
        <w:tc>
          <w:tcPr>
            <w:tcW w:w="1824" w:type="dxa"/>
            <w:tcBorders>
              <w:top w:val="single" w:sz="12" w:space="0" w:color="auto"/>
              <w:bottom w:val="single" w:sz="6" w:space="0" w:color="auto"/>
            </w:tcBorders>
            <w:shd w:val="clear" w:color="auto" w:fill="auto"/>
          </w:tcPr>
          <w:p w14:paraId="2BBE4B15" w14:textId="77777777" w:rsidR="00B33542" w:rsidRPr="005071A1" w:rsidRDefault="00B33542" w:rsidP="009B7AF5">
            <w:pPr>
              <w:pStyle w:val="TableHeading"/>
            </w:pPr>
            <w:r w:rsidRPr="005071A1">
              <w:t>Column 1</w:t>
            </w:r>
          </w:p>
        </w:tc>
        <w:tc>
          <w:tcPr>
            <w:tcW w:w="1824" w:type="dxa"/>
            <w:tcBorders>
              <w:top w:val="single" w:sz="12" w:space="0" w:color="auto"/>
              <w:bottom w:val="single" w:sz="6" w:space="0" w:color="auto"/>
            </w:tcBorders>
            <w:shd w:val="clear" w:color="auto" w:fill="auto"/>
          </w:tcPr>
          <w:p w14:paraId="3E531DCD" w14:textId="77777777" w:rsidR="00B33542" w:rsidRPr="005071A1" w:rsidRDefault="00B33542" w:rsidP="009B7AF5">
            <w:pPr>
              <w:pStyle w:val="TableHeading"/>
            </w:pPr>
            <w:r w:rsidRPr="005071A1">
              <w:t>Column 2</w:t>
            </w:r>
          </w:p>
        </w:tc>
        <w:tc>
          <w:tcPr>
            <w:tcW w:w="288" w:type="dxa"/>
            <w:tcBorders>
              <w:top w:val="single" w:sz="12" w:space="0" w:color="auto"/>
              <w:bottom w:val="single" w:sz="6" w:space="0" w:color="auto"/>
            </w:tcBorders>
            <w:shd w:val="clear" w:color="auto" w:fill="auto"/>
          </w:tcPr>
          <w:p w14:paraId="15AB0BA8" w14:textId="77777777" w:rsidR="00B33542" w:rsidRPr="005071A1" w:rsidRDefault="00B33542" w:rsidP="009B7AF5">
            <w:pPr>
              <w:pStyle w:val="TableHeading"/>
            </w:pPr>
          </w:p>
        </w:tc>
        <w:tc>
          <w:tcPr>
            <w:tcW w:w="1701" w:type="dxa"/>
            <w:tcBorders>
              <w:top w:val="single" w:sz="12" w:space="0" w:color="auto"/>
              <w:bottom w:val="single" w:sz="6" w:space="0" w:color="auto"/>
            </w:tcBorders>
            <w:shd w:val="clear" w:color="auto" w:fill="auto"/>
          </w:tcPr>
          <w:p w14:paraId="5DEAD8C3" w14:textId="77777777" w:rsidR="00B33542" w:rsidRPr="005071A1" w:rsidRDefault="00B33542" w:rsidP="009B7AF5">
            <w:pPr>
              <w:pStyle w:val="TableHeading"/>
            </w:pPr>
            <w:r w:rsidRPr="005071A1">
              <w:t>Column 3</w:t>
            </w:r>
          </w:p>
        </w:tc>
        <w:tc>
          <w:tcPr>
            <w:tcW w:w="1659" w:type="dxa"/>
            <w:tcBorders>
              <w:top w:val="single" w:sz="12" w:space="0" w:color="auto"/>
              <w:bottom w:val="single" w:sz="6" w:space="0" w:color="auto"/>
            </w:tcBorders>
            <w:shd w:val="clear" w:color="auto" w:fill="auto"/>
          </w:tcPr>
          <w:p w14:paraId="158A9B8A" w14:textId="77777777" w:rsidR="00B33542" w:rsidRPr="005071A1" w:rsidRDefault="00B33542" w:rsidP="009B7AF5">
            <w:pPr>
              <w:pStyle w:val="TableHeading"/>
            </w:pPr>
            <w:r w:rsidRPr="005071A1">
              <w:t>Column 4</w:t>
            </w:r>
          </w:p>
        </w:tc>
      </w:tr>
      <w:tr w:rsidR="00B33542" w:rsidRPr="005071A1" w14:paraId="057C2A68" w14:textId="77777777" w:rsidTr="009B7AF5">
        <w:trPr>
          <w:tblHeader/>
        </w:trPr>
        <w:tc>
          <w:tcPr>
            <w:tcW w:w="1824" w:type="dxa"/>
            <w:tcBorders>
              <w:top w:val="single" w:sz="6" w:space="0" w:color="auto"/>
              <w:bottom w:val="single" w:sz="6" w:space="0" w:color="auto"/>
            </w:tcBorders>
            <w:shd w:val="clear" w:color="auto" w:fill="auto"/>
          </w:tcPr>
          <w:p w14:paraId="51B2F6E4" w14:textId="77777777" w:rsidR="00B33542" w:rsidRPr="005071A1" w:rsidRDefault="00B33542" w:rsidP="00E12150">
            <w:pPr>
              <w:pStyle w:val="TableHeading"/>
              <w:spacing w:before="40" w:after="40" w:line="180" w:lineRule="atLeast"/>
              <w:rPr>
                <w:sz w:val="16"/>
                <w:szCs w:val="16"/>
              </w:rPr>
            </w:pPr>
            <w:r w:rsidRPr="005071A1">
              <w:rPr>
                <w:sz w:val="16"/>
                <w:szCs w:val="16"/>
              </w:rPr>
              <w:br/>
              <w:t>Age next Birthday</w:t>
            </w:r>
          </w:p>
        </w:tc>
        <w:tc>
          <w:tcPr>
            <w:tcW w:w="1824" w:type="dxa"/>
            <w:tcBorders>
              <w:top w:val="single" w:sz="6" w:space="0" w:color="auto"/>
              <w:bottom w:val="single" w:sz="6" w:space="0" w:color="auto"/>
            </w:tcBorders>
            <w:shd w:val="clear" w:color="auto" w:fill="auto"/>
          </w:tcPr>
          <w:p w14:paraId="59B65E9F" w14:textId="77777777" w:rsidR="00B33542" w:rsidRPr="005071A1" w:rsidRDefault="00B33542" w:rsidP="00E12150">
            <w:pPr>
              <w:pStyle w:val="TableHeading"/>
              <w:spacing w:before="40" w:after="40" w:line="180" w:lineRule="atLeast"/>
              <w:rPr>
                <w:sz w:val="16"/>
                <w:szCs w:val="16"/>
              </w:rPr>
            </w:pPr>
            <w:r w:rsidRPr="005071A1">
              <w:rPr>
                <w:sz w:val="16"/>
                <w:szCs w:val="16"/>
              </w:rPr>
              <w:t>Contribution for</w:t>
            </w:r>
            <w:r w:rsidRPr="005071A1">
              <w:rPr>
                <w:sz w:val="16"/>
                <w:szCs w:val="16"/>
              </w:rPr>
              <w:br/>
              <w:t>each Two Units</w:t>
            </w:r>
          </w:p>
        </w:tc>
        <w:tc>
          <w:tcPr>
            <w:tcW w:w="288" w:type="dxa"/>
            <w:tcBorders>
              <w:top w:val="single" w:sz="6" w:space="0" w:color="auto"/>
              <w:bottom w:val="single" w:sz="6" w:space="0" w:color="auto"/>
            </w:tcBorders>
            <w:shd w:val="clear" w:color="auto" w:fill="auto"/>
          </w:tcPr>
          <w:p w14:paraId="4458DE3E" w14:textId="77777777" w:rsidR="00B33542" w:rsidRPr="005071A1" w:rsidRDefault="00B33542" w:rsidP="00E12150">
            <w:pPr>
              <w:pStyle w:val="TableHeading"/>
              <w:spacing w:before="40" w:after="40" w:line="180" w:lineRule="atLeast"/>
              <w:rPr>
                <w:sz w:val="16"/>
                <w:szCs w:val="16"/>
              </w:rPr>
            </w:pPr>
          </w:p>
        </w:tc>
        <w:tc>
          <w:tcPr>
            <w:tcW w:w="1701" w:type="dxa"/>
            <w:tcBorders>
              <w:top w:val="single" w:sz="6" w:space="0" w:color="auto"/>
              <w:bottom w:val="single" w:sz="6" w:space="0" w:color="auto"/>
            </w:tcBorders>
            <w:shd w:val="clear" w:color="auto" w:fill="auto"/>
          </w:tcPr>
          <w:p w14:paraId="2052BA41" w14:textId="77777777" w:rsidR="00B33542" w:rsidRPr="005071A1" w:rsidRDefault="00B33542" w:rsidP="00E12150">
            <w:pPr>
              <w:pStyle w:val="TableHeading"/>
              <w:spacing w:before="40" w:after="40" w:line="180" w:lineRule="atLeast"/>
              <w:rPr>
                <w:sz w:val="16"/>
                <w:szCs w:val="16"/>
              </w:rPr>
            </w:pPr>
            <w:r w:rsidRPr="005071A1">
              <w:rPr>
                <w:sz w:val="16"/>
                <w:szCs w:val="16"/>
              </w:rPr>
              <w:br/>
              <w:t>Age next Birthday</w:t>
            </w:r>
          </w:p>
        </w:tc>
        <w:tc>
          <w:tcPr>
            <w:tcW w:w="1659" w:type="dxa"/>
            <w:tcBorders>
              <w:top w:val="single" w:sz="6" w:space="0" w:color="auto"/>
              <w:bottom w:val="single" w:sz="6" w:space="0" w:color="auto"/>
            </w:tcBorders>
            <w:shd w:val="clear" w:color="auto" w:fill="auto"/>
          </w:tcPr>
          <w:p w14:paraId="20C01F44" w14:textId="77777777" w:rsidR="00B33542" w:rsidRPr="005071A1" w:rsidRDefault="00B33542" w:rsidP="00E12150">
            <w:pPr>
              <w:pStyle w:val="TableHeading"/>
              <w:spacing w:before="40" w:after="40" w:line="180" w:lineRule="atLeast"/>
              <w:rPr>
                <w:sz w:val="16"/>
                <w:szCs w:val="16"/>
              </w:rPr>
            </w:pPr>
            <w:r w:rsidRPr="005071A1">
              <w:rPr>
                <w:sz w:val="16"/>
                <w:szCs w:val="16"/>
              </w:rPr>
              <w:t>Contribution for</w:t>
            </w:r>
            <w:r w:rsidRPr="005071A1">
              <w:rPr>
                <w:sz w:val="16"/>
                <w:szCs w:val="16"/>
              </w:rPr>
              <w:br/>
              <w:t>each Two Units</w:t>
            </w:r>
          </w:p>
        </w:tc>
      </w:tr>
      <w:tr w:rsidR="00B33542" w:rsidRPr="005071A1" w14:paraId="3273CC38" w14:textId="77777777" w:rsidTr="009B7AF5">
        <w:trPr>
          <w:tblHeader/>
        </w:trPr>
        <w:tc>
          <w:tcPr>
            <w:tcW w:w="1824" w:type="dxa"/>
            <w:tcBorders>
              <w:top w:val="single" w:sz="6" w:space="0" w:color="auto"/>
              <w:bottom w:val="single" w:sz="12" w:space="0" w:color="auto"/>
            </w:tcBorders>
            <w:shd w:val="clear" w:color="auto" w:fill="auto"/>
          </w:tcPr>
          <w:p w14:paraId="07737BD3" w14:textId="77777777" w:rsidR="00B33542" w:rsidRPr="005071A1" w:rsidRDefault="00B33542" w:rsidP="00E12150">
            <w:pPr>
              <w:pStyle w:val="TableHeading"/>
            </w:pPr>
          </w:p>
        </w:tc>
        <w:tc>
          <w:tcPr>
            <w:tcW w:w="1824" w:type="dxa"/>
            <w:tcBorders>
              <w:top w:val="single" w:sz="6" w:space="0" w:color="auto"/>
              <w:bottom w:val="single" w:sz="12" w:space="0" w:color="auto"/>
            </w:tcBorders>
            <w:shd w:val="clear" w:color="auto" w:fill="auto"/>
          </w:tcPr>
          <w:p w14:paraId="74620F49" w14:textId="77777777" w:rsidR="00B33542" w:rsidRPr="005071A1" w:rsidRDefault="00B33542" w:rsidP="00E12150">
            <w:pPr>
              <w:pStyle w:val="TableHeading"/>
            </w:pPr>
            <w:r w:rsidRPr="005071A1">
              <w:t>$</w:t>
            </w:r>
          </w:p>
        </w:tc>
        <w:tc>
          <w:tcPr>
            <w:tcW w:w="288" w:type="dxa"/>
            <w:tcBorders>
              <w:top w:val="single" w:sz="6" w:space="0" w:color="auto"/>
              <w:bottom w:val="single" w:sz="12" w:space="0" w:color="auto"/>
            </w:tcBorders>
            <w:shd w:val="clear" w:color="auto" w:fill="auto"/>
          </w:tcPr>
          <w:p w14:paraId="70F16837" w14:textId="77777777" w:rsidR="00B33542" w:rsidRPr="005071A1" w:rsidRDefault="00B33542" w:rsidP="00E12150">
            <w:pPr>
              <w:pStyle w:val="TableHeading"/>
            </w:pPr>
          </w:p>
        </w:tc>
        <w:tc>
          <w:tcPr>
            <w:tcW w:w="1701" w:type="dxa"/>
            <w:tcBorders>
              <w:top w:val="single" w:sz="6" w:space="0" w:color="auto"/>
              <w:bottom w:val="single" w:sz="12" w:space="0" w:color="auto"/>
            </w:tcBorders>
            <w:shd w:val="clear" w:color="auto" w:fill="auto"/>
          </w:tcPr>
          <w:p w14:paraId="7837FA31" w14:textId="77777777" w:rsidR="00B33542" w:rsidRPr="005071A1" w:rsidRDefault="00B33542" w:rsidP="00E12150">
            <w:pPr>
              <w:pStyle w:val="TableHeading"/>
            </w:pPr>
          </w:p>
        </w:tc>
        <w:tc>
          <w:tcPr>
            <w:tcW w:w="1659" w:type="dxa"/>
            <w:tcBorders>
              <w:top w:val="single" w:sz="6" w:space="0" w:color="auto"/>
              <w:bottom w:val="single" w:sz="12" w:space="0" w:color="auto"/>
            </w:tcBorders>
            <w:shd w:val="clear" w:color="auto" w:fill="auto"/>
          </w:tcPr>
          <w:p w14:paraId="16861F84" w14:textId="77777777" w:rsidR="00B33542" w:rsidRPr="005071A1" w:rsidRDefault="00B33542" w:rsidP="00E12150">
            <w:pPr>
              <w:pStyle w:val="TableHeading"/>
            </w:pPr>
            <w:r w:rsidRPr="005071A1">
              <w:t>$</w:t>
            </w:r>
          </w:p>
        </w:tc>
      </w:tr>
      <w:tr w:rsidR="00B33542" w:rsidRPr="005071A1" w14:paraId="31EA1D8F" w14:textId="77777777" w:rsidTr="009B7AF5">
        <w:tc>
          <w:tcPr>
            <w:tcW w:w="1824" w:type="dxa"/>
            <w:tcBorders>
              <w:top w:val="single" w:sz="12" w:space="0" w:color="auto"/>
            </w:tcBorders>
            <w:shd w:val="clear" w:color="auto" w:fill="auto"/>
          </w:tcPr>
          <w:p w14:paraId="1F6E3BD7" w14:textId="77777777" w:rsidR="00B33542" w:rsidRPr="005071A1" w:rsidRDefault="00B33542" w:rsidP="009B7AF5">
            <w:pPr>
              <w:pStyle w:val="Tabletext"/>
            </w:pPr>
            <w:r w:rsidRPr="005071A1">
              <w:t>15</w:t>
            </w:r>
          </w:p>
        </w:tc>
        <w:tc>
          <w:tcPr>
            <w:tcW w:w="1824" w:type="dxa"/>
            <w:tcBorders>
              <w:top w:val="single" w:sz="12" w:space="0" w:color="auto"/>
            </w:tcBorders>
            <w:shd w:val="clear" w:color="auto" w:fill="auto"/>
          </w:tcPr>
          <w:p w14:paraId="62FA631F" w14:textId="77777777" w:rsidR="00B33542" w:rsidRPr="005071A1" w:rsidRDefault="00B33542" w:rsidP="009B7AF5">
            <w:pPr>
              <w:pStyle w:val="Tabletext"/>
            </w:pPr>
            <w:r w:rsidRPr="005071A1">
              <w:t>0.18</w:t>
            </w:r>
          </w:p>
        </w:tc>
        <w:tc>
          <w:tcPr>
            <w:tcW w:w="288" w:type="dxa"/>
            <w:tcBorders>
              <w:top w:val="single" w:sz="12" w:space="0" w:color="auto"/>
            </w:tcBorders>
            <w:shd w:val="clear" w:color="auto" w:fill="auto"/>
          </w:tcPr>
          <w:p w14:paraId="3AB9890F" w14:textId="77777777" w:rsidR="00B33542" w:rsidRPr="005071A1" w:rsidRDefault="00B33542" w:rsidP="009B7AF5">
            <w:pPr>
              <w:pStyle w:val="Tabletext"/>
            </w:pPr>
          </w:p>
        </w:tc>
        <w:tc>
          <w:tcPr>
            <w:tcW w:w="1701" w:type="dxa"/>
            <w:tcBorders>
              <w:top w:val="single" w:sz="12" w:space="0" w:color="auto"/>
            </w:tcBorders>
            <w:shd w:val="clear" w:color="auto" w:fill="auto"/>
          </w:tcPr>
          <w:p w14:paraId="7ACBD465" w14:textId="77777777" w:rsidR="00B33542" w:rsidRPr="005071A1" w:rsidRDefault="00B33542" w:rsidP="009B7AF5">
            <w:pPr>
              <w:pStyle w:val="Tabletext"/>
            </w:pPr>
          </w:p>
        </w:tc>
        <w:tc>
          <w:tcPr>
            <w:tcW w:w="1659" w:type="dxa"/>
            <w:tcBorders>
              <w:top w:val="single" w:sz="12" w:space="0" w:color="auto"/>
            </w:tcBorders>
            <w:shd w:val="clear" w:color="auto" w:fill="auto"/>
          </w:tcPr>
          <w:p w14:paraId="78A01F9F" w14:textId="77777777" w:rsidR="00B33542" w:rsidRPr="005071A1" w:rsidRDefault="00B33542" w:rsidP="009B7AF5">
            <w:pPr>
              <w:pStyle w:val="Tabletext"/>
            </w:pPr>
          </w:p>
        </w:tc>
      </w:tr>
      <w:tr w:rsidR="00B33542" w:rsidRPr="005071A1" w14:paraId="1ECBE746" w14:textId="77777777" w:rsidTr="009B7AF5">
        <w:tc>
          <w:tcPr>
            <w:tcW w:w="1824" w:type="dxa"/>
            <w:shd w:val="clear" w:color="auto" w:fill="auto"/>
          </w:tcPr>
          <w:p w14:paraId="7D7CC818" w14:textId="77777777" w:rsidR="00B33542" w:rsidRPr="005071A1" w:rsidRDefault="00B33542" w:rsidP="009B7AF5">
            <w:pPr>
              <w:pStyle w:val="Tabletext"/>
            </w:pPr>
            <w:r w:rsidRPr="005071A1">
              <w:t>16</w:t>
            </w:r>
          </w:p>
        </w:tc>
        <w:tc>
          <w:tcPr>
            <w:tcW w:w="1824" w:type="dxa"/>
            <w:shd w:val="clear" w:color="auto" w:fill="auto"/>
          </w:tcPr>
          <w:p w14:paraId="3715360F" w14:textId="77777777" w:rsidR="00B33542" w:rsidRPr="005071A1" w:rsidRDefault="00B33542" w:rsidP="009B7AF5">
            <w:pPr>
              <w:pStyle w:val="Tabletext"/>
            </w:pPr>
            <w:r w:rsidRPr="005071A1">
              <w:t>0.18</w:t>
            </w:r>
          </w:p>
        </w:tc>
        <w:tc>
          <w:tcPr>
            <w:tcW w:w="288" w:type="dxa"/>
            <w:shd w:val="clear" w:color="auto" w:fill="auto"/>
          </w:tcPr>
          <w:p w14:paraId="43C7A24F" w14:textId="77777777" w:rsidR="00B33542" w:rsidRPr="005071A1" w:rsidRDefault="00B33542" w:rsidP="009B7AF5">
            <w:pPr>
              <w:pStyle w:val="Tabletext"/>
            </w:pPr>
          </w:p>
        </w:tc>
        <w:tc>
          <w:tcPr>
            <w:tcW w:w="1701" w:type="dxa"/>
            <w:shd w:val="clear" w:color="auto" w:fill="auto"/>
          </w:tcPr>
          <w:p w14:paraId="5CAA87C4" w14:textId="77777777" w:rsidR="00B33542" w:rsidRPr="005071A1" w:rsidRDefault="00B33542" w:rsidP="009B7AF5">
            <w:pPr>
              <w:pStyle w:val="Tabletext"/>
            </w:pPr>
            <w:r w:rsidRPr="005071A1">
              <w:t>41</w:t>
            </w:r>
          </w:p>
        </w:tc>
        <w:tc>
          <w:tcPr>
            <w:tcW w:w="1659" w:type="dxa"/>
            <w:shd w:val="clear" w:color="auto" w:fill="auto"/>
          </w:tcPr>
          <w:p w14:paraId="15274698" w14:textId="77777777" w:rsidR="00B33542" w:rsidRPr="005071A1" w:rsidRDefault="00B33542" w:rsidP="009B7AF5">
            <w:pPr>
              <w:pStyle w:val="Tabletext"/>
            </w:pPr>
            <w:r w:rsidRPr="005071A1">
              <w:t>0.80</w:t>
            </w:r>
          </w:p>
        </w:tc>
      </w:tr>
      <w:tr w:rsidR="00B33542" w:rsidRPr="005071A1" w14:paraId="63038895" w14:textId="77777777" w:rsidTr="009B7AF5">
        <w:tc>
          <w:tcPr>
            <w:tcW w:w="1824" w:type="dxa"/>
            <w:shd w:val="clear" w:color="auto" w:fill="auto"/>
          </w:tcPr>
          <w:p w14:paraId="0F7428CC" w14:textId="77777777" w:rsidR="00B33542" w:rsidRPr="005071A1" w:rsidRDefault="00B33542" w:rsidP="009B7AF5">
            <w:pPr>
              <w:pStyle w:val="Tabletext"/>
            </w:pPr>
            <w:r w:rsidRPr="005071A1">
              <w:t>17</w:t>
            </w:r>
          </w:p>
        </w:tc>
        <w:tc>
          <w:tcPr>
            <w:tcW w:w="1824" w:type="dxa"/>
            <w:shd w:val="clear" w:color="auto" w:fill="auto"/>
          </w:tcPr>
          <w:p w14:paraId="764DCEB5" w14:textId="77777777" w:rsidR="00B33542" w:rsidRPr="005071A1" w:rsidRDefault="00B33542" w:rsidP="009B7AF5">
            <w:pPr>
              <w:pStyle w:val="Tabletext"/>
            </w:pPr>
            <w:r w:rsidRPr="005071A1">
              <w:t>0.20</w:t>
            </w:r>
          </w:p>
        </w:tc>
        <w:tc>
          <w:tcPr>
            <w:tcW w:w="288" w:type="dxa"/>
            <w:shd w:val="clear" w:color="auto" w:fill="auto"/>
          </w:tcPr>
          <w:p w14:paraId="21FFE33A" w14:textId="77777777" w:rsidR="00B33542" w:rsidRPr="005071A1" w:rsidRDefault="00B33542" w:rsidP="009B7AF5">
            <w:pPr>
              <w:pStyle w:val="Tabletext"/>
            </w:pPr>
          </w:p>
        </w:tc>
        <w:tc>
          <w:tcPr>
            <w:tcW w:w="1701" w:type="dxa"/>
            <w:shd w:val="clear" w:color="auto" w:fill="auto"/>
          </w:tcPr>
          <w:p w14:paraId="70BCEA14" w14:textId="77777777" w:rsidR="00B33542" w:rsidRPr="005071A1" w:rsidRDefault="00B33542" w:rsidP="009B7AF5">
            <w:pPr>
              <w:pStyle w:val="Tabletext"/>
            </w:pPr>
            <w:r w:rsidRPr="005071A1">
              <w:t>42</w:t>
            </w:r>
          </w:p>
        </w:tc>
        <w:tc>
          <w:tcPr>
            <w:tcW w:w="1659" w:type="dxa"/>
            <w:shd w:val="clear" w:color="auto" w:fill="auto"/>
          </w:tcPr>
          <w:p w14:paraId="1A6D0272" w14:textId="77777777" w:rsidR="00B33542" w:rsidRPr="005071A1" w:rsidRDefault="00B33542" w:rsidP="009B7AF5">
            <w:pPr>
              <w:pStyle w:val="Tabletext"/>
            </w:pPr>
            <w:r w:rsidRPr="005071A1">
              <w:t>0.86</w:t>
            </w:r>
          </w:p>
        </w:tc>
      </w:tr>
      <w:tr w:rsidR="00B33542" w:rsidRPr="005071A1" w14:paraId="6C211C3F" w14:textId="77777777" w:rsidTr="009B7AF5">
        <w:tc>
          <w:tcPr>
            <w:tcW w:w="1824" w:type="dxa"/>
            <w:shd w:val="clear" w:color="auto" w:fill="auto"/>
          </w:tcPr>
          <w:p w14:paraId="199BACAD" w14:textId="77777777" w:rsidR="00B33542" w:rsidRPr="005071A1" w:rsidRDefault="00B33542" w:rsidP="009B7AF5">
            <w:pPr>
              <w:pStyle w:val="Tabletext"/>
            </w:pPr>
            <w:r w:rsidRPr="005071A1">
              <w:t>18</w:t>
            </w:r>
          </w:p>
        </w:tc>
        <w:tc>
          <w:tcPr>
            <w:tcW w:w="1824" w:type="dxa"/>
            <w:shd w:val="clear" w:color="auto" w:fill="auto"/>
          </w:tcPr>
          <w:p w14:paraId="043C1595" w14:textId="77777777" w:rsidR="00B33542" w:rsidRPr="005071A1" w:rsidRDefault="00B33542" w:rsidP="009B7AF5">
            <w:pPr>
              <w:pStyle w:val="Tabletext"/>
            </w:pPr>
            <w:r w:rsidRPr="005071A1">
              <w:t>0.20</w:t>
            </w:r>
          </w:p>
        </w:tc>
        <w:tc>
          <w:tcPr>
            <w:tcW w:w="288" w:type="dxa"/>
            <w:shd w:val="clear" w:color="auto" w:fill="auto"/>
          </w:tcPr>
          <w:p w14:paraId="1014B977" w14:textId="77777777" w:rsidR="00B33542" w:rsidRPr="005071A1" w:rsidRDefault="00B33542" w:rsidP="009B7AF5">
            <w:pPr>
              <w:pStyle w:val="Tabletext"/>
            </w:pPr>
          </w:p>
        </w:tc>
        <w:tc>
          <w:tcPr>
            <w:tcW w:w="1701" w:type="dxa"/>
            <w:shd w:val="clear" w:color="auto" w:fill="auto"/>
          </w:tcPr>
          <w:p w14:paraId="061BD6E3" w14:textId="77777777" w:rsidR="00B33542" w:rsidRPr="005071A1" w:rsidRDefault="00B33542" w:rsidP="009B7AF5">
            <w:pPr>
              <w:pStyle w:val="Tabletext"/>
            </w:pPr>
            <w:r w:rsidRPr="005071A1">
              <w:t>43</w:t>
            </w:r>
          </w:p>
        </w:tc>
        <w:tc>
          <w:tcPr>
            <w:tcW w:w="1659" w:type="dxa"/>
            <w:shd w:val="clear" w:color="auto" w:fill="auto"/>
          </w:tcPr>
          <w:p w14:paraId="750F6EF8" w14:textId="77777777" w:rsidR="00B33542" w:rsidRPr="005071A1" w:rsidRDefault="00B33542" w:rsidP="009B7AF5">
            <w:pPr>
              <w:pStyle w:val="Tabletext"/>
            </w:pPr>
            <w:r w:rsidRPr="005071A1">
              <w:t>0.92</w:t>
            </w:r>
          </w:p>
        </w:tc>
      </w:tr>
      <w:tr w:rsidR="00B33542" w:rsidRPr="005071A1" w14:paraId="58E1F9E6" w14:textId="77777777" w:rsidTr="009B7AF5">
        <w:tc>
          <w:tcPr>
            <w:tcW w:w="1824" w:type="dxa"/>
            <w:shd w:val="clear" w:color="auto" w:fill="auto"/>
          </w:tcPr>
          <w:p w14:paraId="4D459C57" w14:textId="77777777" w:rsidR="00B33542" w:rsidRPr="005071A1" w:rsidRDefault="00B33542" w:rsidP="009B7AF5">
            <w:pPr>
              <w:pStyle w:val="Tabletext"/>
            </w:pPr>
            <w:r w:rsidRPr="005071A1">
              <w:t>19</w:t>
            </w:r>
          </w:p>
        </w:tc>
        <w:tc>
          <w:tcPr>
            <w:tcW w:w="1824" w:type="dxa"/>
            <w:shd w:val="clear" w:color="auto" w:fill="auto"/>
          </w:tcPr>
          <w:p w14:paraId="028B8E66" w14:textId="77777777" w:rsidR="00B33542" w:rsidRPr="005071A1" w:rsidRDefault="00B33542" w:rsidP="009B7AF5">
            <w:pPr>
              <w:pStyle w:val="Tabletext"/>
            </w:pPr>
            <w:r w:rsidRPr="005071A1">
              <w:t>0.22</w:t>
            </w:r>
          </w:p>
        </w:tc>
        <w:tc>
          <w:tcPr>
            <w:tcW w:w="288" w:type="dxa"/>
            <w:shd w:val="clear" w:color="auto" w:fill="auto"/>
          </w:tcPr>
          <w:p w14:paraId="3EE29BE6" w14:textId="77777777" w:rsidR="00B33542" w:rsidRPr="005071A1" w:rsidRDefault="00B33542" w:rsidP="009B7AF5">
            <w:pPr>
              <w:pStyle w:val="Tabletext"/>
            </w:pPr>
          </w:p>
        </w:tc>
        <w:tc>
          <w:tcPr>
            <w:tcW w:w="1701" w:type="dxa"/>
            <w:shd w:val="clear" w:color="auto" w:fill="auto"/>
          </w:tcPr>
          <w:p w14:paraId="16838CEB" w14:textId="77777777" w:rsidR="00B33542" w:rsidRPr="005071A1" w:rsidRDefault="00B33542" w:rsidP="009B7AF5">
            <w:pPr>
              <w:pStyle w:val="Tabletext"/>
            </w:pPr>
            <w:r w:rsidRPr="005071A1">
              <w:t>44</w:t>
            </w:r>
          </w:p>
        </w:tc>
        <w:tc>
          <w:tcPr>
            <w:tcW w:w="1659" w:type="dxa"/>
            <w:shd w:val="clear" w:color="auto" w:fill="auto"/>
          </w:tcPr>
          <w:p w14:paraId="4FC1CCFE" w14:textId="77777777" w:rsidR="00B33542" w:rsidRPr="005071A1" w:rsidRDefault="00B33542" w:rsidP="009B7AF5">
            <w:pPr>
              <w:pStyle w:val="Tabletext"/>
            </w:pPr>
            <w:r w:rsidRPr="005071A1">
              <w:t>1.00</w:t>
            </w:r>
          </w:p>
        </w:tc>
      </w:tr>
      <w:tr w:rsidR="00B33542" w:rsidRPr="005071A1" w14:paraId="7056381F" w14:textId="77777777" w:rsidTr="009B7AF5">
        <w:tc>
          <w:tcPr>
            <w:tcW w:w="1824" w:type="dxa"/>
            <w:shd w:val="clear" w:color="auto" w:fill="auto"/>
          </w:tcPr>
          <w:p w14:paraId="703CCD49" w14:textId="77777777" w:rsidR="00B33542" w:rsidRPr="005071A1" w:rsidRDefault="00B33542" w:rsidP="009B7AF5">
            <w:pPr>
              <w:pStyle w:val="Tabletext"/>
            </w:pPr>
            <w:r w:rsidRPr="005071A1">
              <w:t>20</w:t>
            </w:r>
          </w:p>
        </w:tc>
        <w:tc>
          <w:tcPr>
            <w:tcW w:w="1824" w:type="dxa"/>
            <w:shd w:val="clear" w:color="auto" w:fill="auto"/>
          </w:tcPr>
          <w:p w14:paraId="679C5677" w14:textId="77777777" w:rsidR="00B33542" w:rsidRPr="005071A1" w:rsidRDefault="00B33542" w:rsidP="009B7AF5">
            <w:pPr>
              <w:pStyle w:val="Tabletext"/>
            </w:pPr>
            <w:r w:rsidRPr="005071A1">
              <w:t>0.22</w:t>
            </w:r>
          </w:p>
        </w:tc>
        <w:tc>
          <w:tcPr>
            <w:tcW w:w="288" w:type="dxa"/>
            <w:shd w:val="clear" w:color="auto" w:fill="auto"/>
          </w:tcPr>
          <w:p w14:paraId="73ADF143" w14:textId="77777777" w:rsidR="00B33542" w:rsidRPr="005071A1" w:rsidRDefault="00B33542" w:rsidP="009B7AF5">
            <w:pPr>
              <w:pStyle w:val="Tabletext"/>
            </w:pPr>
          </w:p>
        </w:tc>
        <w:tc>
          <w:tcPr>
            <w:tcW w:w="1701" w:type="dxa"/>
            <w:shd w:val="clear" w:color="auto" w:fill="auto"/>
          </w:tcPr>
          <w:p w14:paraId="730D95F7" w14:textId="77777777" w:rsidR="00B33542" w:rsidRPr="005071A1" w:rsidRDefault="00B33542" w:rsidP="009B7AF5">
            <w:pPr>
              <w:pStyle w:val="Tabletext"/>
            </w:pPr>
            <w:r w:rsidRPr="005071A1">
              <w:t>45</w:t>
            </w:r>
          </w:p>
        </w:tc>
        <w:tc>
          <w:tcPr>
            <w:tcW w:w="1659" w:type="dxa"/>
            <w:shd w:val="clear" w:color="auto" w:fill="auto"/>
          </w:tcPr>
          <w:p w14:paraId="6B3F2408" w14:textId="77777777" w:rsidR="00B33542" w:rsidRPr="005071A1" w:rsidRDefault="00B33542" w:rsidP="009B7AF5">
            <w:pPr>
              <w:pStyle w:val="Tabletext"/>
            </w:pPr>
            <w:r w:rsidRPr="005071A1">
              <w:t>1.10</w:t>
            </w:r>
          </w:p>
        </w:tc>
      </w:tr>
      <w:tr w:rsidR="00B33542" w:rsidRPr="005071A1" w14:paraId="2663B55E" w14:textId="77777777" w:rsidTr="009B7AF5">
        <w:tc>
          <w:tcPr>
            <w:tcW w:w="1824" w:type="dxa"/>
            <w:shd w:val="clear" w:color="auto" w:fill="auto"/>
          </w:tcPr>
          <w:p w14:paraId="36B3E8C9" w14:textId="77777777" w:rsidR="00B33542" w:rsidRPr="005071A1" w:rsidRDefault="00B33542" w:rsidP="009B7AF5">
            <w:pPr>
              <w:pStyle w:val="Tabletext"/>
            </w:pPr>
            <w:r w:rsidRPr="005071A1">
              <w:t>21</w:t>
            </w:r>
          </w:p>
        </w:tc>
        <w:tc>
          <w:tcPr>
            <w:tcW w:w="1824" w:type="dxa"/>
            <w:shd w:val="clear" w:color="auto" w:fill="auto"/>
          </w:tcPr>
          <w:p w14:paraId="2EF633AC" w14:textId="77777777" w:rsidR="00B33542" w:rsidRPr="005071A1" w:rsidRDefault="00B33542" w:rsidP="009B7AF5">
            <w:pPr>
              <w:pStyle w:val="Tabletext"/>
            </w:pPr>
            <w:r w:rsidRPr="005071A1">
              <w:t>0.24</w:t>
            </w:r>
          </w:p>
        </w:tc>
        <w:tc>
          <w:tcPr>
            <w:tcW w:w="288" w:type="dxa"/>
            <w:shd w:val="clear" w:color="auto" w:fill="auto"/>
          </w:tcPr>
          <w:p w14:paraId="3629205B" w14:textId="77777777" w:rsidR="00B33542" w:rsidRPr="005071A1" w:rsidRDefault="00B33542" w:rsidP="009B7AF5">
            <w:pPr>
              <w:pStyle w:val="Tabletext"/>
            </w:pPr>
          </w:p>
        </w:tc>
        <w:tc>
          <w:tcPr>
            <w:tcW w:w="1701" w:type="dxa"/>
            <w:shd w:val="clear" w:color="auto" w:fill="auto"/>
          </w:tcPr>
          <w:p w14:paraId="62CB18DA" w14:textId="77777777" w:rsidR="00B33542" w:rsidRPr="005071A1" w:rsidRDefault="00B33542" w:rsidP="009B7AF5">
            <w:pPr>
              <w:pStyle w:val="Tabletext"/>
            </w:pPr>
            <w:r w:rsidRPr="005071A1">
              <w:t>46</w:t>
            </w:r>
          </w:p>
        </w:tc>
        <w:tc>
          <w:tcPr>
            <w:tcW w:w="1659" w:type="dxa"/>
            <w:shd w:val="clear" w:color="auto" w:fill="auto"/>
          </w:tcPr>
          <w:p w14:paraId="24853C36" w14:textId="77777777" w:rsidR="00B33542" w:rsidRPr="005071A1" w:rsidRDefault="00B33542" w:rsidP="009B7AF5">
            <w:pPr>
              <w:pStyle w:val="Tabletext"/>
            </w:pPr>
            <w:r w:rsidRPr="005071A1">
              <w:t>1.20</w:t>
            </w:r>
          </w:p>
        </w:tc>
      </w:tr>
      <w:tr w:rsidR="00B33542" w:rsidRPr="005071A1" w14:paraId="328787FE" w14:textId="77777777" w:rsidTr="009B7AF5">
        <w:tc>
          <w:tcPr>
            <w:tcW w:w="1824" w:type="dxa"/>
            <w:shd w:val="clear" w:color="auto" w:fill="auto"/>
          </w:tcPr>
          <w:p w14:paraId="5A319124" w14:textId="77777777" w:rsidR="00B33542" w:rsidRPr="005071A1" w:rsidRDefault="00B33542" w:rsidP="009B7AF5">
            <w:pPr>
              <w:pStyle w:val="Tabletext"/>
            </w:pPr>
            <w:r w:rsidRPr="005071A1">
              <w:t>22</w:t>
            </w:r>
          </w:p>
        </w:tc>
        <w:tc>
          <w:tcPr>
            <w:tcW w:w="1824" w:type="dxa"/>
            <w:shd w:val="clear" w:color="auto" w:fill="auto"/>
          </w:tcPr>
          <w:p w14:paraId="3A9A028C" w14:textId="77777777" w:rsidR="00B33542" w:rsidRPr="005071A1" w:rsidRDefault="00B33542" w:rsidP="009B7AF5">
            <w:pPr>
              <w:pStyle w:val="Tabletext"/>
            </w:pPr>
            <w:r w:rsidRPr="005071A1">
              <w:t>0.24</w:t>
            </w:r>
          </w:p>
        </w:tc>
        <w:tc>
          <w:tcPr>
            <w:tcW w:w="288" w:type="dxa"/>
            <w:shd w:val="clear" w:color="auto" w:fill="auto"/>
          </w:tcPr>
          <w:p w14:paraId="416080FD" w14:textId="77777777" w:rsidR="00B33542" w:rsidRPr="005071A1" w:rsidRDefault="00B33542" w:rsidP="009B7AF5">
            <w:pPr>
              <w:pStyle w:val="Tabletext"/>
            </w:pPr>
          </w:p>
        </w:tc>
        <w:tc>
          <w:tcPr>
            <w:tcW w:w="1701" w:type="dxa"/>
            <w:shd w:val="clear" w:color="auto" w:fill="auto"/>
          </w:tcPr>
          <w:p w14:paraId="2E41325E" w14:textId="77777777" w:rsidR="00B33542" w:rsidRPr="005071A1" w:rsidRDefault="00B33542" w:rsidP="009B7AF5">
            <w:pPr>
              <w:pStyle w:val="Tabletext"/>
            </w:pPr>
            <w:r w:rsidRPr="005071A1">
              <w:t>47</w:t>
            </w:r>
          </w:p>
        </w:tc>
        <w:tc>
          <w:tcPr>
            <w:tcW w:w="1659" w:type="dxa"/>
            <w:shd w:val="clear" w:color="auto" w:fill="auto"/>
          </w:tcPr>
          <w:p w14:paraId="16360C6E" w14:textId="77777777" w:rsidR="00B33542" w:rsidRPr="005071A1" w:rsidRDefault="00B33542" w:rsidP="009B7AF5">
            <w:pPr>
              <w:pStyle w:val="Tabletext"/>
            </w:pPr>
            <w:r w:rsidRPr="005071A1">
              <w:t>1.32</w:t>
            </w:r>
          </w:p>
        </w:tc>
      </w:tr>
      <w:tr w:rsidR="00B33542" w:rsidRPr="005071A1" w14:paraId="2C5CF2DC" w14:textId="77777777" w:rsidTr="009B7AF5">
        <w:tc>
          <w:tcPr>
            <w:tcW w:w="1824" w:type="dxa"/>
            <w:shd w:val="clear" w:color="auto" w:fill="auto"/>
          </w:tcPr>
          <w:p w14:paraId="1478DF50" w14:textId="77777777" w:rsidR="00B33542" w:rsidRPr="005071A1" w:rsidRDefault="00B33542" w:rsidP="009B7AF5">
            <w:pPr>
              <w:pStyle w:val="Tabletext"/>
            </w:pPr>
            <w:r w:rsidRPr="005071A1">
              <w:t>23</w:t>
            </w:r>
          </w:p>
        </w:tc>
        <w:tc>
          <w:tcPr>
            <w:tcW w:w="1824" w:type="dxa"/>
            <w:shd w:val="clear" w:color="auto" w:fill="auto"/>
          </w:tcPr>
          <w:p w14:paraId="7C1BB0D6" w14:textId="77777777" w:rsidR="00B33542" w:rsidRPr="005071A1" w:rsidRDefault="00B33542" w:rsidP="009B7AF5">
            <w:pPr>
              <w:pStyle w:val="Tabletext"/>
            </w:pPr>
            <w:r w:rsidRPr="005071A1">
              <w:t>0.26</w:t>
            </w:r>
          </w:p>
        </w:tc>
        <w:tc>
          <w:tcPr>
            <w:tcW w:w="288" w:type="dxa"/>
            <w:shd w:val="clear" w:color="auto" w:fill="auto"/>
          </w:tcPr>
          <w:p w14:paraId="4D5C0B76" w14:textId="77777777" w:rsidR="00B33542" w:rsidRPr="005071A1" w:rsidRDefault="00B33542" w:rsidP="009B7AF5">
            <w:pPr>
              <w:pStyle w:val="Tabletext"/>
            </w:pPr>
          </w:p>
        </w:tc>
        <w:tc>
          <w:tcPr>
            <w:tcW w:w="1701" w:type="dxa"/>
            <w:shd w:val="clear" w:color="auto" w:fill="auto"/>
          </w:tcPr>
          <w:p w14:paraId="5F30824F" w14:textId="77777777" w:rsidR="00B33542" w:rsidRPr="005071A1" w:rsidRDefault="00B33542" w:rsidP="009B7AF5">
            <w:pPr>
              <w:pStyle w:val="Tabletext"/>
            </w:pPr>
            <w:r w:rsidRPr="005071A1">
              <w:t>48</w:t>
            </w:r>
          </w:p>
        </w:tc>
        <w:tc>
          <w:tcPr>
            <w:tcW w:w="1659" w:type="dxa"/>
            <w:shd w:val="clear" w:color="auto" w:fill="auto"/>
          </w:tcPr>
          <w:p w14:paraId="630405BC" w14:textId="77777777" w:rsidR="00B33542" w:rsidRPr="005071A1" w:rsidRDefault="00B33542" w:rsidP="009B7AF5">
            <w:pPr>
              <w:pStyle w:val="Tabletext"/>
            </w:pPr>
            <w:r w:rsidRPr="005071A1">
              <w:t>1.46</w:t>
            </w:r>
          </w:p>
        </w:tc>
      </w:tr>
      <w:tr w:rsidR="00B33542" w:rsidRPr="005071A1" w14:paraId="7CE013AE" w14:textId="77777777" w:rsidTr="009B7AF5">
        <w:tc>
          <w:tcPr>
            <w:tcW w:w="1824" w:type="dxa"/>
            <w:shd w:val="clear" w:color="auto" w:fill="auto"/>
          </w:tcPr>
          <w:p w14:paraId="04DDBB8A" w14:textId="77777777" w:rsidR="00B33542" w:rsidRPr="005071A1" w:rsidRDefault="00B33542" w:rsidP="009B7AF5">
            <w:pPr>
              <w:pStyle w:val="Tabletext"/>
            </w:pPr>
            <w:r w:rsidRPr="005071A1">
              <w:t>24</w:t>
            </w:r>
          </w:p>
        </w:tc>
        <w:tc>
          <w:tcPr>
            <w:tcW w:w="1824" w:type="dxa"/>
            <w:shd w:val="clear" w:color="auto" w:fill="auto"/>
          </w:tcPr>
          <w:p w14:paraId="497059E6" w14:textId="77777777" w:rsidR="00B33542" w:rsidRPr="005071A1" w:rsidRDefault="00B33542" w:rsidP="009B7AF5">
            <w:pPr>
              <w:pStyle w:val="Tabletext"/>
            </w:pPr>
            <w:r w:rsidRPr="005071A1">
              <w:t>0.28</w:t>
            </w:r>
          </w:p>
        </w:tc>
        <w:tc>
          <w:tcPr>
            <w:tcW w:w="288" w:type="dxa"/>
            <w:shd w:val="clear" w:color="auto" w:fill="auto"/>
          </w:tcPr>
          <w:p w14:paraId="7635B24E" w14:textId="77777777" w:rsidR="00B33542" w:rsidRPr="005071A1" w:rsidRDefault="00B33542" w:rsidP="009B7AF5">
            <w:pPr>
              <w:pStyle w:val="Tabletext"/>
            </w:pPr>
          </w:p>
        </w:tc>
        <w:tc>
          <w:tcPr>
            <w:tcW w:w="1701" w:type="dxa"/>
            <w:shd w:val="clear" w:color="auto" w:fill="auto"/>
          </w:tcPr>
          <w:p w14:paraId="05064DCE" w14:textId="77777777" w:rsidR="00B33542" w:rsidRPr="005071A1" w:rsidRDefault="00B33542" w:rsidP="009B7AF5">
            <w:pPr>
              <w:pStyle w:val="Tabletext"/>
            </w:pPr>
            <w:r w:rsidRPr="005071A1">
              <w:t>49</w:t>
            </w:r>
          </w:p>
        </w:tc>
        <w:tc>
          <w:tcPr>
            <w:tcW w:w="1659" w:type="dxa"/>
            <w:shd w:val="clear" w:color="auto" w:fill="auto"/>
          </w:tcPr>
          <w:p w14:paraId="5DE387DD" w14:textId="77777777" w:rsidR="00B33542" w:rsidRPr="005071A1" w:rsidRDefault="00B33542" w:rsidP="009B7AF5">
            <w:pPr>
              <w:pStyle w:val="Tabletext"/>
            </w:pPr>
            <w:r w:rsidRPr="005071A1">
              <w:t>1.62</w:t>
            </w:r>
          </w:p>
        </w:tc>
      </w:tr>
      <w:tr w:rsidR="00B33542" w:rsidRPr="005071A1" w14:paraId="23F4E3A8" w14:textId="77777777" w:rsidTr="009B7AF5">
        <w:tc>
          <w:tcPr>
            <w:tcW w:w="1824" w:type="dxa"/>
            <w:shd w:val="clear" w:color="auto" w:fill="auto"/>
          </w:tcPr>
          <w:p w14:paraId="3B5FF7B7" w14:textId="77777777" w:rsidR="00B33542" w:rsidRPr="005071A1" w:rsidRDefault="00B33542" w:rsidP="009B7AF5">
            <w:pPr>
              <w:pStyle w:val="Tabletext"/>
            </w:pPr>
            <w:r w:rsidRPr="005071A1">
              <w:t>25</w:t>
            </w:r>
          </w:p>
        </w:tc>
        <w:tc>
          <w:tcPr>
            <w:tcW w:w="1824" w:type="dxa"/>
            <w:shd w:val="clear" w:color="auto" w:fill="auto"/>
          </w:tcPr>
          <w:p w14:paraId="6BAF0AE8" w14:textId="77777777" w:rsidR="00B33542" w:rsidRPr="005071A1" w:rsidRDefault="00B33542" w:rsidP="009B7AF5">
            <w:pPr>
              <w:pStyle w:val="Tabletext"/>
            </w:pPr>
            <w:r w:rsidRPr="005071A1">
              <w:t>0.30</w:t>
            </w:r>
          </w:p>
        </w:tc>
        <w:tc>
          <w:tcPr>
            <w:tcW w:w="288" w:type="dxa"/>
            <w:shd w:val="clear" w:color="auto" w:fill="auto"/>
          </w:tcPr>
          <w:p w14:paraId="354267E8" w14:textId="77777777" w:rsidR="00B33542" w:rsidRPr="005071A1" w:rsidRDefault="00B33542" w:rsidP="009B7AF5">
            <w:pPr>
              <w:pStyle w:val="Tabletext"/>
            </w:pPr>
          </w:p>
        </w:tc>
        <w:tc>
          <w:tcPr>
            <w:tcW w:w="1701" w:type="dxa"/>
            <w:shd w:val="clear" w:color="auto" w:fill="auto"/>
          </w:tcPr>
          <w:p w14:paraId="4F991269" w14:textId="77777777" w:rsidR="00B33542" w:rsidRPr="005071A1" w:rsidRDefault="00B33542" w:rsidP="009B7AF5">
            <w:pPr>
              <w:pStyle w:val="Tabletext"/>
            </w:pPr>
            <w:r w:rsidRPr="005071A1">
              <w:t>50</w:t>
            </w:r>
          </w:p>
        </w:tc>
        <w:tc>
          <w:tcPr>
            <w:tcW w:w="1659" w:type="dxa"/>
            <w:shd w:val="clear" w:color="auto" w:fill="auto"/>
          </w:tcPr>
          <w:p w14:paraId="3E642BE6" w14:textId="77777777" w:rsidR="00B33542" w:rsidRPr="005071A1" w:rsidRDefault="00B33542" w:rsidP="009B7AF5">
            <w:pPr>
              <w:pStyle w:val="Tabletext"/>
            </w:pPr>
            <w:r w:rsidRPr="005071A1">
              <w:t>1.82</w:t>
            </w:r>
          </w:p>
        </w:tc>
      </w:tr>
      <w:tr w:rsidR="00B33542" w:rsidRPr="005071A1" w14:paraId="58E92712" w14:textId="77777777" w:rsidTr="009B7AF5">
        <w:tc>
          <w:tcPr>
            <w:tcW w:w="1824" w:type="dxa"/>
            <w:shd w:val="clear" w:color="auto" w:fill="auto"/>
          </w:tcPr>
          <w:p w14:paraId="04CE7A5A" w14:textId="77777777" w:rsidR="00B33542" w:rsidRPr="005071A1" w:rsidRDefault="00B33542" w:rsidP="009B7AF5">
            <w:pPr>
              <w:pStyle w:val="Tabletext"/>
            </w:pPr>
            <w:r w:rsidRPr="005071A1">
              <w:t>26</w:t>
            </w:r>
          </w:p>
        </w:tc>
        <w:tc>
          <w:tcPr>
            <w:tcW w:w="1824" w:type="dxa"/>
            <w:shd w:val="clear" w:color="auto" w:fill="auto"/>
          </w:tcPr>
          <w:p w14:paraId="00388BC4" w14:textId="77777777" w:rsidR="00B33542" w:rsidRPr="005071A1" w:rsidRDefault="00B33542" w:rsidP="009B7AF5">
            <w:pPr>
              <w:pStyle w:val="Tabletext"/>
            </w:pPr>
            <w:r w:rsidRPr="005071A1">
              <w:t>0.32</w:t>
            </w:r>
          </w:p>
        </w:tc>
        <w:tc>
          <w:tcPr>
            <w:tcW w:w="288" w:type="dxa"/>
            <w:shd w:val="clear" w:color="auto" w:fill="auto"/>
          </w:tcPr>
          <w:p w14:paraId="1456931B" w14:textId="77777777" w:rsidR="00B33542" w:rsidRPr="005071A1" w:rsidRDefault="00B33542" w:rsidP="009B7AF5">
            <w:pPr>
              <w:pStyle w:val="Tabletext"/>
            </w:pPr>
          </w:p>
        </w:tc>
        <w:tc>
          <w:tcPr>
            <w:tcW w:w="1701" w:type="dxa"/>
            <w:shd w:val="clear" w:color="auto" w:fill="auto"/>
          </w:tcPr>
          <w:p w14:paraId="58562F6D" w14:textId="77777777" w:rsidR="00B33542" w:rsidRPr="005071A1" w:rsidRDefault="00B33542" w:rsidP="009B7AF5">
            <w:pPr>
              <w:pStyle w:val="Tabletext"/>
            </w:pPr>
            <w:r w:rsidRPr="005071A1">
              <w:t>51</w:t>
            </w:r>
          </w:p>
        </w:tc>
        <w:tc>
          <w:tcPr>
            <w:tcW w:w="1659" w:type="dxa"/>
            <w:shd w:val="clear" w:color="auto" w:fill="auto"/>
          </w:tcPr>
          <w:p w14:paraId="7D664EC7" w14:textId="77777777" w:rsidR="00B33542" w:rsidRPr="005071A1" w:rsidRDefault="00B33542" w:rsidP="009B7AF5">
            <w:pPr>
              <w:pStyle w:val="Tabletext"/>
            </w:pPr>
            <w:r w:rsidRPr="005071A1">
              <w:t>2.08</w:t>
            </w:r>
          </w:p>
        </w:tc>
      </w:tr>
      <w:tr w:rsidR="00B33542" w:rsidRPr="005071A1" w14:paraId="66EFE9B6" w14:textId="77777777" w:rsidTr="009B7AF5">
        <w:tc>
          <w:tcPr>
            <w:tcW w:w="1824" w:type="dxa"/>
            <w:shd w:val="clear" w:color="auto" w:fill="auto"/>
          </w:tcPr>
          <w:p w14:paraId="038CC445" w14:textId="77777777" w:rsidR="00B33542" w:rsidRPr="005071A1" w:rsidRDefault="00B33542" w:rsidP="009B7AF5">
            <w:pPr>
              <w:pStyle w:val="Tabletext"/>
            </w:pPr>
            <w:r w:rsidRPr="005071A1">
              <w:t>27</w:t>
            </w:r>
          </w:p>
        </w:tc>
        <w:tc>
          <w:tcPr>
            <w:tcW w:w="1824" w:type="dxa"/>
            <w:shd w:val="clear" w:color="auto" w:fill="auto"/>
          </w:tcPr>
          <w:p w14:paraId="4A523FAA" w14:textId="77777777" w:rsidR="00B33542" w:rsidRPr="005071A1" w:rsidRDefault="00B33542" w:rsidP="009B7AF5">
            <w:pPr>
              <w:pStyle w:val="Tabletext"/>
            </w:pPr>
            <w:r w:rsidRPr="005071A1">
              <w:t>0.32</w:t>
            </w:r>
          </w:p>
        </w:tc>
        <w:tc>
          <w:tcPr>
            <w:tcW w:w="288" w:type="dxa"/>
            <w:shd w:val="clear" w:color="auto" w:fill="auto"/>
          </w:tcPr>
          <w:p w14:paraId="50614A3A" w14:textId="77777777" w:rsidR="00B33542" w:rsidRPr="005071A1" w:rsidRDefault="00B33542" w:rsidP="009B7AF5">
            <w:pPr>
              <w:pStyle w:val="Tabletext"/>
            </w:pPr>
          </w:p>
        </w:tc>
        <w:tc>
          <w:tcPr>
            <w:tcW w:w="1701" w:type="dxa"/>
            <w:shd w:val="clear" w:color="auto" w:fill="auto"/>
          </w:tcPr>
          <w:p w14:paraId="3F697B5F" w14:textId="77777777" w:rsidR="00B33542" w:rsidRPr="005071A1" w:rsidRDefault="00B33542" w:rsidP="009B7AF5">
            <w:pPr>
              <w:pStyle w:val="Tabletext"/>
            </w:pPr>
            <w:r w:rsidRPr="005071A1">
              <w:t>52</w:t>
            </w:r>
          </w:p>
        </w:tc>
        <w:tc>
          <w:tcPr>
            <w:tcW w:w="1659" w:type="dxa"/>
            <w:shd w:val="clear" w:color="auto" w:fill="auto"/>
          </w:tcPr>
          <w:p w14:paraId="4CAEBF5B" w14:textId="77777777" w:rsidR="00B33542" w:rsidRPr="005071A1" w:rsidRDefault="00B33542" w:rsidP="009B7AF5">
            <w:pPr>
              <w:pStyle w:val="Tabletext"/>
            </w:pPr>
            <w:r w:rsidRPr="005071A1">
              <w:t>2.38</w:t>
            </w:r>
          </w:p>
        </w:tc>
      </w:tr>
      <w:tr w:rsidR="00B33542" w:rsidRPr="005071A1" w14:paraId="354719F1" w14:textId="77777777" w:rsidTr="009B7AF5">
        <w:tc>
          <w:tcPr>
            <w:tcW w:w="1824" w:type="dxa"/>
            <w:shd w:val="clear" w:color="auto" w:fill="auto"/>
          </w:tcPr>
          <w:p w14:paraId="1CE5DB4A" w14:textId="77777777" w:rsidR="00B33542" w:rsidRPr="005071A1" w:rsidRDefault="00B33542" w:rsidP="009B7AF5">
            <w:pPr>
              <w:pStyle w:val="Tabletext"/>
            </w:pPr>
            <w:r w:rsidRPr="005071A1">
              <w:t>28</w:t>
            </w:r>
          </w:p>
        </w:tc>
        <w:tc>
          <w:tcPr>
            <w:tcW w:w="1824" w:type="dxa"/>
            <w:shd w:val="clear" w:color="auto" w:fill="auto"/>
          </w:tcPr>
          <w:p w14:paraId="391A5623" w14:textId="77777777" w:rsidR="00B33542" w:rsidRPr="005071A1" w:rsidRDefault="00B33542" w:rsidP="009B7AF5">
            <w:pPr>
              <w:pStyle w:val="Tabletext"/>
            </w:pPr>
            <w:r w:rsidRPr="005071A1">
              <w:t>0.34</w:t>
            </w:r>
          </w:p>
        </w:tc>
        <w:tc>
          <w:tcPr>
            <w:tcW w:w="288" w:type="dxa"/>
            <w:shd w:val="clear" w:color="auto" w:fill="auto"/>
          </w:tcPr>
          <w:p w14:paraId="426755A8" w14:textId="77777777" w:rsidR="00B33542" w:rsidRPr="005071A1" w:rsidRDefault="00B33542" w:rsidP="009B7AF5">
            <w:pPr>
              <w:pStyle w:val="Tabletext"/>
            </w:pPr>
          </w:p>
        </w:tc>
        <w:tc>
          <w:tcPr>
            <w:tcW w:w="1701" w:type="dxa"/>
            <w:shd w:val="clear" w:color="auto" w:fill="auto"/>
          </w:tcPr>
          <w:p w14:paraId="114DD8D0" w14:textId="77777777" w:rsidR="00B33542" w:rsidRPr="005071A1" w:rsidRDefault="00B33542" w:rsidP="009B7AF5">
            <w:pPr>
              <w:pStyle w:val="Tabletext"/>
            </w:pPr>
            <w:r w:rsidRPr="005071A1">
              <w:t>53</w:t>
            </w:r>
          </w:p>
        </w:tc>
        <w:tc>
          <w:tcPr>
            <w:tcW w:w="1659" w:type="dxa"/>
            <w:shd w:val="clear" w:color="auto" w:fill="auto"/>
          </w:tcPr>
          <w:p w14:paraId="728361AD" w14:textId="77777777" w:rsidR="00B33542" w:rsidRPr="005071A1" w:rsidRDefault="00B33542" w:rsidP="009B7AF5">
            <w:pPr>
              <w:pStyle w:val="Tabletext"/>
            </w:pPr>
            <w:r w:rsidRPr="005071A1">
              <w:t>2.78</w:t>
            </w:r>
          </w:p>
        </w:tc>
      </w:tr>
      <w:tr w:rsidR="00B33542" w:rsidRPr="005071A1" w14:paraId="0844524F" w14:textId="77777777" w:rsidTr="009B7AF5">
        <w:tc>
          <w:tcPr>
            <w:tcW w:w="1824" w:type="dxa"/>
            <w:shd w:val="clear" w:color="auto" w:fill="auto"/>
          </w:tcPr>
          <w:p w14:paraId="03BB0234" w14:textId="77777777" w:rsidR="00B33542" w:rsidRPr="005071A1" w:rsidRDefault="00B33542" w:rsidP="009B7AF5">
            <w:pPr>
              <w:pStyle w:val="Tabletext"/>
            </w:pPr>
            <w:r w:rsidRPr="005071A1">
              <w:t>29</w:t>
            </w:r>
          </w:p>
        </w:tc>
        <w:tc>
          <w:tcPr>
            <w:tcW w:w="1824" w:type="dxa"/>
            <w:shd w:val="clear" w:color="auto" w:fill="auto"/>
          </w:tcPr>
          <w:p w14:paraId="38503B97" w14:textId="77777777" w:rsidR="00B33542" w:rsidRPr="005071A1" w:rsidRDefault="00B33542" w:rsidP="009B7AF5">
            <w:pPr>
              <w:pStyle w:val="Tabletext"/>
            </w:pPr>
            <w:r w:rsidRPr="005071A1">
              <w:t>0.36</w:t>
            </w:r>
          </w:p>
        </w:tc>
        <w:tc>
          <w:tcPr>
            <w:tcW w:w="288" w:type="dxa"/>
            <w:shd w:val="clear" w:color="auto" w:fill="auto"/>
          </w:tcPr>
          <w:p w14:paraId="790ADA42" w14:textId="77777777" w:rsidR="00B33542" w:rsidRPr="005071A1" w:rsidRDefault="00B33542" w:rsidP="009B7AF5">
            <w:pPr>
              <w:pStyle w:val="Tabletext"/>
            </w:pPr>
          </w:p>
        </w:tc>
        <w:tc>
          <w:tcPr>
            <w:tcW w:w="1701" w:type="dxa"/>
            <w:shd w:val="clear" w:color="auto" w:fill="auto"/>
          </w:tcPr>
          <w:p w14:paraId="3063FDFA" w14:textId="77777777" w:rsidR="00B33542" w:rsidRPr="005071A1" w:rsidRDefault="00B33542" w:rsidP="009B7AF5">
            <w:pPr>
              <w:pStyle w:val="Tabletext"/>
            </w:pPr>
            <w:r w:rsidRPr="005071A1">
              <w:t>54</w:t>
            </w:r>
          </w:p>
        </w:tc>
        <w:tc>
          <w:tcPr>
            <w:tcW w:w="1659" w:type="dxa"/>
            <w:shd w:val="clear" w:color="auto" w:fill="auto"/>
          </w:tcPr>
          <w:p w14:paraId="07133E29" w14:textId="77777777" w:rsidR="00B33542" w:rsidRPr="005071A1" w:rsidRDefault="00B33542" w:rsidP="009B7AF5">
            <w:pPr>
              <w:pStyle w:val="Tabletext"/>
            </w:pPr>
            <w:r w:rsidRPr="005071A1">
              <w:t>3.30</w:t>
            </w:r>
          </w:p>
        </w:tc>
      </w:tr>
      <w:tr w:rsidR="00B33542" w:rsidRPr="005071A1" w14:paraId="5A7B96A7" w14:textId="77777777" w:rsidTr="009B7AF5">
        <w:tc>
          <w:tcPr>
            <w:tcW w:w="1824" w:type="dxa"/>
            <w:shd w:val="clear" w:color="auto" w:fill="auto"/>
          </w:tcPr>
          <w:p w14:paraId="40166901" w14:textId="77777777" w:rsidR="00B33542" w:rsidRPr="005071A1" w:rsidRDefault="00B33542" w:rsidP="009B7AF5">
            <w:pPr>
              <w:pStyle w:val="Tabletext"/>
            </w:pPr>
            <w:r w:rsidRPr="005071A1">
              <w:t>30</w:t>
            </w:r>
          </w:p>
        </w:tc>
        <w:tc>
          <w:tcPr>
            <w:tcW w:w="1824" w:type="dxa"/>
            <w:shd w:val="clear" w:color="auto" w:fill="auto"/>
          </w:tcPr>
          <w:p w14:paraId="36C73011" w14:textId="77777777" w:rsidR="00B33542" w:rsidRPr="005071A1" w:rsidRDefault="00B33542" w:rsidP="009B7AF5">
            <w:pPr>
              <w:pStyle w:val="Tabletext"/>
            </w:pPr>
            <w:r w:rsidRPr="005071A1">
              <w:t>0.38</w:t>
            </w:r>
          </w:p>
        </w:tc>
        <w:tc>
          <w:tcPr>
            <w:tcW w:w="288" w:type="dxa"/>
            <w:shd w:val="clear" w:color="auto" w:fill="auto"/>
          </w:tcPr>
          <w:p w14:paraId="128BDAD0" w14:textId="77777777" w:rsidR="00B33542" w:rsidRPr="005071A1" w:rsidRDefault="00B33542" w:rsidP="009B7AF5">
            <w:pPr>
              <w:pStyle w:val="Tabletext"/>
            </w:pPr>
          </w:p>
        </w:tc>
        <w:tc>
          <w:tcPr>
            <w:tcW w:w="1701" w:type="dxa"/>
            <w:shd w:val="clear" w:color="auto" w:fill="auto"/>
          </w:tcPr>
          <w:p w14:paraId="1A5620DA" w14:textId="77777777" w:rsidR="00B33542" w:rsidRPr="005071A1" w:rsidRDefault="00B33542" w:rsidP="009B7AF5">
            <w:pPr>
              <w:pStyle w:val="Tabletext"/>
            </w:pPr>
            <w:r w:rsidRPr="005071A1">
              <w:t>55</w:t>
            </w:r>
          </w:p>
        </w:tc>
        <w:tc>
          <w:tcPr>
            <w:tcW w:w="1659" w:type="dxa"/>
            <w:shd w:val="clear" w:color="auto" w:fill="auto"/>
          </w:tcPr>
          <w:p w14:paraId="75370304" w14:textId="77777777" w:rsidR="00B33542" w:rsidRPr="005071A1" w:rsidRDefault="00B33542" w:rsidP="009B7AF5">
            <w:pPr>
              <w:pStyle w:val="Tabletext"/>
            </w:pPr>
            <w:r w:rsidRPr="005071A1">
              <w:t>4.04</w:t>
            </w:r>
          </w:p>
        </w:tc>
      </w:tr>
      <w:tr w:rsidR="00B33542" w:rsidRPr="005071A1" w14:paraId="53975321" w14:textId="77777777" w:rsidTr="009B7AF5">
        <w:tc>
          <w:tcPr>
            <w:tcW w:w="1824" w:type="dxa"/>
            <w:shd w:val="clear" w:color="auto" w:fill="auto"/>
          </w:tcPr>
          <w:p w14:paraId="524F7B94" w14:textId="77777777" w:rsidR="00B33542" w:rsidRPr="005071A1" w:rsidRDefault="00B33542" w:rsidP="009B7AF5">
            <w:pPr>
              <w:pStyle w:val="Tabletext"/>
            </w:pPr>
            <w:r w:rsidRPr="005071A1">
              <w:t>31</w:t>
            </w:r>
          </w:p>
        </w:tc>
        <w:tc>
          <w:tcPr>
            <w:tcW w:w="1824" w:type="dxa"/>
            <w:shd w:val="clear" w:color="auto" w:fill="auto"/>
          </w:tcPr>
          <w:p w14:paraId="4E44C0B8" w14:textId="77777777" w:rsidR="00B33542" w:rsidRPr="005071A1" w:rsidRDefault="00B33542" w:rsidP="009B7AF5">
            <w:pPr>
              <w:pStyle w:val="Tabletext"/>
            </w:pPr>
            <w:r w:rsidRPr="005071A1">
              <w:t>0.42</w:t>
            </w:r>
          </w:p>
        </w:tc>
        <w:tc>
          <w:tcPr>
            <w:tcW w:w="288" w:type="dxa"/>
            <w:shd w:val="clear" w:color="auto" w:fill="auto"/>
          </w:tcPr>
          <w:p w14:paraId="3EA23886" w14:textId="77777777" w:rsidR="00B33542" w:rsidRPr="005071A1" w:rsidRDefault="00B33542" w:rsidP="009B7AF5">
            <w:pPr>
              <w:pStyle w:val="Tabletext"/>
            </w:pPr>
          </w:p>
        </w:tc>
        <w:tc>
          <w:tcPr>
            <w:tcW w:w="1701" w:type="dxa"/>
            <w:shd w:val="clear" w:color="auto" w:fill="auto"/>
          </w:tcPr>
          <w:p w14:paraId="705F32CF" w14:textId="77777777" w:rsidR="00B33542" w:rsidRPr="005071A1" w:rsidRDefault="00B33542" w:rsidP="009B7AF5">
            <w:pPr>
              <w:pStyle w:val="Tabletext"/>
            </w:pPr>
            <w:r w:rsidRPr="005071A1">
              <w:t>56</w:t>
            </w:r>
          </w:p>
        </w:tc>
        <w:tc>
          <w:tcPr>
            <w:tcW w:w="1659" w:type="dxa"/>
            <w:shd w:val="clear" w:color="auto" w:fill="auto"/>
          </w:tcPr>
          <w:p w14:paraId="0F2D3001" w14:textId="77777777" w:rsidR="00B33542" w:rsidRPr="005071A1" w:rsidRDefault="00B33542" w:rsidP="009B7AF5">
            <w:pPr>
              <w:pStyle w:val="Tabletext"/>
            </w:pPr>
            <w:r w:rsidRPr="005071A1">
              <w:t>5.14</w:t>
            </w:r>
          </w:p>
        </w:tc>
      </w:tr>
      <w:tr w:rsidR="00B33542" w:rsidRPr="005071A1" w14:paraId="13A4519A" w14:textId="77777777" w:rsidTr="009B7AF5">
        <w:tc>
          <w:tcPr>
            <w:tcW w:w="1824" w:type="dxa"/>
            <w:shd w:val="clear" w:color="auto" w:fill="auto"/>
          </w:tcPr>
          <w:p w14:paraId="6F5CFEBD" w14:textId="77777777" w:rsidR="00B33542" w:rsidRPr="005071A1" w:rsidRDefault="00B33542" w:rsidP="009B7AF5">
            <w:pPr>
              <w:pStyle w:val="Tabletext"/>
            </w:pPr>
            <w:r w:rsidRPr="005071A1">
              <w:t>32</w:t>
            </w:r>
          </w:p>
        </w:tc>
        <w:tc>
          <w:tcPr>
            <w:tcW w:w="1824" w:type="dxa"/>
            <w:shd w:val="clear" w:color="auto" w:fill="auto"/>
          </w:tcPr>
          <w:p w14:paraId="5DA58C20" w14:textId="77777777" w:rsidR="00B33542" w:rsidRPr="005071A1" w:rsidRDefault="00B33542" w:rsidP="009B7AF5">
            <w:pPr>
              <w:pStyle w:val="Tabletext"/>
            </w:pPr>
            <w:r w:rsidRPr="005071A1">
              <w:t>0.44</w:t>
            </w:r>
          </w:p>
        </w:tc>
        <w:tc>
          <w:tcPr>
            <w:tcW w:w="288" w:type="dxa"/>
            <w:shd w:val="clear" w:color="auto" w:fill="auto"/>
          </w:tcPr>
          <w:p w14:paraId="32FD7E05" w14:textId="77777777" w:rsidR="00B33542" w:rsidRPr="005071A1" w:rsidRDefault="00B33542" w:rsidP="009B7AF5">
            <w:pPr>
              <w:pStyle w:val="Tabletext"/>
            </w:pPr>
          </w:p>
        </w:tc>
        <w:tc>
          <w:tcPr>
            <w:tcW w:w="1701" w:type="dxa"/>
            <w:shd w:val="clear" w:color="auto" w:fill="auto"/>
          </w:tcPr>
          <w:p w14:paraId="41D849DA" w14:textId="77777777" w:rsidR="00B33542" w:rsidRPr="005071A1" w:rsidRDefault="00B33542" w:rsidP="009B7AF5">
            <w:pPr>
              <w:pStyle w:val="Tabletext"/>
            </w:pPr>
            <w:r w:rsidRPr="005071A1">
              <w:t>57</w:t>
            </w:r>
          </w:p>
        </w:tc>
        <w:tc>
          <w:tcPr>
            <w:tcW w:w="1659" w:type="dxa"/>
            <w:shd w:val="clear" w:color="auto" w:fill="auto"/>
          </w:tcPr>
          <w:p w14:paraId="21960757" w14:textId="77777777" w:rsidR="00B33542" w:rsidRPr="005071A1" w:rsidRDefault="00B33542" w:rsidP="009B7AF5">
            <w:pPr>
              <w:pStyle w:val="Tabletext"/>
            </w:pPr>
            <w:r w:rsidRPr="005071A1">
              <w:t>7.00</w:t>
            </w:r>
          </w:p>
        </w:tc>
      </w:tr>
      <w:tr w:rsidR="00B33542" w:rsidRPr="005071A1" w14:paraId="3DE9DFCE" w14:textId="77777777" w:rsidTr="009B7AF5">
        <w:tc>
          <w:tcPr>
            <w:tcW w:w="1824" w:type="dxa"/>
            <w:shd w:val="clear" w:color="auto" w:fill="auto"/>
          </w:tcPr>
          <w:p w14:paraId="21DB2EE1" w14:textId="77777777" w:rsidR="00B33542" w:rsidRPr="005071A1" w:rsidRDefault="00B33542" w:rsidP="009B7AF5">
            <w:pPr>
              <w:pStyle w:val="Tabletext"/>
            </w:pPr>
            <w:r w:rsidRPr="005071A1">
              <w:t>33</w:t>
            </w:r>
          </w:p>
        </w:tc>
        <w:tc>
          <w:tcPr>
            <w:tcW w:w="1824" w:type="dxa"/>
            <w:shd w:val="clear" w:color="auto" w:fill="auto"/>
          </w:tcPr>
          <w:p w14:paraId="70A22E79" w14:textId="77777777" w:rsidR="00B33542" w:rsidRPr="005071A1" w:rsidRDefault="00B33542" w:rsidP="009B7AF5">
            <w:pPr>
              <w:pStyle w:val="Tabletext"/>
            </w:pPr>
            <w:r w:rsidRPr="005071A1">
              <w:t>0.46</w:t>
            </w:r>
          </w:p>
        </w:tc>
        <w:tc>
          <w:tcPr>
            <w:tcW w:w="288" w:type="dxa"/>
            <w:shd w:val="clear" w:color="auto" w:fill="auto"/>
          </w:tcPr>
          <w:p w14:paraId="18DDD5C4" w14:textId="77777777" w:rsidR="00B33542" w:rsidRPr="005071A1" w:rsidRDefault="00B33542" w:rsidP="009B7AF5">
            <w:pPr>
              <w:pStyle w:val="Tabletext"/>
            </w:pPr>
          </w:p>
        </w:tc>
        <w:tc>
          <w:tcPr>
            <w:tcW w:w="1701" w:type="dxa"/>
            <w:shd w:val="clear" w:color="auto" w:fill="auto"/>
          </w:tcPr>
          <w:p w14:paraId="115E72C8" w14:textId="77777777" w:rsidR="00B33542" w:rsidRPr="005071A1" w:rsidRDefault="00B33542" w:rsidP="009B7AF5">
            <w:pPr>
              <w:pStyle w:val="Tabletext"/>
            </w:pPr>
            <w:r w:rsidRPr="005071A1">
              <w:t>58</w:t>
            </w:r>
          </w:p>
        </w:tc>
        <w:tc>
          <w:tcPr>
            <w:tcW w:w="1659" w:type="dxa"/>
            <w:shd w:val="clear" w:color="auto" w:fill="auto"/>
          </w:tcPr>
          <w:p w14:paraId="6F662D6F" w14:textId="77777777" w:rsidR="00B33542" w:rsidRPr="005071A1" w:rsidRDefault="00B33542" w:rsidP="009B7AF5">
            <w:pPr>
              <w:pStyle w:val="Tabletext"/>
            </w:pPr>
            <w:r w:rsidRPr="005071A1">
              <w:t>10.72</w:t>
            </w:r>
          </w:p>
        </w:tc>
      </w:tr>
      <w:tr w:rsidR="00B33542" w:rsidRPr="005071A1" w14:paraId="7995D22F" w14:textId="77777777" w:rsidTr="009B7AF5">
        <w:tc>
          <w:tcPr>
            <w:tcW w:w="1824" w:type="dxa"/>
            <w:shd w:val="clear" w:color="auto" w:fill="auto"/>
          </w:tcPr>
          <w:p w14:paraId="503BABA4" w14:textId="77777777" w:rsidR="00B33542" w:rsidRPr="005071A1" w:rsidRDefault="00B33542" w:rsidP="009B7AF5">
            <w:pPr>
              <w:pStyle w:val="Tabletext"/>
            </w:pPr>
            <w:r w:rsidRPr="005071A1">
              <w:t>34</w:t>
            </w:r>
          </w:p>
        </w:tc>
        <w:tc>
          <w:tcPr>
            <w:tcW w:w="1824" w:type="dxa"/>
            <w:shd w:val="clear" w:color="auto" w:fill="auto"/>
          </w:tcPr>
          <w:p w14:paraId="1C348933" w14:textId="77777777" w:rsidR="00B33542" w:rsidRPr="005071A1" w:rsidRDefault="00B33542" w:rsidP="009B7AF5">
            <w:pPr>
              <w:pStyle w:val="Tabletext"/>
            </w:pPr>
            <w:r w:rsidRPr="005071A1">
              <w:t>0.50</w:t>
            </w:r>
          </w:p>
        </w:tc>
        <w:tc>
          <w:tcPr>
            <w:tcW w:w="288" w:type="dxa"/>
            <w:shd w:val="clear" w:color="auto" w:fill="auto"/>
          </w:tcPr>
          <w:p w14:paraId="26801C1B" w14:textId="77777777" w:rsidR="00B33542" w:rsidRPr="005071A1" w:rsidRDefault="00B33542" w:rsidP="009B7AF5">
            <w:pPr>
              <w:pStyle w:val="Tabletext"/>
            </w:pPr>
          </w:p>
        </w:tc>
        <w:tc>
          <w:tcPr>
            <w:tcW w:w="1701" w:type="dxa"/>
            <w:shd w:val="clear" w:color="auto" w:fill="auto"/>
          </w:tcPr>
          <w:p w14:paraId="1BC30297" w14:textId="77777777" w:rsidR="00B33542" w:rsidRPr="005071A1" w:rsidRDefault="00B33542" w:rsidP="009B7AF5">
            <w:pPr>
              <w:pStyle w:val="Tabletext"/>
            </w:pPr>
            <w:r w:rsidRPr="005071A1">
              <w:t>59</w:t>
            </w:r>
          </w:p>
        </w:tc>
        <w:tc>
          <w:tcPr>
            <w:tcW w:w="1659" w:type="dxa"/>
            <w:shd w:val="clear" w:color="auto" w:fill="auto"/>
          </w:tcPr>
          <w:p w14:paraId="234718F9" w14:textId="77777777" w:rsidR="00B33542" w:rsidRPr="005071A1" w:rsidRDefault="00B33542" w:rsidP="009B7AF5">
            <w:pPr>
              <w:pStyle w:val="Tabletext"/>
            </w:pPr>
            <w:r w:rsidRPr="005071A1">
              <w:t>21.92</w:t>
            </w:r>
          </w:p>
        </w:tc>
      </w:tr>
      <w:tr w:rsidR="00B33542" w:rsidRPr="005071A1" w14:paraId="1D0357D5" w14:textId="77777777" w:rsidTr="009B7AF5">
        <w:tc>
          <w:tcPr>
            <w:tcW w:w="1824" w:type="dxa"/>
            <w:shd w:val="clear" w:color="auto" w:fill="auto"/>
          </w:tcPr>
          <w:p w14:paraId="03AD4B17" w14:textId="77777777" w:rsidR="00B33542" w:rsidRPr="005071A1" w:rsidRDefault="00B33542" w:rsidP="009B7AF5">
            <w:pPr>
              <w:pStyle w:val="Tabletext"/>
            </w:pPr>
            <w:r w:rsidRPr="005071A1">
              <w:lastRenderedPageBreak/>
              <w:t>35</w:t>
            </w:r>
          </w:p>
        </w:tc>
        <w:tc>
          <w:tcPr>
            <w:tcW w:w="1824" w:type="dxa"/>
            <w:shd w:val="clear" w:color="auto" w:fill="auto"/>
          </w:tcPr>
          <w:p w14:paraId="2A266821" w14:textId="77777777" w:rsidR="00B33542" w:rsidRPr="005071A1" w:rsidRDefault="00B33542" w:rsidP="009B7AF5">
            <w:pPr>
              <w:pStyle w:val="Tabletext"/>
            </w:pPr>
            <w:r w:rsidRPr="005071A1">
              <w:t>0.52</w:t>
            </w:r>
          </w:p>
        </w:tc>
        <w:tc>
          <w:tcPr>
            <w:tcW w:w="288" w:type="dxa"/>
            <w:shd w:val="clear" w:color="auto" w:fill="auto"/>
          </w:tcPr>
          <w:p w14:paraId="1E758B5D" w14:textId="77777777" w:rsidR="00B33542" w:rsidRPr="005071A1" w:rsidRDefault="00B33542" w:rsidP="009B7AF5">
            <w:pPr>
              <w:pStyle w:val="Tabletext"/>
            </w:pPr>
          </w:p>
        </w:tc>
        <w:tc>
          <w:tcPr>
            <w:tcW w:w="1701" w:type="dxa"/>
            <w:shd w:val="clear" w:color="auto" w:fill="auto"/>
          </w:tcPr>
          <w:p w14:paraId="1E702C4E" w14:textId="77777777" w:rsidR="00B33542" w:rsidRPr="005071A1" w:rsidRDefault="00B33542" w:rsidP="009B7AF5">
            <w:pPr>
              <w:pStyle w:val="Tabletext"/>
            </w:pPr>
            <w:r w:rsidRPr="005071A1">
              <w:t>60</w:t>
            </w:r>
          </w:p>
        </w:tc>
        <w:tc>
          <w:tcPr>
            <w:tcW w:w="1659" w:type="dxa"/>
            <w:shd w:val="clear" w:color="auto" w:fill="auto"/>
          </w:tcPr>
          <w:p w14:paraId="506064AE" w14:textId="77777777" w:rsidR="00B33542" w:rsidRPr="005071A1" w:rsidRDefault="00B33542" w:rsidP="009B7AF5">
            <w:pPr>
              <w:pStyle w:val="Tabletext"/>
            </w:pPr>
            <w:r w:rsidRPr="005071A1">
              <w:t>22.28</w:t>
            </w:r>
          </w:p>
        </w:tc>
      </w:tr>
      <w:tr w:rsidR="00B33542" w:rsidRPr="005071A1" w14:paraId="76642178" w14:textId="77777777" w:rsidTr="009B7AF5">
        <w:tc>
          <w:tcPr>
            <w:tcW w:w="1824" w:type="dxa"/>
            <w:shd w:val="clear" w:color="auto" w:fill="auto"/>
          </w:tcPr>
          <w:p w14:paraId="244D3A15" w14:textId="77777777" w:rsidR="00B33542" w:rsidRPr="005071A1" w:rsidRDefault="00B33542" w:rsidP="009B7AF5">
            <w:pPr>
              <w:pStyle w:val="Tabletext"/>
            </w:pPr>
            <w:r w:rsidRPr="005071A1">
              <w:t>36</w:t>
            </w:r>
          </w:p>
        </w:tc>
        <w:tc>
          <w:tcPr>
            <w:tcW w:w="1824" w:type="dxa"/>
            <w:shd w:val="clear" w:color="auto" w:fill="auto"/>
          </w:tcPr>
          <w:p w14:paraId="41B9F7D8" w14:textId="77777777" w:rsidR="00B33542" w:rsidRPr="005071A1" w:rsidRDefault="00B33542" w:rsidP="009B7AF5">
            <w:pPr>
              <w:pStyle w:val="Tabletext"/>
            </w:pPr>
            <w:r w:rsidRPr="005071A1">
              <w:t>0.56</w:t>
            </w:r>
          </w:p>
        </w:tc>
        <w:tc>
          <w:tcPr>
            <w:tcW w:w="288" w:type="dxa"/>
            <w:shd w:val="clear" w:color="auto" w:fill="auto"/>
          </w:tcPr>
          <w:p w14:paraId="1665E67F" w14:textId="77777777" w:rsidR="00B33542" w:rsidRPr="005071A1" w:rsidRDefault="00B33542" w:rsidP="009B7AF5">
            <w:pPr>
              <w:pStyle w:val="Tabletext"/>
            </w:pPr>
          </w:p>
        </w:tc>
        <w:tc>
          <w:tcPr>
            <w:tcW w:w="1701" w:type="dxa"/>
            <w:shd w:val="clear" w:color="auto" w:fill="auto"/>
          </w:tcPr>
          <w:p w14:paraId="5E48657C" w14:textId="77777777" w:rsidR="00B33542" w:rsidRPr="005071A1" w:rsidRDefault="00B33542" w:rsidP="009B7AF5">
            <w:pPr>
              <w:pStyle w:val="Tabletext"/>
            </w:pPr>
          </w:p>
        </w:tc>
        <w:tc>
          <w:tcPr>
            <w:tcW w:w="1659" w:type="dxa"/>
            <w:shd w:val="clear" w:color="auto" w:fill="auto"/>
          </w:tcPr>
          <w:p w14:paraId="1A6A2D9A" w14:textId="77777777" w:rsidR="00B33542" w:rsidRPr="005071A1" w:rsidRDefault="00B33542" w:rsidP="009B7AF5">
            <w:pPr>
              <w:pStyle w:val="Tabletext"/>
            </w:pPr>
          </w:p>
        </w:tc>
      </w:tr>
      <w:tr w:rsidR="00B33542" w:rsidRPr="005071A1" w14:paraId="3C7CC528" w14:textId="77777777" w:rsidTr="009B7AF5">
        <w:tc>
          <w:tcPr>
            <w:tcW w:w="1824" w:type="dxa"/>
            <w:shd w:val="clear" w:color="auto" w:fill="auto"/>
          </w:tcPr>
          <w:p w14:paraId="7A64DF18" w14:textId="77777777" w:rsidR="00B33542" w:rsidRPr="005071A1" w:rsidRDefault="00B33542" w:rsidP="009B7AF5">
            <w:pPr>
              <w:pStyle w:val="Tabletext"/>
            </w:pPr>
            <w:r w:rsidRPr="005071A1">
              <w:t>37</w:t>
            </w:r>
          </w:p>
        </w:tc>
        <w:tc>
          <w:tcPr>
            <w:tcW w:w="1824" w:type="dxa"/>
            <w:shd w:val="clear" w:color="auto" w:fill="auto"/>
          </w:tcPr>
          <w:p w14:paraId="0ACF8825" w14:textId="77777777" w:rsidR="00B33542" w:rsidRPr="005071A1" w:rsidRDefault="00B33542" w:rsidP="009B7AF5">
            <w:pPr>
              <w:pStyle w:val="Tabletext"/>
            </w:pPr>
            <w:r w:rsidRPr="005071A1">
              <w:t>0.60</w:t>
            </w:r>
          </w:p>
        </w:tc>
        <w:tc>
          <w:tcPr>
            <w:tcW w:w="288" w:type="dxa"/>
            <w:shd w:val="clear" w:color="auto" w:fill="auto"/>
          </w:tcPr>
          <w:p w14:paraId="56A6A09F" w14:textId="77777777" w:rsidR="00B33542" w:rsidRPr="005071A1" w:rsidRDefault="00B33542" w:rsidP="009B7AF5">
            <w:pPr>
              <w:pStyle w:val="Tabletext"/>
            </w:pPr>
          </w:p>
        </w:tc>
        <w:tc>
          <w:tcPr>
            <w:tcW w:w="1701" w:type="dxa"/>
            <w:shd w:val="clear" w:color="auto" w:fill="auto"/>
          </w:tcPr>
          <w:p w14:paraId="516CE1E8" w14:textId="77777777" w:rsidR="00B33542" w:rsidRPr="005071A1" w:rsidRDefault="00B33542" w:rsidP="009B7AF5">
            <w:pPr>
              <w:pStyle w:val="Tabletext"/>
            </w:pPr>
          </w:p>
        </w:tc>
        <w:tc>
          <w:tcPr>
            <w:tcW w:w="1659" w:type="dxa"/>
            <w:shd w:val="clear" w:color="auto" w:fill="auto"/>
          </w:tcPr>
          <w:p w14:paraId="59235B92" w14:textId="77777777" w:rsidR="00B33542" w:rsidRPr="005071A1" w:rsidRDefault="00B33542" w:rsidP="009B7AF5">
            <w:pPr>
              <w:pStyle w:val="Tabletext"/>
            </w:pPr>
          </w:p>
        </w:tc>
      </w:tr>
      <w:tr w:rsidR="00B33542" w:rsidRPr="005071A1" w14:paraId="5BD3457C" w14:textId="77777777" w:rsidTr="009B7AF5">
        <w:tc>
          <w:tcPr>
            <w:tcW w:w="1824" w:type="dxa"/>
            <w:shd w:val="clear" w:color="auto" w:fill="auto"/>
          </w:tcPr>
          <w:p w14:paraId="19A4768F" w14:textId="77777777" w:rsidR="00B33542" w:rsidRPr="005071A1" w:rsidRDefault="00B33542" w:rsidP="009B7AF5">
            <w:pPr>
              <w:pStyle w:val="Tabletext"/>
            </w:pPr>
            <w:r w:rsidRPr="005071A1">
              <w:t>38</w:t>
            </w:r>
          </w:p>
        </w:tc>
        <w:tc>
          <w:tcPr>
            <w:tcW w:w="1824" w:type="dxa"/>
            <w:shd w:val="clear" w:color="auto" w:fill="auto"/>
          </w:tcPr>
          <w:p w14:paraId="55651C6C" w14:textId="77777777" w:rsidR="00B33542" w:rsidRPr="005071A1" w:rsidRDefault="00B33542" w:rsidP="009B7AF5">
            <w:pPr>
              <w:pStyle w:val="Tabletext"/>
            </w:pPr>
            <w:r w:rsidRPr="005071A1">
              <w:t>0.64</w:t>
            </w:r>
          </w:p>
        </w:tc>
        <w:tc>
          <w:tcPr>
            <w:tcW w:w="288" w:type="dxa"/>
            <w:shd w:val="clear" w:color="auto" w:fill="auto"/>
          </w:tcPr>
          <w:p w14:paraId="23003839" w14:textId="77777777" w:rsidR="00B33542" w:rsidRPr="005071A1" w:rsidRDefault="00B33542" w:rsidP="009B7AF5">
            <w:pPr>
              <w:pStyle w:val="Tabletext"/>
            </w:pPr>
          </w:p>
        </w:tc>
        <w:tc>
          <w:tcPr>
            <w:tcW w:w="1701" w:type="dxa"/>
            <w:shd w:val="clear" w:color="auto" w:fill="auto"/>
          </w:tcPr>
          <w:p w14:paraId="5A79A624" w14:textId="77777777" w:rsidR="00B33542" w:rsidRPr="005071A1" w:rsidRDefault="00B33542" w:rsidP="009B7AF5">
            <w:pPr>
              <w:pStyle w:val="Tabletext"/>
            </w:pPr>
          </w:p>
        </w:tc>
        <w:tc>
          <w:tcPr>
            <w:tcW w:w="1659" w:type="dxa"/>
            <w:shd w:val="clear" w:color="auto" w:fill="auto"/>
          </w:tcPr>
          <w:p w14:paraId="07E79F34" w14:textId="77777777" w:rsidR="00B33542" w:rsidRPr="005071A1" w:rsidRDefault="00B33542" w:rsidP="009B7AF5">
            <w:pPr>
              <w:pStyle w:val="Tabletext"/>
            </w:pPr>
          </w:p>
        </w:tc>
      </w:tr>
      <w:tr w:rsidR="00B33542" w:rsidRPr="005071A1" w14:paraId="17DC12EC" w14:textId="77777777" w:rsidTr="009B7AF5">
        <w:tc>
          <w:tcPr>
            <w:tcW w:w="1824" w:type="dxa"/>
            <w:tcBorders>
              <w:bottom w:val="single" w:sz="4" w:space="0" w:color="auto"/>
            </w:tcBorders>
            <w:shd w:val="clear" w:color="auto" w:fill="auto"/>
          </w:tcPr>
          <w:p w14:paraId="531D9DB5" w14:textId="77777777" w:rsidR="00B33542" w:rsidRPr="005071A1" w:rsidRDefault="00B33542" w:rsidP="009B7AF5">
            <w:pPr>
              <w:pStyle w:val="Tabletext"/>
            </w:pPr>
            <w:r w:rsidRPr="005071A1">
              <w:t>39</w:t>
            </w:r>
          </w:p>
        </w:tc>
        <w:tc>
          <w:tcPr>
            <w:tcW w:w="1824" w:type="dxa"/>
            <w:tcBorders>
              <w:bottom w:val="single" w:sz="4" w:space="0" w:color="auto"/>
            </w:tcBorders>
            <w:shd w:val="clear" w:color="auto" w:fill="auto"/>
          </w:tcPr>
          <w:p w14:paraId="323805AB" w14:textId="77777777" w:rsidR="00B33542" w:rsidRPr="005071A1" w:rsidRDefault="00B33542" w:rsidP="009B7AF5">
            <w:pPr>
              <w:pStyle w:val="Tabletext"/>
            </w:pPr>
            <w:r w:rsidRPr="005071A1">
              <w:t>0.68</w:t>
            </w:r>
          </w:p>
        </w:tc>
        <w:tc>
          <w:tcPr>
            <w:tcW w:w="288" w:type="dxa"/>
            <w:tcBorders>
              <w:bottom w:val="single" w:sz="4" w:space="0" w:color="auto"/>
            </w:tcBorders>
            <w:shd w:val="clear" w:color="auto" w:fill="auto"/>
          </w:tcPr>
          <w:p w14:paraId="2A3E2D97" w14:textId="77777777" w:rsidR="00B33542" w:rsidRPr="005071A1" w:rsidRDefault="00B33542" w:rsidP="009B7AF5">
            <w:pPr>
              <w:pStyle w:val="Tabletext"/>
            </w:pPr>
          </w:p>
        </w:tc>
        <w:tc>
          <w:tcPr>
            <w:tcW w:w="1701" w:type="dxa"/>
            <w:tcBorders>
              <w:bottom w:val="single" w:sz="4" w:space="0" w:color="auto"/>
            </w:tcBorders>
            <w:shd w:val="clear" w:color="auto" w:fill="auto"/>
          </w:tcPr>
          <w:p w14:paraId="2E67C3BC" w14:textId="77777777" w:rsidR="00B33542" w:rsidRPr="005071A1" w:rsidRDefault="00B33542" w:rsidP="009B7AF5">
            <w:pPr>
              <w:pStyle w:val="Tabletext"/>
            </w:pPr>
          </w:p>
        </w:tc>
        <w:tc>
          <w:tcPr>
            <w:tcW w:w="1659" w:type="dxa"/>
            <w:tcBorders>
              <w:bottom w:val="single" w:sz="4" w:space="0" w:color="auto"/>
            </w:tcBorders>
            <w:shd w:val="clear" w:color="auto" w:fill="auto"/>
          </w:tcPr>
          <w:p w14:paraId="5DCCE0E1" w14:textId="77777777" w:rsidR="00B33542" w:rsidRPr="005071A1" w:rsidRDefault="00B33542" w:rsidP="009B7AF5">
            <w:pPr>
              <w:pStyle w:val="Tabletext"/>
            </w:pPr>
          </w:p>
        </w:tc>
      </w:tr>
      <w:tr w:rsidR="00B33542" w:rsidRPr="005071A1" w14:paraId="202A44A8" w14:textId="77777777" w:rsidTr="009B7AF5">
        <w:tc>
          <w:tcPr>
            <w:tcW w:w="1824" w:type="dxa"/>
            <w:tcBorders>
              <w:bottom w:val="single" w:sz="12" w:space="0" w:color="auto"/>
            </w:tcBorders>
            <w:shd w:val="clear" w:color="auto" w:fill="auto"/>
          </w:tcPr>
          <w:p w14:paraId="70CEB2E3" w14:textId="77777777" w:rsidR="00B33542" w:rsidRPr="005071A1" w:rsidRDefault="00B33542" w:rsidP="009B7AF5">
            <w:pPr>
              <w:pStyle w:val="Tabletext"/>
            </w:pPr>
            <w:r w:rsidRPr="005071A1">
              <w:t>40</w:t>
            </w:r>
          </w:p>
        </w:tc>
        <w:tc>
          <w:tcPr>
            <w:tcW w:w="1824" w:type="dxa"/>
            <w:tcBorders>
              <w:bottom w:val="single" w:sz="12" w:space="0" w:color="auto"/>
            </w:tcBorders>
            <w:shd w:val="clear" w:color="auto" w:fill="auto"/>
          </w:tcPr>
          <w:p w14:paraId="44B18F6C" w14:textId="77777777" w:rsidR="00B33542" w:rsidRPr="005071A1" w:rsidRDefault="00B33542" w:rsidP="009B7AF5">
            <w:pPr>
              <w:pStyle w:val="Tabletext"/>
            </w:pPr>
            <w:r w:rsidRPr="005071A1">
              <w:t>0.74</w:t>
            </w:r>
          </w:p>
        </w:tc>
        <w:tc>
          <w:tcPr>
            <w:tcW w:w="288" w:type="dxa"/>
            <w:tcBorders>
              <w:bottom w:val="single" w:sz="12" w:space="0" w:color="auto"/>
            </w:tcBorders>
            <w:shd w:val="clear" w:color="auto" w:fill="auto"/>
          </w:tcPr>
          <w:p w14:paraId="6AD7FDDF" w14:textId="77777777" w:rsidR="00B33542" w:rsidRPr="005071A1" w:rsidRDefault="00B33542" w:rsidP="009B7AF5">
            <w:pPr>
              <w:pStyle w:val="Tabletext"/>
            </w:pPr>
          </w:p>
        </w:tc>
        <w:tc>
          <w:tcPr>
            <w:tcW w:w="1701" w:type="dxa"/>
            <w:tcBorders>
              <w:bottom w:val="single" w:sz="12" w:space="0" w:color="auto"/>
            </w:tcBorders>
            <w:shd w:val="clear" w:color="auto" w:fill="auto"/>
          </w:tcPr>
          <w:p w14:paraId="7B333378" w14:textId="77777777" w:rsidR="00B33542" w:rsidRPr="005071A1" w:rsidRDefault="00B33542" w:rsidP="009B7AF5">
            <w:pPr>
              <w:pStyle w:val="Tabletext"/>
            </w:pPr>
          </w:p>
        </w:tc>
        <w:tc>
          <w:tcPr>
            <w:tcW w:w="1659" w:type="dxa"/>
            <w:tcBorders>
              <w:bottom w:val="single" w:sz="12" w:space="0" w:color="auto"/>
            </w:tcBorders>
            <w:shd w:val="clear" w:color="auto" w:fill="auto"/>
          </w:tcPr>
          <w:p w14:paraId="764A6C51" w14:textId="77777777" w:rsidR="00B33542" w:rsidRPr="005071A1" w:rsidRDefault="00B33542" w:rsidP="009B7AF5">
            <w:pPr>
              <w:pStyle w:val="Tabletext"/>
            </w:pPr>
          </w:p>
        </w:tc>
      </w:tr>
    </w:tbl>
    <w:p w14:paraId="1098A3CC" w14:textId="77777777" w:rsidR="00B33542" w:rsidRPr="005071A1" w:rsidRDefault="00B33542" w:rsidP="00674A0D">
      <w:pPr>
        <w:pStyle w:val="ActHead5"/>
        <w:pageBreakBefore/>
      </w:pPr>
      <w:bookmarkStart w:id="292" w:name="_Toc185577674"/>
      <w:r w:rsidRPr="005071A1">
        <w:lastRenderedPageBreak/>
        <w:t>Table V</w:t>
      </w:r>
      <w:bookmarkEnd w:id="292"/>
    </w:p>
    <w:p w14:paraId="4AD07684" w14:textId="77777777" w:rsidR="00B33542" w:rsidRPr="005071A1" w:rsidRDefault="00B33542" w:rsidP="00B33542">
      <w:pPr>
        <w:spacing w:before="120"/>
      </w:pPr>
      <w:r w:rsidRPr="005071A1">
        <w:t>Rates of contribution to be paid fortnightly by male contributors for units of pension based on a retiring age of 65 years and the age next birthday of the contributor when the obligation to contribute for those units came into existence</w:t>
      </w:r>
    </w:p>
    <w:p w14:paraId="3A5F82A4"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24"/>
        <w:gridCol w:w="1824"/>
        <w:gridCol w:w="1824"/>
        <w:gridCol w:w="1824"/>
      </w:tblGrid>
      <w:tr w:rsidR="00B33542" w:rsidRPr="005071A1" w14:paraId="1E0CB06D" w14:textId="77777777" w:rsidTr="009B7AF5">
        <w:trPr>
          <w:tblHeader/>
        </w:trPr>
        <w:tc>
          <w:tcPr>
            <w:tcW w:w="1824" w:type="dxa"/>
            <w:tcBorders>
              <w:top w:val="single" w:sz="12" w:space="0" w:color="auto"/>
              <w:bottom w:val="single" w:sz="6" w:space="0" w:color="auto"/>
            </w:tcBorders>
            <w:shd w:val="clear" w:color="auto" w:fill="auto"/>
          </w:tcPr>
          <w:p w14:paraId="7D239B80" w14:textId="77777777" w:rsidR="00B33542" w:rsidRPr="005071A1" w:rsidRDefault="00B33542" w:rsidP="009B7AF5">
            <w:pPr>
              <w:pStyle w:val="TableHeading"/>
            </w:pPr>
            <w:r w:rsidRPr="005071A1">
              <w:t>Column 1</w:t>
            </w:r>
          </w:p>
        </w:tc>
        <w:tc>
          <w:tcPr>
            <w:tcW w:w="1824" w:type="dxa"/>
            <w:tcBorders>
              <w:top w:val="single" w:sz="12" w:space="0" w:color="auto"/>
              <w:bottom w:val="single" w:sz="6" w:space="0" w:color="auto"/>
            </w:tcBorders>
            <w:shd w:val="clear" w:color="auto" w:fill="auto"/>
          </w:tcPr>
          <w:p w14:paraId="5A117A1B" w14:textId="77777777" w:rsidR="00B33542" w:rsidRPr="005071A1" w:rsidRDefault="00B33542" w:rsidP="009B7AF5">
            <w:pPr>
              <w:pStyle w:val="TableHeading"/>
            </w:pPr>
            <w:r w:rsidRPr="005071A1">
              <w:t>Column 2</w:t>
            </w:r>
          </w:p>
        </w:tc>
        <w:tc>
          <w:tcPr>
            <w:tcW w:w="1824" w:type="dxa"/>
            <w:tcBorders>
              <w:top w:val="single" w:sz="12" w:space="0" w:color="auto"/>
              <w:bottom w:val="single" w:sz="6" w:space="0" w:color="auto"/>
            </w:tcBorders>
            <w:shd w:val="clear" w:color="auto" w:fill="auto"/>
          </w:tcPr>
          <w:p w14:paraId="6B863A58" w14:textId="77777777" w:rsidR="00B33542" w:rsidRPr="005071A1" w:rsidRDefault="00B33542" w:rsidP="009B7AF5">
            <w:pPr>
              <w:pStyle w:val="TableHeading"/>
            </w:pPr>
            <w:r w:rsidRPr="005071A1">
              <w:t>Column 3</w:t>
            </w:r>
          </w:p>
        </w:tc>
        <w:tc>
          <w:tcPr>
            <w:tcW w:w="1824" w:type="dxa"/>
            <w:tcBorders>
              <w:top w:val="single" w:sz="12" w:space="0" w:color="auto"/>
              <w:bottom w:val="single" w:sz="6" w:space="0" w:color="auto"/>
            </w:tcBorders>
            <w:shd w:val="clear" w:color="auto" w:fill="auto"/>
          </w:tcPr>
          <w:p w14:paraId="17792853" w14:textId="77777777" w:rsidR="00B33542" w:rsidRPr="005071A1" w:rsidRDefault="00B33542" w:rsidP="009B7AF5">
            <w:pPr>
              <w:pStyle w:val="TableHeading"/>
            </w:pPr>
            <w:r w:rsidRPr="005071A1">
              <w:t>Column 4</w:t>
            </w:r>
          </w:p>
        </w:tc>
      </w:tr>
      <w:tr w:rsidR="00B33542" w:rsidRPr="005071A1" w14:paraId="1F1FCF12" w14:textId="77777777" w:rsidTr="009B7AF5">
        <w:trPr>
          <w:tblHeader/>
        </w:trPr>
        <w:tc>
          <w:tcPr>
            <w:tcW w:w="1824" w:type="dxa"/>
            <w:tcBorders>
              <w:top w:val="single" w:sz="6" w:space="0" w:color="auto"/>
              <w:bottom w:val="single" w:sz="6" w:space="0" w:color="auto"/>
            </w:tcBorders>
            <w:shd w:val="clear" w:color="auto" w:fill="auto"/>
          </w:tcPr>
          <w:p w14:paraId="67D908E2" w14:textId="77777777" w:rsidR="00B33542" w:rsidRPr="005071A1" w:rsidRDefault="00B33542" w:rsidP="00E12150">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824" w:type="dxa"/>
            <w:tcBorders>
              <w:top w:val="single" w:sz="6" w:space="0" w:color="auto"/>
              <w:bottom w:val="single" w:sz="6" w:space="0" w:color="auto"/>
            </w:tcBorders>
            <w:shd w:val="clear" w:color="auto" w:fill="auto"/>
          </w:tcPr>
          <w:p w14:paraId="0C36A44A" w14:textId="77777777" w:rsidR="00B33542" w:rsidRPr="005071A1" w:rsidRDefault="00B33542" w:rsidP="00E12150">
            <w:pPr>
              <w:pStyle w:val="TableHeading"/>
              <w:spacing w:before="40" w:after="40" w:line="180" w:lineRule="atLeast"/>
              <w:rPr>
                <w:sz w:val="16"/>
                <w:szCs w:val="16"/>
              </w:rPr>
            </w:pPr>
            <w:r w:rsidRPr="005071A1">
              <w:rPr>
                <w:sz w:val="16"/>
                <w:szCs w:val="16"/>
              </w:rPr>
              <w:t>Contribution for First Two Units, where the Obligation to Contribute for those Units came into existence after 2nd November, 1942, and before 14th December, 1959</w:t>
            </w:r>
          </w:p>
        </w:tc>
        <w:tc>
          <w:tcPr>
            <w:tcW w:w="1824" w:type="dxa"/>
            <w:tcBorders>
              <w:top w:val="single" w:sz="6" w:space="0" w:color="auto"/>
              <w:bottom w:val="single" w:sz="6" w:space="0" w:color="auto"/>
            </w:tcBorders>
            <w:shd w:val="clear" w:color="auto" w:fill="auto"/>
          </w:tcPr>
          <w:p w14:paraId="27496AB9" w14:textId="77777777" w:rsidR="00B33542" w:rsidRPr="005071A1" w:rsidRDefault="00B33542" w:rsidP="00E12150">
            <w:pPr>
              <w:pStyle w:val="TableHeading"/>
              <w:spacing w:before="40" w:after="40" w:line="180" w:lineRule="atLeast"/>
              <w:rPr>
                <w:sz w:val="16"/>
                <w:szCs w:val="16"/>
              </w:rPr>
            </w:pPr>
            <w:r w:rsidRPr="005071A1">
              <w:rPr>
                <w:sz w:val="16"/>
                <w:szCs w:val="16"/>
              </w:rPr>
              <w:t xml:space="preserve">Contribution for each Additional Two Units where Contributor is already a Contributor for Two or more Units and the Obligation to Contribute for those Additional Units came into existence after </w:t>
            </w:r>
            <w:smartTag w:uri="urn:schemas-microsoft-com:office:smarttags" w:element="date">
              <w:smartTagPr>
                <w:attr w:name="Year" w:val="1942"/>
                <w:attr w:name="Day" w:val="2"/>
                <w:attr w:name="Month" w:val="11"/>
              </w:smartTagPr>
              <w:r w:rsidRPr="005071A1">
                <w:rPr>
                  <w:sz w:val="16"/>
                  <w:szCs w:val="16"/>
                </w:rPr>
                <w:t>2nd November, 1942</w:t>
              </w:r>
            </w:smartTag>
            <w:r w:rsidRPr="005071A1">
              <w:rPr>
                <w:sz w:val="16"/>
                <w:szCs w:val="16"/>
              </w:rPr>
              <w:t xml:space="preserve">, and before </w:t>
            </w:r>
            <w:smartTag w:uri="urn:schemas-microsoft-com:office:smarttags" w:element="date">
              <w:smartTagPr>
                <w:attr w:name="Year" w:val="1951"/>
                <w:attr w:name="Day" w:val="1"/>
                <w:attr w:name="Month" w:val="11"/>
              </w:smartTagPr>
              <w:r w:rsidRPr="005071A1">
                <w:rPr>
                  <w:sz w:val="16"/>
                  <w:szCs w:val="16"/>
                </w:rPr>
                <w:t>1st November, 1951</w:t>
              </w:r>
            </w:smartTag>
          </w:p>
        </w:tc>
        <w:tc>
          <w:tcPr>
            <w:tcW w:w="1824" w:type="dxa"/>
            <w:tcBorders>
              <w:top w:val="single" w:sz="6" w:space="0" w:color="auto"/>
              <w:bottom w:val="single" w:sz="6" w:space="0" w:color="auto"/>
            </w:tcBorders>
            <w:shd w:val="clear" w:color="auto" w:fill="auto"/>
          </w:tcPr>
          <w:p w14:paraId="46900BC1" w14:textId="77777777" w:rsidR="00B33542" w:rsidRPr="005071A1" w:rsidRDefault="00B33542" w:rsidP="00E12150">
            <w:pPr>
              <w:pStyle w:val="TableHeading"/>
              <w:spacing w:before="40" w:after="40" w:line="180" w:lineRule="atLeast"/>
              <w:rPr>
                <w:sz w:val="16"/>
                <w:szCs w:val="16"/>
              </w:rPr>
            </w:pPr>
            <w:r w:rsidRPr="005071A1">
              <w:rPr>
                <w:sz w:val="16"/>
                <w:szCs w:val="16"/>
              </w:rPr>
              <w:t>Contribution for each Additional Unit where Contributor is already a Contributor for Two or more Units and the Obligation to Contribute for that Additional Unit came into existence on or after 1st November, 1951, and before 14th December 1959</w:t>
            </w:r>
          </w:p>
        </w:tc>
      </w:tr>
      <w:tr w:rsidR="00B33542" w:rsidRPr="005071A1" w14:paraId="022DC345" w14:textId="77777777" w:rsidTr="009B7AF5">
        <w:trPr>
          <w:tblHeader/>
        </w:trPr>
        <w:tc>
          <w:tcPr>
            <w:tcW w:w="1824" w:type="dxa"/>
            <w:tcBorders>
              <w:top w:val="single" w:sz="6" w:space="0" w:color="auto"/>
              <w:bottom w:val="single" w:sz="12" w:space="0" w:color="auto"/>
            </w:tcBorders>
            <w:shd w:val="clear" w:color="auto" w:fill="auto"/>
          </w:tcPr>
          <w:p w14:paraId="2257A4DB" w14:textId="77777777" w:rsidR="00B33542" w:rsidRPr="005071A1" w:rsidRDefault="00B33542" w:rsidP="00C35CF0">
            <w:pPr>
              <w:pStyle w:val="TableHeading"/>
            </w:pPr>
          </w:p>
        </w:tc>
        <w:tc>
          <w:tcPr>
            <w:tcW w:w="1824" w:type="dxa"/>
            <w:tcBorders>
              <w:top w:val="single" w:sz="6" w:space="0" w:color="auto"/>
              <w:bottom w:val="single" w:sz="12" w:space="0" w:color="auto"/>
            </w:tcBorders>
            <w:shd w:val="clear" w:color="auto" w:fill="auto"/>
          </w:tcPr>
          <w:p w14:paraId="175C2BB2" w14:textId="77777777" w:rsidR="00B33542" w:rsidRPr="005071A1" w:rsidRDefault="00B33542" w:rsidP="00C35CF0">
            <w:pPr>
              <w:pStyle w:val="TableHeading"/>
            </w:pPr>
            <w:r w:rsidRPr="005071A1">
              <w:t>$</w:t>
            </w:r>
          </w:p>
        </w:tc>
        <w:tc>
          <w:tcPr>
            <w:tcW w:w="1824" w:type="dxa"/>
            <w:tcBorders>
              <w:top w:val="single" w:sz="6" w:space="0" w:color="auto"/>
              <w:bottom w:val="single" w:sz="12" w:space="0" w:color="auto"/>
            </w:tcBorders>
            <w:shd w:val="clear" w:color="auto" w:fill="auto"/>
          </w:tcPr>
          <w:p w14:paraId="4604FFBD" w14:textId="77777777" w:rsidR="00B33542" w:rsidRPr="005071A1" w:rsidRDefault="00B33542" w:rsidP="00C35CF0">
            <w:pPr>
              <w:pStyle w:val="TableHeading"/>
            </w:pPr>
            <w:r w:rsidRPr="005071A1">
              <w:t>$</w:t>
            </w:r>
          </w:p>
        </w:tc>
        <w:tc>
          <w:tcPr>
            <w:tcW w:w="1824" w:type="dxa"/>
            <w:tcBorders>
              <w:top w:val="single" w:sz="6" w:space="0" w:color="auto"/>
              <w:bottom w:val="single" w:sz="12" w:space="0" w:color="auto"/>
            </w:tcBorders>
            <w:shd w:val="clear" w:color="auto" w:fill="auto"/>
          </w:tcPr>
          <w:p w14:paraId="48D3D8B7" w14:textId="77777777" w:rsidR="00B33542" w:rsidRPr="005071A1" w:rsidRDefault="00B33542" w:rsidP="00C35CF0">
            <w:pPr>
              <w:pStyle w:val="TableHeading"/>
            </w:pPr>
            <w:r w:rsidRPr="005071A1">
              <w:t>$</w:t>
            </w:r>
          </w:p>
        </w:tc>
      </w:tr>
      <w:tr w:rsidR="00B33542" w:rsidRPr="005071A1" w14:paraId="10039B2E" w14:textId="77777777" w:rsidTr="009B7AF5">
        <w:tc>
          <w:tcPr>
            <w:tcW w:w="1824" w:type="dxa"/>
            <w:tcBorders>
              <w:top w:val="single" w:sz="12" w:space="0" w:color="auto"/>
            </w:tcBorders>
            <w:shd w:val="clear" w:color="auto" w:fill="auto"/>
          </w:tcPr>
          <w:p w14:paraId="30A8D8ED" w14:textId="77777777" w:rsidR="00B33542" w:rsidRPr="005071A1" w:rsidRDefault="00B33542" w:rsidP="009B7AF5">
            <w:pPr>
              <w:pStyle w:val="Tabletext"/>
            </w:pPr>
            <w:r w:rsidRPr="005071A1">
              <w:t>15</w:t>
            </w:r>
          </w:p>
        </w:tc>
        <w:tc>
          <w:tcPr>
            <w:tcW w:w="1824" w:type="dxa"/>
            <w:tcBorders>
              <w:top w:val="single" w:sz="12" w:space="0" w:color="auto"/>
            </w:tcBorders>
            <w:shd w:val="clear" w:color="auto" w:fill="auto"/>
          </w:tcPr>
          <w:p w14:paraId="5896D20B" w14:textId="77777777" w:rsidR="00B33542" w:rsidRPr="005071A1" w:rsidRDefault="00B33542" w:rsidP="009B7AF5">
            <w:pPr>
              <w:pStyle w:val="Tabletext"/>
            </w:pPr>
            <w:r w:rsidRPr="005071A1">
              <w:t>0.22</w:t>
            </w:r>
          </w:p>
        </w:tc>
        <w:tc>
          <w:tcPr>
            <w:tcW w:w="1824" w:type="dxa"/>
            <w:tcBorders>
              <w:top w:val="single" w:sz="12" w:space="0" w:color="auto"/>
            </w:tcBorders>
            <w:shd w:val="clear" w:color="auto" w:fill="auto"/>
          </w:tcPr>
          <w:p w14:paraId="2D04C797" w14:textId="77777777" w:rsidR="00B33542" w:rsidRPr="005071A1" w:rsidRDefault="00B33542" w:rsidP="009B7AF5">
            <w:pPr>
              <w:pStyle w:val="Tabletext"/>
            </w:pPr>
            <w:r w:rsidRPr="005071A1">
              <w:t>0.20</w:t>
            </w:r>
          </w:p>
        </w:tc>
        <w:tc>
          <w:tcPr>
            <w:tcW w:w="1824" w:type="dxa"/>
            <w:tcBorders>
              <w:top w:val="single" w:sz="12" w:space="0" w:color="auto"/>
            </w:tcBorders>
            <w:shd w:val="clear" w:color="auto" w:fill="auto"/>
          </w:tcPr>
          <w:p w14:paraId="2B69AC4C" w14:textId="77777777" w:rsidR="00B33542" w:rsidRPr="005071A1" w:rsidRDefault="00B33542" w:rsidP="009B7AF5">
            <w:pPr>
              <w:pStyle w:val="Tabletext"/>
            </w:pPr>
            <w:r w:rsidRPr="005071A1">
              <w:t>0.10</w:t>
            </w:r>
          </w:p>
        </w:tc>
      </w:tr>
      <w:tr w:rsidR="00B33542" w:rsidRPr="005071A1" w14:paraId="590DEC28" w14:textId="77777777" w:rsidTr="009B7AF5">
        <w:tc>
          <w:tcPr>
            <w:tcW w:w="1824" w:type="dxa"/>
            <w:shd w:val="clear" w:color="auto" w:fill="auto"/>
          </w:tcPr>
          <w:p w14:paraId="7564F6B2" w14:textId="77777777" w:rsidR="00B33542" w:rsidRPr="005071A1" w:rsidRDefault="00B33542" w:rsidP="009B7AF5">
            <w:pPr>
              <w:pStyle w:val="Tabletext"/>
            </w:pPr>
            <w:r w:rsidRPr="005071A1">
              <w:t>16</w:t>
            </w:r>
          </w:p>
        </w:tc>
        <w:tc>
          <w:tcPr>
            <w:tcW w:w="1824" w:type="dxa"/>
            <w:shd w:val="clear" w:color="auto" w:fill="auto"/>
          </w:tcPr>
          <w:p w14:paraId="3D58F357" w14:textId="77777777" w:rsidR="00B33542" w:rsidRPr="005071A1" w:rsidRDefault="00B33542" w:rsidP="009B7AF5">
            <w:pPr>
              <w:pStyle w:val="Tabletext"/>
            </w:pPr>
            <w:r w:rsidRPr="005071A1">
              <w:t>0.22</w:t>
            </w:r>
          </w:p>
        </w:tc>
        <w:tc>
          <w:tcPr>
            <w:tcW w:w="1824" w:type="dxa"/>
            <w:shd w:val="clear" w:color="auto" w:fill="auto"/>
          </w:tcPr>
          <w:p w14:paraId="187C2102" w14:textId="77777777" w:rsidR="00B33542" w:rsidRPr="005071A1" w:rsidRDefault="00B33542" w:rsidP="009B7AF5">
            <w:pPr>
              <w:pStyle w:val="Tabletext"/>
            </w:pPr>
            <w:r w:rsidRPr="005071A1">
              <w:t>0.20</w:t>
            </w:r>
          </w:p>
        </w:tc>
        <w:tc>
          <w:tcPr>
            <w:tcW w:w="1824" w:type="dxa"/>
            <w:shd w:val="clear" w:color="auto" w:fill="auto"/>
          </w:tcPr>
          <w:p w14:paraId="6D0AF961" w14:textId="77777777" w:rsidR="00B33542" w:rsidRPr="005071A1" w:rsidRDefault="00B33542" w:rsidP="009B7AF5">
            <w:pPr>
              <w:pStyle w:val="Tabletext"/>
            </w:pPr>
            <w:r w:rsidRPr="005071A1">
              <w:t>0.10</w:t>
            </w:r>
          </w:p>
        </w:tc>
      </w:tr>
      <w:tr w:rsidR="00B33542" w:rsidRPr="005071A1" w14:paraId="3D2291D1" w14:textId="77777777" w:rsidTr="009B7AF5">
        <w:tc>
          <w:tcPr>
            <w:tcW w:w="1824" w:type="dxa"/>
            <w:shd w:val="clear" w:color="auto" w:fill="auto"/>
          </w:tcPr>
          <w:p w14:paraId="0629A65B" w14:textId="77777777" w:rsidR="00B33542" w:rsidRPr="005071A1" w:rsidRDefault="00B33542" w:rsidP="009B7AF5">
            <w:pPr>
              <w:pStyle w:val="Tabletext"/>
            </w:pPr>
            <w:r w:rsidRPr="005071A1">
              <w:t>17</w:t>
            </w:r>
          </w:p>
        </w:tc>
        <w:tc>
          <w:tcPr>
            <w:tcW w:w="1824" w:type="dxa"/>
            <w:shd w:val="clear" w:color="auto" w:fill="auto"/>
          </w:tcPr>
          <w:p w14:paraId="06DFB326" w14:textId="77777777" w:rsidR="00B33542" w:rsidRPr="005071A1" w:rsidRDefault="00B33542" w:rsidP="009B7AF5">
            <w:pPr>
              <w:pStyle w:val="Tabletext"/>
            </w:pPr>
            <w:r w:rsidRPr="005071A1">
              <w:t>0.24</w:t>
            </w:r>
          </w:p>
        </w:tc>
        <w:tc>
          <w:tcPr>
            <w:tcW w:w="1824" w:type="dxa"/>
            <w:shd w:val="clear" w:color="auto" w:fill="auto"/>
          </w:tcPr>
          <w:p w14:paraId="4EE87439" w14:textId="77777777" w:rsidR="00B33542" w:rsidRPr="005071A1" w:rsidRDefault="00B33542" w:rsidP="009B7AF5">
            <w:pPr>
              <w:pStyle w:val="Tabletext"/>
            </w:pPr>
            <w:r w:rsidRPr="005071A1">
              <w:t>0.22</w:t>
            </w:r>
          </w:p>
        </w:tc>
        <w:tc>
          <w:tcPr>
            <w:tcW w:w="1824" w:type="dxa"/>
            <w:shd w:val="clear" w:color="auto" w:fill="auto"/>
          </w:tcPr>
          <w:p w14:paraId="46BF8A1F" w14:textId="77777777" w:rsidR="00B33542" w:rsidRPr="005071A1" w:rsidRDefault="00B33542" w:rsidP="009B7AF5">
            <w:pPr>
              <w:pStyle w:val="Tabletext"/>
            </w:pPr>
            <w:r w:rsidRPr="005071A1">
              <w:t>0.11</w:t>
            </w:r>
          </w:p>
        </w:tc>
      </w:tr>
      <w:tr w:rsidR="00B33542" w:rsidRPr="005071A1" w14:paraId="3B2F4B0D" w14:textId="77777777" w:rsidTr="009B7AF5">
        <w:tc>
          <w:tcPr>
            <w:tcW w:w="1824" w:type="dxa"/>
            <w:shd w:val="clear" w:color="auto" w:fill="auto"/>
          </w:tcPr>
          <w:p w14:paraId="7240CE7F" w14:textId="77777777" w:rsidR="00B33542" w:rsidRPr="005071A1" w:rsidRDefault="00B33542" w:rsidP="009B7AF5">
            <w:pPr>
              <w:pStyle w:val="Tabletext"/>
            </w:pPr>
            <w:r w:rsidRPr="005071A1">
              <w:t>18</w:t>
            </w:r>
          </w:p>
        </w:tc>
        <w:tc>
          <w:tcPr>
            <w:tcW w:w="1824" w:type="dxa"/>
            <w:shd w:val="clear" w:color="auto" w:fill="auto"/>
          </w:tcPr>
          <w:p w14:paraId="3B3EDA98" w14:textId="77777777" w:rsidR="00B33542" w:rsidRPr="005071A1" w:rsidRDefault="00B33542" w:rsidP="009B7AF5">
            <w:pPr>
              <w:pStyle w:val="Tabletext"/>
            </w:pPr>
            <w:r w:rsidRPr="005071A1">
              <w:t>0.24</w:t>
            </w:r>
          </w:p>
        </w:tc>
        <w:tc>
          <w:tcPr>
            <w:tcW w:w="1824" w:type="dxa"/>
            <w:shd w:val="clear" w:color="auto" w:fill="auto"/>
          </w:tcPr>
          <w:p w14:paraId="7554C7D1" w14:textId="77777777" w:rsidR="00B33542" w:rsidRPr="005071A1" w:rsidRDefault="00B33542" w:rsidP="009B7AF5">
            <w:pPr>
              <w:pStyle w:val="Tabletext"/>
            </w:pPr>
            <w:r w:rsidRPr="005071A1">
              <w:t>0.22</w:t>
            </w:r>
          </w:p>
        </w:tc>
        <w:tc>
          <w:tcPr>
            <w:tcW w:w="1824" w:type="dxa"/>
            <w:shd w:val="clear" w:color="auto" w:fill="auto"/>
          </w:tcPr>
          <w:p w14:paraId="50828B85" w14:textId="77777777" w:rsidR="00B33542" w:rsidRPr="005071A1" w:rsidRDefault="00B33542" w:rsidP="009B7AF5">
            <w:pPr>
              <w:pStyle w:val="Tabletext"/>
            </w:pPr>
            <w:r w:rsidRPr="005071A1">
              <w:t>0.11</w:t>
            </w:r>
          </w:p>
        </w:tc>
      </w:tr>
      <w:tr w:rsidR="00B33542" w:rsidRPr="005071A1" w14:paraId="1A57CC2C" w14:textId="77777777" w:rsidTr="009B7AF5">
        <w:tc>
          <w:tcPr>
            <w:tcW w:w="1824" w:type="dxa"/>
            <w:shd w:val="clear" w:color="auto" w:fill="auto"/>
          </w:tcPr>
          <w:p w14:paraId="205F147B" w14:textId="77777777" w:rsidR="00B33542" w:rsidRPr="005071A1" w:rsidRDefault="00B33542" w:rsidP="009B7AF5">
            <w:pPr>
              <w:pStyle w:val="Tabletext"/>
            </w:pPr>
            <w:r w:rsidRPr="005071A1">
              <w:t>19</w:t>
            </w:r>
          </w:p>
        </w:tc>
        <w:tc>
          <w:tcPr>
            <w:tcW w:w="1824" w:type="dxa"/>
            <w:shd w:val="clear" w:color="auto" w:fill="auto"/>
          </w:tcPr>
          <w:p w14:paraId="7AA17597" w14:textId="77777777" w:rsidR="00B33542" w:rsidRPr="005071A1" w:rsidRDefault="00B33542" w:rsidP="009B7AF5">
            <w:pPr>
              <w:pStyle w:val="Tabletext"/>
            </w:pPr>
            <w:r w:rsidRPr="005071A1">
              <w:t>0.26</w:t>
            </w:r>
          </w:p>
        </w:tc>
        <w:tc>
          <w:tcPr>
            <w:tcW w:w="1824" w:type="dxa"/>
            <w:shd w:val="clear" w:color="auto" w:fill="auto"/>
          </w:tcPr>
          <w:p w14:paraId="1F2929ED" w14:textId="77777777" w:rsidR="00B33542" w:rsidRPr="005071A1" w:rsidRDefault="00B33542" w:rsidP="009B7AF5">
            <w:pPr>
              <w:pStyle w:val="Tabletext"/>
            </w:pPr>
            <w:r w:rsidRPr="005071A1">
              <w:t>0.24</w:t>
            </w:r>
          </w:p>
        </w:tc>
        <w:tc>
          <w:tcPr>
            <w:tcW w:w="1824" w:type="dxa"/>
            <w:shd w:val="clear" w:color="auto" w:fill="auto"/>
          </w:tcPr>
          <w:p w14:paraId="093A3D8C" w14:textId="77777777" w:rsidR="00B33542" w:rsidRPr="005071A1" w:rsidRDefault="00B33542" w:rsidP="009B7AF5">
            <w:pPr>
              <w:pStyle w:val="Tabletext"/>
            </w:pPr>
            <w:r w:rsidRPr="005071A1">
              <w:t>0.12</w:t>
            </w:r>
          </w:p>
        </w:tc>
      </w:tr>
      <w:tr w:rsidR="00B33542" w:rsidRPr="005071A1" w14:paraId="51C08690" w14:textId="77777777" w:rsidTr="009B7AF5">
        <w:tc>
          <w:tcPr>
            <w:tcW w:w="1824" w:type="dxa"/>
            <w:shd w:val="clear" w:color="auto" w:fill="auto"/>
          </w:tcPr>
          <w:p w14:paraId="3540832F" w14:textId="77777777" w:rsidR="00B33542" w:rsidRPr="005071A1" w:rsidRDefault="00B33542" w:rsidP="009B7AF5">
            <w:pPr>
              <w:pStyle w:val="Tabletext"/>
            </w:pPr>
            <w:r w:rsidRPr="005071A1">
              <w:t>20</w:t>
            </w:r>
          </w:p>
        </w:tc>
        <w:tc>
          <w:tcPr>
            <w:tcW w:w="1824" w:type="dxa"/>
            <w:shd w:val="clear" w:color="auto" w:fill="auto"/>
          </w:tcPr>
          <w:p w14:paraId="06F57BB1" w14:textId="77777777" w:rsidR="00B33542" w:rsidRPr="005071A1" w:rsidRDefault="00B33542" w:rsidP="009B7AF5">
            <w:pPr>
              <w:pStyle w:val="Tabletext"/>
            </w:pPr>
            <w:r w:rsidRPr="005071A1">
              <w:t>0.28</w:t>
            </w:r>
          </w:p>
        </w:tc>
        <w:tc>
          <w:tcPr>
            <w:tcW w:w="1824" w:type="dxa"/>
            <w:shd w:val="clear" w:color="auto" w:fill="auto"/>
          </w:tcPr>
          <w:p w14:paraId="1296F212" w14:textId="77777777" w:rsidR="00B33542" w:rsidRPr="005071A1" w:rsidRDefault="00B33542" w:rsidP="009B7AF5">
            <w:pPr>
              <w:pStyle w:val="Tabletext"/>
            </w:pPr>
            <w:r w:rsidRPr="005071A1">
              <w:t>0.26</w:t>
            </w:r>
          </w:p>
        </w:tc>
        <w:tc>
          <w:tcPr>
            <w:tcW w:w="1824" w:type="dxa"/>
            <w:shd w:val="clear" w:color="auto" w:fill="auto"/>
          </w:tcPr>
          <w:p w14:paraId="43D15BEE" w14:textId="77777777" w:rsidR="00B33542" w:rsidRPr="005071A1" w:rsidRDefault="00B33542" w:rsidP="009B7AF5">
            <w:pPr>
              <w:pStyle w:val="Tabletext"/>
            </w:pPr>
            <w:r w:rsidRPr="005071A1">
              <w:t>0.13</w:t>
            </w:r>
          </w:p>
        </w:tc>
      </w:tr>
      <w:tr w:rsidR="00B33542" w:rsidRPr="005071A1" w14:paraId="103E7133" w14:textId="77777777" w:rsidTr="009B7AF5">
        <w:tc>
          <w:tcPr>
            <w:tcW w:w="1824" w:type="dxa"/>
            <w:shd w:val="clear" w:color="auto" w:fill="auto"/>
          </w:tcPr>
          <w:p w14:paraId="61F718A1" w14:textId="77777777" w:rsidR="00B33542" w:rsidRPr="005071A1" w:rsidRDefault="00B33542" w:rsidP="009B7AF5">
            <w:pPr>
              <w:pStyle w:val="Tabletext"/>
            </w:pPr>
            <w:r w:rsidRPr="005071A1">
              <w:t>21</w:t>
            </w:r>
          </w:p>
        </w:tc>
        <w:tc>
          <w:tcPr>
            <w:tcW w:w="1824" w:type="dxa"/>
            <w:shd w:val="clear" w:color="auto" w:fill="auto"/>
          </w:tcPr>
          <w:p w14:paraId="5F78BBEB" w14:textId="77777777" w:rsidR="00B33542" w:rsidRPr="005071A1" w:rsidRDefault="00B33542" w:rsidP="009B7AF5">
            <w:pPr>
              <w:pStyle w:val="Tabletext"/>
            </w:pPr>
            <w:r w:rsidRPr="005071A1">
              <w:t>0.30</w:t>
            </w:r>
          </w:p>
        </w:tc>
        <w:tc>
          <w:tcPr>
            <w:tcW w:w="1824" w:type="dxa"/>
            <w:shd w:val="clear" w:color="auto" w:fill="auto"/>
          </w:tcPr>
          <w:p w14:paraId="35CE01A2" w14:textId="77777777" w:rsidR="00B33542" w:rsidRPr="005071A1" w:rsidRDefault="00B33542" w:rsidP="009B7AF5">
            <w:pPr>
              <w:pStyle w:val="Tabletext"/>
            </w:pPr>
            <w:r w:rsidRPr="005071A1">
              <w:t>0.28</w:t>
            </w:r>
          </w:p>
        </w:tc>
        <w:tc>
          <w:tcPr>
            <w:tcW w:w="1824" w:type="dxa"/>
            <w:shd w:val="clear" w:color="auto" w:fill="auto"/>
          </w:tcPr>
          <w:p w14:paraId="3B2186D5" w14:textId="77777777" w:rsidR="00B33542" w:rsidRPr="005071A1" w:rsidRDefault="00B33542" w:rsidP="009B7AF5">
            <w:pPr>
              <w:pStyle w:val="Tabletext"/>
            </w:pPr>
            <w:r w:rsidRPr="005071A1">
              <w:t>0.14</w:t>
            </w:r>
          </w:p>
        </w:tc>
      </w:tr>
      <w:tr w:rsidR="00B33542" w:rsidRPr="005071A1" w14:paraId="2910B160" w14:textId="77777777" w:rsidTr="009B7AF5">
        <w:tc>
          <w:tcPr>
            <w:tcW w:w="1824" w:type="dxa"/>
            <w:shd w:val="clear" w:color="auto" w:fill="auto"/>
          </w:tcPr>
          <w:p w14:paraId="46896082" w14:textId="77777777" w:rsidR="00B33542" w:rsidRPr="005071A1" w:rsidRDefault="00B33542" w:rsidP="009B7AF5">
            <w:pPr>
              <w:pStyle w:val="Tabletext"/>
            </w:pPr>
            <w:r w:rsidRPr="005071A1">
              <w:t>22</w:t>
            </w:r>
          </w:p>
        </w:tc>
        <w:tc>
          <w:tcPr>
            <w:tcW w:w="1824" w:type="dxa"/>
            <w:shd w:val="clear" w:color="auto" w:fill="auto"/>
          </w:tcPr>
          <w:p w14:paraId="1F4830CC" w14:textId="77777777" w:rsidR="00B33542" w:rsidRPr="005071A1" w:rsidRDefault="00B33542" w:rsidP="009B7AF5">
            <w:pPr>
              <w:pStyle w:val="Tabletext"/>
            </w:pPr>
            <w:r w:rsidRPr="005071A1">
              <w:t>0.30</w:t>
            </w:r>
          </w:p>
        </w:tc>
        <w:tc>
          <w:tcPr>
            <w:tcW w:w="1824" w:type="dxa"/>
            <w:shd w:val="clear" w:color="auto" w:fill="auto"/>
          </w:tcPr>
          <w:p w14:paraId="2F84C638" w14:textId="77777777" w:rsidR="00B33542" w:rsidRPr="005071A1" w:rsidRDefault="00B33542" w:rsidP="009B7AF5">
            <w:pPr>
              <w:pStyle w:val="Tabletext"/>
            </w:pPr>
            <w:r w:rsidRPr="005071A1">
              <w:t>0.30</w:t>
            </w:r>
          </w:p>
        </w:tc>
        <w:tc>
          <w:tcPr>
            <w:tcW w:w="1824" w:type="dxa"/>
            <w:shd w:val="clear" w:color="auto" w:fill="auto"/>
          </w:tcPr>
          <w:p w14:paraId="13B53075" w14:textId="77777777" w:rsidR="00B33542" w:rsidRPr="005071A1" w:rsidRDefault="00B33542" w:rsidP="009B7AF5">
            <w:pPr>
              <w:pStyle w:val="Tabletext"/>
            </w:pPr>
            <w:r w:rsidRPr="005071A1">
              <w:t>0.15</w:t>
            </w:r>
          </w:p>
        </w:tc>
      </w:tr>
      <w:tr w:rsidR="00B33542" w:rsidRPr="005071A1" w14:paraId="1E2D8DCA" w14:textId="77777777" w:rsidTr="009B7AF5">
        <w:tc>
          <w:tcPr>
            <w:tcW w:w="1824" w:type="dxa"/>
            <w:shd w:val="clear" w:color="auto" w:fill="auto"/>
          </w:tcPr>
          <w:p w14:paraId="0071848C" w14:textId="77777777" w:rsidR="00B33542" w:rsidRPr="005071A1" w:rsidRDefault="00B33542" w:rsidP="009B7AF5">
            <w:pPr>
              <w:pStyle w:val="Tabletext"/>
            </w:pPr>
            <w:r w:rsidRPr="005071A1">
              <w:t>23</w:t>
            </w:r>
          </w:p>
        </w:tc>
        <w:tc>
          <w:tcPr>
            <w:tcW w:w="1824" w:type="dxa"/>
            <w:shd w:val="clear" w:color="auto" w:fill="auto"/>
          </w:tcPr>
          <w:p w14:paraId="1DF6AC14" w14:textId="77777777" w:rsidR="00B33542" w:rsidRPr="005071A1" w:rsidRDefault="00B33542" w:rsidP="009B7AF5">
            <w:pPr>
              <w:pStyle w:val="Tabletext"/>
            </w:pPr>
            <w:r w:rsidRPr="005071A1">
              <w:t>0.32</w:t>
            </w:r>
          </w:p>
        </w:tc>
        <w:tc>
          <w:tcPr>
            <w:tcW w:w="1824" w:type="dxa"/>
            <w:shd w:val="clear" w:color="auto" w:fill="auto"/>
          </w:tcPr>
          <w:p w14:paraId="1B343E1B" w14:textId="77777777" w:rsidR="00B33542" w:rsidRPr="005071A1" w:rsidRDefault="00B33542" w:rsidP="009B7AF5">
            <w:pPr>
              <w:pStyle w:val="Tabletext"/>
            </w:pPr>
            <w:r w:rsidRPr="005071A1">
              <w:t>0.32</w:t>
            </w:r>
          </w:p>
        </w:tc>
        <w:tc>
          <w:tcPr>
            <w:tcW w:w="1824" w:type="dxa"/>
            <w:shd w:val="clear" w:color="auto" w:fill="auto"/>
          </w:tcPr>
          <w:p w14:paraId="3E3F51AF" w14:textId="77777777" w:rsidR="00B33542" w:rsidRPr="005071A1" w:rsidRDefault="00B33542" w:rsidP="009B7AF5">
            <w:pPr>
              <w:pStyle w:val="Tabletext"/>
            </w:pPr>
            <w:r w:rsidRPr="005071A1">
              <w:t>0.16</w:t>
            </w:r>
          </w:p>
        </w:tc>
      </w:tr>
      <w:tr w:rsidR="00B33542" w:rsidRPr="005071A1" w14:paraId="61D2EA40" w14:textId="77777777" w:rsidTr="009B7AF5">
        <w:tc>
          <w:tcPr>
            <w:tcW w:w="1824" w:type="dxa"/>
            <w:shd w:val="clear" w:color="auto" w:fill="auto"/>
          </w:tcPr>
          <w:p w14:paraId="54A54D0E" w14:textId="77777777" w:rsidR="00B33542" w:rsidRPr="005071A1" w:rsidRDefault="00B33542" w:rsidP="009B7AF5">
            <w:pPr>
              <w:pStyle w:val="Tabletext"/>
            </w:pPr>
            <w:r w:rsidRPr="005071A1">
              <w:t>24</w:t>
            </w:r>
          </w:p>
        </w:tc>
        <w:tc>
          <w:tcPr>
            <w:tcW w:w="1824" w:type="dxa"/>
            <w:shd w:val="clear" w:color="auto" w:fill="auto"/>
          </w:tcPr>
          <w:p w14:paraId="648A07A6" w14:textId="77777777" w:rsidR="00B33542" w:rsidRPr="005071A1" w:rsidRDefault="00B33542" w:rsidP="009B7AF5">
            <w:pPr>
              <w:pStyle w:val="Tabletext"/>
            </w:pPr>
            <w:r w:rsidRPr="005071A1">
              <w:t>0.34</w:t>
            </w:r>
          </w:p>
        </w:tc>
        <w:tc>
          <w:tcPr>
            <w:tcW w:w="1824" w:type="dxa"/>
            <w:shd w:val="clear" w:color="auto" w:fill="auto"/>
          </w:tcPr>
          <w:p w14:paraId="1E5444EC" w14:textId="77777777" w:rsidR="00B33542" w:rsidRPr="005071A1" w:rsidRDefault="00B33542" w:rsidP="009B7AF5">
            <w:pPr>
              <w:pStyle w:val="Tabletext"/>
            </w:pPr>
            <w:r w:rsidRPr="005071A1">
              <w:t>0.32</w:t>
            </w:r>
          </w:p>
        </w:tc>
        <w:tc>
          <w:tcPr>
            <w:tcW w:w="1824" w:type="dxa"/>
            <w:shd w:val="clear" w:color="auto" w:fill="auto"/>
          </w:tcPr>
          <w:p w14:paraId="21E4CE81" w14:textId="77777777" w:rsidR="00B33542" w:rsidRPr="005071A1" w:rsidRDefault="00B33542" w:rsidP="009B7AF5">
            <w:pPr>
              <w:pStyle w:val="Tabletext"/>
            </w:pPr>
            <w:r w:rsidRPr="005071A1">
              <w:t>0.16</w:t>
            </w:r>
          </w:p>
        </w:tc>
      </w:tr>
      <w:tr w:rsidR="00B33542" w:rsidRPr="005071A1" w14:paraId="76813DAB" w14:textId="77777777" w:rsidTr="009B7AF5">
        <w:tc>
          <w:tcPr>
            <w:tcW w:w="1824" w:type="dxa"/>
            <w:shd w:val="clear" w:color="auto" w:fill="auto"/>
          </w:tcPr>
          <w:p w14:paraId="73718CB6" w14:textId="77777777" w:rsidR="00B33542" w:rsidRPr="005071A1" w:rsidRDefault="00B33542" w:rsidP="009B7AF5">
            <w:pPr>
              <w:pStyle w:val="Tabletext"/>
            </w:pPr>
            <w:r w:rsidRPr="005071A1">
              <w:t>25</w:t>
            </w:r>
          </w:p>
        </w:tc>
        <w:tc>
          <w:tcPr>
            <w:tcW w:w="1824" w:type="dxa"/>
            <w:shd w:val="clear" w:color="auto" w:fill="auto"/>
          </w:tcPr>
          <w:p w14:paraId="66301ECC" w14:textId="77777777" w:rsidR="00B33542" w:rsidRPr="005071A1" w:rsidRDefault="00B33542" w:rsidP="009B7AF5">
            <w:pPr>
              <w:pStyle w:val="Tabletext"/>
            </w:pPr>
            <w:r w:rsidRPr="005071A1">
              <w:t>0.36</w:t>
            </w:r>
          </w:p>
        </w:tc>
        <w:tc>
          <w:tcPr>
            <w:tcW w:w="1824" w:type="dxa"/>
            <w:shd w:val="clear" w:color="auto" w:fill="auto"/>
          </w:tcPr>
          <w:p w14:paraId="5F1A5B8A" w14:textId="77777777" w:rsidR="00B33542" w:rsidRPr="005071A1" w:rsidRDefault="00B33542" w:rsidP="009B7AF5">
            <w:pPr>
              <w:pStyle w:val="Tabletext"/>
            </w:pPr>
            <w:r w:rsidRPr="005071A1">
              <w:t>0.34</w:t>
            </w:r>
          </w:p>
        </w:tc>
        <w:tc>
          <w:tcPr>
            <w:tcW w:w="1824" w:type="dxa"/>
            <w:shd w:val="clear" w:color="auto" w:fill="auto"/>
          </w:tcPr>
          <w:p w14:paraId="11369866" w14:textId="77777777" w:rsidR="00B33542" w:rsidRPr="005071A1" w:rsidRDefault="00B33542" w:rsidP="009B7AF5">
            <w:pPr>
              <w:pStyle w:val="Tabletext"/>
            </w:pPr>
            <w:r w:rsidRPr="005071A1">
              <w:t>0.17</w:t>
            </w:r>
          </w:p>
        </w:tc>
      </w:tr>
      <w:tr w:rsidR="00B33542" w:rsidRPr="005071A1" w14:paraId="32B9597F" w14:textId="77777777" w:rsidTr="009B7AF5">
        <w:tc>
          <w:tcPr>
            <w:tcW w:w="1824" w:type="dxa"/>
            <w:shd w:val="clear" w:color="auto" w:fill="auto"/>
          </w:tcPr>
          <w:p w14:paraId="5727C74D" w14:textId="77777777" w:rsidR="00B33542" w:rsidRPr="005071A1" w:rsidRDefault="00B33542" w:rsidP="009B7AF5">
            <w:pPr>
              <w:pStyle w:val="Tabletext"/>
            </w:pPr>
            <w:r w:rsidRPr="005071A1">
              <w:t>26</w:t>
            </w:r>
          </w:p>
        </w:tc>
        <w:tc>
          <w:tcPr>
            <w:tcW w:w="1824" w:type="dxa"/>
            <w:shd w:val="clear" w:color="auto" w:fill="auto"/>
          </w:tcPr>
          <w:p w14:paraId="2C15AA51" w14:textId="77777777" w:rsidR="00B33542" w:rsidRPr="005071A1" w:rsidRDefault="00B33542" w:rsidP="009B7AF5">
            <w:pPr>
              <w:pStyle w:val="Tabletext"/>
            </w:pPr>
            <w:r w:rsidRPr="005071A1">
              <w:t>0.38</w:t>
            </w:r>
          </w:p>
        </w:tc>
        <w:tc>
          <w:tcPr>
            <w:tcW w:w="1824" w:type="dxa"/>
            <w:shd w:val="clear" w:color="auto" w:fill="auto"/>
          </w:tcPr>
          <w:p w14:paraId="5633BAFE" w14:textId="77777777" w:rsidR="00B33542" w:rsidRPr="005071A1" w:rsidRDefault="00B33542" w:rsidP="009B7AF5">
            <w:pPr>
              <w:pStyle w:val="Tabletext"/>
            </w:pPr>
            <w:r w:rsidRPr="005071A1">
              <w:t>0.36</w:t>
            </w:r>
          </w:p>
        </w:tc>
        <w:tc>
          <w:tcPr>
            <w:tcW w:w="1824" w:type="dxa"/>
            <w:shd w:val="clear" w:color="auto" w:fill="auto"/>
          </w:tcPr>
          <w:p w14:paraId="19998CC0" w14:textId="77777777" w:rsidR="00B33542" w:rsidRPr="005071A1" w:rsidRDefault="00B33542" w:rsidP="009B7AF5">
            <w:pPr>
              <w:pStyle w:val="Tabletext"/>
            </w:pPr>
            <w:r w:rsidRPr="005071A1">
              <w:t>0.18</w:t>
            </w:r>
          </w:p>
        </w:tc>
      </w:tr>
      <w:tr w:rsidR="00B33542" w:rsidRPr="005071A1" w14:paraId="33B7595E" w14:textId="77777777" w:rsidTr="009B7AF5">
        <w:tc>
          <w:tcPr>
            <w:tcW w:w="1824" w:type="dxa"/>
            <w:shd w:val="clear" w:color="auto" w:fill="auto"/>
          </w:tcPr>
          <w:p w14:paraId="0BAB3C60" w14:textId="77777777" w:rsidR="00B33542" w:rsidRPr="005071A1" w:rsidRDefault="00B33542" w:rsidP="009B7AF5">
            <w:pPr>
              <w:pStyle w:val="Tabletext"/>
            </w:pPr>
            <w:r w:rsidRPr="005071A1">
              <w:t>27</w:t>
            </w:r>
          </w:p>
        </w:tc>
        <w:tc>
          <w:tcPr>
            <w:tcW w:w="1824" w:type="dxa"/>
            <w:shd w:val="clear" w:color="auto" w:fill="auto"/>
          </w:tcPr>
          <w:p w14:paraId="4337DD2E" w14:textId="77777777" w:rsidR="00B33542" w:rsidRPr="005071A1" w:rsidRDefault="00B33542" w:rsidP="009B7AF5">
            <w:pPr>
              <w:pStyle w:val="Tabletext"/>
            </w:pPr>
            <w:r w:rsidRPr="005071A1">
              <w:t>0.40</w:t>
            </w:r>
          </w:p>
        </w:tc>
        <w:tc>
          <w:tcPr>
            <w:tcW w:w="1824" w:type="dxa"/>
            <w:shd w:val="clear" w:color="auto" w:fill="auto"/>
          </w:tcPr>
          <w:p w14:paraId="512D114A" w14:textId="77777777" w:rsidR="00B33542" w:rsidRPr="005071A1" w:rsidRDefault="00B33542" w:rsidP="009B7AF5">
            <w:pPr>
              <w:pStyle w:val="Tabletext"/>
            </w:pPr>
            <w:r w:rsidRPr="005071A1">
              <w:t>0.38</w:t>
            </w:r>
          </w:p>
        </w:tc>
        <w:tc>
          <w:tcPr>
            <w:tcW w:w="1824" w:type="dxa"/>
            <w:shd w:val="clear" w:color="auto" w:fill="auto"/>
          </w:tcPr>
          <w:p w14:paraId="48FD2D15" w14:textId="77777777" w:rsidR="00B33542" w:rsidRPr="005071A1" w:rsidRDefault="00B33542" w:rsidP="009B7AF5">
            <w:pPr>
              <w:pStyle w:val="Tabletext"/>
            </w:pPr>
            <w:r w:rsidRPr="005071A1">
              <w:t>0.19</w:t>
            </w:r>
          </w:p>
        </w:tc>
      </w:tr>
      <w:tr w:rsidR="00B33542" w:rsidRPr="005071A1" w14:paraId="616C1EF9" w14:textId="77777777" w:rsidTr="009B7AF5">
        <w:tc>
          <w:tcPr>
            <w:tcW w:w="1824" w:type="dxa"/>
            <w:shd w:val="clear" w:color="auto" w:fill="auto"/>
          </w:tcPr>
          <w:p w14:paraId="1BEC43B7" w14:textId="77777777" w:rsidR="00B33542" w:rsidRPr="005071A1" w:rsidRDefault="00B33542" w:rsidP="009B7AF5">
            <w:pPr>
              <w:pStyle w:val="Tabletext"/>
            </w:pPr>
            <w:r w:rsidRPr="005071A1">
              <w:t>28</w:t>
            </w:r>
          </w:p>
        </w:tc>
        <w:tc>
          <w:tcPr>
            <w:tcW w:w="1824" w:type="dxa"/>
            <w:shd w:val="clear" w:color="auto" w:fill="auto"/>
          </w:tcPr>
          <w:p w14:paraId="51EE91C8" w14:textId="77777777" w:rsidR="00B33542" w:rsidRPr="005071A1" w:rsidRDefault="00B33542" w:rsidP="009B7AF5">
            <w:pPr>
              <w:pStyle w:val="Tabletext"/>
            </w:pPr>
            <w:r w:rsidRPr="005071A1">
              <w:t>0.42</w:t>
            </w:r>
          </w:p>
        </w:tc>
        <w:tc>
          <w:tcPr>
            <w:tcW w:w="1824" w:type="dxa"/>
            <w:shd w:val="clear" w:color="auto" w:fill="auto"/>
          </w:tcPr>
          <w:p w14:paraId="485B7860" w14:textId="77777777" w:rsidR="00B33542" w:rsidRPr="005071A1" w:rsidRDefault="00B33542" w:rsidP="009B7AF5">
            <w:pPr>
              <w:pStyle w:val="Tabletext"/>
            </w:pPr>
            <w:r w:rsidRPr="005071A1">
              <w:t>0.40</w:t>
            </w:r>
          </w:p>
        </w:tc>
        <w:tc>
          <w:tcPr>
            <w:tcW w:w="1824" w:type="dxa"/>
            <w:shd w:val="clear" w:color="auto" w:fill="auto"/>
          </w:tcPr>
          <w:p w14:paraId="7825E917" w14:textId="77777777" w:rsidR="00B33542" w:rsidRPr="005071A1" w:rsidRDefault="00B33542" w:rsidP="009B7AF5">
            <w:pPr>
              <w:pStyle w:val="Tabletext"/>
            </w:pPr>
            <w:r w:rsidRPr="005071A1">
              <w:t>0.20</w:t>
            </w:r>
          </w:p>
        </w:tc>
      </w:tr>
      <w:tr w:rsidR="00B33542" w:rsidRPr="005071A1" w14:paraId="4EBA56DE" w14:textId="77777777" w:rsidTr="00D57394">
        <w:tc>
          <w:tcPr>
            <w:tcW w:w="1824" w:type="dxa"/>
            <w:tcBorders>
              <w:bottom w:val="single" w:sz="4" w:space="0" w:color="auto"/>
            </w:tcBorders>
            <w:shd w:val="clear" w:color="auto" w:fill="auto"/>
          </w:tcPr>
          <w:p w14:paraId="0BED2DF9" w14:textId="77777777" w:rsidR="00B33542" w:rsidRPr="005071A1" w:rsidRDefault="00B33542" w:rsidP="009B7AF5">
            <w:pPr>
              <w:pStyle w:val="Tabletext"/>
            </w:pPr>
            <w:r w:rsidRPr="005071A1">
              <w:t>29</w:t>
            </w:r>
          </w:p>
        </w:tc>
        <w:tc>
          <w:tcPr>
            <w:tcW w:w="1824" w:type="dxa"/>
            <w:tcBorders>
              <w:bottom w:val="single" w:sz="4" w:space="0" w:color="auto"/>
            </w:tcBorders>
            <w:shd w:val="clear" w:color="auto" w:fill="auto"/>
          </w:tcPr>
          <w:p w14:paraId="25095212" w14:textId="77777777" w:rsidR="00B33542" w:rsidRPr="005071A1" w:rsidRDefault="00B33542" w:rsidP="009B7AF5">
            <w:pPr>
              <w:pStyle w:val="Tabletext"/>
            </w:pPr>
            <w:r w:rsidRPr="005071A1">
              <w:t>0.42</w:t>
            </w:r>
          </w:p>
        </w:tc>
        <w:tc>
          <w:tcPr>
            <w:tcW w:w="1824" w:type="dxa"/>
            <w:tcBorders>
              <w:bottom w:val="single" w:sz="4" w:space="0" w:color="auto"/>
            </w:tcBorders>
            <w:shd w:val="clear" w:color="auto" w:fill="auto"/>
          </w:tcPr>
          <w:p w14:paraId="719E413F" w14:textId="77777777" w:rsidR="00B33542" w:rsidRPr="005071A1" w:rsidRDefault="00B33542" w:rsidP="009B7AF5">
            <w:pPr>
              <w:pStyle w:val="Tabletext"/>
            </w:pPr>
            <w:r w:rsidRPr="005071A1">
              <w:t>0.40</w:t>
            </w:r>
          </w:p>
        </w:tc>
        <w:tc>
          <w:tcPr>
            <w:tcW w:w="1824" w:type="dxa"/>
            <w:tcBorders>
              <w:bottom w:val="single" w:sz="4" w:space="0" w:color="auto"/>
            </w:tcBorders>
            <w:shd w:val="clear" w:color="auto" w:fill="auto"/>
          </w:tcPr>
          <w:p w14:paraId="5F39FD61" w14:textId="77777777" w:rsidR="00B33542" w:rsidRPr="005071A1" w:rsidRDefault="00B33542" w:rsidP="009B7AF5">
            <w:pPr>
              <w:pStyle w:val="Tabletext"/>
            </w:pPr>
            <w:r w:rsidRPr="005071A1">
              <w:t>0.20</w:t>
            </w:r>
          </w:p>
        </w:tc>
      </w:tr>
      <w:tr w:rsidR="00B33542" w:rsidRPr="005071A1" w14:paraId="12D0B60D" w14:textId="77777777" w:rsidTr="00D57394">
        <w:tc>
          <w:tcPr>
            <w:tcW w:w="1824" w:type="dxa"/>
            <w:tcBorders>
              <w:bottom w:val="single" w:sz="4" w:space="0" w:color="auto"/>
            </w:tcBorders>
            <w:shd w:val="clear" w:color="auto" w:fill="auto"/>
          </w:tcPr>
          <w:p w14:paraId="5DA35A50" w14:textId="77777777" w:rsidR="00B33542" w:rsidRPr="005071A1" w:rsidRDefault="00B33542" w:rsidP="009B7AF5">
            <w:pPr>
              <w:pStyle w:val="Tabletext"/>
            </w:pPr>
            <w:r w:rsidRPr="005071A1">
              <w:lastRenderedPageBreak/>
              <w:t>30</w:t>
            </w:r>
          </w:p>
        </w:tc>
        <w:tc>
          <w:tcPr>
            <w:tcW w:w="1824" w:type="dxa"/>
            <w:tcBorders>
              <w:bottom w:val="single" w:sz="4" w:space="0" w:color="auto"/>
            </w:tcBorders>
            <w:shd w:val="clear" w:color="auto" w:fill="auto"/>
          </w:tcPr>
          <w:p w14:paraId="5ECC9CD5" w14:textId="77777777" w:rsidR="00B33542" w:rsidRPr="005071A1" w:rsidRDefault="00B33542" w:rsidP="009B7AF5">
            <w:pPr>
              <w:pStyle w:val="Tabletext"/>
            </w:pPr>
            <w:r w:rsidRPr="005071A1">
              <w:t>0.44</w:t>
            </w:r>
          </w:p>
        </w:tc>
        <w:tc>
          <w:tcPr>
            <w:tcW w:w="1824" w:type="dxa"/>
            <w:tcBorders>
              <w:bottom w:val="single" w:sz="4" w:space="0" w:color="auto"/>
            </w:tcBorders>
            <w:shd w:val="clear" w:color="auto" w:fill="auto"/>
          </w:tcPr>
          <w:p w14:paraId="6AA97530" w14:textId="77777777" w:rsidR="00B33542" w:rsidRPr="005071A1" w:rsidRDefault="00B33542" w:rsidP="009B7AF5">
            <w:pPr>
              <w:pStyle w:val="Tabletext"/>
            </w:pPr>
            <w:r w:rsidRPr="005071A1">
              <w:t>0.42</w:t>
            </w:r>
          </w:p>
        </w:tc>
        <w:tc>
          <w:tcPr>
            <w:tcW w:w="1824" w:type="dxa"/>
            <w:tcBorders>
              <w:bottom w:val="single" w:sz="4" w:space="0" w:color="auto"/>
            </w:tcBorders>
            <w:shd w:val="clear" w:color="auto" w:fill="auto"/>
          </w:tcPr>
          <w:p w14:paraId="02019C2A" w14:textId="77777777" w:rsidR="00B33542" w:rsidRPr="005071A1" w:rsidRDefault="00B33542" w:rsidP="009B7AF5">
            <w:pPr>
              <w:pStyle w:val="Tabletext"/>
            </w:pPr>
            <w:r w:rsidRPr="005071A1">
              <w:t>0.21</w:t>
            </w:r>
          </w:p>
        </w:tc>
      </w:tr>
      <w:tr w:rsidR="00B33542" w:rsidRPr="005071A1" w14:paraId="64D02410" w14:textId="77777777" w:rsidTr="00640BB6">
        <w:tc>
          <w:tcPr>
            <w:tcW w:w="1824" w:type="dxa"/>
            <w:tcBorders>
              <w:bottom w:val="single" w:sz="4" w:space="0" w:color="auto"/>
            </w:tcBorders>
            <w:shd w:val="clear" w:color="auto" w:fill="auto"/>
          </w:tcPr>
          <w:p w14:paraId="6BE4CC71" w14:textId="77777777" w:rsidR="00B33542" w:rsidRPr="005071A1" w:rsidRDefault="00B33542" w:rsidP="009B7AF5">
            <w:pPr>
              <w:pStyle w:val="Tabletext"/>
            </w:pPr>
            <w:r w:rsidRPr="005071A1">
              <w:t>31</w:t>
            </w:r>
          </w:p>
        </w:tc>
        <w:tc>
          <w:tcPr>
            <w:tcW w:w="1824" w:type="dxa"/>
            <w:tcBorders>
              <w:bottom w:val="single" w:sz="4" w:space="0" w:color="auto"/>
            </w:tcBorders>
            <w:shd w:val="clear" w:color="auto" w:fill="auto"/>
          </w:tcPr>
          <w:p w14:paraId="4383F2FA" w14:textId="77777777" w:rsidR="00B33542" w:rsidRPr="005071A1" w:rsidRDefault="00B33542" w:rsidP="009B7AF5">
            <w:pPr>
              <w:pStyle w:val="Tabletext"/>
            </w:pPr>
            <w:r w:rsidRPr="005071A1">
              <w:t>0.46</w:t>
            </w:r>
          </w:p>
        </w:tc>
        <w:tc>
          <w:tcPr>
            <w:tcW w:w="1824" w:type="dxa"/>
            <w:tcBorders>
              <w:bottom w:val="single" w:sz="4" w:space="0" w:color="auto"/>
            </w:tcBorders>
            <w:shd w:val="clear" w:color="auto" w:fill="auto"/>
          </w:tcPr>
          <w:p w14:paraId="380D3843" w14:textId="77777777" w:rsidR="00B33542" w:rsidRPr="005071A1" w:rsidRDefault="00B33542" w:rsidP="009B7AF5">
            <w:pPr>
              <w:pStyle w:val="Tabletext"/>
            </w:pPr>
            <w:r w:rsidRPr="005071A1">
              <w:t>0.44</w:t>
            </w:r>
          </w:p>
        </w:tc>
        <w:tc>
          <w:tcPr>
            <w:tcW w:w="1824" w:type="dxa"/>
            <w:tcBorders>
              <w:bottom w:val="single" w:sz="4" w:space="0" w:color="auto"/>
            </w:tcBorders>
            <w:shd w:val="clear" w:color="auto" w:fill="auto"/>
          </w:tcPr>
          <w:p w14:paraId="6E343B34" w14:textId="77777777" w:rsidR="00B33542" w:rsidRPr="005071A1" w:rsidRDefault="00B33542" w:rsidP="009B7AF5">
            <w:pPr>
              <w:pStyle w:val="Tabletext"/>
            </w:pPr>
            <w:r w:rsidRPr="005071A1">
              <w:t>0.22</w:t>
            </w:r>
          </w:p>
        </w:tc>
      </w:tr>
      <w:tr w:rsidR="00B33542" w:rsidRPr="005071A1" w14:paraId="124B5E1A" w14:textId="77777777" w:rsidTr="00640BB6">
        <w:tc>
          <w:tcPr>
            <w:tcW w:w="1824" w:type="dxa"/>
            <w:tcBorders>
              <w:top w:val="single" w:sz="4" w:space="0" w:color="auto"/>
              <w:bottom w:val="single" w:sz="4" w:space="0" w:color="auto"/>
            </w:tcBorders>
            <w:shd w:val="clear" w:color="auto" w:fill="auto"/>
          </w:tcPr>
          <w:p w14:paraId="2004627D" w14:textId="77777777" w:rsidR="00B33542" w:rsidRPr="005071A1" w:rsidRDefault="00B33542" w:rsidP="009B7AF5">
            <w:pPr>
              <w:pStyle w:val="Tabletext"/>
            </w:pPr>
            <w:r w:rsidRPr="005071A1">
              <w:t>32</w:t>
            </w:r>
          </w:p>
        </w:tc>
        <w:tc>
          <w:tcPr>
            <w:tcW w:w="1824" w:type="dxa"/>
            <w:tcBorders>
              <w:top w:val="single" w:sz="4" w:space="0" w:color="auto"/>
              <w:bottom w:val="single" w:sz="4" w:space="0" w:color="auto"/>
            </w:tcBorders>
            <w:shd w:val="clear" w:color="auto" w:fill="auto"/>
          </w:tcPr>
          <w:p w14:paraId="634325BB" w14:textId="77777777" w:rsidR="00B33542" w:rsidRPr="005071A1" w:rsidRDefault="00B33542" w:rsidP="009B7AF5">
            <w:pPr>
              <w:pStyle w:val="Tabletext"/>
            </w:pPr>
            <w:r w:rsidRPr="005071A1">
              <w:t>0.50</w:t>
            </w:r>
          </w:p>
        </w:tc>
        <w:tc>
          <w:tcPr>
            <w:tcW w:w="1824" w:type="dxa"/>
            <w:tcBorders>
              <w:top w:val="single" w:sz="4" w:space="0" w:color="auto"/>
              <w:bottom w:val="single" w:sz="4" w:space="0" w:color="auto"/>
            </w:tcBorders>
            <w:shd w:val="clear" w:color="auto" w:fill="auto"/>
          </w:tcPr>
          <w:p w14:paraId="220B6C59" w14:textId="77777777" w:rsidR="00B33542" w:rsidRPr="005071A1" w:rsidRDefault="00B33542" w:rsidP="009B7AF5">
            <w:pPr>
              <w:pStyle w:val="Tabletext"/>
            </w:pPr>
            <w:r w:rsidRPr="005071A1">
              <w:t>0.48</w:t>
            </w:r>
          </w:p>
        </w:tc>
        <w:tc>
          <w:tcPr>
            <w:tcW w:w="1824" w:type="dxa"/>
            <w:tcBorders>
              <w:top w:val="single" w:sz="4" w:space="0" w:color="auto"/>
              <w:bottom w:val="single" w:sz="4" w:space="0" w:color="auto"/>
            </w:tcBorders>
            <w:shd w:val="clear" w:color="auto" w:fill="auto"/>
          </w:tcPr>
          <w:p w14:paraId="2B485E03" w14:textId="77777777" w:rsidR="00B33542" w:rsidRPr="005071A1" w:rsidRDefault="00B33542" w:rsidP="009B7AF5">
            <w:pPr>
              <w:pStyle w:val="Tabletext"/>
            </w:pPr>
            <w:r w:rsidRPr="005071A1">
              <w:t>0.24</w:t>
            </w:r>
          </w:p>
        </w:tc>
      </w:tr>
      <w:tr w:rsidR="00B33542" w:rsidRPr="005071A1" w14:paraId="1099E565" w14:textId="77777777" w:rsidTr="00640BB6">
        <w:tc>
          <w:tcPr>
            <w:tcW w:w="1824" w:type="dxa"/>
            <w:tcBorders>
              <w:top w:val="single" w:sz="4" w:space="0" w:color="auto"/>
            </w:tcBorders>
            <w:shd w:val="clear" w:color="auto" w:fill="auto"/>
          </w:tcPr>
          <w:p w14:paraId="7065CA15" w14:textId="77777777" w:rsidR="00B33542" w:rsidRPr="005071A1" w:rsidRDefault="00B33542" w:rsidP="009B7AF5">
            <w:pPr>
              <w:pStyle w:val="Tabletext"/>
            </w:pPr>
            <w:r w:rsidRPr="005071A1">
              <w:t>33</w:t>
            </w:r>
          </w:p>
        </w:tc>
        <w:tc>
          <w:tcPr>
            <w:tcW w:w="1824" w:type="dxa"/>
            <w:tcBorders>
              <w:top w:val="single" w:sz="4" w:space="0" w:color="auto"/>
            </w:tcBorders>
            <w:shd w:val="clear" w:color="auto" w:fill="auto"/>
          </w:tcPr>
          <w:p w14:paraId="0C068224" w14:textId="77777777" w:rsidR="00B33542" w:rsidRPr="005071A1" w:rsidRDefault="00B33542" w:rsidP="009B7AF5">
            <w:pPr>
              <w:pStyle w:val="Tabletext"/>
            </w:pPr>
            <w:r w:rsidRPr="005071A1">
              <w:t>0.52</w:t>
            </w:r>
          </w:p>
        </w:tc>
        <w:tc>
          <w:tcPr>
            <w:tcW w:w="1824" w:type="dxa"/>
            <w:tcBorders>
              <w:top w:val="single" w:sz="4" w:space="0" w:color="auto"/>
            </w:tcBorders>
            <w:shd w:val="clear" w:color="auto" w:fill="auto"/>
          </w:tcPr>
          <w:p w14:paraId="70BB51F4" w14:textId="77777777" w:rsidR="00B33542" w:rsidRPr="005071A1" w:rsidRDefault="00B33542" w:rsidP="009B7AF5">
            <w:pPr>
              <w:pStyle w:val="Tabletext"/>
            </w:pPr>
            <w:r w:rsidRPr="005071A1">
              <w:t>0.50</w:t>
            </w:r>
          </w:p>
        </w:tc>
        <w:tc>
          <w:tcPr>
            <w:tcW w:w="1824" w:type="dxa"/>
            <w:tcBorders>
              <w:top w:val="single" w:sz="4" w:space="0" w:color="auto"/>
            </w:tcBorders>
            <w:shd w:val="clear" w:color="auto" w:fill="auto"/>
          </w:tcPr>
          <w:p w14:paraId="5D43E44A" w14:textId="77777777" w:rsidR="00B33542" w:rsidRPr="005071A1" w:rsidRDefault="00B33542" w:rsidP="009B7AF5">
            <w:pPr>
              <w:pStyle w:val="Tabletext"/>
            </w:pPr>
            <w:r w:rsidRPr="005071A1">
              <w:t>0.25</w:t>
            </w:r>
          </w:p>
        </w:tc>
      </w:tr>
      <w:tr w:rsidR="00B33542" w:rsidRPr="005071A1" w14:paraId="135D4D60" w14:textId="77777777" w:rsidTr="009B7AF5">
        <w:tc>
          <w:tcPr>
            <w:tcW w:w="1824" w:type="dxa"/>
            <w:shd w:val="clear" w:color="auto" w:fill="auto"/>
          </w:tcPr>
          <w:p w14:paraId="7B02067D" w14:textId="77777777" w:rsidR="00B33542" w:rsidRPr="005071A1" w:rsidRDefault="00B33542" w:rsidP="009B7AF5">
            <w:pPr>
              <w:pStyle w:val="Tabletext"/>
            </w:pPr>
            <w:r w:rsidRPr="005071A1">
              <w:t>34</w:t>
            </w:r>
          </w:p>
        </w:tc>
        <w:tc>
          <w:tcPr>
            <w:tcW w:w="1824" w:type="dxa"/>
            <w:shd w:val="clear" w:color="auto" w:fill="auto"/>
          </w:tcPr>
          <w:p w14:paraId="17BFEF76" w14:textId="77777777" w:rsidR="00B33542" w:rsidRPr="005071A1" w:rsidRDefault="00B33542" w:rsidP="009B7AF5">
            <w:pPr>
              <w:pStyle w:val="Tabletext"/>
            </w:pPr>
            <w:r w:rsidRPr="005071A1">
              <w:t>0.54</w:t>
            </w:r>
          </w:p>
        </w:tc>
        <w:tc>
          <w:tcPr>
            <w:tcW w:w="1824" w:type="dxa"/>
            <w:shd w:val="clear" w:color="auto" w:fill="auto"/>
          </w:tcPr>
          <w:p w14:paraId="395233B2" w14:textId="77777777" w:rsidR="00B33542" w:rsidRPr="005071A1" w:rsidRDefault="00B33542" w:rsidP="009B7AF5">
            <w:pPr>
              <w:pStyle w:val="Tabletext"/>
            </w:pPr>
            <w:r w:rsidRPr="005071A1">
              <w:t>0.52</w:t>
            </w:r>
          </w:p>
        </w:tc>
        <w:tc>
          <w:tcPr>
            <w:tcW w:w="1824" w:type="dxa"/>
            <w:shd w:val="clear" w:color="auto" w:fill="auto"/>
          </w:tcPr>
          <w:p w14:paraId="2196057D" w14:textId="77777777" w:rsidR="00B33542" w:rsidRPr="005071A1" w:rsidRDefault="00B33542" w:rsidP="009B7AF5">
            <w:pPr>
              <w:pStyle w:val="Tabletext"/>
            </w:pPr>
            <w:r w:rsidRPr="005071A1">
              <w:t>0.26</w:t>
            </w:r>
          </w:p>
        </w:tc>
      </w:tr>
      <w:tr w:rsidR="00B33542" w:rsidRPr="005071A1" w14:paraId="2B124335" w14:textId="77777777" w:rsidTr="009B7AF5">
        <w:tc>
          <w:tcPr>
            <w:tcW w:w="1824" w:type="dxa"/>
            <w:shd w:val="clear" w:color="auto" w:fill="auto"/>
          </w:tcPr>
          <w:p w14:paraId="7D6E21DB" w14:textId="77777777" w:rsidR="00B33542" w:rsidRPr="005071A1" w:rsidRDefault="00B33542" w:rsidP="009B7AF5">
            <w:pPr>
              <w:pStyle w:val="Tabletext"/>
            </w:pPr>
            <w:r w:rsidRPr="005071A1">
              <w:t>35</w:t>
            </w:r>
          </w:p>
        </w:tc>
        <w:tc>
          <w:tcPr>
            <w:tcW w:w="1824" w:type="dxa"/>
            <w:shd w:val="clear" w:color="auto" w:fill="auto"/>
          </w:tcPr>
          <w:p w14:paraId="0515C16D" w14:textId="77777777" w:rsidR="00B33542" w:rsidRPr="005071A1" w:rsidRDefault="00B33542" w:rsidP="009B7AF5">
            <w:pPr>
              <w:pStyle w:val="Tabletext"/>
            </w:pPr>
            <w:r w:rsidRPr="005071A1">
              <w:t>0.56</w:t>
            </w:r>
          </w:p>
        </w:tc>
        <w:tc>
          <w:tcPr>
            <w:tcW w:w="1824" w:type="dxa"/>
            <w:shd w:val="clear" w:color="auto" w:fill="auto"/>
          </w:tcPr>
          <w:p w14:paraId="2EAA379C" w14:textId="77777777" w:rsidR="00B33542" w:rsidRPr="005071A1" w:rsidRDefault="00B33542" w:rsidP="009B7AF5">
            <w:pPr>
              <w:pStyle w:val="Tabletext"/>
            </w:pPr>
            <w:r w:rsidRPr="005071A1">
              <w:t>0.54</w:t>
            </w:r>
          </w:p>
        </w:tc>
        <w:tc>
          <w:tcPr>
            <w:tcW w:w="1824" w:type="dxa"/>
            <w:shd w:val="clear" w:color="auto" w:fill="auto"/>
          </w:tcPr>
          <w:p w14:paraId="53241A50" w14:textId="77777777" w:rsidR="00B33542" w:rsidRPr="005071A1" w:rsidRDefault="00B33542" w:rsidP="009B7AF5">
            <w:pPr>
              <w:pStyle w:val="Tabletext"/>
            </w:pPr>
            <w:r w:rsidRPr="005071A1">
              <w:t>0.27</w:t>
            </w:r>
          </w:p>
        </w:tc>
      </w:tr>
      <w:tr w:rsidR="00B33542" w:rsidRPr="005071A1" w14:paraId="4EBFA3DC" w14:textId="77777777" w:rsidTr="009B7AF5">
        <w:tc>
          <w:tcPr>
            <w:tcW w:w="1824" w:type="dxa"/>
            <w:shd w:val="clear" w:color="auto" w:fill="auto"/>
          </w:tcPr>
          <w:p w14:paraId="76A9216A" w14:textId="77777777" w:rsidR="00B33542" w:rsidRPr="005071A1" w:rsidRDefault="00B33542" w:rsidP="009B7AF5">
            <w:pPr>
              <w:pStyle w:val="Tabletext"/>
            </w:pPr>
            <w:r w:rsidRPr="005071A1">
              <w:t>36</w:t>
            </w:r>
          </w:p>
        </w:tc>
        <w:tc>
          <w:tcPr>
            <w:tcW w:w="1824" w:type="dxa"/>
            <w:shd w:val="clear" w:color="auto" w:fill="auto"/>
          </w:tcPr>
          <w:p w14:paraId="5173E58E" w14:textId="77777777" w:rsidR="00B33542" w:rsidRPr="005071A1" w:rsidRDefault="00B33542" w:rsidP="009B7AF5">
            <w:pPr>
              <w:pStyle w:val="Tabletext"/>
            </w:pPr>
            <w:r w:rsidRPr="005071A1">
              <w:t>0.58</w:t>
            </w:r>
          </w:p>
        </w:tc>
        <w:tc>
          <w:tcPr>
            <w:tcW w:w="1824" w:type="dxa"/>
            <w:shd w:val="clear" w:color="auto" w:fill="auto"/>
          </w:tcPr>
          <w:p w14:paraId="663A50C6" w14:textId="77777777" w:rsidR="00B33542" w:rsidRPr="005071A1" w:rsidRDefault="00B33542" w:rsidP="009B7AF5">
            <w:pPr>
              <w:pStyle w:val="Tabletext"/>
            </w:pPr>
            <w:r w:rsidRPr="005071A1">
              <w:t>0.56</w:t>
            </w:r>
          </w:p>
        </w:tc>
        <w:tc>
          <w:tcPr>
            <w:tcW w:w="1824" w:type="dxa"/>
            <w:shd w:val="clear" w:color="auto" w:fill="auto"/>
          </w:tcPr>
          <w:p w14:paraId="6639B41D" w14:textId="77777777" w:rsidR="00B33542" w:rsidRPr="005071A1" w:rsidRDefault="00B33542" w:rsidP="009B7AF5">
            <w:pPr>
              <w:pStyle w:val="Tabletext"/>
            </w:pPr>
            <w:r w:rsidRPr="005071A1">
              <w:t>0.28</w:t>
            </w:r>
          </w:p>
        </w:tc>
      </w:tr>
      <w:tr w:rsidR="00B33542" w:rsidRPr="005071A1" w14:paraId="744FB709" w14:textId="77777777" w:rsidTr="009B7AF5">
        <w:tc>
          <w:tcPr>
            <w:tcW w:w="1824" w:type="dxa"/>
            <w:shd w:val="clear" w:color="auto" w:fill="auto"/>
          </w:tcPr>
          <w:p w14:paraId="28FE1B45" w14:textId="77777777" w:rsidR="00B33542" w:rsidRPr="005071A1" w:rsidRDefault="00B33542" w:rsidP="009B7AF5">
            <w:pPr>
              <w:pStyle w:val="Tabletext"/>
            </w:pPr>
            <w:r w:rsidRPr="005071A1">
              <w:t>37</w:t>
            </w:r>
          </w:p>
        </w:tc>
        <w:tc>
          <w:tcPr>
            <w:tcW w:w="1824" w:type="dxa"/>
            <w:shd w:val="clear" w:color="auto" w:fill="auto"/>
          </w:tcPr>
          <w:p w14:paraId="3768F292" w14:textId="77777777" w:rsidR="00B33542" w:rsidRPr="005071A1" w:rsidRDefault="00B33542" w:rsidP="009B7AF5">
            <w:pPr>
              <w:pStyle w:val="Tabletext"/>
            </w:pPr>
            <w:r w:rsidRPr="005071A1">
              <w:t>0.60</w:t>
            </w:r>
          </w:p>
        </w:tc>
        <w:tc>
          <w:tcPr>
            <w:tcW w:w="1824" w:type="dxa"/>
            <w:shd w:val="clear" w:color="auto" w:fill="auto"/>
          </w:tcPr>
          <w:p w14:paraId="502E8FF9" w14:textId="77777777" w:rsidR="00B33542" w:rsidRPr="005071A1" w:rsidRDefault="00B33542" w:rsidP="009B7AF5">
            <w:pPr>
              <w:pStyle w:val="Tabletext"/>
            </w:pPr>
            <w:r w:rsidRPr="005071A1">
              <w:t>0.58</w:t>
            </w:r>
          </w:p>
        </w:tc>
        <w:tc>
          <w:tcPr>
            <w:tcW w:w="1824" w:type="dxa"/>
            <w:shd w:val="clear" w:color="auto" w:fill="auto"/>
          </w:tcPr>
          <w:p w14:paraId="2556217E" w14:textId="77777777" w:rsidR="00B33542" w:rsidRPr="005071A1" w:rsidRDefault="00B33542" w:rsidP="009B7AF5">
            <w:pPr>
              <w:pStyle w:val="Tabletext"/>
            </w:pPr>
            <w:r w:rsidRPr="005071A1">
              <w:t>0.29</w:t>
            </w:r>
          </w:p>
        </w:tc>
      </w:tr>
      <w:tr w:rsidR="00B33542" w:rsidRPr="005071A1" w14:paraId="015BFD86" w14:textId="77777777" w:rsidTr="009B7AF5">
        <w:tc>
          <w:tcPr>
            <w:tcW w:w="1824" w:type="dxa"/>
            <w:shd w:val="clear" w:color="auto" w:fill="auto"/>
          </w:tcPr>
          <w:p w14:paraId="312DD36D" w14:textId="77777777" w:rsidR="00B33542" w:rsidRPr="005071A1" w:rsidRDefault="00B33542" w:rsidP="009B7AF5">
            <w:pPr>
              <w:pStyle w:val="Tabletext"/>
            </w:pPr>
            <w:r w:rsidRPr="005071A1">
              <w:t>38</w:t>
            </w:r>
          </w:p>
        </w:tc>
        <w:tc>
          <w:tcPr>
            <w:tcW w:w="1824" w:type="dxa"/>
            <w:shd w:val="clear" w:color="auto" w:fill="auto"/>
          </w:tcPr>
          <w:p w14:paraId="4614B984" w14:textId="77777777" w:rsidR="00B33542" w:rsidRPr="005071A1" w:rsidRDefault="00B33542" w:rsidP="009B7AF5">
            <w:pPr>
              <w:pStyle w:val="Tabletext"/>
            </w:pPr>
            <w:r w:rsidRPr="005071A1">
              <w:t>0.64</w:t>
            </w:r>
          </w:p>
        </w:tc>
        <w:tc>
          <w:tcPr>
            <w:tcW w:w="1824" w:type="dxa"/>
            <w:shd w:val="clear" w:color="auto" w:fill="auto"/>
          </w:tcPr>
          <w:p w14:paraId="241DCA48" w14:textId="77777777" w:rsidR="00B33542" w:rsidRPr="005071A1" w:rsidRDefault="00B33542" w:rsidP="009B7AF5">
            <w:pPr>
              <w:pStyle w:val="Tabletext"/>
            </w:pPr>
            <w:r w:rsidRPr="005071A1">
              <w:t>0.62</w:t>
            </w:r>
          </w:p>
        </w:tc>
        <w:tc>
          <w:tcPr>
            <w:tcW w:w="1824" w:type="dxa"/>
            <w:shd w:val="clear" w:color="auto" w:fill="auto"/>
          </w:tcPr>
          <w:p w14:paraId="25E5F104" w14:textId="77777777" w:rsidR="00B33542" w:rsidRPr="005071A1" w:rsidRDefault="00B33542" w:rsidP="009B7AF5">
            <w:pPr>
              <w:pStyle w:val="Tabletext"/>
            </w:pPr>
            <w:r w:rsidRPr="005071A1">
              <w:t>0.31</w:t>
            </w:r>
          </w:p>
        </w:tc>
      </w:tr>
      <w:tr w:rsidR="00B33542" w:rsidRPr="005071A1" w14:paraId="5F06EC2B" w14:textId="77777777" w:rsidTr="009B7AF5">
        <w:tc>
          <w:tcPr>
            <w:tcW w:w="1824" w:type="dxa"/>
            <w:shd w:val="clear" w:color="auto" w:fill="auto"/>
          </w:tcPr>
          <w:p w14:paraId="4119B3B4" w14:textId="77777777" w:rsidR="00B33542" w:rsidRPr="005071A1" w:rsidRDefault="00B33542" w:rsidP="009B7AF5">
            <w:pPr>
              <w:pStyle w:val="Tabletext"/>
            </w:pPr>
            <w:r w:rsidRPr="005071A1">
              <w:t>39</w:t>
            </w:r>
          </w:p>
        </w:tc>
        <w:tc>
          <w:tcPr>
            <w:tcW w:w="1824" w:type="dxa"/>
            <w:shd w:val="clear" w:color="auto" w:fill="auto"/>
          </w:tcPr>
          <w:p w14:paraId="120FD8CF" w14:textId="77777777" w:rsidR="00B33542" w:rsidRPr="005071A1" w:rsidRDefault="00B33542" w:rsidP="009B7AF5">
            <w:pPr>
              <w:pStyle w:val="Tabletext"/>
            </w:pPr>
            <w:r w:rsidRPr="005071A1">
              <w:t>0.68</w:t>
            </w:r>
          </w:p>
        </w:tc>
        <w:tc>
          <w:tcPr>
            <w:tcW w:w="1824" w:type="dxa"/>
            <w:shd w:val="clear" w:color="auto" w:fill="auto"/>
          </w:tcPr>
          <w:p w14:paraId="04FD4908" w14:textId="77777777" w:rsidR="00B33542" w:rsidRPr="005071A1" w:rsidRDefault="00B33542" w:rsidP="009B7AF5">
            <w:pPr>
              <w:pStyle w:val="Tabletext"/>
            </w:pPr>
            <w:r w:rsidRPr="005071A1">
              <w:t>0.66</w:t>
            </w:r>
          </w:p>
        </w:tc>
        <w:tc>
          <w:tcPr>
            <w:tcW w:w="1824" w:type="dxa"/>
            <w:shd w:val="clear" w:color="auto" w:fill="auto"/>
          </w:tcPr>
          <w:p w14:paraId="03E7647E" w14:textId="77777777" w:rsidR="00B33542" w:rsidRPr="005071A1" w:rsidRDefault="00B33542" w:rsidP="009B7AF5">
            <w:pPr>
              <w:pStyle w:val="Tabletext"/>
            </w:pPr>
            <w:r w:rsidRPr="005071A1">
              <w:t>0.33</w:t>
            </w:r>
          </w:p>
        </w:tc>
      </w:tr>
      <w:tr w:rsidR="00B33542" w:rsidRPr="005071A1" w14:paraId="3B21169B" w14:textId="77777777" w:rsidTr="009B7AF5">
        <w:tc>
          <w:tcPr>
            <w:tcW w:w="1824" w:type="dxa"/>
            <w:shd w:val="clear" w:color="auto" w:fill="auto"/>
          </w:tcPr>
          <w:p w14:paraId="279F28E1" w14:textId="77777777" w:rsidR="00B33542" w:rsidRPr="005071A1" w:rsidRDefault="00B33542" w:rsidP="009B7AF5">
            <w:pPr>
              <w:pStyle w:val="Tabletext"/>
            </w:pPr>
            <w:r w:rsidRPr="005071A1">
              <w:t>40</w:t>
            </w:r>
          </w:p>
        </w:tc>
        <w:tc>
          <w:tcPr>
            <w:tcW w:w="1824" w:type="dxa"/>
            <w:shd w:val="clear" w:color="auto" w:fill="auto"/>
          </w:tcPr>
          <w:p w14:paraId="1FF011DD" w14:textId="77777777" w:rsidR="00B33542" w:rsidRPr="005071A1" w:rsidRDefault="00B33542" w:rsidP="009B7AF5">
            <w:pPr>
              <w:pStyle w:val="Tabletext"/>
            </w:pPr>
            <w:r w:rsidRPr="005071A1">
              <w:t>0.72</w:t>
            </w:r>
          </w:p>
        </w:tc>
        <w:tc>
          <w:tcPr>
            <w:tcW w:w="1824" w:type="dxa"/>
            <w:shd w:val="clear" w:color="auto" w:fill="auto"/>
          </w:tcPr>
          <w:p w14:paraId="57EA01C2" w14:textId="77777777" w:rsidR="00B33542" w:rsidRPr="005071A1" w:rsidRDefault="00B33542" w:rsidP="009B7AF5">
            <w:pPr>
              <w:pStyle w:val="Tabletext"/>
            </w:pPr>
            <w:r w:rsidRPr="005071A1">
              <w:t>0.70</w:t>
            </w:r>
          </w:p>
        </w:tc>
        <w:tc>
          <w:tcPr>
            <w:tcW w:w="1824" w:type="dxa"/>
            <w:shd w:val="clear" w:color="auto" w:fill="auto"/>
          </w:tcPr>
          <w:p w14:paraId="47524B57" w14:textId="77777777" w:rsidR="00B33542" w:rsidRPr="005071A1" w:rsidRDefault="00B33542" w:rsidP="009B7AF5">
            <w:pPr>
              <w:pStyle w:val="Tabletext"/>
            </w:pPr>
            <w:r w:rsidRPr="005071A1">
              <w:t>0.35</w:t>
            </w:r>
          </w:p>
        </w:tc>
      </w:tr>
      <w:tr w:rsidR="00B33542" w:rsidRPr="005071A1" w14:paraId="0AF9AF38" w14:textId="77777777" w:rsidTr="009B7AF5">
        <w:tc>
          <w:tcPr>
            <w:tcW w:w="1824" w:type="dxa"/>
            <w:shd w:val="clear" w:color="auto" w:fill="auto"/>
          </w:tcPr>
          <w:p w14:paraId="7F6D1584" w14:textId="77777777" w:rsidR="00B33542" w:rsidRPr="005071A1" w:rsidRDefault="00B33542" w:rsidP="009B7AF5">
            <w:pPr>
              <w:pStyle w:val="Tabletext"/>
            </w:pPr>
            <w:r w:rsidRPr="005071A1">
              <w:t>41</w:t>
            </w:r>
          </w:p>
        </w:tc>
        <w:tc>
          <w:tcPr>
            <w:tcW w:w="1824" w:type="dxa"/>
            <w:shd w:val="clear" w:color="auto" w:fill="auto"/>
          </w:tcPr>
          <w:p w14:paraId="16DF67A9" w14:textId="77777777" w:rsidR="00B33542" w:rsidRPr="005071A1" w:rsidRDefault="00B33542" w:rsidP="009B7AF5">
            <w:pPr>
              <w:pStyle w:val="Tabletext"/>
            </w:pPr>
            <w:r w:rsidRPr="005071A1">
              <w:t>0.76</w:t>
            </w:r>
          </w:p>
        </w:tc>
        <w:tc>
          <w:tcPr>
            <w:tcW w:w="1824" w:type="dxa"/>
            <w:shd w:val="clear" w:color="auto" w:fill="auto"/>
          </w:tcPr>
          <w:p w14:paraId="139877DE" w14:textId="77777777" w:rsidR="00B33542" w:rsidRPr="005071A1" w:rsidRDefault="00B33542" w:rsidP="009B7AF5">
            <w:pPr>
              <w:pStyle w:val="Tabletext"/>
            </w:pPr>
            <w:r w:rsidRPr="005071A1">
              <w:t>0.74</w:t>
            </w:r>
          </w:p>
        </w:tc>
        <w:tc>
          <w:tcPr>
            <w:tcW w:w="1824" w:type="dxa"/>
            <w:shd w:val="clear" w:color="auto" w:fill="auto"/>
          </w:tcPr>
          <w:p w14:paraId="5B3B3F56" w14:textId="77777777" w:rsidR="00B33542" w:rsidRPr="005071A1" w:rsidRDefault="00B33542" w:rsidP="009B7AF5">
            <w:pPr>
              <w:pStyle w:val="Tabletext"/>
            </w:pPr>
            <w:r w:rsidRPr="005071A1">
              <w:t>0.37</w:t>
            </w:r>
          </w:p>
        </w:tc>
      </w:tr>
      <w:tr w:rsidR="00B33542" w:rsidRPr="005071A1" w14:paraId="1BFB5F8D" w14:textId="77777777" w:rsidTr="009B7AF5">
        <w:tc>
          <w:tcPr>
            <w:tcW w:w="1824" w:type="dxa"/>
            <w:shd w:val="clear" w:color="auto" w:fill="auto"/>
          </w:tcPr>
          <w:p w14:paraId="27C3BD2E" w14:textId="77777777" w:rsidR="00B33542" w:rsidRPr="005071A1" w:rsidRDefault="00B33542" w:rsidP="009B7AF5">
            <w:pPr>
              <w:pStyle w:val="Tabletext"/>
            </w:pPr>
            <w:r w:rsidRPr="005071A1">
              <w:t>42</w:t>
            </w:r>
          </w:p>
        </w:tc>
        <w:tc>
          <w:tcPr>
            <w:tcW w:w="1824" w:type="dxa"/>
            <w:shd w:val="clear" w:color="auto" w:fill="auto"/>
          </w:tcPr>
          <w:p w14:paraId="1B3D4C47" w14:textId="77777777" w:rsidR="00B33542" w:rsidRPr="005071A1" w:rsidRDefault="00B33542" w:rsidP="009B7AF5">
            <w:pPr>
              <w:pStyle w:val="Tabletext"/>
            </w:pPr>
            <w:r w:rsidRPr="005071A1">
              <w:t>0.82</w:t>
            </w:r>
          </w:p>
        </w:tc>
        <w:tc>
          <w:tcPr>
            <w:tcW w:w="1824" w:type="dxa"/>
            <w:shd w:val="clear" w:color="auto" w:fill="auto"/>
          </w:tcPr>
          <w:p w14:paraId="19A40CF9" w14:textId="77777777" w:rsidR="00B33542" w:rsidRPr="005071A1" w:rsidRDefault="00B33542" w:rsidP="009B7AF5">
            <w:pPr>
              <w:pStyle w:val="Tabletext"/>
            </w:pPr>
            <w:r w:rsidRPr="005071A1">
              <w:t>0.78</w:t>
            </w:r>
          </w:p>
        </w:tc>
        <w:tc>
          <w:tcPr>
            <w:tcW w:w="1824" w:type="dxa"/>
            <w:shd w:val="clear" w:color="auto" w:fill="auto"/>
          </w:tcPr>
          <w:p w14:paraId="45926361" w14:textId="77777777" w:rsidR="00B33542" w:rsidRPr="005071A1" w:rsidRDefault="00B33542" w:rsidP="009B7AF5">
            <w:pPr>
              <w:pStyle w:val="Tabletext"/>
            </w:pPr>
            <w:r w:rsidRPr="005071A1">
              <w:t>0.39</w:t>
            </w:r>
          </w:p>
        </w:tc>
      </w:tr>
      <w:tr w:rsidR="00B33542" w:rsidRPr="005071A1" w14:paraId="4DF61DB1" w14:textId="77777777" w:rsidTr="009B7AF5">
        <w:tc>
          <w:tcPr>
            <w:tcW w:w="1824" w:type="dxa"/>
            <w:shd w:val="clear" w:color="auto" w:fill="auto"/>
          </w:tcPr>
          <w:p w14:paraId="158D5980" w14:textId="77777777" w:rsidR="00B33542" w:rsidRPr="005071A1" w:rsidRDefault="00B33542" w:rsidP="009B7AF5">
            <w:pPr>
              <w:pStyle w:val="Tabletext"/>
            </w:pPr>
            <w:r w:rsidRPr="005071A1">
              <w:t>43</w:t>
            </w:r>
          </w:p>
        </w:tc>
        <w:tc>
          <w:tcPr>
            <w:tcW w:w="1824" w:type="dxa"/>
            <w:shd w:val="clear" w:color="auto" w:fill="auto"/>
          </w:tcPr>
          <w:p w14:paraId="6AAF3C98" w14:textId="77777777" w:rsidR="00B33542" w:rsidRPr="005071A1" w:rsidRDefault="00B33542" w:rsidP="009B7AF5">
            <w:pPr>
              <w:pStyle w:val="Tabletext"/>
            </w:pPr>
            <w:r w:rsidRPr="005071A1">
              <w:t>0.86</w:t>
            </w:r>
          </w:p>
        </w:tc>
        <w:tc>
          <w:tcPr>
            <w:tcW w:w="1824" w:type="dxa"/>
            <w:shd w:val="clear" w:color="auto" w:fill="auto"/>
          </w:tcPr>
          <w:p w14:paraId="5FB47CCB" w14:textId="77777777" w:rsidR="00B33542" w:rsidRPr="005071A1" w:rsidRDefault="00B33542" w:rsidP="009B7AF5">
            <w:pPr>
              <w:pStyle w:val="Tabletext"/>
            </w:pPr>
            <w:r w:rsidRPr="005071A1">
              <w:t>0.82</w:t>
            </w:r>
          </w:p>
        </w:tc>
        <w:tc>
          <w:tcPr>
            <w:tcW w:w="1824" w:type="dxa"/>
            <w:shd w:val="clear" w:color="auto" w:fill="auto"/>
          </w:tcPr>
          <w:p w14:paraId="2A244EF7" w14:textId="77777777" w:rsidR="00B33542" w:rsidRPr="005071A1" w:rsidRDefault="00B33542" w:rsidP="009B7AF5">
            <w:pPr>
              <w:pStyle w:val="Tabletext"/>
            </w:pPr>
            <w:r w:rsidRPr="005071A1">
              <w:t>0.41</w:t>
            </w:r>
          </w:p>
        </w:tc>
      </w:tr>
      <w:tr w:rsidR="00B33542" w:rsidRPr="005071A1" w14:paraId="51070461" w14:textId="77777777" w:rsidTr="009B7AF5">
        <w:tc>
          <w:tcPr>
            <w:tcW w:w="1824" w:type="dxa"/>
            <w:shd w:val="clear" w:color="auto" w:fill="auto"/>
          </w:tcPr>
          <w:p w14:paraId="75DDDF79" w14:textId="77777777" w:rsidR="00B33542" w:rsidRPr="005071A1" w:rsidRDefault="00B33542" w:rsidP="009B7AF5">
            <w:pPr>
              <w:pStyle w:val="Tabletext"/>
            </w:pPr>
            <w:r w:rsidRPr="005071A1">
              <w:t>44</w:t>
            </w:r>
          </w:p>
        </w:tc>
        <w:tc>
          <w:tcPr>
            <w:tcW w:w="1824" w:type="dxa"/>
            <w:shd w:val="clear" w:color="auto" w:fill="auto"/>
          </w:tcPr>
          <w:p w14:paraId="5BD30C6E" w14:textId="77777777" w:rsidR="00B33542" w:rsidRPr="005071A1" w:rsidRDefault="00B33542" w:rsidP="009B7AF5">
            <w:pPr>
              <w:pStyle w:val="Tabletext"/>
            </w:pPr>
            <w:r w:rsidRPr="005071A1">
              <w:t>0.92</w:t>
            </w:r>
          </w:p>
        </w:tc>
        <w:tc>
          <w:tcPr>
            <w:tcW w:w="1824" w:type="dxa"/>
            <w:shd w:val="clear" w:color="auto" w:fill="auto"/>
          </w:tcPr>
          <w:p w14:paraId="4A90D252" w14:textId="77777777" w:rsidR="00B33542" w:rsidRPr="005071A1" w:rsidRDefault="00B33542" w:rsidP="009B7AF5">
            <w:pPr>
              <w:pStyle w:val="Tabletext"/>
            </w:pPr>
            <w:r w:rsidRPr="005071A1">
              <w:t>0.88</w:t>
            </w:r>
          </w:p>
        </w:tc>
        <w:tc>
          <w:tcPr>
            <w:tcW w:w="1824" w:type="dxa"/>
            <w:shd w:val="clear" w:color="auto" w:fill="auto"/>
          </w:tcPr>
          <w:p w14:paraId="30E15F05" w14:textId="77777777" w:rsidR="00B33542" w:rsidRPr="005071A1" w:rsidRDefault="00B33542" w:rsidP="009B7AF5">
            <w:pPr>
              <w:pStyle w:val="Tabletext"/>
            </w:pPr>
            <w:r w:rsidRPr="005071A1">
              <w:t>0.44</w:t>
            </w:r>
          </w:p>
        </w:tc>
      </w:tr>
      <w:tr w:rsidR="00B33542" w:rsidRPr="005071A1" w14:paraId="1AC02EDA" w14:textId="77777777" w:rsidTr="009B7AF5">
        <w:tc>
          <w:tcPr>
            <w:tcW w:w="1824" w:type="dxa"/>
            <w:shd w:val="clear" w:color="auto" w:fill="auto"/>
          </w:tcPr>
          <w:p w14:paraId="153FD49C" w14:textId="77777777" w:rsidR="00B33542" w:rsidRPr="005071A1" w:rsidRDefault="00B33542" w:rsidP="009B7AF5">
            <w:pPr>
              <w:pStyle w:val="Tabletext"/>
            </w:pPr>
            <w:r w:rsidRPr="005071A1">
              <w:t>45</w:t>
            </w:r>
          </w:p>
        </w:tc>
        <w:tc>
          <w:tcPr>
            <w:tcW w:w="1824" w:type="dxa"/>
            <w:shd w:val="clear" w:color="auto" w:fill="auto"/>
          </w:tcPr>
          <w:p w14:paraId="4CCC1034" w14:textId="77777777" w:rsidR="00B33542" w:rsidRPr="005071A1" w:rsidRDefault="00B33542" w:rsidP="009B7AF5">
            <w:pPr>
              <w:pStyle w:val="Tabletext"/>
            </w:pPr>
            <w:r w:rsidRPr="005071A1">
              <w:t>0.96</w:t>
            </w:r>
          </w:p>
        </w:tc>
        <w:tc>
          <w:tcPr>
            <w:tcW w:w="1824" w:type="dxa"/>
            <w:shd w:val="clear" w:color="auto" w:fill="auto"/>
          </w:tcPr>
          <w:p w14:paraId="4B96892F" w14:textId="77777777" w:rsidR="00B33542" w:rsidRPr="005071A1" w:rsidRDefault="00B33542" w:rsidP="009B7AF5">
            <w:pPr>
              <w:pStyle w:val="Tabletext"/>
            </w:pPr>
            <w:r w:rsidRPr="005071A1">
              <w:t>0.94</w:t>
            </w:r>
          </w:p>
        </w:tc>
        <w:tc>
          <w:tcPr>
            <w:tcW w:w="1824" w:type="dxa"/>
            <w:shd w:val="clear" w:color="auto" w:fill="auto"/>
          </w:tcPr>
          <w:p w14:paraId="6919B84C" w14:textId="77777777" w:rsidR="00B33542" w:rsidRPr="005071A1" w:rsidRDefault="00B33542" w:rsidP="009B7AF5">
            <w:pPr>
              <w:pStyle w:val="Tabletext"/>
            </w:pPr>
            <w:r w:rsidRPr="005071A1">
              <w:t>0.47</w:t>
            </w:r>
          </w:p>
        </w:tc>
      </w:tr>
      <w:tr w:rsidR="00B33542" w:rsidRPr="005071A1" w14:paraId="5787BD9F" w14:textId="77777777" w:rsidTr="009B7AF5">
        <w:tc>
          <w:tcPr>
            <w:tcW w:w="1824" w:type="dxa"/>
            <w:shd w:val="clear" w:color="auto" w:fill="auto"/>
          </w:tcPr>
          <w:p w14:paraId="59D2229B" w14:textId="77777777" w:rsidR="00B33542" w:rsidRPr="005071A1" w:rsidRDefault="00B33542" w:rsidP="009B7AF5">
            <w:pPr>
              <w:pStyle w:val="Tabletext"/>
            </w:pPr>
            <w:r w:rsidRPr="005071A1">
              <w:t>46</w:t>
            </w:r>
          </w:p>
        </w:tc>
        <w:tc>
          <w:tcPr>
            <w:tcW w:w="1824" w:type="dxa"/>
            <w:shd w:val="clear" w:color="auto" w:fill="auto"/>
          </w:tcPr>
          <w:p w14:paraId="6D868419" w14:textId="77777777" w:rsidR="00B33542" w:rsidRPr="005071A1" w:rsidRDefault="00B33542" w:rsidP="009B7AF5">
            <w:pPr>
              <w:pStyle w:val="Tabletext"/>
            </w:pPr>
            <w:r w:rsidRPr="005071A1">
              <w:t>1.04</w:t>
            </w:r>
          </w:p>
        </w:tc>
        <w:tc>
          <w:tcPr>
            <w:tcW w:w="1824" w:type="dxa"/>
            <w:shd w:val="clear" w:color="auto" w:fill="auto"/>
          </w:tcPr>
          <w:p w14:paraId="5C86B395" w14:textId="77777777" w:rsidR="00B33542" w:rsidRPr="005071A1" w:rsidRDefault="00B33542" w:rsidP="009B7AF5">
            <w:pPr>
              <w:pStyle w:val="Tabletext"/>
            </w:pPr>
            <w:r w:rsidRPr="005071A1">
              <w:t>1.02</w:t>
            </w:r>
          </w:p>
        </w:tc>
        <w:tc>
          <w:tcPr>
            <w:tcW w:w="1824" w:type="dxa"/>
            <w:shd w:val="clear" w:color="auto" w:fill="auto"/>
          </w:tcPr>
          <w:p w14:paraId="36A448C0" w14:textId="77777777" w:rsidR="00B33542" w:rsidRPr="005071A1" w:rsidRDefault="00B33542" w:rsidP="009B7AF5">
            <w:pPr>
              <w:pStyle w:val="Tabletext"/>
            </w:pPr>
            <w:r w:rsidRPr="005071A1">
              <w:t>0.51</w:t>
            </w:r>
          </w:p>
        </w:tc>
      </w:tr>
      <w:tr w:rsidR="00B33542" w:rsidRPr="005071A1" w14:paraId="7F23DD63" w14:textId="77777777" w:rsidTr="009B7AF5">
        <w:tc>
          <w:tcPr>
            <w:tcW w:w="1824" w:type="dxa"/>
            <w:shd w:val="clear" w:color="auto" w:fill="auto"/>
          </w:tcPr>
          <w:p w14:paraId="0D826EBB" w14:textId="77777777" w:rsidR="00B33542" w:rsidRPr="005071A1" w:rsidRDefault="00B33542" w:rsidP="009B7AF5">
            <w:pPr>
              <w:pStyle w:val="Tabletext"/>
            </w:pPr>
            <w:r w:rsidRPr="005071A1">
              <w:t>47</w:t>
            </w:r>
          </w:p>
        </w:tc>
        <w:tc>
          <w:tcPr>
            <w:tcW w:w="1824" w:type="dxa"/>
            <w:shd w:val="clear" w:color="auto" w:fill="auto"/>
          </w:tcPr>
          <w:p w14:paraId="5FDEB9F9" w14:textId="77777777" w:rsidR="00B33542" w:rsidRPr="005071A1" w:rsidRDefault="00B33542" w:rsidP="009B7AF5">
            <w:pPr>
              <w:pStyle w:val="Tabletext"/>
            </w:pPr>
            <w:r w:rsidRPr="005071A1">
              <w:t>1.12</w:t>
            </w:r>
          </w:p>
        </w:tc>
        <w:tc>
          <w:tcPr>
            <w:tcW w:w="1824" w:type="dxa"/>
            <w:shd w:val="clear" w:color="auto" w:fill="auto"/>
          </w:tcPr>
          <w:p w14:paraId="7E916E94" w14:textId="77777777" w:rsidR="00B33542" w:rsidRPr="005071A1" w:rsidRDefault="00B33542" w:rsidP="009B7AF5">
            <w:pPr>
              <w:pStyle w:val="Tabletext"/>
            </w:pPr>
            <w:r w:rsidRPr="005071A1">
              <w:t>1.10</w:t>
            </w:r>
          </w:p>
        </w:tc>
        <w:tc>
          <w:tcPr>
            <w:tcW w:w="1824" w:type="dxa"/>
            <w:shd w:val="clear" w:color="auto" w:fill="auto"/>
          </w:tcPr>
          <w:p w14:paraId="2C4C1DE6" w14:textId="77777777" w:rsidR="00B33542" w:rsidRPr="005071A1" w:rsidRDefault="00B33542" w:rsidP="009B7AF5">
            <w:pPr>
              <w:pStyle w:val="Tabletext"/>
            </w:pPr>
            <w:r w:rsidRPr="005071A1">
              <w:t>0.55</w:t>
            </w:r>
          </w:p>
        </w:tc>
      </w:tr>
      <w:tr w:rsidR="00B33542" w:rsidRPr="005071A1" w14:paraId="5228652C" w14:textId="77777777" w:rsidTr="009B7AF5">
        <w:tc>
          <w:tcPr>
            <w:tcW w:w="1824" w:type="dxa"/>
            <w:shd w:val="clear" w:color="auto" w:fill="auto"/>
          </w:tcPr>
          <w:p w14:paraId="1DF12131" w14:textId="77777777" w:rsidR="00B33542" w:rsidRPr="005071A1" w:rsidRDefault="00B33542" w:rsidP="009B7AF5">
            <w:pPr>
              <w:pStyle w:val="Tabletext"/>
            </w:pPr>
            <w:r w:rsidRPr="005071A1">
              <w:t>48</w:t>
            </w:r>
          </w:p>
        </w:tc>
        <w:tc>
          <w:tcPr>
            <w:tcW w:w="1824" w:type="dxa"/>
            <w:shd w:val="clear" w:color="auto" w:fill="auto"/>
          </w:tcPr>
          <w:p w14:paraId="469322F3" w14:textId="77777777" w:rsidR="00B33542" w:rsidRPr="005071A1" w:rsidRDefault="00B33542" w:rsidP="009B7AF5">
            <w:pPr>
              <w:pStyle w:val="Tabletext"/>
            </w:pPr>
            <w:r w:rsidRPr="005071A1">
              <w:t>1.20</w:t>
            </w:r>
          </w:p>
        </w:tc>
        <w:tc>
          <w:tcPr>
            <w:tcW w:w="1824" w:type="dxa"/>
            <w:shd w:val="clear" w:color="auto" w:fill="auto"/>
          </w:tcPr>
          <w:p w14:paraId="15B0AF6D" w14:textId="77777777" w:rsidR="00B33542" w:rsidRPr="005071A1" w:rsidRDefault="00B33542" w:rsidP="009B7AF5">
            <w:pPr>
              <w:pStyle w:val="Tabletext"/>
            </w:pPr>
            <w:r w:rsidRPr="005071A1">
              <w:t>1.18</w:t>
            </w:r>
          </w:p>
        </w:tc>
        <w:tc>
          <w:tcPr>
            <w:tcW w:w="1824" w:type="dxa"/>
            <w:shd w:val="clear" w:color="auto" w:fill="auto"/>
          </w:tcPr>
          <w:p w14:paraId="3646B8B2" w14:textId="77777777" w:rsidR="00B33542" w:rsidRPr="005071A1" w:rsidRDefault="00B33542" w:rsidP="009B7AF5">
            <w:pPr>
              <w:pStyle w:val="Tabletext"/>
            </w:pPr>
            <w:r w:rsidRPr="005071A1">
              <w:t>0.59</w:t>
            </w:r>
          </w:p>
        </w:tc>
      </w:tr>
      <w:tr w:rsidR="00B33542" w:rsidRPr="005071A1" w14:paraId="16EA5BE4" w14:textId="77777777" w:rsidTr="009B7AF5">
        <w:tc>
          <w:tcPr>
            <w:tcW w:w="1824" w:type="dxa"/>
            <w:shd w:val="clear" w:color="auto" w:fill="auto"/>
          </w:tcPr>
          <w:p w14:paraId="72BE2106" w14:textId="77777777" w:rsidR="00B33542" w:rsidRPr="005071A1" w:rsidRDefault="00B33542" w:rsidP="009B7AF5">
            <w:pPr>
              <w:pStyle w:val="Tabletext"/>
            </w:pPr>
            <w:r w:rsidRPr="005071A1">
              <w:lastRenderedPageBreak/>
              <w:t>49</w:t>
            </w:r>
          </w:p>
        </w:tc>
        <w:tc>
          <w:tcPr>
            <w:tcW w:w="1824" w:type="dxa"/>
            <w:shd w:val="clear" w:color="auto" w:fill="auto"/>
          </w:tcPr>
          <w:p w14:paraId="0305CD6F" w14:textId="77777777" w:rsidR="00B33542" w:rsidRPr="005071A1" w:rsidRDefault="00B33542" w:rsidP="009B7AF5">
            <w:pPr>
              <w:pStyle w:val="Tabletext"/>
            </w:pPr>
            <w:r w:rsidRPr="005071A1">
              <w:t>1.32</w:t>
            </w:r>
          </w:p>
        </w:tc>
        <w:tc>
          <w:tcPr>
            <w:tcW w:w="1824" w:type="dxa"/>
            <w:shd w:val="clear" w:color="auto" w:fill="auto"/>
          </w:tcPr>
          <w:p w14:paraId="10A6BE52" w14:textId="77777777" w:rsidR="00B33542" w:rsidRPr="005071A1" w:rsidRDefault="00B33542" w:rsidP="009B7AF5">
            <w:pPr>
              <w:pStyle w:val="Tabletext"/>
            </w:pPr>
            <w:r w:rsidRPr="005071A1">
              <w:t>1.28</w:t>
            </w:r>
          </w:p>
        </w:tc>
        <w:tc>
          <w:tcPr>
            <w:tcW w:w="1824" w:type="dxa"/>
            <w:shd w:val="clear" w:color="auto" w:fill="auto"/>
          </w:tcPr>
          <w:p w14:paraId="67DFFC99" w14:textId="77777777" w:rsidR="00B33542" w:rsidRPr="005071A1" w:rsidRDefault="00B33542" w:rsidP="009B7AF5">
            <w:pPr>
              <w:pStyle w:val="Tabletext"/>
            </w:pPr>
            <w:r w:rsidRPr="005071A1">
              <w:t>0.64</w:t>
            </w:r>
          </w:p>
        </w:tc>
      </w:tr>
      <w:tr w:rsidR="00B33542" w:rsidRPr="005071A1" w14:paraId="3E1A086B" w14:textId="77777777" w:rsidTr="009B7AF5">
        <w:tc>
          <w:tcPr>
            <w:tcW w:w="1824" w:type="dxa"/>
            <w:shd w:val="clear" w:color="auto" w:fill="auto"/>
          </w:tcPr>
          <w:p w14:paraId="37D3F94B" w14:textId="77777777" w:rsidR="00B33542" w:rsidRPr="005071A1" w:rsidRDefault="00B33542" w:rsidP="009B7AF5">
            <w:pPr>
              <w:pStyle w:val="Tabletext"/>
            </w:pPr>
            <w:r w:rsidRPr="005071A1">
              <w:t>50</w:t>
            </w:r>
          </w:p>
        </w:tc>
        <w:tc>
          <w:tcPr>
            <w:tcW w:w="1824" w:type="dxa"/>
            <w:shd w:val="clear" w:color="auto" w:fill="auto"/>
          </w:tcPr>
          <w:p w14:paraId="5A0F8650" w14:textId="77777777" w:rsidR="00B33542" w:rsidRPr="005071A1" w:rsidRDefault="00B33542" w:rsidP="009B7AF5">
            <w:pPr>
              <w:pStyle w:val="Tabletext"/>
            </w:pPr>
            <w:r w:rsidRPr="005071A1">
              <w:t>1.42</w:t>
            </w:r>
          </w:p>
        </w:tc>
        <w:tc>
          <w:tcPr>
            <w:tcW w:w="1824" w:type="dxa"/>
            <w:shd w:val="clear" w:color="auto" w:fill="auto"/>
          </w:tcPr>
          <w:p w14:paraId="20A0A3A0" w14:textId="77777777" w:rsidR="00B33542" w:rsidRPr="005071A1" w:rsidRDefault="00B33542" w:rsidP="009B7AF5">
            <w:pPr>
              <w:pStyle w:val="Tabletext"/>
            </w:pPr>
            <w:r w:rsidRPr="005071A1">
              <w:t>1.38</w:t>
            </w:r>
          </w:p>
        </w:tc>
        <w:tc>
          <w:tcPr>
            <w:tcW w:w="1824" w:type="dxa"/>
            <w:shd w:val="clear" w:color="auto" w:fill="auto"/>
          </w:tcPr>
          <w:p w14:paraId="4DB1EE91" w14:textId="77777777" w:rsidR="00B33542" w:rsidRPr="005071A1" w:rsidRDefault="00B33542" w:rsidP="009B7AF5">
            <w:pPr>
              <w:pStyle w:val="Tabletext"/>
            </w:pPr>
            <w:r w:rsidRPr="005071A1">
              <w:t>0.69</w:t>
            </w:r>
          </w:p>
        </w:tc>
      </w:tr>
      <w:tr w:rsidR="00B33542" w:rsidRPr="005071A1" w14:paraId="39B94FD4" w14:textId="77777777" w:rsidTr="009B7AF5">
        <w:tc>
          <w:tcPr>
            <w:tcW w:w="1824" w:type="dxa"/>
            <w:shd w:val="clear" w:color="auto" w:fill="auto"/>
          </w:tcPr>
          <w:p w14:paraId="07C1BF40" w14:textId="77777777" w:rsidR="00B33542" w:rsidRPr="005071A1" w:rsidRDefault="00B33542" w:rsidP="009B7AF5">
            <w:pPr>
              <w:pStyle w:val="Tabletext"/>
            </w:pPr>
            <w:r w:rsidRPr="005071A1">
              <w:t>51</w:t>
            </w:r>
          </w:p>
        </w:tc>
        <w:tc>
          <w:tcPr>
            <w:tcW w:w="1824" w:type="dxa"/>
            <w:shd w:val="clear" w:color="auto" w:fill="auto"/>
          </w:tcPr>
          <w:p w14:paraId="2ED2AD94" w14:textId="77777777" w:rsidR="00B33542" w:rsidRPr="005071A1" w:rsidRDefault="00B33542" w:rsidP="009B7AF5">
            <w:pPr>
              <w:pStyle w:val="Tabletext"/>
            </w:pPr>
            <w:r w:rsidRPr="005071A1">
              <w:t>1.52</w:t>
            </w:r>
          </w:p>
        </w:tc>
        <w:tc>
          <w:tcPr>
            <w:tcW w:w="1824" w:type="dxa"/>
            <w:shd w:val="clear" w:color="auto" w:fill="auto"/>
          </w:tcPr>
          <w:p w14:paraId="6359CA80" w14:textId="77777777" w:rsidR="00B33542" w:rsidRPr="005071A1" w:rsidRDefault="00B33542" w:rsidP="009B7AF5">
            <w:pPr>
              <w:pStyle w:val="Tabletext"/>
            </w:pPr>
            <w:r w:rsidRPr="005071A1">
              <w:t>1.50</w:t>
            </w:r>
          </w:p>
        </w:tc>
        <w:tc>
          <w:tcPr>
            <w:tcW w:w="1824" w:type="dxa"/>
            <w:shd w:val="clear" w:color="auto" w:fill="auto"/>
          </w:tcPr>
          <w:p w14:paraId="06BA7223" w14:textId="77777777" w:rsidR="00B33542" w:rsidRPr="005071A1" w:rsidRDefault="00B33542" w:rsidP="009B7AF5">
            <w:pPr>
              <w:pStyle w:val="Tabletext"/>
            </w:pPr>
            <w:r w:rsidRPr="005071A1">
              <w:t>0.75</w:t>
            </w:r>
          </w:p>
        </w:tc>
      </w:tr>
      <w:tr w:rsidR="00B33542" w:rsidRPr="005071A1" w14:paraId="5E0F2AF4" w14:textId="77777777" w:rsidTr="00D57394">
        <w:tc>
          <w:tcPr>
            <w:tcW w:w="1824" w:type="dxa"/>
            <w:tcBorders>
              <w:bottom w:val="single" w:sz="4" w:space="0" w:color="auto"/>
            </w:tcBorders>
            <w:shd w:val="clear" w:color="auto" w:fill="auto"/>
          </w:tcPr>
          <w:p w14:paraId="15384AD0" w14:textId="77777777" w:rsidR="00B33542" w:rsidRPr="005071A1" w:rsidRDefault="00B33542" w:rsidP="009B7AF5">
            <w:pPr>
              <w:pStyle w:val="Tabletext"/>
            </w:pPr>
            <w:r w:rsidRPr="005071A1">
              <w:t>52</w:t>
            </w:r>
          </w:p>
        </w:tc>
        <w:tc>
          <w:tcPr>
            <w:tcW w:w="1824" w:type="dxa"/>
            <w:tcBorders>
              <w:bottom w:val="single" w:sz="4" w:space="0" w:color="auto"/>
            </w:tcBorders>
            <w:shd w:val="clear" w:color="auto" w:fill="auto"/>
          </w:tcPr>
          <w:p w14:paraId="2B9ADC63" w14:textId="77777777" w:rsidR="00B33542" w:rsidRPr="005071A1" w:rsidRDefault="00B33542" w:rsidP="009B7AF5">
            <w:pPr>
              <w:pStyle w:val="Tabletext"/>
            </w:pPr>
            <w:r w:rsidRPr="005071A1">
              <w:t>1.68</w:t>
            </w:r>
          </w:p>
        </w:tc>
        <w:tc>
          <w:tcPr>
            <w:tcW w:w="1824" w:type="dxa"/>
            <w:tcBorders>
              <w:bottom w:val="single" w:sz="4" w:space="0" w:color="auto"/>
            </w:tcBorders>
            <w:shd w:val="clear" w:color="auto" w:fill="auto"/>
          </w:tcPr>
          <w:p w14:paraId="6F059F19" w14:textId="77777777" w:rsidR="00B33542" w:rsidRPr="005071A1" w:rsidRDefault="00B33542" w:rsidP="009B7AF5">
            <w:pPr>
              <w:pStyle w:val="Tabletext"/>
            </w:pPr>
            <w:r w:rsidRPr="005071A1">
              <w:t>1.66</w:t>
            </w:r>
          </w:p>
        </w:tc>
        <w:tc>
          <w:tcPr>
            <w:tcW w:w="1824" w:type="dxa"/>
            <w:tcBorders>
              <w:bottom w:val="single" w:sz="4" w:space="0" w:color="auto"/>
            </w:tcBorders>
            <w:shd w:val="clear" w:color="auto" w:fill="auto"/>
          </w:tcPr>
          <w:p w14:paraId="45B579D1" w14:textId="77777777" w:rsidR="00B33542" w:rsidRPr="005071A1" w:rsidRDefault="00B33542" w:rsidP="009B7AF5">
            <w:pPr>
              <w:pStyle w:val="Tabletext"/>
            </w:pPr>
            <w:r w:rsidRPr="005071A1">
              <w:t>0.83</w:t>
            </w:r>
          </w:p>
        </w:tc>
      </w:tr>
      <w:tr w:rsidR="00B33542" w:rsidRPr="005071A1" w14:paraId="0CF8C5D0" w14:textId="77777777" w:rsidTr="00D57394">
        <w:tc>
          <w:tcPr>
            <w:tcW w:w="1824" w:type="dxa"/>
            <w:tcBorders>
              <w:bottom w:val="single" w:sz="4" w:space="0" w:color="auto"/>
            </w:tcBorders>
            <w:shd w:val="clear" w:color="auto" w:fill="auto"/>
          </w:tcPr>
          <w:p w14:paraId="06EFBF4A" w14:textId="77777777" w:rsidR="00B33542" w:rsidRPr="005071A1" w:rsidRDefault="00B33542" w:rsidP="009B7AF5">
            <w:pPr>
              <w:pStyle w:val="Tabletext"/>
            </w:pPr>
            <w:r w:rsidRPr="005071A1">
              <w:t>53</w:t>
            </w:r>
          </w:p>
        </w:tc>
        <w:tc>
          <w:tcPr>
            <w:tcW w:w="1824" w:type="dxa"/>
            <w:tcBorders>
              <w:bottom w:val="single" w:sz="4" w:space="0" w:color="auto"/>
            </w:tcBorders>
            <w:shd w:val="clear" w:color="auto" w:fill="auto"/>
          </w:tcPr>
          <w:p w14:paraId="368A3BE5" w14:textId="77777777" w:rsidR="00B33542" w:rsidRPr="005071A1" w:rsidRDefault="00B33542" w:rsidP="009B7AF5">
            <w:pPr>
              <w:pStyle w:val="Tabletext"/>
            </w:pPr>
            <w:r w:rsidRPr="005071A1">
              <w:t>1.86</w:t>
            </w:r>
          </w:p>
        </w:tc>
        <w:tc>
          <w:tcPr>
            <w:tcW w:w="1824" w:type="dxa"/>
            <w:tcBorders>
              <w:bottom w:val="single" w:sz="4" w:space="0" w:color="auto"/>
            </w:tcBorders>
            <w:shd w:val="clear" w:color="auto" w:fill="auto"/>
          </w:tcPr>
          <w:p w14:paraId="70289B00" w14:textId="77777777" w:rsidR="00B33542" w:rsidRPr="005071A1" w:rsidRDefault="00B33542" w:rsidP="009B7AF5">
            <w:pPr>
              <w:pStyle w:val="Tabletext"/>
            </w:pPr>
            <w:r w:rsidRPr="005071A1">
              <w:t>1.82</w:t>
            </w:r>
          </w:p>
        </w:tc>
        <w:tc>
          <w:tcPr>
            <w:tcW w:w="1824" w:type="dxa"/>
            <w:tcBorders>
              <w:bottom w:val="single" w:sz="4" w:space="0" w:color="auto"/>
            </w:tcBorders>
            <w:shd w:val="clear" w:color="auto" w:fill="auto"/>
          </w:tcPr>
          <w:p w14:paraId="60CF54E5" w14:textId="77777777" w:rsidR="00B33542" w:rsidRPr="005071A1" w:rsidRDefault="00B33542" w:rsidP="009B7AF5">
            <w:pPr>
              <w:pStyle w:val="Tabletext"/>
            </w:pPr>
            <w:r w:rsidRPr="005071A1">
              <w:t>0.91</w:t>
            </w:r>
          </w:p>
        </w:tc>
      </w:tr>
      <w:tr w:rsidR="00B33542" w:rsidRPr="005071A1" w14:paraId="78FF530A" w14:textId="77777777" w:rsidTr="00D57394">
        <w:tc>
          <w:tcPr>
            <w:tcW w:w="1824" w:type="dxa"/>
            <w:tcBorders>
              <w:top w:val="single" w:sz="4" w:space="0" w:color="auto"/>
            </w:tcBorders>
            <w:shd w:val="clear" w:color="auto" w:fill="auto"/>
          </w:tcPr>
          <w:p w14:paraId="3EC97043" w14:textId="77777777" w:rsidR="00B33542" w:rsidRPr="005071A1" w:rsidRDefault="00B33542" w:rsidP="009B7AF5">
            <w:pPr>
              <w:pStyle w:val="Tabletext"/>
            </w:pPr>
            <w:r w:rsidRPr="005071A1">
              <w:t>54</w:t>
            </w:r>
          </w:p>
        </w:tc>
        <w:tc>
          <w:tcPr>
            <w:tcW w:w="1824" w:type="dxa"/>
            <w:tcBorders>
              <w:top w:val="single" w:sz="4" w:space="0" w:color="auto"/>
            </w:tcBorders>
            <w:shd w:val="clear" w:color="auto" w:fill="auto"/>
          </w:tcPr>
          <w:p w14:paraId="50E4A0EA" w14:textId="77777777" w:rsidR="00B33542" w:rsidRPr="005071A1" w:rsidRDefault="00B33542" w:rsidP="009B7AF5">
            <w:pPr>
              <w:pStyle w:val="Tabletext"/>
            </w:pPr>
            <w:r w:rsidRPr="005071A1">
              <w:t>2.06</w:t>
            </w:r>
          </w:p>
        </w:tc>
        <w:tc>
          <w:tcPr>
            <w:tcW w:w="1824" w:type="dxa"/>
            <w:tcBorders>
              <w:top w:val="single" w:sz="4" w:space="0" w:color="auto"/>
            </w:tcBorders>
            <w:shd w:val="clear" w:color="auto" w:fill="auto"/>
          </w:tcPr>
          <w:p w14:paraId="6DFE2465" w14:textId="77777777" w:rsidR="00B33542" w:rsidRPr="005071A1" w:rsidRDefault="00B33542" w:rsidP="009B7AF5">
            <w:pPr>
              <w:pStyle w:val="Tabletext"/>
            </w:pPr>
            <w:r w:rsidRPr="005071A1">
              <w:t>2.02</w:t>
            </w:r>
          </w:p>
        </w:tc>
        <w:tc>
          <w:tcPr>
            <w:tcW w:w="1824" w:type="dxa"/>
            <w:tcBorders>
              <w:top w:val="single" w:sz="4" w:space="0" w:color="auto"/>
            </w:tcBorders>
            <w:shd w:val="clear" w:color="auto" w:fill="auto"/>
          </w:tcPr>
          <w:p w14:paraId="49C72C67" w14:textId="77777777" w:rsidR="00B33542" w:rsidRPr="005071A1" w:rsidRDefault="00B33542" w:rsidP="009B7AF5">
            <w:pPr>
              <w:pStyle w:val="Tabletext"/>
            </w:pPr>
            <w:r w:rsidRPr="005071A1">
              <w:t>1.01</w:t>
            </w:r>
          </w:p>
        </w:tc>
      </w:tr>
      <w:tr w:rsidR="00B33542" w:rsidRPr="005071A1" w14:paraId="2BC6AC30" w14:textId="77777777" w:rsidTr="00640BB6">
        <w:tc>
          <w:tcPr>
            <w:tcW w:w="1824" w:type="dxa"/>
            <w:tcBorders>
              <w:bottom w:val="single" w:sz="4" w:space="0" w:color="auto"/>
            </w:tcBorders>
            <w:shd w:val="clear" w:color="auto" w:fill="auto"/>
          </w:tcPr>
          <w:p w14:paraId="7621AED9" w14:textId="77777777" w:rsidR="00B33542" w:rsidRPr="005071A1" w:rsidRDefault="00B33542" w:rsidP="009B7AF5">
            <w:pPr>
              <w:pStyle w:val="Tabletext"/>
            </w:pPr>
            <w:r w:rsidRPr="005071A1">
              <w:t>55</w:t>
            </w:r>
          </w:p>
        </w:tc>
        <w:tc>
          <w:tcPr>
            <w:tcW w:w="1824" w:type="dxa"/>
            <w:tcBorders>
              <w:bottom w:val="single" w:sz="4" w:space="0" w:color="auto"/>
            </w:tcBorders>
            <w:shd w:val="clear" w:color="auto" w:fill="auto"/>
          </w:tcPr>
          <w:p w14:paraId="053DC3BB" w14:textId="77777777" w:rsidR="00B33542" w:rsidRPr="005071A1" w:rsidRDefault="00B33542" w:rsidP="009B7AF5">
            <w:pPr>
              <w:pStyle w:val="Tabletext"/>
            </w:pPr>
            <w:r w:rsidRPr="005071A1">
              <w:t>2.30</w:t>
            </w:r>
          </w:p>
        </w:tc>
        <w:tc>
          <w:tcPr>
            <w:tcW w:w="1824" w:type="dxa"/>
            <w:tcBorders>
              <w:bottom w:val="single" w:sz="4" w:space="0" w:color="auto"/>
            </w:tcBorders>
            <w:shd w:val="clear" w:color="auto" w:fill="auto"/>
          </w:tcPr>
          <w:p w14:paraId="2D8A8B04" w14:textId="77777777" w:rsidR="00B33542" w:rsidRPr="005071A1" w:rsidRDefault="00B33542" w:rsidP="009B7AF5">
            <w:pPr>
              <w:pStyle w:val="Tabletext"/>
            </w:pPr>
            <w:r w:rsidRPr="005071A1">
              <w:t>2.26</w:t>
            </w:r>
          </w:p>
        </w:tc>
        <w:tc>
          <w:tcPr>
            <w:tcW w:w="1824" w:type="dxa"/>
            <w:tcBorders>
              <w:bottom w:val="single" w:sz="4" w:space="0" w:color="auto"/>
            </w:tcBorders>
            <w:shd w:val="clear" w:color="auto" w:fill="auto"/>
          </w:tcPr>
          <w:p w14:paraId="3703E721" w14:textId="77777777" w:rsidR="00B33542" w:rsidRPr="005071A1" w:rsidRDefault="00B33542" w:rsidP="009B7AF5">
            <w:pPr>
              <w:pStyle w:val="Tabletext"/>
            </w:pPr>
            <w:r w:rsidRPr="005071A1">
              <w:t>1.13</w:t>
            </w:r>
          </w:p>
        </w:tc>
      </w:tr>
      <w:tr w:rsidR="00B33542" w:rsidRPr="005071A1" w14:paraId="303C3473" w14:textId="77777777" w:rsidTr="00640BB6">
        <w:tc>
          <w:tcPr>
            <w:tcW w:w="1824" w:type="dxa"/>
            <w:tcBorders>
              <w:bottom w:val="single" w:sz="4" w:space="0" w:color="auto"/>
            </w:tcBorders>
            <w:shd w:val="clear" w:color="auto" w:fill="auto"/>
          </w:tcPr>
          <w:p w14:paraId="7FC8870C" w14:textId="77777777" w:rsidR="00B33542" w:rsidRPr="005071A1" w:rsidRDefault="00B33542" w:rsidP="009B7AF5">
            <w:pPr>
              <w:pStyle w:val="Tabletext"/>
            </w:pPr>
            <w:r w:rsidRPr="005071A1">
              <w:t>56</w:t>
            </w:r>
          </w:p>
        </w:tc>
        <w:tc>
          <w:tcPr>
            <w:tcW w:w="1824" w:type="dxa"/>
            <w:tcBorders>
              <w:bottom w:val="single" w:sz="4" w:space="0" w:color="auto"/>
            </w:tcBorders>
            <w:shd w:val="clear" w:color="auto" w:fill="auto"/>
          </w:tcPr>
          <w:p w14:paraId="4AF1E0DA" w14:textId="77777777" w:rsidR="00B33542" w:rsidRPr="005071A1" w:rsidRDefault="00B33542" w:rsidP="009B7AF5">
            <w:pPr>
              <w:pStyle w:val="Tabletext"/>
            </w:pPr>
            <w:r w:rsidRPr="005071A1">
              <w:t>2.58</w:t>
            </w:r>
          </w:p>
        </w:tc>
        <w:tc>
          <w:tcPr>
            <w:tcW w:w="1824" w:type="dxa"/>
            <w:tcBorders>
              <w:bottom w:val="single" w:sz="4" w:space="0" w:color="auto"/>
            </w:tcBorders>
            <w:shd w:val="clear" w:color="auto" w:fill="auto"/>
          </w:tcPr>
          <w:p w14:paraId="3C4BF106" w14:textId="77777777" w:rsidR="00B33542" w:rsidRPr="005071A1" w:rsidRDefault="00B33542" w:rsidP="009B7AF5">
            <w:pPr>
              <w:pStyle w:val="Tabletext"/>
            </w:pPr>
            <w:r w:rsidRPr="005071A1">
              <w:t>2.56</w:t>
            </w:r>
          </w:p>
        </w:tc>
        <w:tc>
          <w:tcPr>
            <w:tcW w:w="1824" w:type="dxa"/>
            <w:tcBorders>
              <w:bottom w:val="single" w:sz="4" w:space="0" w:color="auto"/>
            </w:tcBorders>
            <w:shd w:val="clear" w:color="auto" w:fill="auto"/>
          </w:tcPr>
          <w:p w14:paraId="486A4740" w14:textId="77777777" w:rsidR="00B33542" w:rsidRPr="005071A1" w:rsidRDefault="00B33542" w:rsidP="009B7AF5">
            <w:pPr>
              <w:pStyle w:val="Tabletext"/>
            </w:pPr>
            <w:r w:rsidRPr="005071A1">
              <w:t>1.28</w:t>
            </w:r>
          </w:p>
        </w:tc>
      </w:tr>
      <w:tr w:rsidR="00B33542" w:rsidRPr="005071A1" w14:paraId="1723D1D8" w14:textId="77777777" w:rsidTr="00640BB6">
        <w:tc>
          <w:tcPr>
            <w:tcW w:w="1824" w:type="dxa"/>
            <w:tcBorders>
              <w:top w:val="single" w:sz="4" w:space="0" w:color="auto"/>
            </w:tcBorders>
            <w:shd w:val="clear" w:color="auto" w:fill="auto"/>
          </w:tcPr>
          <w:p w14:paraId="10B4DD39" w14:textId="77777777" w:rsidR="00B33542" w:rsidRPr="005071A1" w:rsidRDefault="00B33542" w:rsidP="009B7AF5">
            <w:pPr>
              <w:pStyle w:val="Tabletext"/>
            </w:pPr>
            <w:r w:rsidRPr="005071A1">
              <w:t>57</w:t>
            </w:r>
          </w:p>
        </w:tc>
        <w:tc>
          <w:tcPr>
            <w:tcW w:w="1824" w:type="dxa"/>
            <w:tcBorders>
              <w:top w:val="single" w:sz="4" w:space="0" w:color="auto"/>
            </w:tcBorders>
            <w:shd w:val="clear" w:color="auto" w:fill="auto"/>
          </w:tcPr>
          <w:p w14:paraId="05978517" w14:textId="77777777" w:rsidR="00B33542" w:rsidRPr="005071A1" w:rsidRDefault="00B33542" w:rsidP="009B7AF5">
            <w:pPr>
              <w:pStyle w:val="Tabletext"/>
            </w:pPr>
            <w:r w:rsidRPr="005071A1">
              <w:t>2.96</w:t>
            </w:r>
          </w:p>
        </w:tc>
        <w:tc>
          <w:tcPr>
            <w:tcW w:w="1824" w:type="dxa"/>
            <w:tcBorders>
              <w:top w:val="single" w:sz="4" w:space="0" w:color="auto"/>
            </w:tcBorders>
            <w:shd w:val="clear" w:color="auto" w:fill="auto"/>
          </w:tcPr>
          <w:p w14:paraId="20D96B5F" w14:textId="77777777" w:rsidR="00B33542" w:rsidRPr="005071A1" w:rsidRDefault="00B33542" w:rsidP="009B7AF5">
            <w:pPr>
              <w:pStyle w:val="Tabletext"/>
            </w:pPr>
            <w:r w:rsidRPr="005071A1">
              <w:t>2.92</w:t>
            </w:r>
          </w:p>
        </w:tc>
        <w:tc>
          <w:tcPr>
            <w:tcW w:w="1824" w:type="dxa"/>
            <w:tcBorders>
              <w:top w:val="single" w:sz="4" w:space="0" w:color="auto"/>
            </w:tcBorders>
            <w:shd w:val="clear" w:color="auto" w:fill="auto"/>
          </w:tcPr>
          <w:p w14:paraId="4FF8CED6" w14:textId="77777777" w:rsidR="00B33542" w:rsidRPr="005071A1" w:rsidRDefault="00B33542" w:rsidP="009B7AF5">
            <w:pPr>
              <w:pStyle w:val="Tabletext"/>
            </w:pPr>
            <w:r w:rsidRPr="005071A1">
              <w:t>1.46</w:t>
            </w:r>
          </w:p>
        </w:tc>
      </w:tr>
      <w:tr w:rsidR="00B33542" w:rsidRPr="005071A1" w14:paraId="52944EA5" w14:textId="77777777" w:rsidTr="009B7AF5">
        <w:tc>
          <w:tcPr>
            <w:tcW w:w="1824" w:type="dxa"/>
            <w:shd w:val="clear" w:color="auto" w:fill="auto"/>
          </w:tcPr>
          <w:p w14:paraId="543606BC" w14:textId="77777777" w:rsidR="00B33542" w:rsidRPr="005071A1" w:rsidRDefault="00B33542" w:rsidP="009B7AF5">
            <w:pPr>
              <w:pStyle w:val="Tabletext"/>
            </w:pPr>
            <w:r w:rsidRPr="005071A1">
              <w:t>58</w:t>
            </w:r>
          </w:p>
        </w:tc>
        <w:tc>
          <w:tcPr>
            <w:tcW w:w="1824" w:type="dxa"/>
            <w:shd w:val="clear" w:color="auto" w:fill="auto"/>
          </w:tcPr>
          <w:p w14:paraId="37AD4E23" w14:textId="77777777" w:rsidR="00B33542" w:rsidRPr="005071A1" w:rsidRDefault="00B33542" w:rsidP="009B7AF5">
            <w:pPr>
              <w:pStyle w:val="Tabletext"/>
            </w:pPr>
            <w:r w:rsidRPr="005071A1">
              <w:t>3.42</w:t>
            </w:r>
          </w:p>
        </w:tc>
        <w:tc>
          <w:tcPr>
            <w:tcW w:w="1824" w:type="dxa"/>
            <w:shd w:val="clear" w:color="auto" w:fill="auto"/>
          </w:tcPr>
          <w:p w14:paraId="0E9B6784" w14:textId="77777777" w:rsidR="00B33542" w:rsidRPr="005071A1" w:rsidRDefault="00B33542" w:rsidP="009B7AF5">
            <w:pPr>
              <w:pStyle w:val="Tabletext"/>
            </w:pPr>
            <w:r w:rsidRPr="005071A1">
              <w:t>3.40</w:t>
            </w:r>
          </w:p>
        </w:tc>
        <w:tc>
          <w:tcPr>
            <w:tcW w:w="1824" w:type="dxa"/>
            <w:shd w:val="clear" w:color="auto" w:fill="auto"/>
          </w:tcPr>
          <w:p w14:paraId="7ADEDB69" w14:textId="77777777" w:rsidR="00B33542" w:rsidRPr="005071A1" w:rsidRDefault="00B33542" w:rsidP="009B7AF5">
            <w:pPr>
              <w:pStyle w:val="Tabletext"/>
            </w:pPr>
            <w:r w:rsidRPr="005071A1">
              <w:t>1.70</w:t>
            </w:r>
          </w:p>
        </w:tc>
      </w:tr>
      <w:tr w:rsidR="00B33542" w:rsidRPr="005071A1" w14:paraId="7FAD69A6" w14:textId="77777777" w:rsidTr="009B7AF5">
        <w:tc>
          <w:tcPr>
            <w:tcW w:w="1824" w:type="dxa"/>
            <w:shd w:val="clear" w:color="auto" w:fill="auto"/>
          </w:tcPr>
          <w:p w14:paraId="1E99E164" w14:textId="77777777" w:rsidR="00B33542" w:rsidRPr="005071A1" w:rsidRDefault="00B33542" w:rsidP="009B7AF5">
            <w:pPr>
              <w:pStyle w:val="Tabletext"/>
            </w:pPr>
            <w:r w:rsidRPr="005071A1">
              <w:t>59</w:t>
            </w:r>
          </w:p>
        </w:tc>
        <w:tc>
          <w:tcPr>
            <w:tcW w:w="1824" w:type="dxa"/>
            <w:shd w:val="clear" w:color="auto" w:fill="auto"/>
          </w:tcPr>
          <w:p w14:paraId="10687DD1" w14:textId="77777777" w:rsidR="00B33542" w:rsidRPr="005071A1" w:rsidRDefault="00B33542" w:rsidP="009B7AF5">
            <w:pPr>
              <w:pStyle w:val="Tabletext"/>
            </w:pPr>
            <w:r w:rsidRPr="005071A1">
              <w:t>4.06</w:t>
            </w:r>
          </w:p>
        </w:tc>
        <w:tc>
          <w:tcPr>
            <w:tcW w:w="1824" w:type="dxa"/>
            <w:shd w:val="clear" w:color="auto" w:fill="auto"/>
          </w:tcPr>
          <w:p w14:paraId="13AF6F27" w14:textId="77777777" w:rsidR="00B33542" w:rsidRPr="005071A1" w:rsidRDefault="00B33542" w:rsidP="009B7AF5">
            <w:pPr>
              <w:pStyle w:val="Tabletext"/>
            </w:pPr>
            <w:r w:rsidRPr="005071A1">
              <w:t>4.02</w:t>
            </w:r>
          </w:p>
        </w:tc>
        <w:tc>
          <w:tcPr>
            <w:tcW w:w="1824" w:type="dxa"/>
            <w:shd w:val="clear" w:color="auto" w:fill="auto"/>
          </w:tcPr>
          <w:p w14:paraId="4C47F5CC" w14:textId="77777777" w:rsidR="00B33542" w:rsidRPr="005071A1" w:rsidRDefault="00B33542" w:rsidP="009B7AF5">
            <w:pPr>
              <w:pStyle w:val="Tabletext"/>
            </w:pPr>
            <w:r w:rsidRPr="005071A1">
              <w:t>2.01</w:t>
            </w:r>
          </w:p>
        </w:tc>
      </w:tr>
      <w:tr w:rsidR="00B33542" w:rsidRPr="005071A1" w14:paraId="421B6691" w14:textId="77777777" w:rsidTr="009B7AF5">
        <w:tc>
          <w:tcPr>
            <w:tcW w:w="1824" w:type="dxa"/>
            <w:shd w:val="clear" w:color="auto" w:fill="auto"/>
          </w:tcPr>
          <w:p w14:paraId="3ABAFDA4" w14:textId="77777777" w:rsidR="00B33542" w:rsidRPr="005071A1" w:rsidRDefault="00B33542" w:rsidP="009B7AF5">
            <w:pPr>
              <w:pStyle w:val="Tabletext"/>
            </w:pPr>
            <w:r w:rsidRPr="005071A1">
              <w:t>60</w:t>
            </w:r>
          </w:p>
        </w:tc>
        <w:tc>
          <w:tcPr>
            <w:tcW w:w="1824" w:type="dxa"/>
            <w:shd w:val="clear" w:color="auto" w:fill="auto"/>
          </w:tcPr>
          <w:p w14:paraId="32A14BA1" w14:textId="77777777" w:rsidR="00B33542" w:rsidRPr="005071A1" w:rsidRDefault="00B33542" w:rsidP="009B7AF5">
            <w:pPr>
              <w:pStyle w:val="Tabletext"/>
            </w:pPr>
            <w:r w:rsidRPr="005071A1">
              <w:t>4.92</w:t>
            </w:r>
          </w:p>
        </w:tc>
        <w:tc>
          <w:tcPr>
            <w:tcW w:w="1824" w:type="dxa"/>
            <w:shd w:val="clear" w:color="auto" w:fill="auto"/>
          </w:tcPr>
          <w:p w14:paraId="70DF2B2A" w14:textId="77777777" w:rsidR="00B33542" w:rsidRPr="005071A1" w:rsidRDefault="00B33542" w:rsidP="009B7AF5">
            <w:pPr>
              <w:pStyle w:val="Tabletext"/>
            </w:pPr>
            <w:r w:rsidRPr="005071A1">
              <w:t>4.88</w:t>
            </w:r>
          </w:p>
        </w:tc>
        <w:tc>
          <w:tcPr>
            <w:tcW w:w="1824" w:type="dxa"/>
            <w:shd w:val="clear" w:color="auto" w:fill="auto"/>
          </w:tcPr>
          <w:p w14:paraId="3C87D5A1" w14:textId="77777777" w:rsidR="00B33542" w:rsidRPr="005071A1" w:rsidRDefault="00B33542" w:rsidP="009B7AF5">
            <w:pPr>
              <w:pStyle w:val="Tabletext"/>
            </w:pPr>
            <w:r w:rsidRPr="005071A1">
              <w:t>2.44</w:t>
            </w:r>
          </w:p>
        </w:tc>
      </w:tr>
      <w:tr w:rsidR="00B33542" w:rsidRPr="005071A1" w14:paraId="7AC465BC" w14:textId="77777777" w:rsidTr="009B7AF5">
        <w:tc>
          <w:tcPr>
            <w:tcW w:w="1824" w:type="dxa"/>
            <w:shd w:val="clear" w:color="auto" w:fill="auto"/>
          </w:tcPr>
          <w:p w14:paraId="303AA3CA" w14:textId="77777777" w:rsidR="00B33542" w:rsidRPr="005071A1" w:rsidRDefault="00B33542" w:rsidP="009B7AF5">
            <w:pPr>
              <w:pStyle w:val="Tabletext"/>
            </w:pPr>
            <w:r w:rsidRPr="005071A1">
              <w:t>61</w:t>
            </w:r>
          </w:p>
        </w:tc>
        <w:tc>
          <w:tcPr>
            <w:tcW w:w="1824" w:type="dxa"/>
            <w:shd w:val="clear" w:color="auto" w:fill="auto"/>
          </w:tcPr>
          <w:p w14:paraId="54AA516D" w14:textId="77777777" w:rsidR="00B33542" w:rsidRPr="005071A1" w:rsidRDefault="00B33542" w:rsidP="009B7AF5">
            <w:pPr>
              <w:pStyle w:val="Tabletext"/>
            </w:pPr>
            <w:r w:rsidRPr="005071A1">
              <w:t>6.16</w:t>
            </w:r>
          </w:p>
        </w:tc>
        <w:tc>
          <w:tcPr>
            <w:tcW w:w="1824" w:type="dxa"/>
            <w:shd w:val="clear" w:color="auto" w:fill="auto"/>
          </w:tcPr>
          <w:p w14:paraId="2502A2A8" w14:textId="77777777" w:rsidR="00B33542" w:rsidRPr="005071A1" w:rsidRDefault="00B33542" w:rsidP="009B7AF5">
            <w:pPr>
              <w:pStyle w:val="Tabletext"/>
            </w:pPr>
            <w:r w:rsidRPr="005071A1">
              <w:t>6.12</w:t>
            </w:r>
          </w:p>
        </w:tc>
        <w:tc>
          <w:tcPr>
            <w:tcW w:w="1824" w:type="dxa"/>
            <w:shd w:val="clear" w:color="auto" w:fill="auto"/>
          </w:tcPr>
          <w:p w14:paraId="7126DB9F" w14:textId="77777777" w:rsidR="00B33542" w:rsidRPr="005071A1" w:rsidRDefault="00B33542" w:rsidP="009B7AF5">
            <w:pPr>
              <w:pStyle w:val="Tabletext"/>
            </w:pPr>
            <w:r w:rsidRPr="005071A1">
              <w:t>3.06</w:t>
            </w:r>
          </w:p>
        </w:tc>
      </w:tr>
      <w:tr w:rsidR="00B33542" w:rsidRPr="005071A1" w14:paraId="32CEF36A" w14:textId="77777777" w:rsidTr="009B7AF5">
        <w:tc>
          <w:tcPr>
            <w:tcW w:w="1824" w:type="dxa"/>
            <w:shd w:val="clear" w:color="auto" w:fill="auto"/>
          </w:tcPr>
          <w:p w14:paraId="5B7FCA9E" w14:textId="77777777" w:rsidR="00B33542" w:rsidRPr="005071A1" w:rsidRDefault="00B33542" w:rsidP="009B7AF5">
            <w:pPr>
              <w:pStyle w:val="Tabletext"/>
            </w:pPr>
            <w:r w:rsidRPr="005071A1">
              <w:t>62</w:t>
            </w:r>
          </w:p>
        </w:tc>
        <w:tc>
          <w:tcPr>
            <w:tcW w:w="1824" w:type="dxa"/>
            <w:shd w:val="clear" w:color="auto" w:fill="auto"/>
          </w:tcPr>
          <w:p w14:paraId="508CE9D6" w14:textId="77777777" w:rsidR="00B33542" w:rsidRPr="005071A1" w:rsidRDefault="00B33542" w:rsidP="009B7AF5">
            <w:pPr>
              <w:pStyle w:val="Tabletext"/>
            </w:pPr>
            <w:r w:rsidRPr="005071A1">
              <w:t>8.18</w:t>
            </w:r>
          </w:p>
        </w:tc>
        <w:tc>
          <w:tcPr>
            <w:tcW w:w="1824" w:type="dxa"/>
            <w:shd w:val="clear" w:color="auto" w:fill="auto"/>
          </w:tcPr>
          <w:p w14:paraId="48F399CC" w14:textId="77777777" w:rsidR="00B33542" w:rsidRPr="005071A1" w:rsidRDefault="00B33542" w:rsidP="009B7AF5">
            <w:pPr>
              <w:pStyle w:val="Tabletext"/>
            </w:pPr>
            <w:r w:rsidRPr="005071A1">
              <w:t>8.14</w:t>
            </w:r>
          </w:p>
        </w:tc>
        <w:tc>
          <w:tcPr>
            <w:tcW w:w="1824" w:type="dxa"/>
            <w:shd w:val="clear" w:color="auto" w:fill="auto"/>
          </w:tcPr>
          <w:p w14:paraId="446005E5" w14:textId="77777777" w:rsidR="00B33542" w:rsidRPr="005071A1" w:rsidRDefault="00B33542" w:rsidP="009B7AF5">
            <w:pPr>
              <w:pStyle w:val="Tabletext"/>
            </w:pPr>
            <w:r w:rsidRPr="005071A1">
              <w:t>4.07</w:t>
            </w:r>
          </w:p>
        </w:tc>
      </w:tr>
      <w:tr w:rsidR="00B33542" w:rsidRPr="005071A1" w14:paraId="37911A2C" w14:textId="77777777" w:rsidTr="009B7AF5">
        <w:tc>
          <w:tcPr>
            <w:tcW w:w="1824" w:type="dxa"/>
            <w:shd w:val="clear" w:color="auto" w:fill="auto"/>
          </w:tcPr>
          <w:p w14:paraId="485CFF73" w14:textId="77777777" w:rsidR="00B33542" w:rsidRPr="005071A1" w:rsidRDefault="00B33542" w:rsidP="009B7AF5">
            <w:pPr>
              <w:pStyle w:val="Tabletext"/>
            </w:pPr>
            <w:r w:rsidRPr="005071A1">
              <w:t>63</w:t>
            </w:r>
          </w:p>
        </w:tc>
        <w:tc>
          <w:tcPr>
            <w:tcW w:w="1824" w:type="dxa"/>
            <w:shd w:val="clear" w:color="auto" w:fill="auto"/>
          </w:tcPr>
          <w:p w14:paraId="32C0C5BB" w14:textId="77777777" w:rsidR="00B33542" w:rsidRPr="005071A1" w:rsidRDefault="00B33542" w:rsidP="009B7AF5">
            <w:pPr>
              <w:pStyle w:val="Tabletext"/>
            </w:pPr>
            <w:r w:rsidRPr="005071A1">
              <w:t>12.26</w:t>
            </w:r>
          </w:p>
        </w:tc>
        <w:tc>
          <w:tcPr>
            <w:tcW w:w="1824" w:type="dxa"/>
            <w:shd w:val="clear" w:color="auto" w:fill="auto"/>
          </w:tcPr>
          <w:p w14:paraId="286E6071" w14:textId="77777777" w:rsidR="00B33542" w:rsidRPr="005071A1" w:rsidRDefault="00B33542" w:rsidP="009B7AF5">
            <w:pPr>
              <w:pStyle w:val="Tabletext"/>
            </w:pPr>
            <w:r w:rsidRPr="005071A1">
              <w:t>12.20</w:t>
            </w:r>
          </w:p>
        </w:tc>
        <w:tc>
          <w:tcPr>
            <w:tcW w:w="1824" w:type="dxa"/>
            <w:shd w:val="clear" w:color="auto" w:fill="auto"/>
          </w:tcPr>
          <w:p w14:paraId="2D7689CC" w14:textId="77777777" w:rsidR="00B33542" w:rsidRPr="005071A1" w:rsidRDefault="00B33542" w:rsidP="009B7AF5">
            <w:pPr>
              <w:pStyle w:val="Tabletext"/>
            </w:pPr>
            <w:r w:rsidRPr="005071A1">
              <w:t>6.10</w:t>
            </w:r>
          </w:p>
        </w:tc>
      </w:tr>
      <w:tr w:rsidR="00B33542" w:rsidRPr="005071A1" w14:paraId="6D734669" w14:textId="77777777" w:rsidTr="00C35CF0">
        <w:tc>
          <w:tcPr>
            <w:tcW w:w="1824" w:type="dxa"/>
            <w:tcBorders>
              <w:bottom w:val="single" w:sz="4" w:space="0" w:color="auto"/>
            </w:tcBorders>
            <w:shd w:val="clear" w:color="auto" w:fill="auto"/>
          </w:tcPr>
          <w:p w14:paraId="54A5D343" w14:textId="77777777" w:rsidR="00B33542" w:rsidRPr="005071A1" w:rsidRDefault="00B33542" w:rsidP="009B7AF5">
            <w:pPr>
              <w:pStyle w:val="Tabletext"/>
            </w:pPr>
            <w:r w:rsidRPr="005071A1">
              <w:t>64</w:t>
            </w:r>
          </w:p>
        </w:tc>
        <w:tc>
          <w:tcPr>
            <w:tcW w:w="1824" w:type="dxa"/>
            <w:tcBorders>
              <w:bottom w:val="single" w:sz="4" w:space="0" w:color="auto"/>
            </w:tcBorders>
            <w:shd w:val="clear" w:color="auto" w:fill="auto"/>
          </w:tcPr>
          <w:p w14:paraId="78A6A3E7" w14:textId="77777777" w:rsidR="00B33542" w:rsidRPr="005071A1" w:rsidRDefault="00B33542" w:rsidP="009B7AF5">
            <w:pPr>
              <w:pStyle w:val="Tabletext"/>
            </w:pPr>
            <w:r w:rsidRPr="005071A1">
              <w:t>24.24</w:t>
            </w:r>
          </w:p>
        </w:tc>
        <w:tc>
          <w:tcPr>
            <w:tcW w:w="1824" w:type="dxa"/>
            <w:tcBorders>
              <w:bottom w:val="single" w:sz="4" w:space="0" w:color="auto"/>
            </w:tcBorders>
            <w:shd w:val="clear" w:color="auto" w:fill="auto"/>
          </w:tcPr>
          <w:p w14:paraId="2BEACAB5" w14:textId="77777777" w:rsidR="00B33542" w:rsidRPr="005071A1" w:rsidRDefault="00B33542" w:rsidP="009B7AF5">
            <w:pPr>
              <w:pStyle w:val="Tabletext"/>
            </w:pPr>
            <w:r w:rsidRPr="005071A1">
              <w:t>24.12</w:t>
            </w:r>
          </w:p>
        </w:tc>
        <w:tc>
          <w:tcPr>
            <w:tcW w:w="1824" w:type="dxa"/>
            <w:tcBorders>
              <w:bottom w:val="single" w:sz="4" w:space="0" w:color="auto"/>
            </w:tcBorders>
            <w:shd w:val="clear" w:color="auto" w:fill="auto"/>
          </w:tcPr>
          <w:p w14:paraId="696F49E8" w14:textId="77777777" w:rsidR="00B33542" w:rsidRPr="005071A1" w:rsidRDefault="00B33542" w:rsidP="009B7AF5">
            <w:pPr>
              <w:pStyle w:val="Tabletext"/>
            </w:pPr>
            <w:r w:rsidRPr="005071A1">
              <w:t>12.06</w:t>
            </w:r>
          </w:p>
        </w:tc>
      </w:tr>
      <w:tr w:rsidR="00B33542" w:rsidRPr="005071A1" w14:paraId="228AEF9B" w14:textId="77777777" w:rsidTr="00C35CF0">
        <w:tc>
          <w:tcPr>
            <w:tcW w:w="1824" w:type="dxa"/>
            <w:tcBorders>
              <w:bottom w:val="single" w:sz="12" w:space="0" w:color="auto"/>
            </w:tcBorders>
            <w:shd w:val="clear" w:color="auto" w:fill="auto"/>
          </w:tcPr>
          <w:p w14:paraId="7A611105" w14:textId="77777777" w:rsidR="00B33542" w:rsidRPr="005071A1" w:rsidRDefault="00B33542" w:rsidP="009B7AF5">
            <w:pPr>
              <w:pStyle w:val="Tabletext"/>
            </w:pPr>
            <w:r w:rsidRPr="005071A1">
              <w:t>65</w:t>
            </w:r>
          </w:p>
        </w:tc>
        <w:tc>
          <w:tcPr>
            <w:tcW w:w="1824" w:type="dxa"/>
            <w:tcBorders>
              <w:bottom w:val="single" w:sz="12" w:space="0" w:color="auto"/>
            </w:tcBorders>
            <w:shd w:val="clear" w:color="auto" w:fill="auto"/>
          </w:tcPr>
          <w:p w14:paraId="78D6D5CA" w14:textId="77777777" w:rsidR="00B33542" w:rsidRPr="005071A1" w:rsidRDefault="00B33542" w:rsidP="009B7AF5">
            <w:pPr>
              <w:pStyle w:val="Tabletext"/>
            </w:pPr>
            <w:r w:rsidRPr="005071A1">
              <w:t>24.50</w:t>
            </w:r>
          </w:p>
        </w:tc>
        <w:tc>
          <w:tcPr>
            <w:tcW w:w="1824" w:type="dxa"/>
            <w:tcBorders>
              <w:bottom w:val="single" w:sz="12" w:space="0" w:color="auto"/>
            </w:tcBorders>
            <w:shd w:val="clear" w:color="auto" w:fill="auto"/>
          </w:tcPr>
          <w:p w14:paraId="64D492A7" w14:textId="77777777" w:rsidR="00B33542" w:rsidRPr="005071A1" w:rsidRDefault="00B33542" w:rsidP="009B7AF5">
            <w:pPr>
              <w:pStyle w:val="Tabletext"/>
            </w:pPr>
            <w:r w:rsidRPr="005071A1">
              <w:t>24.40</w:t>
            </w:r>
          </w:p>
        </w:tc>
        <w:tc>
          <w:tcPr>
            <w:tcW w:w="1824" w:type="dxa"/>
            <w:tcBorders>
              <w:bottom w:val="single" w:sz="12" w:space="0" w:color="auto"/>
            </w:tcBorders>
            <w:shd w:val="clear" w:color="auto" w:fill="auto"/>
          </w:tcPr>
          <w:p w14:paraId="4A0AFCA4" w14:textId="77777777" w:rsidR="00B33542" w:rsidRPr="005071A1" w:rsidRDefault="00B33542" w:rsidP="009B7AF5">
            <w:pPr>
              <w:pStyle w:val="Tabletext"/>
            </w:pPr>
            <w:r w:rsidRPr="005071A1">
              <w:t>12.20</w:t>
            </w:r>
          </w:p>
        </w:tc>
      </w:tr>
    </w:tbl>
    <w:p w14:paraId="4716C07C" w14:textId="77777777" w:rsidR="00B33542" w:rsidRPr="005071A1" w:rsidRDefault="00B33542" w:rsidP="00674A0D">
      <w:pPr>
        <w:pStyle w:val="ActHead5"/>
        <w:pageBreakBefore/>
      </w:pPr>
      <w:bookmarkStart w:id="293" w:name="_Toc185577675"/>
      <w:r w:rsidRPr="005071A1">
        <w:lastRenderedPageBreak/>
        <w:t>Table VI</w:t>
      </w:r>
      <w:bookmarkEnd w:id="293"/>
    </w:p>
    <w:p w14:paraId="4EE33135" w14:textId="77777777" w:rsidR="00B33542" w:rsidRPr="005071A1" w:rsidRDefault="00B33542" w:rsidP="00B33542">
      <w:pPr>
        <w:spacing w:before="120"/>
      </w:pPr>
      <w:r w:rsidRPr="005071A1">
        <w:t>Rates of contribution to be paid fortnightly by female contributors for units of pension based on a retiring age of 65 years and the age next birthday of the contributor when the obligation to contribute for those units came into existence</w:t>
      </w:r>
    </w:p>
    <w:p w14:paraId="7CE3A820"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32"/>
        <w:gridCol w:w="2432"/>
        <w:gridCol w:w="2474"/>
      </w:tblGrid>
      <w:tr w:rsidR="00B33542" w:rsidRPr="005071A1" w14:paraId="01C92B43" w14:textId="77777777" w:rsidTr="009B7AF5">
        <w:trPr>
          <w:tblHeader/>
        </w:trPr>
        <w:tc>
          <w:tcPr>
            <w:tcW w:w="2432" w:type="dxa"/>
            <w:tcBorders>
              <w:top w:val="single" w:sz="12" w:space="0" w:color="auto"/>
              <w:bottom w:val="single" w:sz="6" w:space="0" w:color="auto"/>
            </w:tcBorders>
            <w:shd w:val="clear" w:color="auto" w:fill="auto"/>
          </w:tcPr>
          <w:p w14:paraId="44B5C6B7" w14:textId="77777777" w:rsidR="00B33542" w:rsidRPr="005071A1" w:rsidRDefault="00B33542" w:rsidP="009B7AF5">
            <w:pPr>
              <w:pStyle w:val="TableHeading"/>
            </w:pPr>
            <w:r w:rsidRPr="005071A1">
              <w:t>Column 1</w:t>
            </w:r>
          </w:p>
        </w:tc>
        <w:tc>
          <w:tcPr>
            <w:tcW w:w="2432" w:type="dxa"/>
            <w:tcBorders>
              <w:top w:val="single" w:sz="12" w:space="0" w:color="auto"/>
              <w:bottom w:val="single" w:sz="6" w:space="0" w:color="auto"/>
            </w:tcBorders>
            <w:shd w:val="clear" w:color="auto" w:fill="auto"/>
          </w:tcPr>
          <w:p w14:paraId="0C953453" w14:textId="77777777" w:rsidR="00B33542" w:rsidRPr="005071A1" w:rsidRDefault="00B33542" w:rsidP="009B7AF5">
            <w:pPr>
              <w:pStyle w:val="TableHeading"/>
            </w:pPr>
            <w:r w:rsidRPr="005071A1">
              <w:t>Column 2</w:t>
            </w:r>
          </w:p>
        </w:tc>
        <w:tc>
          <w:tcPr>
            <w:tcW w:w="2474" w:type="dxa"/>
            <w:tcBorders>
              <w:top w:val="single" w:sz="12" w:space="0" w:color="auto"/>
              <w:bottom w:val="single" w:sz="6" w:space="0" w:color="auto"/>
            </w:tcBorders>
            <w:shd w:val="clear" w:color="auto" w:fill="auto"/>
          </w:tcPr>
          <w:p w14:paraId="5304FF76" w14:textId="77777777" w:rsidR="00B33542" w:rsidRPr="005071A1" w:rsidRDefault="00B33542" w:rsidP="009B7AF5">
            <w:pPr>
              <w:pStyle w:val="TableHeading"/>
            </w:pPr>
            <w:r w:rsidRPr="005071A1">
              <w:t>Column 3</w:t>
            </w:r>
          </w:p>
        </w:tc>
      </w:tr>
      <w:tr w:rsidR="00B33542" w:rsidRPr="005071A1" w14:paraId="2AF43C8D" w14:textId="77777777" w:rsidTr="009B7AF5">
        <w:trPr>
          <w:tblHeader/>
        </w:trPr>
        <w:tc>
          <w:tcPr>
            <w:tcW w:w="2432" w:type="dxa"/>
            <w:tcBorders>
              <w:top w:val="single" w:sz="6" w:space="0" w:color="auto"/>
              <w:bottom w:val="single" w:sz="6" w:space="0" w:color="auto"/>
            </w:tcBorders>
            <w:shd w:val="clear" w:color="auto" w:fill="auto"/>
          </w:tcPr>
          <w:p w14:paraId="1D8D5134" w14:textId="77777777" w:rsidR="00B33542" w:rsidRPr="005071A1" w:rsidRDefault="00B33542" w:rsidP="00E12150">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2432" w:type="dxa"/>
            <w:tcBorders>
              <w:top w:val="single" w:sz="6" w:space="0" w:color="auto"/>
              <w:bottom w:val="single" w:sz="6" w:space="0" w:color="auto"/>
            </w:tcBorders>
            <w:shd w:val="clear" w:color="auto" w:fill="auto"/>
          </w:tcPr>
          <w:p w14:paraId="517103A5" w14:textId="77777777" w:rsidR="00B33542" w:rsidRPr="005071A1" w:rsidRDefault="00B33542" w:rsidP="00E12150">
            <w:pPr>
              <w:pStyle w:val="TableHeading"/>
              <w:spacing w:before="40" w:after="40" w:line="180" w:lineRule="atLeast"/>
              <w:rPr>
                <w:sz w:val="16"/>
                <w:szCs w:val="16"/>
              </w:rPr>
            </w:pPr>
            <w:r w:rsidRPr="005071A1">
              <w:rPr>
                <w:sz w:val="16"/>
                <w:szCs w:val="16"/>
              </w:rPr>
              <w:t>Contribution for First Two Units where the Obligation to Contribute for those Units came into existence after 2nd November, 1942, and before 14th December, 1959; and Contribution for each Additional Two Units where Contributor is already a Contributor for Two or more units and the Obligation to Contribute for those Additional Units came into existence after 2nd November, 1942, and before 1st November, 1951</w:t>
            </w:r>
          </w:p>
        </w:tc>
        <w:tc>
          <w:tcPr>
            <w:tcW w:w="2474" w:type="dxa"/>
            <w:tcBorders>
              <w:top w:val="single" w:sz="6" w:space="0" w:color="auto"/>
              <w:bottom w:val="single" w:sz="6" w:space="0" w:color="auto"/>
            </w:tcBorders>
            <w:shd w:val="clear" w:color="auto" w:fill="auto"/>
          </w:tcPr>
          <w:p w14:paraId="77A5B3EB" w14:textId="77777777" w:rsidR="00B33542" w:rsidRPr="005071A1" w:rsidRDefault="00B33542" w:rsidP="00E12150">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Contribution for each Additional Unit where Contributor is already a Contributor for Two or more Units and the Obligation to Contribute for that Additional Unit came into existence on or after 1st November, 1951, and before 14th December, 1959</w:t>
            </w:r>
          </w:p>
        </w:tc>
      </w:tr>
      <w:tr w:rsidR="00B33542" w:rsidRPr="005071A1" w14:paraId="27D7927D" w14:textId="77777777" w:rsidTr="009B7AF5">
        <w:trPr>
          <w:tblHeader/>
        </w:trPr>
        <w:tc>
          <w:tcPr>
            <w:tcW w:w="2432" w:type="dxa"/>
            <w:tcBorders>
              <w:top w:val="single" w:sz="6" w:space="0" w:color="auto"/>
              <w:bottom w:val="single" w:sz="12" w:space="0" w:color="auto"/>
            </w:tcBorders>
            <w:shd w:val="clear" w:color="auto" w:fill="auto"/>
          </w:tcPr>
          <w:p w14:paraId="76C3C290" w14:textId="77777777" w:rsidR="00B33542" w:rsidRPr="005071A1" w:rsidRDefault="00B33542" w:rsidP="00C35CF0">
            <w:pPr>
              <w:pStyle w:val="TableHeading"/>
            </w:pPr>
          </w:p>
        </w:tc>
        <w:tc>
          <w:tcPr>
            <w:tcW w:w="2432" w:type="dxa"/>
            <w:tcBorders>
              <w:top w:val="single" w:sz="6" w:space="0" w:color="auto"/>
              <w:bottom w:val="single" w:sz="12" w:space="0" w:color="auto"/>
            </w:tcBorders>
            <w:shd w:val="clear" w:color="auto" w:fill="auto"/>
          </w:tcPr>
          <w:p w14:paraId="4F0C0A3E" w14:textId="77777777" w:rsidR="00B33542" w:rsidRPr="005071A1" w:rsidRDefault="00B33542" w:rsidP="00C35CF0">
            <w:pPr>
              <w:pStyle w:val="TableHeading"/>
            </w:pPr>
            <w:r w:rsidRPr="005071A1">
              <w:t>$</w:t>
            </w:r>
          </w:p>
        </w:tc>
        <w:tc>
          <w:tcPr>
            <w:tcW w:w="2474" w:type="dxa"/>
            <w:tcBorders>
              <w:top w:val="single" w:sz="6" w:space="0" w:color="auto"/>
              <w:bottom w:val="single" w:sz="12" w:space="0" w:color="auto"/>
            </w:tcBorders>
            <w:shd w:val="clear" w:color="auto" w:fill="auto"/>
          </w:tcPr>
          <w:p w14:paraId="1BF1D726" w14:textId="77777777" w:rsidR="00B33542" w:rsidRPr="005071A1" w:rsidRDefault="00B33542" w:rsidP="00C35CF0">
            <w:pPr>
              <w:pStyle w:val="TableHeading"/>
            </w:pPr>
            <w:r w:rsidRPr="005071A1">
              <w:t>$</w:t>
            </w:r>
          </w:p>
        </w:tc>
      </w:tr>
      <w:tr w:rsidR="00B33542" w:rsidRPr="005071A1" w14:paraId="138D7027" w14:textId="77777777" w:rsidTr="009B7AF5">
        <w:tc>
          <w:tcPr>
            <w:tcW w:w="2432" w:type="dxa"/>
            <w:tcBorders>
              <w:top w:val="single" w:sz="12" w:space="0" w:color="auto"/>
            </w:tcBorders>
            <w:shd w:val="clear" w:color="auto" w:fill="auto"/>
          </w:tcPr>
          <w:p w14:paraId="141B9C68" w14:textId="77777777" w:rsidR="00B33542" w:rsidRPr="005071A1" w:rsidRDefault="00B33542" w:rsidP="009B7AF5">
            <w:pPr>
              <w:pStyle w:val="Tabletext"/>
            </w:pPr>
            <w:r w:rsidRPr="005071A1">
              <w:t>15</w:t>
            </w:r>
          </w:p>
        </w:tc>
        <w:tc>
          <w:tcPr>
            <w:tcW w:w="2432" w:type="dxa"/>
            <w:tcBorders>
              <w:top w:val="single" w:sz="12" w:space="0" w:color="auto"/>
            </w:tcBorders>
            <w:shd w:val="clear" w:color="auto" w:fill="auto"/>
          </w:tcPr>
          <w:p w14:paraId="024BF0D7" w14:textId="77777777" w:rsidR="00B33542" w:rsidRPr="005071A1" w:rsidRDefault="00B33542" w:rsidP="009B7AF5">
            <w:pPr>
              <w:pStyle w:val="Tabletext"/>
            </w:pPr>
            <w:r w:rsidRPr="005071A1">
              <w:t>0.20</w:t>
            </w:r>
          </w:p>
        </w:tc>
        <w:tc>
          <w:tcPr>
            <w:tcW w:w="2474" w:type="dxa"/>
            <w:tcBorders>
              <w:top w:val="single" w:sz="12" w:space="0" w:color="auto"/>
            </w:tcBorders>
            <w:shd w:val="clear" w:color="auto" w:fill="auto"/>
          </w:tcPr>
          <w:p w14:paraId="36631E48" w14:textId="77777777" w:rsidR="00B33542" w:rsidRPr="005071A1" w:rsidRDefault="00B33542" w:rsidP="009B7AF5">
            <w:pPr>
              <w:pStyle w:val="Tabletext"/>
            </w:pPr>
            <w:r w:rsidRPr="005071A1">
              <w:t>0.10</w:t>
            </w:r>
          </w:p>
        </w:tc>
      </w:tr>
      <w:tr w:rsidR="00B33542" w:rsidRPr="005071A1" w14:paraId="368980D4" w14:textId="77777777" w:rsidTr="009B7AF5">
        <w:tc>
          <w:tcPr>
            <w:tcW w:w="2432" w:type="dxa"/>
            <w:shd w:val="clear" w:color="auto" w:fill="auto"/>
          </w:tcPr>
          <w:p w14:paraId="341430EE" w14:textId="77777777" w:rsidR="00B33542" w:rsidRPr="005071A1" w:rsidRDefault="00B33542" w:rsidP="009B7AF5">
            <w:pPr>
              <w:pStyle w:val="Tabletext"/>
            </w:pPr>
            <w:r w:rsidRPr="005071A1">
              <w:t>16</w:t>
            </w:r>
          </w:p>
        </w:tc>
        <w:tc>
          <w:tcPr>
            <w:tcW w:w="2432" w:type="dxa"/>
            <w:shd w:val="clear" w:color="auto" w:fill="auto"/>
          </w:tcPr>
          <w:p w14:paraId="05A5ED1C" w14:textId="77777777" w:rsidR="00B33542" w:rsidRPr="005071A1" w:rsidRDefault="00B33542" w:rsidP="009B7AF5">
            <w:pPr>
              <w:pStyle w:val="Tabletext"/>
            </w:pPr>
            <w:r w:rsidRPr="005071A1">
              <w:t>020</w:t>
            </w:r>
          </w:p>
        </w:tc>
        <w:tc>
          <w:tcPr>
            <w:tcW w:w="2474" w:type="dxa"/>
            <w:shd w:val="clear" w:color="auto" w:fill="auto"/>
          </w:tcPr>
          <w:p w14:paraId="49860C0F" w14:textId="77777777" w:rsidR="00B33542" w:rsidRPr="005071A1" w:rsidRDefault="00B33542" w:rsidP="009B7AF5">
            <w:pPr>
              <w:pStyle w:val="Tabletext"/>
            </w:pPr>
            <w:r w:rsidRPr="005071A1">
              <w:t>0.10</w:t>
            </w:r>
          </w:p>
        </w:tc>
      </w:tr>
      <w:tr w:rsidR="00B33542" w:rsidRPr="005071A1" w14:paraId="2FBF6517" w14:textId="77777777" w:rsidTr="009B7AF5">
        <w:tc>
          <w:tcPr>
            <w:tcW w:w="2432" w:type="dxa"/>
            <w:shd w:val="clear" w:color="auto" w:fill="auto"/>
          </w:tcPr>
          <w:p w14:paraId="542015A3" w14:textId="77777777" w:rsidR="00B33542" w:rsidRPr="005071A1" w:rsidRDefault="00B33542" w:rsidP="009B7AF5">
            <w:pPr>
              <w:pStyle w:val="Tabletext"/>
            </w:pPr>
            <w:r w:rsidRPr="005071A1">
              <w:t>17</w:t>
            </w:r>
          </w:p>
        </w:tc>
        <w:tc>
          <w:tcPr>
            <w:tcW w:w="2432" w:type="dxa"/>
            <w:shd w:val="clear" w:color="auto" w:fill="auto"/>
          </w:tcPr>
          <w:p w14:paraId="6DEAF923" w14:textId="77777777" w:rsidR="00B33542" w:rsidRPr="005071A1" w:rsidRDefault="00B33542" w:rsidP="009B7AF5">
            <w:pPr>
              <w:pStyle w:val="Tabletext"/>
            </w:pPr>
            <w:r w:rsidRPr="005071A1">
              <w:t>0.22</w:t>
            </w:r>
          </w:p>
        </w:tc>
        <w:tc>
          <w:tcPr>
            <w:tcW w:w="2474" w:type="dxa"/>
            <w:shd w:val="clear" w:color="auto" w:fill="auto"/>
          </w:tcPr>
          <w:p w14:paraId="6A649545" w14:textId="77777777" w:rsidR="00B33542" w:rsidRPr="005071A1" w:rsidRDefault="00B33542" w:rsidP="009B7AF5">
            <w:pPr>
              <w:pStyle w:val="Tabletext"/>
            </w:pPr>
            <w:r w:rsidRPr="005071A1">
              <w:t>0.11</w:t>
            </w:r>
          </w:p>
        </w:tc>
      </w:tr>
      <w:tr w:rsidR="00B33542" w:rsidRPr="005071A1" w14:paraId="2751E392" w14:textId="77777777" w:rsidTr="009B7AF5">
        <w:tc>
          <w:tcPr>
            <w:tcW w:w="2432" w:type="dxa"/>
            <w:shd w:val="clear" w:color="auto" w:fill="auto"/>
          </w:tcPr>
          <w:p w14:paraId="5C95E1D8" w14:textId="77777777" w:rsidR="00B33542" w:rsidRPr="005071A1" w:rsidRDefault="00B33542" w:rsidP="009B7AF5">
            <w:pPr>
              <w:pStyle w:val="Tabletext"/>
            </w:pPr>
            <w:r w:rsidRPr="005071A1">
              <w:t>18</w:t>
            </w:r>
          </w:p>
        </w:tc>
        <w:tc>
          <w:tcPr>
            <w:tcW w:w="2432" w:type="dxa"/>
            <w:shd w:val="clear" w:color="auto" w:fill="auto"/>
          </w:tcPr>
          <w:p w14:paraId="7D060809" w14:textId="77777777" w:rsidR="00B33542" w:rsidRPr="005071A1" w:rsidRDefault="00B33542" w:rsidP="009B7AF5">
            <w:pPr>
              <w:pStyle w:val="Tabletext"/>
            </w:pPr>
            <w:r w:rsidRPr="005071A1">
              <w:t>0.22</w:t>
            </w:r>
          </w:p>
        </w:tc>
        <w:tc>
          <w:tcPr>
            <w:tcW w:w="2474" w:type="dxa"/>
            <w:shd w:val="clear" w:color="auto" w:fill="auto"/>
          </w:tcPr>
          <w:p w14:paraId="6B6F490A" w14:textId="77777777" w:rsidR="00B33542" w:rsidRPr="005071A1" w:rsidRDefault="00B33542" w:rsidP="009B7AF5">
            <w:pPr>
              <w:pStyle w:val="Tabletext"/>
            </w:pPr>
            <w:r w:rsidRPr="005071A1">
              <w:t>0.11</w:t>
            </w:r>
          </w:p>
        </w:tc>
      </w:tr>
      <w:tr w:rsidR="00B33542" w:rsidRPr="005071A1" w14:paraId="545323C7" w14:textId="77777777" w:rsidTr="009B7AF5">
        <w:tc>
          <w:tcPr>
            <w:tcW w:w="2432" w:type="dxa"/>
            <w:shd w:val="clear" w:color="auto" w:fill="auto"/>
          </w:tcPr>
          <w:p w14:paraId="0B9410EA" w14:textId="77777777" w:rsidR="00B33542" w:rsidRPr="005071A1" w:rsidRDefault="00B33542" w:rsidP="009B7AF5">
            <w:pPr>
              <w:pStyle w:val="Tabletext"/>
            </w:pPr>
            <w:r w:rsidRPr="005071A1">
              <w:t>19</w:t>
            </w:r>
          </w:p>
        </w:tc>
        <w:tc>
          <w:tcPr>
            <w:tcW w:w="2432" w:type="dxa"/>
            <w:shd w:val="clear" w:color="auto" w:fill="auto"/>
          </w:tcPr>
          <w:p w14:paraId="4A598F50" w14:textId="77777777" w:rsidR="00B33542" w:rsidRPr="005071A1" w:rsidRDefault="00B33542" w:rsidP="009B7AF5">
            <w:pPr>
              <w:pStyle w:val="Tabletext"/>
            </w:pPr>
            <w:r w:rsidRPr="005071A1">
              <w:t>0.24</w:t>
            </w:r>
          </w:p>
        </w:tc>
        <w:tc>
          <w:tcPr>
            <w:tcW w:w="2474" w:type="dxa"/>
            <w:shd w:val="clear" w:color="auto" w:fill="auto"/>
          </w:tcPr>
          <w:p w14:paraId="68DBD3A4" w14:textId="77777777" w:rsidR="00B33542" w:rsidRPr="005071A1" w:rsidRDefault="00B33542" w:rsidP="009B7AF5">
            <w:pPr>
              <w:pStyle w:val="Tabletext"/>
            </w:pPr>
            <w:r w:rsidRPr="005071A1">
              <w:t>0.12</w:t>
            </w:r>
          </w:p>
        </w:tc>
      </w:tr>
      <w:tr w:rsidR="00B33542" w:rsidRPr="005071A1" w14:paraId="7F0B7DB2" w14:textId="77777777" w:rsidTr="009B7AF5">
        <w:tc>
          <w:tcPr>
            <w:tcW w:w="2432" w:type="dxa"/>
            <w:shd w:val="clear" w:color="auto" w:fill="auto"/>
          </w:tcPr>
          <w:p w14:paraId="14906409" w14:textId="77777777" w:rsidR="00B33542" w:rsidRPr="005071A1" w:rsidRDefault="00B33542" w:rsidP="009B7AF5">
            <w:pPr>
              <w:pStyle w:val="Tabletext"/>
            </w:pPr>
            <w:r w:rsidRPr="005071A1">
              <w:t>20</w:t>
            </w:r>
          </w:p>
        </w:tc>
        <w:tc>
          <w:tcPr>
            <w:tcW w:w="2432" w:type="dxa"/>
            <w:shd w:val="clear" w:color="auto" w:fill="auto"/>
          </w:tcPr>
          <w:p w14:paraId="025A5F7A" w14:textId="77777777" w:rsidR="00B33542" w:rsidRPr="005071A1" w:rsidRDefault="00B33542" w:rsidP="009B7AF5">
            <w:pPr>
              <w:pStyle w:val="Tabletext"/>
            </w:pPr>
            <w:r w:rsidRPr="005071A1">
              <w:t>0.26</w:t>
            </w:r>
          </w:p>
        </w:tc>
        <w:tc>
          <w:tcPr>
            <w:tcW w:w="2474" w:type="dxa"/>
            <w:shd w:val="clear" w:color="auto" w:fill="auto"/>
          </w:tcPr>
          <w:p w14:paraId="600D7341" w14:textId="77777777" w:rsidR="00B33542" w:rsidRPr="005071A1" w:rsidRDefault="00B33542" w:rsidP="009B7AF5">
            <w:pPr>
              <w:pStyle w:val="Tabletext"/>
            </w:pPr>
            <w:r w:rsidRPr="005071A1">
              <w:t>0.13</w:t>
            </w:r>
          </w:p>
        </w:tc>
      </w:tr>
      <w:tr w:rsidR="00B33542" w:rsidRPr="005071A1" w14:paraId="712FCA2C" w14:textId="77777777" w:rsidTr="009B7AF5">
        <w:tc>
          <w:tcPr>
            <w:tcW w:w="2432" w:type="dxa"/>
            <w:shd w:val="clear" w:color="auto" w:fill="auto"/>
          </w:tcPr>
          <w:p w14:paraId="76E21AE2" w14:textId="77777777" w:rsidR="00B33542" w:rsidRPr="005071A1" w:rsidRDefault="00B33542" w:rsidP="009B7AF5">
            <w:pPr>
              <w:pStyle w:val="Tabletext"/>
            </w:pPr>
            <w:r w:rsidRPr="005071A1">
              <w:t>21</w:t>
            </w:r>
          </w:p>
        </w:tc>
        <w:tc>
          <w:tcPr>
            <w:tcW w:w="2432" w:type="dxa"/>
            <w:shd w:val="clear" w:color="auto" w:fill="auto"/>
          </w:tcPr>
          <w:p w14:paraId="5B2E4ECE" w14:textId="77777777" w:rsidR="00B33542" w:rsidRPr="005071A1" w:rsidRDefault="00B33542" w:rsidP="009B7AF5">
            <w:pPr>
              <w:pStyle w:val="Tabletext"/>
            </w:pPr>
            <w:r w:rsidRPr="005071A1">
              <w:t>0.28</w:t>
            </w:r>
          </w:p>
        </w:tc>
        <w:tc>
          <w:tcPr>
            <w:tcW w:w="2474" w:type="dxa"/>
            <w:shd w:val="clear" w:color="auto" w:fill="auto"/>
          </w:tcPr>
          <w:p w14:paraId="1A9214AC" w14:textId="77777777" w:rsidR="00B33542" w:rsidRPr="005071A1" w:rsidRDefault="00B33542" w:rsidP="009B7AF5">
            <w:pPr>
              <w:pStyle w:val="Tabletext"/>
            </w:pPr>
            <w:r w:rsidRPr="005071A1">
              <w:t>0.14</w:t>
            </w:r>
          </w:p>
        </w:tc>
      </w:tr>
      <w:tr w:rsidR="00B33542" w:rsidRPr="005071A1" w14:paraId="2E2BE992" w14:textId="77777777" w:rsidTr="009B7AF5">
        <w:tc>
          <w:tcPr>
            <w:tcW w:w="2432" w:type="dxa"/>
            <w:shd w:val="clear" w:color="auto" w:fill="auto"/>
          </w:tcPr>
          <w:p w14:paraId="516BE2F5" w14:textId="77777777" w:rsidR="00B33542" w:rsidRPr="005071A1" w:rsidRDefault="00B33542" w:rsidP="009B7AF5">
            <w:pPr>
              <w:pStyle w:val="Tabletext"/>
            </w:pPr>
            <w:r w:rsidRPr="005071A1">
              <w:t>22</w:t>
            </w:r>
          </w:p>
        </w:tc>
        <w:tc>
          <w:tcPr>
            <w:tcW w:w="2432" w:type="dxa"/>
            <w:shd w:val="clear" w:color="auto" w:fill="auto"/>
          </w:tcPr>
          <w:p w14:paraId="32EEBD47" w14:textId="77777777" w:rsidR="00B33542" w:rsidRPr="005071A1" w:rsidRDefault="00B33542" w:rsidP="009B7AF5">
            <w:pPr>
              <w:pStyle w:val="Tabletext"/>
            </w:pPr>
            <w:r w:rsidRPr="005071A1">
              <w:t>0.30</w:t>
            </w:r>
          </w:p>
        </w:tc>
        <w:tc>
          <w:tcPr>
            <w:tcW w:w="2474" w:type="dxa"/>
            <w:shd w:val="clear" w:color="auto" w:fill="auto"/>
          </w:tcPr>
          <w:p w14:paraId="0BE01254" w14:textId="77777777" w:rsidR="00B33542" w:rsidRPr="005071A1" w:rsidRDefault="00B33542" w:rsidP="009B7AF5">
            <w:pPr>
              <w:pStyle w:val="Tabletext"/>
            </w:pPr>
            <w:r w:rsidRPr="005071A1">
              <w:t>0.15</w:t>
            </w:r>
          </w:p>
        </w:tc>
      </w:tr>
      <w:tr w:rsidR="00B33542" w:rsidRPr="005071A1" w14:paraId="3819DD56" w14:textId="77777777" w:rsidTr="009B7AF5">
        <w:tc>
          <w:tcPr>
            <w:tcW w:w="2432" w:type="dxa"/>
            <w:shd w:val="clear" w:color="auto" w:fill="auto"/>
          </w:tcPr>
          <w:p w14:paraId="65AC63B3" w14:textId="77777777" w:rsidR="00B33542" w:rsidRPr="005071A1" w:rsidRDefault="00B33542" w:rsidP="009B7AF5">
            <w:pPr>
              <w:pStyle w:val="Tabletext"/>
            </w:pPr>
            <w:r w:rsidRPr="005071A1">
              <w:t>23</w:t>
            </w:r>
          </w:p>
        </w:tc>
        <w:tc>
          <w:tcPr>
            <w:tcW w:w="2432" w:type="dxa"/>
            <w:shd w:val="clear" w:color="auto" w:fill="auto"/>
          </w:tcPr>
          <w:p w14:paraId="2179A5D1" w14:textId="77777777" w:rsidR="00B33542" w:rsidRPr="005071A1" w:rsidRDefault="00B33542" w:rsidP="009B7AF5">
            <w:pPr>
              <w:pStyle w:val="Tabletext"/>
            </w:pPr>
            <w:r w:rsidRPr="005071A1">
              <w:t>0.32</w:t>
            </w:r>
          </w:p>
        </w:tc>
        <w:tc>
          <w:tcPr>
            <w:tcW w:w="2474" w:type="dxa"/>
            <w:shd w:val="clear" w:color="auto" w:fill="auto"/>
          </w:tcPr>
          <w:p w14:paraId="52DB09F5" w14:textId="77777777" w:rsidR="00B33542" w:rsidRPr="005071A1" w:rsidRDefault="00B33542" w:rsidP="009B7AF5">
            <w:pPr>
              <w:pStyle w:val="Tabletext"/>
            </w:pPr>
            <w:r w:rsidRPr="005071A1">
              <w:t>0.16</w:t>
            </w:r>
          </w:p>
        </w:tc>
      </w:tr>
      <w:tr w:rsidR="00B33542" w:rsidRPr="005071A1" w14:paraId="5049ECF1" w14:textId="77777777" w:rsidTr="009B7AF5">
        <w:tc>
          <w:tcPr>
            <w:tcW w:w="2432" w:type="dxa"/>
            <w:shd w:val="clear" w:color="auto" w:fill="auto"/>
          </w:tcPr>
          <w:p w14:paraId="534D0435" w14:textId="77777777" w:rsidR="00B33542" w:rsidRPr="005071A1" w:rsidRDefault="00B33542" w:rsidP="009B7AF5">
            <w:pPr>
              <w:pStyle w:val="Tabletext"/>
            </w:pPr>
            <w:r w:rsidRPr="005071A1">
              <w:t>24</w:t>
            </w:r>
          </w:p>
        </w:tc>
        <w:tc>
          <w:tcPr>
            <w:tcW w:w="2432" w:type="dxa"/>
            <w:shd w:val="clear" w:color="auto" w:fill="auto"/>
          </w:tcPr>
          <w:p w14:paraId="4CA74889" w14:textId="77777777" w:rsidR="00B33542" w:rsidRPr="005071A1" w:rsidRDefault="00B33542" w:rsidP="009B7AF5">
            <w:pPr>
              <w:pStyle w:val="Tabletext"/>
            </w:pPr>
            <w:r w:rsidRPr="005071A1">
              <w:t>0.34</w:t>
            </w:r>
          </w:p>
        </w:tc>
        <w:tc>
          <w:tcPr>
            <w:tcW w:w="2474" w:type="dxa"/>
            <w:shd w:val="clear" w:color="auto" w:fill="auto"/>
          </w:tcPr>
          <w:p w14:paraId="48967D18" w14:textId="77777777" w:rsidR="00B33542" w:rsidRPr="005071A1" w:rsidRDefault="00B33542" w:rsidP="009B7AF5">
            <w:pPr>
              <w:pStyle w:val="Tabletext"/>
            </w:pPr>
            <w:r w:rsidRPr="005071A1">
              <w:t>0.17</w:t>
            </w:r>
          </w:p>
        </w:tc>
      </w:tr>
      <w:tr w:rsidR="00B33542" w:rsidRPr="005071A1" w14:paraId="071A450E" w14:textId="77777777" w:rsidTr="009B7AF5">
        <w:tc>
          <w:tcPr>
            <w:tcW w:w="2432" w:type="dxa"/>
            <w:shd w:val="clear" w:color="auto" w:fill="auto"/>
          </w:tcPr>
          <w:p w14:paraId="3F13B09E" w14:textId="77777777" w:rsidR="00B33542" w:rsidRPr="005071A1" w:rsidRDefault="00B33542" w:rsidP="009B7AF5">
            <w:pPr>
              <w:pStyle w:val="Tabletext"/>
            </w:pPr>
            <w:r w:rsidRPr="005071A1">
              <w:t>25</w:t>
            </w:r>
          </w:p>
        </w:tc>
        <w:tc>
          <w:tcPr>
            <w:tcW w:w="2432" w:type="dxa"/>
            <w:shd w:val="clear" w:color="auto" w:fill="auto"/>
          </w:tcPr>
          <w:p w14:paraId="716B79C8" w14:textId="77777777" w:rsidR="00B33542" w:rsidRPr="005071A1" w:rsidRDefault="00B33542" w:rsidP="009B7AF5">
            <w:pPr>
              <w:pStyle w:val="Tabletext"/>
            </w:pPr>
            <w:r w:rsidRPr="005071A1">
              <w:t>0.36</w:t>
            </w:r>
          </w:p>
        </w:tc>
        <w:tc>
          <w:tcPr>
            <w:tcW w:w="2474" w:type="dxa"/>
            <w:shd w:val="clear" w:color="auto" w:fill="auto"/>
          </w:tcPr>
          <w:p w14:paraId="432BEC6F" w14:textId="77777777" w:rsidR="00B33542" w:rsidRPr="005071A1" w:rsidRDefault="00B33542" w:rsidP="009B7AF5">
            <w:pPr>
              <w:pStyle w:val="Tabletext"/>
            </w:pPr>
            <w:r w:rsidRPr="005071A1">
              <w:t>0.18</w:t>
            </w:r>
          </w:p>
        </w:tc>
      </w:tr>
      <w:tr w:rsidR="00B33542" w:rsidRPr="005071A1" w14:paraId="77A5C273" w14:textId="77777777" w:rsidTr="009B7AF5">
        <w:tc>
          <w:tcPr>
            <w:tcW w:w="2432" w:type="dxa"/>
            <w:shd w:val="clear" w:color="auto" w:fill="auto"/>
          </w:tcPr>
          <w:p w14:paraId="15D7DEB0" w14:textId="77777777" w:rsidR="00B33542" w:rsidRPr="005071A1" w:rsidRDefault="00B33542" w:rsidP="009B7AF5">
            <w:pPr>
              <w:pStyle w:val="Tabletext"/>
            </w:pPr>
            <w:r w:rsidRPr="005071A1">
              <w:lastRenderedPageBreak/>
              <w:t>26</w:t>
            </w:r>
          </w:p>
        </w:tc>
        <w:tc>
          <w:tcPr>
            <w:tcW w:w="2432" w:type="dxa"/>
            <w:shd w:val="clear" w:color="auto" w:fill="auto"/>
          </w:tcPr>
          <w:p w14:paraId="1586CD0C" w14:textId="77777777" w:rsidR="00B33542" w:rsidRPr="005071A1" w:rsidRDefault="00B33542" w:rsidP="009B7AF5">
            <w:pPr>
              <w:pStyle w:val="Tabletext"/>
            </w:pPr>
            <w:r w:rsidRPr="005071A1">
              <w:t>0.38</w:t>
            </w:r>
          </w:p>
        </w:tc>
        <w:tc>
          <w:tcPr>
            <w:tcW w:w="2474" w:type="dxa"/>
            <w:shd w:val="clear" w:color="auto" w:fill="auto"/>
          </w:tcPr>
          <w:p w14:paraId="6F75074B" w14:textId="77777777" w:rsidR="00B33542" w:rsidRPr="005071A1" w:rsidRDefault="00B33542" w:rsidP="009B7AF5">
            <w:pPr>
              <w:pStyle w:val="Tabletext"/>
            </w:pPr>
            <w:r w:rsidRPr="005071A1">
              <w:t>0.19</w:t>
            </w:r>
          </w:p>
        </w:tc>
      </w:tr>
      <w:tr w:rsidR="00B33542" w:rsidRPr="005071A1" w14:paraId="7182A628" w14:textId="77777777" w:rsidTr="009B7AF5">
        <w:tc>
          <w:tcPr>
            <w:tcW w:w="2432" w:type="dxa"/>
            <w:shd w:val="clear" w:color="auto" w:fill="auto"/>
          </w:tcPr>
          <w:p w14:paraId="2D21BFDF" w14:textId="77777777" w:rsidR="00B33542" w:rsidRPr="005071A1" w:rsidRDefault="00B33542" w:rsidP="009B7AF5">
            <w:pPr>
              <w:pStyle w:val="Tabletext"/>
            </w:pPr>
            <w:r w:rsidRPr="005071A1">
              <w:t>27</w:t>
            </w:r>
          </w:p>
        </w:tc>
        <w:tc>
          <w:tcPr>
            <w:tcW w:w="2432" w:type="dxa"/>
            <w:shd w:val="clear" w:color="auto" w:fill="auto"/>
          </w:tcPr>
          <w:p w14:paraId="02CA9EDD" w14:textId="77777777" w:rsidR="00B33542" w:rsidRPr="005071A1" w:rsidRDefault="00B33542" w:rsidP="009B7AF5">
            <w:pPr>
              <w:pStyle w:val="Tabletext"/>
            </w:pPr>
            <w:r w:rsidRPr="005071A1">
              <w:t>0.38</w:t>
            </w:r>
          </w:p>
        </w:tc>
        <w:tc>
          <w:tcPr>
            <w:tcW w:w="2474" w:type="dxa"/>
            <w:shd w:val="clear" w:color="auto" w:fill="auto"/>
          </w:tcPr>
          <w:p w14:paraId="323D3763" w14:textId="77777777" w:rsidR="00B33542" w:rsidRPr="005071A1" w:rsidRDefault="00B33542" w:rsidP="009B7AF5">
            <w:pPr>
              <w:pStyle w:val="Tabletext"/>
            </w:pPr>
            <w:r w:rsidRPr="005071A1">
              <w:t>0.19</w:t>
            </w:r>
          </w:p>
        </w:tc>
      </w:tr>
      <w:tr w:rsidR="00B33542" w:rsidRPr="005071A1" w14:paraId="37511224" w14:textId="77777777" w:rsidTr="00D57394">
        <w:tc>
          <w:tcPr>
            <w:tcW w:w="2432" w:type="dxa"/>
            <w:tcBorders>
              <w:bottom w:val="single" w:sz="4" w:space="0" w:color="auto"/>
            </w:tcBorders>
            <w:shd w:val="clear" w:color="auto" w:fill="auto"/>
          </w:tcPr>
          <w:p w14:paraId="3C2D5188" w14:textId="77777777" w:rsidR="00B33542" w:rsidRPr="005071A1" w:rsidRDefault="00B33542" w:rsidP="009B7AF5">
            <w:pPr>
              <w:pStyle w:val="Tabletext"/>
            </w:pPr>
            <w:r w:rsidRPr="005071A1">
              <w:t>28</w:t>
            </w:r>
          </w:p>
        </w:tc>
        <w:tc>
          <w:tcPr>
            <w:tcW w:w="2432" w:type="dxa"/>
            <w:tcBorders>
              <w:bottom w:val="single" w:sz="4" w:space="0" w:color="auto"/>
            </w:tcBorders>
            <w:shd w:val="clear" w:color="auto" w:fill="auto"/>
          </w:tcPr>
          <w:p w14:paraId="319D91C5" w14:textId="77777777" w:rsidR="00B33542" w:rsidRPr="005071A1" w:rsidRDefault="00B33542" w:rsidP="009B7AF5">
            <w:pPr>
              <w:pStyle w:val="Tabletext"/>
            </w:pPr>
            <w:r w:rsidRPr="005071A1">
              <w:t>0.40</w:t>
            </w:r>
          </w:p>
        </w:tc>
        <w:tc>
          <w:tcPr>
            <w:tcW w:w="2474" w:type="dxa"/>
            <w:tcBorders>
              <w:bottom w:val="single" w:sz="4" w:space="0" w:color="auto"/>
            </w:tcBorders>
            <w:shd w:val="clear" w:color="auto" w:fill="auto"/>
          </w:tcPr>
          <w:p w14:paraId="04EDF15C" w14:textId="77777777" w:rsidR="00B33542" w:rsidRPr="005071A1" w:rsidRDefault="00B33542" w:rsidP="009B7AF5">
            <w:pPr>
              <w:pStyle w:val="Tabletext"/>
            </w:pPr>
            <w:r w:rsidRPr="005071A1">
              <w:t>0.20</w:t>
            </w:r>
          </w:p>
        </w:tc>
      </w:tr>
      <w:tr w:rsidR="00B33542" w:rsidRPr="005071A1" w14:paraId="7D55780F" w14:textId="77777777" w:rsidTr="00640BB6">
        <w:tc>
          <w:tcPr>
            <w:tcW w:w="2432" w:type="dxa"/>
            <w:tcBorders>
              <w:bottom w:val="single" w:sz="4" w:space="0" w:color="auto"/>
            </w:tcBorders>
            <w:shd w:val="clear" w:color="auto" w:fill="auto"/>
          </w:tcPr>
          <w:p w14:paraId="3C31C000" w14:textId="77777777" w:rsidR="00B33542" w:rsidRPr="005071A1" w:rsidRDefault="00B33542" w:rsidP="009B7AF5">
            <w:pPr>
              <w:pStyle w:val="Tabletext"/>
            </w:pPr>
            <w:r w:rsidRPr="005071A1">
              <w:t>29</w:t>
            </w:r>
          </w:p>
        </w:tc>
        <w:tc>
          <w:tcPr>
            <w:tcW w:w="2432" w:type="dxa"/>
            <w:tcBorders>
              <w:bottom w:val="single" w:sz="4" w:space="0" w:color="auto"/>
            </w:tcBorders>
            <w:shd w:val="clear" w:color="auto" w:fill="auto"/>
          </w:tcPr>
          <w:p w14:paraId="5B9FA06E" w14:textId="77777777" w:rsidR="00B33542" w:rsidRPr="005071A1" w:rsidRDefault="00B33542" w:rsidP="009B7AF5">
            <w:pPr>
              <w:pStyle w:val="Tabletext"/>
            </w:pPr>
            <w:r w:rsidRPr="005071A1">
              <w:t>0.42</w:t>
            </w:r>
          </w:p>
        </w:tc>
        <w:tc>
          <w:tcPr>
            <w:tcW w:w="2474" w:type="dxa"/>
            <w:tcBorders>
              <w:bottom w:val="single" w:sz="4" w:space="0" w:color="auto"/>
            </w:tcBorders>
            <w:shd w:val="clear" w:color="auto" w:fill="auto"/>
          </w:tcPr>
          <w:p w14:paraId="15DA9366" w14:textId="77777777" w:rsidR="00B33542" w:rsidRPr="005071A1" w:rsidRDefault="00B33542" w:rsidP="009B7AF5">
            <w:pPr>
              <w:pStyle w:val="Tabletext"/>
            </w:pPr>
            <w:r w:rsidRPr="005071A1">
              <w:t>0.21</w:t>
            </w:r>
          </w:p>
        </w:tc>
      </w:tr>
      <w:tr w:rsidR="00B33542" w:rsidRPr="005071A1" w14:paraId="5B3CCBD5" w14:textId="77777777" w:rsidTr="00640BB6">
        <w:tc>
          <w:tcPr>
            <w:tcW w:w="2432" w:type="dxa"/>
            <w:tcBorders>
              <w:top w:val="single" w:sz="4" w:space="0" w:color="auto"/>
              <w:bottom w:val="single" w:sz="4" w:space="0" w:color="auto"/>
            </w:tcBorders>
            <w:shd w:val="clear" w:color="auto" w:fill="auto"/>
          </w:tcPr>
          <w:p w14:paraId="52EBC6A4" w14:textId="77777777" w:rsidR="00B33542" w:rsidRPr="005071A1" w:rsidRDefault="00B33542" w:rsidP="009B7AF5">
            <w:pPr>
              <w:pStyle w:val="Tabletext"/>
            </w:pPr>
            <w:r w:rsidRPr="005071A1">
              <w:t>30</w:t>
            </w:r>
          </w:p>
        </w:tc>
        <w:tc>
          <w:tcPr>
            <w:tcW w:w="2432" w:type="dxa"/>
            <w:tcBorders>
              <w:top w:val="single" w:sz="4" w:space="0" w:color="auto"/>
              <w:bottom w:val="single" w:sz="4" w:space="0" w:color="auto"/>
            </w:tcBorders>
            <w:shd w:val="clear" w:color="auto" w:fill="auto"/>
          </w:tcPr>
          <w:p w14:paraId="3A3070B3" w14:textId="77777777" w:rsidR="00B33542" w:rsidRPr="005071A1" w:rsidRDefault="00B33542" w:rsidP="009B7AF5">
            <w:pPr>
              <w:pStyle w:val="Tabletext"/>
            </w:pPr>
            <w:r w:rsidRPr="005071A1">
              <w:t>0.44</w:t>
            </w:r>
          </w:p>
        </w:tc>
        <w:tc>
          <w:tcPr>
            <w:tcW w:w="2474" w:type="dxa"/>
            <w:tcBorders>
              <w:top w:val="single" w:sz="4" w:space="0" w:color="auto"/>
              <w:bottom w:val="single" w:sz="4" w:space="0" w:color="auto"/>
            </w:tcBorders>
            <w:shd w:val="clear" w:color="auto" w:fill="auto"/>
          </w:tcPr>
          <w:p w14:paraId="6F6044D0" w14:textId="77777777" w:rsidR="00B33542" w:rsidRPr="005071A1" w:rsidRDefault="00B33542" w:rsidP="009B7AF5">
            <w:pPr>
              <w:pStyle w:val="Tabletext"/>
            </w:pPr>
            <w:r w:rsidRPr="005071A1">
              <w:t>0.22</w:t>
            </w:r>
          </w:p>
        </w:tc>
      </w:tr>
      <w:tr w:rsidR="00B33542" w:rsidRPr="005071A1" w14:paraId="75BB61C3" w14:textId="77777777" w:rsidTr="00640BB6">
        <w:tc>
          <w:tcPr>
            <w:tcW w:w="2432" w:type="dxa"/>
            <w:tcBorders>
              <w:top w:val="single" w:sz="4" w:space="0" w:color="auto"/>
            </w:tcBorders>
            <w:shd w:val="clear" w:color="auto" w:fill="auto"/>
          </w:tcPr>
          <w:p w14:paraId="4664965A" w14:textId="77777777" w:rsidR="00B33542" w:rsidRPr="005071A1" w:rsidRDefault="00B33542" w:rsidP="009B7AF5">
            <w:pPr>
              <w:pStyle w:val="Tabletext"/>
            </w:pPr>
            <w:r w:rsidRPr="005071A1">
              <w:t>31</w:t>
            </w:r>
          </w:p>
        </w:tc>
        <w:tc>
          <w:tcPr>
            <w:tcW w:w="2432" w:type="dxa"/>
            <w:tcBorders>
              <w:top w:val="single" w:sz="4" w:space="0" w:color="auto"/>
            </w:tcBorders>
            <w:shd w:val="clear" w:color="auto" w:fill="auto"/>
          </w:tcPr>
          <w:p w14:paraId="1BE8CAB9" w14:textId="77777777" w:rsidR="00B33542" w:rsidRPr="005071A1" w:rsidRDefault="00B33542" w:rsidP="009B7AF5">
            <w:pPr>
              <w:pStyle w:val="Tabletext"/>
            </w:pPr>
            <w:r w:rsidRPr="005071A1">
              <w:t>0.48</w:t>
            </w:r>
          </w:p>
        </w:tc>
        <w:tc>
          <w:tcPr>
            <w:tcW w:w="2474" w:type="dxa"/>
            <w:tcBorders>
              <w:top w:val="single" w:sz="4" w:space="0" w:color="auto"/>
            </w:tcBorders>
            <w:shd w:val="clear" w:color="auto" w:fill="auto"/>
          </w:tcPr>
          <w:p w14:paraId="4CB5CE62" w14:textId="77777777" w:rsidR="00B33542" w:rsidRPr="005071A1" w:rsidRDefault="00B33542" w:rsidP="009B7AF5">
            <w:pPr>
              <w:pStyle w:val="Tabletext"/>
            </w:pPr>
            <w:r w:rsidRPr="005071A1">
              <w:t>0.24</w:t>
            </w:r>
          </w:p>
        </w:tc>
      </w:tr>
      <w:tr w:rsidR="00B33542" w:rsidRPr="005071A1" w14:paraId="1C142F49" w14:textId="77777777" w:rsidTr="009B7AF5">
        <w:tc>
          <w:tcPr>
            <w:tcW w:w="2432" w:type="dxa"/>
            <w:shd w:val="clear" w:color="auto" w:fill="auto"/>
          </w:tcPr>
          <w:p w14:paraId="30A25FB7" w14:textId="77777777" w:rsidR="00B33542" w:rsidRPr="005071A1" w:rsidRDefault="00B33542" w:rsidP="009B7AF5">
            <w:pPr>
              <w:pStyle w:val="Tabletext"/>
            </w:pPr>
            <w:r w:rsidRPr="005071A1">
              <w:t>32</w:t>
            </w:r>
          </w:p>
        </w:tc>
        <w:tc>
          <w:tcPr>
            <w:tcW w:w="2432" w:type="dxa"/>
            <w:shd w:val="clear" w:color="auto" w:fill="auto"/>
          </w:tcPr>
          <w:p w14:paraId="603EBC48" w14:textId="77777777" w:rsidR="00B33542" w:rsidRPr="005071A1" w:rsidRDefault="00B33542" w:rsidP="009B7AF5">
            <w:pPr>
              <w:pStyle w:val="Tabletext"/>
            </w:pPr>
            <w:r w:rsidRPr="005071A1">
              <w:t>0.50</w:t>
            </w:r>
          </w:p>
        </w:tc>
        <w:tc>
          <w:tcPr>
            <w:tcW w:w="2474" w:type="dxa"/>
            <w:shd w:val="clear" w:color="auto" w:fill="auto"/>
          </w:tcPr>
          <w:p w14:paraId="61C9F6F6" w14:textId="77777777" w:rsidR="00B33542" w:rsidRPr="005071A1" w:rsidRDefault="00B33542" w:rsidP="009B7AF5">
            <w:pPr>
              <w:pStyle w:val="Tabletext"/>
            </w:pPr>
            <w:r w:rsidRPr="005071A1">
              <w:t>0.25</w:t>
            </w:r>
          </w:p>
        </w:tc>
      </w:tr>
      <w:tr w:rsidR="00B33542" w:rsidRPr="005071A1" w14:paraId="5D06B660" w14:textId="77777777" w:rsidTr="009B7AF5">
        <w:tc>
          <w:tcPr>
            <w:tcW w:w="2432" w:type="dxa"/>
            <w:shd w:val="clear" w:color="auto" w:fill="auto"/>
          </w:tcPr>
          <w:p w14:paraId="4D66B6EB" w14:textId="77777777" w:rsidR="00B33542" w:rsidRPr="005071A1" w:rsidRDefault="00B33542" w:rsidP="009B7AF5">
            <w:pPr>
              <w:pStyle w:val="Tabletext"/>
            </w:pPr>
            <w:r w:rsidRPr="005071A1">
              <w:t>33</w:t>
            </w:r>
          </w:p>
        </w:tc>
        <w:tc>
          <w:tcPr>
            <w:tcW w:w="2432" w:type="dxa"/>
            <w:shd w:val="clear" w:color="auto" w:fill="auto"/>
          </w:tcPr>
          <w:p w14:paraId="7884466F" w14:textId="77777777" w:rsidR="00B33542" w:rsidRPr="005071A1" w:rsidRDefault="00B33542" w:rsidP="009B7AF5">
            <w:pPr>
              <w:pStyle w:val="Tabletext"/>
            </w:pPr>
            <w:r w:rsidRPr="005071A1">
              <w:t>0.52</w:t>
            </w:r>
          </w:p>
        </w:tc>
        <w:tc>
          <w:tcPr>
            <w:tcW w:w="2474" w:type="dxa"/>
            <w:shd w:val="clear" w:color="auto" w:fill="auto"/>
          </w:tcPr>
          <w:p w14:paraId="058F1434" w14:textId="77777777" w:rsidR="00B33542" w:rsidRPr="005071A1" w:rsidRDefault="00B33542" w:rsidP="009B7AF5">
            <w:pPr>
              <w:pStyle w:val="Tabletext"/>
            </w:pPr>
            <w:r w:rsidRPr="005071A1">
              <w:t>0.26</w:t>
            </w:r>
          </w:p>
        </w:tc>
      </w:tr>
      <w:tr w:rsidR="00B33542" w:rsidRPr="005071A1" w14:paraId="71463466" w14:textId="77777777" w:rsidTr="009B7AF5">
        <w:tc>
          <w:tcPr>
            <w:tcW w:w="2432" w:type="dxa"/>
            <w:shd w:val="clear" w:color="auto" w:fill="auto"/>
          </w:tcPr>
          <w:p w14:paraId="658F7683" w14:textId="77777777" w:rsidR="00B33542" w:rsidRPr="005071A1" w:rsidRDefault="00B33542" w:rsidP="009B7AF5">
            <w:pPr>
              <w:pStyle w:val="Tabletext"/>
            </w:pPr>
            <w:r w:rsidRPr="005071A1">
              <w:t>34</w:t>
            </w:r>
          </w:p>
        </w:tc>
        <w:tc>
          <w:tcPr>
            <w:tcW w:w="2432" w:type="dxa"/>
            <w:shd w:val="clear" w:color="auto" w:fill="auto"/>
          </w:tcPr>
          <w:p w14:paraId="4BC2602C" w14:textId="77777777" w:rsidR="00B33542" w:rsidRPr="005071A1" w:rsidRDefault="00B33542" w:rsidP="009B7AF5">
            <w:pPr>
              <w:pStyle w:val="Tabletext"/>
            </w:pPr>
            <w:r w:rsidRPr="005071A1">
              <w:t>0.54</w:t>
            </w:r>
          </w:p>
        </w:tc>
        <w:tc>
          <w:tcPr>
            <w:tcW w:w="2474" w:type="dxa"/>
            <w:shd w:val="clear" w:color="auto" w:fill="auto"/>
          </w:tcPr>
          <w:p w14:paraId="7AF056FD" w14:textId="77777777" w:rsidR="00B33542" w:rsidRPr="005071A1" w:rsidRDefault="00B33542" w:rsidP="009B7AF5">
            <w:pPr>
              <w:pStyle w:val="Tabletext"/>
            </w:pPr>
            <w:r w:rsidRPr="005071A1">
              <w:t>0.27</w:t>
            </w:r>
          </w:p>
        </w:tc>
      </w:tr>
      <w:tr w:rsidR="00B33542" w:rsidRPr="005071A1" w14:paraId="4F7B6BFB" w14:textId="77777777" w:rsidTr="009B7AF5">
        <w:tc>
          <w:tcPr>
            <w:tcW w:w="2432" w:type="dxa"/>
            <w:shd w:val="clear" w:color="auto" w:fill="auto"/>
          </w:tcPr>
          <w:p w14:paraId="2D551D13" w14:textId="77777777" w:rsidR="00B33542" w:rsidRPr="005071A1" w:rsidRDefault="00B33542" w:rsidP="009B7AF5">
            <w:pPr>
              <w:pStyle w:val="Tabletext"/>
            </w:pPr>
            <w:r w:rsidRPr="005071A1">
              <w:t>35</w:t>
            </w:r>
          </w:p>
        </w:tc>
        <w:tc>
          <w:tcPr>
            <w:tcW w:w="2432" w:type="dxa"/>
            <w:shd w:val="clear" w:color="auto" w:fill="auto"/>
          </w:tcPr>
          <w:p w14:paraId="35492AA9" w14:textId="77777777" w:rsidR="00B33542" w:rsidRPr="005071A1" w:rsidRDefault="00B33542" w:rsidP="009B7AF5">
            <w:pPr>
              <w:pStyle w:val="Tabletext"/>
            </w:pPr>
            <w:r w:rsidRPr="005071A1">
              <w:t>0.58</w:t>
            </w:r>
          </w:p>
        </w:tc>
        <w:tc>
          <w:tcPr>
            <w:tcW w:w="2474" w:type="dxa"/>
            <w:shd w:val="clear" w:color="auto" w:fill="auto"/>
          </w:tcPr>
          <w:p w14:paraId="52F6572E" w14:textId="77777777" w:rsidR="00B33542" w:rsidRPr="005071A1" w:rsidRDefault="00B33542" w:rsidP="009B7AF5">
            <w:pPr>
              <w:pStyle w:val="Tabletext"/>
            </w:pPr>
            <w:r w:rsidRPr="005071A1">
              <w:t>0.29</w:t>
            </w:r>
          </w:p>
        </w:tc>
      </w:tr>
      <w:tr w:rsidR="00B33542" w:rsidRPr="005071A1" w14:paraId="33BF1A96" w14:textId="77777777" w:rsidTr="009B7AF5">
        <w:tc>
          <w:tcPr>
            <w:tcW w:w="2432" w:type="dxa"/>
            <w:shd w:val="clear" w:color="auto" w:fill="auto"/>
          </w:tcPr>
          <w:p w14:paraId="4CEA6814" w14:textId="77777777" w:rsidR="00B33542" w:rsidRPr="005071A1" w:rsidRDefault="00B33542" w:rsidP="009B7AF5">
            <w:pPr>
              <w:pStyle w:val="Tabletext"/>
            </w:pPr>
            <w:r w:rsidRPr="005071A1">
              <w:t>36</w:t>
            </w:r>
          </w:p>
        </w:tc>
        <w:tc>
          <w:tcPr>
            <w:tcW w:w="2432" w:type="dxa"/>
            <w:shd w:val="clear" w:color="auto" w:fill="auto"/>
          </w:tcPr>
          <w:p w14:paraId="57A7B6AF" w14:textId="77777777" w:rsidR="00B33542" w:rsidRPr="005071A1" w:rsidRDefault="00B33542" w:rsidP="009B7AF5">
            <w:pPr>
              <w:pStyle w:val="Tabletext"/>
            </w:pPr>
            <w:r w:rsidRPr="005071A1">
              <w:t>0.60</w:t>
            </w:r>
          </w:p>
        </w:tc>
        <w:tc>
          <w:tcPr>
            <w:tcW w:w="2474" w:type="dxa"/>
            <w:shd w:val="clear" w:color="auto" w:fill="auto"/>
          </w:tcPr>
          <w:p w14:paraId="5818353C" w14:textId="77777777" w:rsidR="00B33542" w:rsidRPr="005071A1" w:rsidRDefault="00B33542" w:rsidP="009B7AF5">
            <w:pPr>
              <w:pStyle w:val="Tabletext"/>
            </w:pPr>
            <w:r w:rsidRPr="005071A1">
              <w:t>0.30</w:t>
            </w:r>
          </w:p>
        </w:tc>
      </w:tr>
      <w:tr w:rsidR="00B33542" w:rsidRPr="005071A1" w14:paraId="1C76E05E" w14:textId="77777777" w:rsidTr="009B7AF5">
        <w:tc>
          <w:tcPr>
            <w:tcW w:w="2432" w:type="dxa"/>
            <w:shd w:val="clear" w:color="auto" w:fill="auto"/>
          </w:tcPr>
          <w:p w14:paraId="456BB386" w14:textId="77777777" w:rsidR="00B33542" w:rsidRPr="005071A1" w:rsidRDefault="00B33542" w:rsidP="009B7AF5">
            <w:pPr>
              <w:pStyle w:val="Tabletext"/>
            </w:pPr>
            <w:r w:rsidRPr="005071A1">
              <w:t>37</w:t>
            </w:r>
          </w:p>
        </w:tc>
        <w:tc>
          <w:tcPr>
            <w:tcW w:w="2432" w:type="dxa"/>
            <w:shd w:val="clear" w:color="auto" w:fill="auto"/>
          </w:tcPr>
          <w:p w14:paraId="4FD2FD03" w14:textId="77777777" w:rsidR="00B33542" w:rsidRPr="005071A1" w:rsidRDefault="00B33542" w:rsidP="009B7AF5">
            <w:pPr>
              <w:pStyle w:val="Tabletext"/>
            </w:pPr>
            <w:r w:rsidRPr="005071A1">
              <w:t>0.64</w:t>
            </w:r>
          </w:p>
        </w:tc>
        <w:tc>
          <w:tcPr>
            <w:tcW w:w="2474" w:type="dxa"/>
            <w:shd w:val="clear" w:color="auto" w:fill="auto"/>
          </w:tcPr>
          <w:p w14:paraId="6C41340E" w14:textId="77777777" w:rsidR="00B33542" w:rsidRPr="005071A1" w:rsidRDefault="00B33542" w:rsidP="009B7AF5">
            <w:pPr>
              <w:pStyle w:val="Tabletext"/>
            </w:pPr>
            <w:r w:rsidRPr="005071A1">
              <w:t>0.32</w:t>
            </w:r>
          </w:p>
        </w:tc>
      </w:tr>
      <w:tr w:rsidR="00B33542" w:rsidRPr="005071A1" w14:paraId="006971E3" w14:textId="77777777" w:rsidTr="009B7AF5">
        <w:tc>
          <w:tcPr>
            <w:tcW w:w="2432" w:type="dxa"/>
            <w:shd w:val="clear" w:color="auto" w:fill="auto"/>
          </w:tcPr>
          <w:p w14:paraId="178A438D" w14:textId="77777777" w:rsidR="00B33542" w:rsidRPr="005071A1" w:rsidRDefault="00B33542" w:rsidP="009B7AF5">
            <w:pPr>
              <w:pStyle w:val="Tabletext"/>
            </w:pPr>
            <w:r w:rsidRPr="005071A1">
              <w:t>38</w:t>
            </w:r>
          </w:p>
        </w:tc>
        <w:tc>
          <w:tcPr>
            <w:tcW w:w="2432" w:type="dxa"/>
            <w:shd w:val="clear" w:color="auto" w:fill="auto"/>
          </w:tcPr>
          <w:p w14:paraId="2E4E440D" w14:textId="77777777" w:rsidR="00B33542" w:rsidRPr="005071A1" w:rsidRDefault="00B33542" w:rsidP="009B7AF5">
            <w:pPr>
              <w:pStyle w:val="Tabletext"/>
            </w:pPr>
            <w:r w:rsidRPr="005071A1">
              <w:t>0.68</w:t>
            </w:r>
          </w:p>
        </w:tc>
        <w:tc>
          <w:tcPr>
            <w:tcW w:w="2474" w:type="dxa"/>
            <w:shd w:val="clear" w:color="auto" w:fill="auto"/>
          </w:tcPr>
          <w:p w14:paraId="0B9579AC" w14:textId="77777777" w:rsidR="00B33542" w:rsidRPr="005071A1" w:rsidRDefault="00B33542" w:rsidP="009B7AF5">
            <w:pPr>
              <w:pStyle w:val="Tabletext"/>
            </w:pPr>
            <w:r w:rsidRPr="005071A1">
              <w:t>0.34</w:t>
            </w:r>
          </w:p>
        </w:tc>
      </w:tr>
      <w:tr w:rsidR="00B33542" w:rsidRPr="005071A1" w14:paraId="50759618" w14:textId="77777777" w:rsidTr="009B7AF5">
        <w:tc>
          <w:tcPr>
            <w:tcW w:w="2432" w:type="dxa"/>
            <w:shd w:val="clear" w:color="auto" w:fill="auto"/>
          </w:tcPr>
          <w:p w14:paraId="6842BFFE" w14:textId="77777777" w:rsidR="00B33542" w:rsidRPr="005071A1" w:rsidRDefault="00B33542" w:rsidP="009B7AF5">
            <w:pPr>
              <w:pStyle w:val="Tabletext"/>
            </w:pPr>
            <w:r w:rsidRPr="005071A1">
              <w:t>39</w:t>
            </w:r>
          </w:p>
        </w:tc>
        <w:tc>
          <w:tcPr>
            <w:tcW w:w="2432" w:type="dxa"/>
            <w:shd w:val="clear" w:color="auto" w:fill="auto"/>
          </w:tcPr>
          <w:p w14:paraId="63CC6BC2" w14:textId="77777777" w:rsidR="00B33542" w:rsidRPr="005071A1" w:rsidRDefault="00B33542" w:rsidP="009B7AF5">
            <w:pPr>
              <w:pStyle w:val="Tabletext"/>
            </w:pPr>
            <w:r w:rsidRPr="005071A1">
              <w:t>0.72</w:t>
            </w:r>
          </w:p>
        </w:tc>
        <w:tc>
          <w:tcPr>
            <w:tcW w:w="2474" w:type="dxa"/>
            <w:shd w:val="clear" w:color="auto" w:fill="auto"/>
          </w:tcPr>
          <w:p w14:paraId="344EDCB3" w14:textId="77777777" w:rsidR="00B33542" w:rsidRPr="005071A1" w:rsidRDefault="00B33542" w:rsidP="009B7AF5">
            <w:pPr>
              <w:pStyle w:val="Tabletext"/>
            </w:pPr>
            <w:r w:rsidRPr="005071A1">
              <w:t>0.36</w:t>
            </w:r>
          </w:p>
        </w:tc>
      </w:tr>
      <w:tr w:rsidR="00B33542" w:rsidRPr="005071A1" w14:paraId="06584D4A" w14:textId="77777777" w:rsidTr="009B7AF5">
        <w:tc>
          <w:tcPr>
            <w:tcW w:w="2432" w:type="dxa"/>
            <w:shd w:val="clear" w:color="auto" w:fill="auto"/>
          </w:tcPr>
          <w:p w14:paraId="4A0BF31B" w14:textId="77777777" w:rsidR="00B33542" w:rsidRPr="005071A1" w:rsidRDefault="00B33542" w:rsidP="009B7AF5">
            <w:pPr>
              <w:pStyle w:val="Tabletext"/>
            </w:pPr>
            <w:r w:rsidRPr="005071A1">
              <w:t>40</w:t>
            </w:r>
          </w:p>
        </w:tc>
        <w:tc>
          <w:tcPr>
            <w:tcW w:w="2432" w:type="dxa"/>
            <w:shd w:val="clear" w:color="auto" w:fill="auto"/>
          </w:tcPr>
          <w:p w14:paraId="477A2B39" w14:textId="77777777" w:rsidR="00B33542" w:rsidRPr="005071A1" w:rsidRDefault="00B33542" w:rsidP="009B7AF5">
            <w:pPr>
              <w:pStyle w:val="Tabletext"/>
            </w:pPr>
            <w:r w:rsidRPr="005071A1">
              <w:t>0.76</w:t>
            </w:r>
          </w:p>
        </w:tc>
        <w:tc>
          <w:tcPr>
            <w:tcW w:w="2474" w:type="dxa"/>
            <w:shd w:val="clear" w:color="auto" w:fill="auto"/>
          </w:tcPr>
          <w:p w14:paraId="34D9106F" w14:textId="77777777" w:rsidR="00B33542" w:rsidRPr="005071A1" w:rsidRDefault="00B33542" w:rsidP="009B7AF5">
            <w:pPr>
              <w:pStyle w:val="Tabletext"/>
            </w:pPr>
            <w:r w:rsidRPr="005071A1">
              <w:t>0.38</w:t>
            </w:r>
          </w:p>
        </w:tc>
      </w:tr>
      <w:tr w:rsidR="00B33542" w:rsidRPr="005071A1" w14:paraId="42BC0186" w14:textId="77777777" w:rsidTr="009B7AF5">
        <w:tc>
          <w:tcPr>
            <w:tcW w:w="2432" w:type="dxa"/>
            <w:shd w:val="clear" w:color="auto" w:fill="auto"/>
          </w:tcPr>
          <w:p w14:paraId="0499D6FE" w14:textId="77777777" w:rsidR="00B33542" w:rsidRPr="005071A1" w:rsidRDefault="00B33542" w:rsidP="009B7AF5">
            <w:pPr>
              <w:pStyle w:val="Tabletext"/>
            </w:pPr>
            <w:r w:rsidRPr="005071A1">
              <w:t>41</w:t>
            </w:r>
          </w:p>
        </w:tc>
        <w:tc>
          <w:tcPr>
            <w:tcW w:w="2432" w:type="dxa"/>
            <w:shd w:val="clear" w:color="auto" w:fill="auto"/>
          </w:tcPr>
          <w:p w14:paraId="1CD99036" w14:textId="77777777" w:rsidR="00B33542" w:rsidRPr="005071A1" w:rsidRDefault="00B33542" w:rsidP="009B7AF5">
            <w:pPr>
              <w:pStyle w:val="Tabletext"/>
            </w:pPr>
            <w:r w:rsidRPr="005071A1">
              <w:t>0.80</w:t>
            </w:r>
          </w:p>
        </w:tc>
        <w:tc>
          <w:tcPr>
            <w:tcW w:w="2474" w:type="dxa"/>
            <w:shd w:val="clear" w:color="auto" w:fill="auto"/>
          </w:tcPr>
          <w:p w14:paraId="617E3B76" w14:textId="77777777" w:rsidR="00B33542" w:rsidRPr="005071A1" w:rsidRDefault="00B33542" w:rsidP="009B7AF5">
            <w:pPr>
              <w:pStyle w:val="Tabletext"/>
            </w:pPr>
            <w:r w:rsidRPr="005071A1">
              <w:t>0.40</w:t>
            </w:r>
          </w:p>
        </w:tc>
      </w:tr>
      <w:tr w:rsidR="00B33542" w:rsidRPr="005071A1" w14:paraId="69E191CE" w14:textId="77777777" w:rsidTr="009B7AF5">
        <w:tc>
          <w:tcPr>
            <w:tcW w:w="2432" w:type="dxa"/>
            <w:shd w:val="clear" w:color="auto" w:fill="auto"/>
          </w:tcPr>
          <w:p w14:paraId="41933B7C" w14:textId="77777777" w:rsidR="00B33542" w:rsidRPr="005071A1" w:rsidRDefault="00B33542" w:rsidP="009B7AF5">
            <w:pPr>
              <w:pStyle w:val="Tabletext"/>
            </w:pPr>
            <w:r w:rsidRPr="005071A1">
              <w:t>42</w:t>
            </w:r>
          </w:p>
        </w:tc>
        <w:tc>
          <w:tcPr>
            <w:tcW w:w="2432" w:type="dxa"/>
            <w:shd w:val="clear" w:color="auto" w:fill="auto"/>
          </w:tcPr>
          <w:p w14:paraId="485DDAAA" w14:textId="77777777" w:rsidR="00B33542" w:rsidRPr="005071A1" w:rsidRDefault="00B33542" w:rsidP="009B7AF5">
            <w:pPr>
              <w:pStyle w:val="Tabletext"/>
            </w:pPr>
            <w:r w:rsidRPr="005071A1">
              <w:t>0.86</w:t>
            </w:r>
          </w:p>
        </w:tc>
        <w:tc>
          <w:tcPr>
            <w:tcW w:w="2474" w:type="dxa"/>
            <w:shd w:val="clear" w:color="auto" w:fill="auto"/>
          </w:tcPr>
          <w:p w14:paraId="539A84B2" w14:textId="77777777" w:rsidR="00B33542" w:rsidRPr="005071A1" w:rsidRDefault="00B33542" w:rsidP="009B7AF5">
            <w:pPr>
              <w:pStyle w:val="Tabletext"/>
            </w:pPr>
            <w:r w:rsidRPr="005071A1">
              <w:t>0.43</w:t>
            </w:r>
          </w:p>
        </w:tc>
      </w:tr>
      <w:tr w:rsidR="00B33542" w:rsidRPr="005071A1" w14:paraId="7FB8DCC5" w14:textId="77777777" w:rsidTr="009B7AF5">
        <w:tc>
          <w:tcPr>
            <w:tcW w:w="2432" w:type="dxa"/>
            <w:shd w:val="clear" w:color="auto" w:fill="auto"/>
          </w:tcPr>
          <w:p w14:paraId="0DA37051" w14:textId="77777777" w:rsidR="00B33542" w:rsidRPr="005071A1" w:rsidRDefault="00B33542" w:rsidP="009B7AF5">
            <w:pPr>
              <w:pStyle w:val="Tabletext"/>
            </w:pPr>
            <w:r w:rsidRPr="005071A1">
              <w:t>43</w:t>
            </w:r>
          </w:p>
        </w:tc>
        <w:tc>
          <w:tcPr>
            <w:tcW w:w="2432" w:type="dxa"/>
            <w:shd w:val="clear" w:color="auto" w:fill="auto"/>
          </w:tcPr>
          <w:p w14:paraId="52189D28" w14:textId="77777777" w:rsidR="00B33542" w:rsidRPr="005071A1" w:rsidRDefault="00B33542" w:rsidP="009B7AF5">
            <w:pPr>
              <w:pStyle w:val="Tabletext"/>
            </w:pPr>
            <w:r w:rsidRPr="005071A1">
              <w:t>0.90</w:t>
            </w:r>
          </w:p>
        </w:tc>
        <w:tc>
          <w:tcPr>
            <w:tcW w:w="2474" w:type="dxa"/>
            <w:shd w:val="clear" w:color="auto" w:fill="auto"/>
          </w:tcPr>
          <w:p w14:paraId="1551D72F" w14:textId="77777777" w:rsidR="00B33542" w:rsidRPr="005071A1" w:rsidRDefault="00B33542" w:rsidP="009B7AF5">
            <w:pPr>
              <w:pStyle w:val="Tabletext"/>
            </w:pPr>
            <w:r w:rsidRPr="005071A1">
              <w:t>0.45</w:t>
            </w:r>
          </w:p>
        </w:tc>
      </w:tr>
      <w:tr w:rsidR="00B33542" w:rsidRPr="005071A1" w14:paraId="01331C72" w14:textId="77777777" w:rsidTr="009B7AF5">
        <w:tc>
          <w:tcPr>
            <w:tcW w:w="2432" w:type="dxa"/>
            <w:shd w:val="clear" w:color="auto" w:fill="auto"/>
          </w:tcPr>
          <w:p w14:paraId="71FA6255" w14:textId="77777777" w:rsidR="00B33542" w:rsidRPr="005071A1" w:rsidRDefault="00B33542" w:rsidP="009B7AF5">
            <w:pPr>
              <w:pStyle w:val="Tabletext"/>
            </w:pPr>
            <w:r w:rsidRPr="005071A1">
              <w:t>44</w:t>
            </w:r>
          </w:p>
        </w:tc>
        <w:tc>
          <w:tcPr>
            <w:tcW w:w="2432" w:type="dxa"/>
            <w:shd w:val="clear" w:color="auto" w:fill="auto"/>
          </w:tcPr>
          <w:p w14:paraId="2D9B3EF5" w14:textId="77777777" w:rsidR="00B33542" w:rsidRPr="005071A1" w:rsidRDefault="00B33542" w:rsidP="009B7AF5">
            <w:pPr>
              <w:pStyle w:val="Tabletext"/>
            </w:pPr>
            <w:r w:rsidRPr="005071A1">
              <w:t>0.96</w:t>
            </w:r>
          </w:p>
        </w:tc>
        <w:tc>
          <w:tcPr>
            <w:tcW w:w="2474" w:type="dxa"/>
            <w:shd w:val="clear" w:color="auto" w:fill="auto"/>
          </w:tcPr>
          <w:p w14:paraId="37CAFC05" w14:textId="77777777" w:rsidR="00B33542" w:rsidRPr="005071A1" w:rsidRDefault="00B33542" w:rsidP="009B7AF5">
            <w:pPr>
              <w:pStyle w:val="Tabletext"/>
            </w:pPr>
            <w:r w:rsidRPr="005071A1">
              <w:t>0.48</w:t>
            </w:r>
          </w:p>
        </w:tc>
      </w:tr>
      <w:tr w:rsidR="00B33542" w:rsidRPr="005071A1" w14:paraId="4AAE66BA" w14:textId="77777777" w:rsidTr="009B7AF5">
        <w:tc>
          <w:tcPr>
            <w:tcW w:w="2432" w:type="dxa"/>
            <w:shd w:val="clear" w:color="auto" w:fill="auto"/>
          </w:tcPr>
          <w:p w14:paraId="20D6DF9D" w14:textId="77777777" w:rsidR="00B33542" w:rsidRPr="005071A1" w:rsidRDefault="00B33542" w:rsidP="009B7AF5">
            <w:pPr>
              <w:pStyle w:val="Tabletext"/>
            </w:pPr>
            <w:r w:rsidRPr="005071A1">
              <w:lastRenderedPageBreak/>
              <w:t>45</w:t>
            </w:r>
          </w:p>
        </w:tc>
        <w:tc>
          <w:tcPr>
            <w:tcW w:w="2432" w:type="dxa"/>
            <w:shd w:val="clear" w:color="auto" w:fill="auto"/>
          </w:tcPr>
          <w:p w14:paraId="6E4D453A" w14:textId="77777777" w:rsidR="00B33542" w:rsidRPr="005071A1" w:rsidRDefault="00B33542" w:rsidP="009B7AF5">
            <w:pPr>
              <w:pStyle w:val="Tabletext"/>
            </w:pPr>
            <w:r w:rsidRPr="005071A1">
              <w:t>1.02</w:t>
            </w:r>
          </w:p>
        </w:tc>
        <w:tc>
          <w:tcPr>
            <w:tcW w:w="2474" w:type="dxa"/>
            <w:shd w:val="clear" w:color="auto" w:fill="auto"/>
          </w:tcPr>
          <w:p w14:paraId="2565BA72" w14:textId="77777777" w:rsidR="00B33542" w:rsidRPr="005071A1" w:rsidRDefault="00B33542" w:rsidP="009B7AF5">
            <w:pPr>
              <w:pStyle w:val="Tabletext"/>
            </w:pPr>
            <w:r w:rsidRPr="005071A1">
              <w:t>0.51</w:t>
            </w:r>
          </w:p>
        </w:tc>
      </w:tr>
      <w:tr w:rsidR="00B33542" w:rsidRPr="005071A1" w14:paraId="05032B25" w14:textId="77777777" w:rsidTr="009B7AF5">
        <w:tc>
          <w:tcPr>
            <w:tcW w:w="2432" w:type="dxa"/>
            <w:shd w:val="clear" w:color="auto" w:fill="auto"/>
          </w:tcPr>
          <w:p w14:paraId="1FA7DA12" w14:textId="77777777" w:rsidR="00B33542" w:rsidRPr="005071A1" w:rsidRDefault="00B33542" w:rsidP="009B7AF5">
            <w:pPr>
              <w:pStyle w:val="Tabletext"/>
            </w:pPr>
            <w:r w:rsidRPr="005071A1">
              <w:t>46</w:t>
            </w:r>
          </w:p>
        </w:tc>
        <w:tc>
          <w:tcPr>
            <w:tcW w:w="2432" w:type="dxa"/>
            <w:shd w:val="clear" w:color="auto" w:fill="auto"/>
          </w:tcPr>
          <w:p w14:paraId="0565989E" w14:textId="77777777" w:rsidR="00B33542" w:rsidRPr="005071A1" w:rsidRDefault="00B33542" w:rsidP="009B7AF5">
            <w:pPr>
              <w:pStyle w:val="Tabletext"/>
            </w:pPr>
            <w:r w:rsidRPr="005071A1">
              <w:t>1.10</w:t>
            </w:r>
          </w:p>
        </w:tc>
        <w:tc>
          <w:tcPr>
            <w:tcW w:w="2474" w:type="dxa"/>
            <w:shd w:val="clear" w:color="auto" w:fill="auto"/>
          </w:tcPr>
          <w:p w14:paraId="259CA218" w14:textId="77777777" w:rsidR="00B33542" w:rsidRPr="005071A1" w:rsidRDefault="00B33542" w:rsidP="009B7AF5">
            <w:pPr>
              <w:pStyle w:val="Tabletext"/>
            </w:pPr>
            <w:r w:rsidRPr="005071A1">
              <w:t>0.55</w:t>
            </w:r>
          </w:p>
        </w:tc>
      </w:tr>
      <w:tr w:rsidR="00B33542" w:rsidRPr="005071A1" w14:paraId="40FC2206" w14:textId="77777777" w:rsidTr="009B7AF5">
        <w:tc>
          <w:tcPr>
            <w:tcW w:w="2432" w:type="dxa"/>
            <w:shd w:val="clear" w:color="auto" w:fill="auto"/>
          </w:tcPr>
          <w:p w14:paraId="659AD54C" w14:textId="77777777" w:rsidR="00B33542" w:rsidRPr="005071A1" w:rsidRDefault="00B33542" w:rsidP="009B7AF5">
            <w:pPr>
              <w:pStyle w:val="Tabletext"/>
            </w:pPr>
            <w:r w:rsidRPr="005071A1">
              <w:t>47</w:t>
            </w:r>
          </w:p>
        </w:tc>
        <w:tc>
          <w:tcPr>
            <w:tcW w:w="2432" w:type="dxa"/>
            <w:shd w:val="clear" w:color="auto" w:fill="auto"/>
          </w:tcPr>
          <w:p w14:paraId="7FF5C0E9" w14:textId="77777777" w:rsidR="00B33542" w:rsidRPr="005071A1" w:rsidRDefault="00B33542" w:rsidP="009B7AF5">
            <w:pPr>
              <w:pStyle w:val="Tabletext"/>
            </w:pPr>
            <w:r w:rsidRPr="005071A1">
              <w:t>1.18</w:t>
            </w:r>
          </w:p>
        </w:tc>
        <w:tc>
          <w:tcPr>
            <w:tcW w:w="2474" w:type="dxa"/>
            <w:shd w:val="clear" w:color="auto" w:fill="auto"/>
          </w:tcPr>
          <w:p w14:paraId="11F6B7F6" w14:textId="77777777" w:rsidR="00B33542" w:rsidRPr="005071A1" w:rsidRDefault="00B33542" w:rsidP="009B7AF5">
            <w:pPr>
              <w:pStyle w:val="Tabletext"/>
            </w:pPr>
            <w:r w:rsidRPr="005071A1">
              <w:t>0.59</w:t>
            </w:r>
          </w:p>
        </w:tc>
      </w:tr>
      <w:tr w:rsidR="00B33542" w:rsidRPr="005071A1" w14:paraId="67D6E743" w14:textId="77777777" w:rsidTr="009B7AF5">
        <w:tc>
          <w:tcPr>
            <w:tcW w:w="2432" w:type="dxa"/>
            <w:shd w:val="clear" w:color="auto" w:fill="auto"/>
          </w:tcPr>
          <w:p w14:paraId="23B208DD" w14:textId="77777777" w:rsidR="00B33542" w:rsidRPr="005071A1" w:rsidRDefault="00B33542" w:rsidP="009B7AF5">
            <w:pPr>
              <w:pStyle w:val="Tabletext"/>
            </w:pPr>
            <w:r w:rsidRPr="005071A1">
              <w:t>48</w:t>
            </w:r>
          </w:p>
        </w:tc>
        <w:tc>
          <w:tcPr>
            <w:tcW w:w="2432" w:type="dxa"/>
            <w:shd w:val="clear" w:color="auto" w:fill="auto"/>
          </w:tcPr>
          <w:p w14:paraId="000AC11C" w14:textId="77777777" w:rsidR="00B33542" w:rsidRPr="005071A1" w:rsidRDefault="00B33542" w:rsidP="009B7AF5">
            <w:pPr>
              <w:pStyle w:val="Tabletext"/>
            </w:pPr>
            <w:r w:rsidRPr="005071A1">
              <w:t>1.28</w:t>
            </w:r>
          </w:p>
        </w:tc>
        <w:tc>
          <w:tcPr>
            <w:tcW w:w="2474" w:type="dxa"/>
            <w:shd w:val="clear" w:color="auto" w:fill="auto"/>
          </w:tcPr>
          <w:p w14:paraId="379EF2D7" w14:textId="77777777" w:rsidR="00B33542" w:rsidRPr="005071A1" w:rsidRDefault="00B33542" w:rsidP="009B7AF5">
            <w:pPr>
              <w:pStyle w:val="Tabletext"/>
            </w:pPr>
            <w:r w:rsidRPr="005071A1">
              <w:t>0.64</w:t>
            </w:r>
          </w:p>
        </w:tc>
      </w:tr>
      <w:tr w:rsidR="00B33542" w:rsidRPr="005071A1" w14:paraId="404F3054" w14:textId="77777777" w:rsidTr="00D57394">
        <w:tc>
          <w:tcPr>
            <w:tcW w:w="2432" w:type="dxa"/>
            <w:tcBorders>
              <w:bottom w:val="single" w:sz="4" w:space="0" w:color="auto"/>
            </w:tcBorders>
            <w:shd w:val="clear" w:color="auto" w:fill="auto"/>
          </w:tcPr>
          <w:p w14:paraId="3A72F5EB" w14:textId="77777777" w:rsidR="00B33542" w:rsidRPr="005071A1" w:rsidRDefault="00B33542" w:rsidP="009B7AF5">
            <w:pPr>
              <w:pStyle w:val="Tabletext"/>
            </w:pPr>
            <w:r w:rsidRPr="005071A1">
              <w:t>49</w:t>
            </w:r>
          </w:p>
        </w:tc>
        <w:tc>
          <w:tcPr>
            <w:tcW w:w="2432" w:type="dxa"/>
            <w:tcBorders>
              <w:bottom w:val="single" w:sz="4" w:space="0" w:color="auto"/>
            </w:tcBorders>
            <w:shd w:val="clear" w:color="auto" w:fill="auto"/>
          </w:tcPr>
          <w:p w14:paraId="67510685" w14:textId="77777777" w:rsidR="00B33542" w:rsidRPr="005071A1" w:rsidRDefault="00B33542" w:rsidP="009B7AF5">
            <w:pPr>
              <w:pStyle w:val="Tabletext"/>
            </w:pPr>
            <w:r w:rsidRPr="005071A1">
              <w:t>1.38</w:t>
            </w:r>
          </w:p>
        </w:tc>
        <w:tc>
          <w:tcPr>
            <w:tcW w:w="2474" w:type="dxa"/>
            <w:tcBorders>
              <w:bottom w:val="single" w:sz="4" w:space="0" w:color="auto"/>
            </w:tcBorders>
            <w:shd w:val="clear" w:color="auto" w:fill="auto"/>
          </w:tcPr>
          <w:p w14:paraId="2A740777" w14:textId="77777777" w:rsidR="00B33542" w:rsidRPr="005071A1" w:rsidRDefault="00B33542" w:rsidP="009B7AF5">
            <w:pPr>
              <w:pStyle w:val="Tabletext"/>
            </w:pPr>
            <w:r w:rsidRPr="005071A1">
              <w:t>0.69</w:t>
            </w:r>
          </w:p>
        </w:tc>
      </w:tr>
      <w:tr w:rsidR="00B33542" w:rsidRPr="005071A1" w14:paraId="1EF29793" w14:textId="77777777" w:rsidTr="00D57394">
        <w:tc>
          <w:tcPr>
            <w:tcW w:w="2432" w:type="dxa"/>
            <w:tcBorders>
              <w:bottom w:val="single" w:sz="4" w:space="0" w:color="auto"/>
            </w:tcBorders>
            <w:shd w:val="clear" w:color="auto" w:fill="auto"/>
          </w:tcPr>
          <w:p w14:paraId="38FDE706" w14:textId="77777777" w:rsidR="00B33542" w:rsidRPr="005071A1" w:rsidRDefault="00B33542" w:rsidP="009B7AF5">
            <w:pPr>
              <w:pStyle w:val="Tabletext"/>
            </w:pPr>
            <w:r w:rsidRPr="005071A1">
              <w:t>50</w:t>
            </w:r>
          </w:p>
        </w:tc>
        <w:tc>
          <w:tcPr>
            <w:tcW w:w="2432" w:type="dxa"/>
            <w:tcBorders>
              <w:bottom w:val="single" w:sz="4" w:space="0" w:color="auto"/>
            </w:tcBorders>
            <w:shd w:val="clear" w:color="auto" w:fill="auto"/>
          </w:tcPr>
          <w:p w14:paraId="7F94A938" w14:textId="77777777" w:rsidR="00B33542" w:rsidRPr="005071A1" w:rsidRDefault="00B33542" w:rsidP="009B7AF5">
            <w:pPr>
              <w:pStyle w:val="Tabletext"/>
            </w:pPr>
            <w:r w:rsidRPr="005071A1">
              <w:t>1.50</w:t>
            </w:r>
          </w:p>
        </w:tc>
        <w:tc>
          <w:tcPr>
            <w:tcW w:w="2474" w:type="dxa"/>
            <w:tcBorders>
              <w:bottom w:val="single" w:sz="4" w:space="0" w:color="auto"/>
            </w:tcBorders>
            <w:shd w:val="clear" w:color="auto" w:fill="auto"/>
          </w:tcPr>
          <w:p w14:paraId="052CB399" w14:textId="77777777" w:rsidR="00B33542" w:rsidRPr="005071A1" w:rsidRDefault="00B33542" w:rsidP="009B7AF5">
            <w:pPr>
              <w:pStyle w:val="Tabletext"/>
            </w:pPr>
            <w:r w:rsidRPr="005071A1">
              <w:t>0.75</w:t>
            </w:r>
          </w:p>
        </w:tc>
      </w:tr>
      <w:tr w:rsidR="00B33542" w:rsidRPr="005071A1" w14:paraId="453476C4" w14:textId="77777777" w:rsidTr="00640BB6">
        <w:tc>
          <w:tcPr>
            <w:tcW w:w="2432" w:type="dxa"/>
            <w:tcBorders>
              <w:top w:val="single" w:sz="4" w:space="0" w:color="auto"/>
              <w:bottom w:val="single" w:sz="4" w:space="0" w:color="auto"/>
            </w:tcBorders>
            <w:shd w:val="clear" w:color="auto" w:fill="auto"/>
          </w:tcPr>
          <w:p w14:paraId="5BADB592" w14:textId="77777777" w:rsidR="00B33542" w:rsidRPr="005071A1" w:rsidRDefault="00B33542" w:rsidP="009B7AF5">
            <w:pPr>
              <w:pStyle w:val="Tabletext"/>
            </w:pPr>
            <w:r w:rsidRPr="005071A1">
              <w:t>51</w:t>
            </w:r>
          </w:p>
        </w:tc>
        <w:tc>
          <w:tcPr>
            <w:tcW w:w="2432" w:type="dxa"/>
            <w:tcBorders>
              <w:top w:val="single" w:sz="4" w:space="0" w:color="auto"/>
              <w:bottom w:val="single" w:sz="4" w:space="0" w:color="auto"/>
            </w:tcBorders>
            <w:shd w:val="clear" w:color="auto" w:fill="auto"/>
          </w:tcPr>
          <w:p w14:paraId="321B93B5" w14:textId="77777777" w:rsidR="00B33542" w:rsidRPr="005071A1" w:rsidRDefault="00B33542" w:rsidP="009B7AF5">
            <w:pPr>
              <w:pStyle w:val="Tabletext"/>
            </w:pPr>
            <w:r w:rsidRPr="005071A1">
              <w:t>1.66</w:t>
            </w:r>
          </w:p>
        </w:tc>
        <w:tc>
          <w:tcPr>
            <w:tcW w:w="2474" w:type="dxa"/>
            <w:tcBorders>
              <w:top w:val="single" w:sz="4" w:space="0" w:color="auto"/>
              <w:bottom w:val="single" w:sz="4" w:space="0" w:color="auto"/>
            </w:tcBorders>
            <w:shd w:val="clear" w:color="auto" w:fill="auto"/>
          </w:tcPr>
          <w:p w14:paraId="66FE4F48" w14:textId="77777777" w:rsidR="00B33542" w:rsidRPr="005071A1" w:rsidRDefault="00B33542" w:rsidP="009B7AF5">
            <w:pPr>
              <w:pStyle w:val="Tabletext"/>
            </w:pPr>
            <w:r w:rsidRPr="005071A1">
              <w:t>0.83</w:t>
            </w:r>
          </w:p>
        </w:tc>
      </w:tr>
      <w:tr w:rsidR="00B33542" w:rsidRPr="005071A1" w14:paraId="70D4A255" w14:textId="77777777" w:rsidTr="00640BB6">
        <w:tc>
          <w:tcPr>
            <w:tcW w:w="2432" w:type="dxa"/>
            <w:tcBorders>
              <w:bottom w:val="single" w:sz="4" w:space="0" w:color="auto"/>
            </w:tcBorders>
            <w:shd w:val="clear" w:color="auto" w:fill="auto"/>
          </w:tcPr>
          <w:p w14:paraId="08BD0F7A" w14:textId="77777777" w:rsidR="00B33542" w:rsidRPr="005071A1" w:rsidRDefault="00B33542" w:rsidP="009B7AF5">
            <w:pPr>
              <w:pStyle w:val="Tabletext"/>
            </w:pPr>
            <w:r w:rsidRPr="005071A1">
              <w:t>52</w:t>
            </w:r>
          </w:p>
        </w:tc>
        <w:tc>
          <w:tcPr>
            <w:tcW w:w="2432" w:type="dxa"/>
            <w:tcBorders>
              <w:bottom w:val="single" w:sz="4" w:space="0" w:color="auto"/>
            </w:tcBorders>
            <w:shd w:val="clear" w:color="auto" w:fill="auto"/>
          </w:tcPr>
          <w:p w14:paraId="58077FBB" w14:textId="77777777" w:rsidR="00B33542" w:rsidRPr="005071A1" w:rsidRDefault="00B33542" w:rsidP="009B7AF5">
            <w:pPr>
              <w:pStyle w:val="Tabletext"/>
            </w:pPr>
            <w:r w:rsidRPr="005071A1">
              <w:t>1.82</w:t>
            </w:r>
          </w:p>
        </w:tc>
        <w:tc>
          <w:tcPr>
            <w:tcW w:w="2474" w:type="dxa"/>
            <w:tcBorders>
              <w:bottom w:val="single" w:sz="4" w:space="0" w:color="auto"/>
            </w:tcBorders>
            <w:shd w:val="clear" w:color="auto" w:fill="auto"/>
          </w:tcPr>
          <w:p w14:paraId="32BBFC8E" w14:textId="77777777" w:rsidR="00B33542" w:rsidRPr="005071A1" w:rsidRDefault="00B33542" w:rsidP="009B7AF5">
            <w:pPr>
              <w:pStyle w:val="Tabletext"/>
            </w:pPr>
            <w:r w:rsidRPr="005071A1">
              <w:t>0.91</w:t>
            </w:r>
          </w:p>
        </w:tc>
      </w:tr>
      <w:tr w:rsidR="00B33542" w:rsidRPr="005071A1" w14:paraId="736D10DA" w14:textId="77777777" w:rsidTr="00640BB6">
        <w:tc>
          <w:tcPr>
            <w:tcW w:w="2432" w:type="dxa"/>
            <w:tcBorders>
              <w:top w:val="single" w:sz="4" w:space="0" w:color="auto"/>
            </w:tcBorders>
            <w:shd w:val="clear" w:color="auto" w:fill="auto"/>
          </w:tcPr>
          <w:p w14:paraId="28649369" w14:textId="77777777" w:rsidR="00B33542" w:rsidRPr="005071A1" w:rsidRDefault="00B33542" w:rsidP="009B7AF5">
            <w:pPr>
              <w:pStyle w:val="Tabletext"/>
            </w:pPr>
            <w:r w:rsidRPr="005071A1">
              <w:t>53</w:t>
            </w:r>
          </w:p>
        </w:tc>
        <w:tc>
          <w:tcPr>
            <w:tcW w:w="2432" w:type="dxa"/>
            <w:tcBorders>
              <w:top w:val="single" w:sz="4" w:space="0" w:color="auto"/>
            </w:tcBorders>
            <w:shd w:val="clear" w:color="auto" w:fill="auto"/>
          </w:tcPr>
          <w:p w14:paraId="3577F8CA" w14:textId="77777777" w:rsidR="00B33542" w:rsidRPr="005071A1" w:rsidRDefault="00B33542" w:rsidP="009B7AF5">
            <w:pPr>
              <w:pStyle w:val="Tabletext"/>
            </w:pPr>
            <w:r w:rsidRPr="005071A1">
              <w:t>2.02</w:t>
            </w:r>
          </w:p>
        </w:tc>
        <w:tc>
          <w:tcPr>
            <w:tcW w:w="2474" w:type="dxa"/>
            <w:tcBorders>
              <w:top w:val="single" w:sz="4" w:space="0" w:color="auto"/>
            </w:tcBorders>
            <w:shd w:val="clear" w:color="auto" w:fill="auto"/>
          </w:tcPr>
          <w:p w14:paraId="56902876" w14:textId="77777777" w:rsidR="00B33542" w:rsidRPr="005071A1" w:rsidRDefault="00B33542" w:rsidP="009B7AF5">
            <w:pPr>
              <w:pStyle w:val="Tabletext"/>
            </w:pPr>
            <w:r w:rsidRPr="005071A1">
              <w:t>1.01</w:t>
            </w:r>
          </w:p>
        </w:tc>
      </w:tr>
      <w:tr w:rsidR="00B33542" w:rsidRPr="005071A1" w14:paraId="34797435" w14:textId="77777777" w:rsidTr="009B7AF5">
        <w:tc>
          <w:tcPr>
            <w:tcW w:w="2432" w:type="dxa"/>
            <w:shd w:val="clear" w:color="auto" w:fill="auto"/>
          </w:tcPr>
          <w:p w14:paraId="3A2C812B" w14:textId="77777777" w:rsidR="00B33542" w:rsidRPr="005071A1" w:rsidRDefault="00B33542" w:rsidP="009B7AF5">
            <w:pPr>
              <w:pStyle w:val="Tabletext"/>
            </w:pPr>
            <w:r w:rsidRPr="005071A1">
              <w:t>54</w:t>
            </w:r>
          </w:p>
        </w:tc>
        <w:tc>
          <w:tcPr>
            <w:tcW w:w="2432" w:type="dxa"/>
            <w:shd w:val="clear" w:color="auto" w:fill="auto"/>
          </w:tcPr>
          <w:p w14:paraId="58641FC4" w14:textId="77777777" w:rsidR="00B33542" w:rsidRPr="005071A1" w:rsidRDefault="00B33542" w:rsidP="009B7AF5">
            <w:pPr>
              <w:pStyle w:val="Tabletext"/>
            </w:pPr>
            <w:r w:rsidRPr="005071A1">
              <w:t>2.26</w:t>
            </w:r>
          </w:p>
        </w:tc>
        <w:tc>
          <w:tcPr>
            <w:tcW w:w="2474" w:type="dxa"/>
            <w:shd w:val="clear" w:color="auto" w:fill="auto"/>
          </w:tcPr>
          <w:p w14:paraId="1423978B" w14:textId="77777777" w:rsidR="00B33542" w:rsidRPr="005071A1" w:rsidRDefault="00B33542" w:rsidP="009B7AF5">
            <w:pPr>
              <w:pStyle w:val="Tabletext"/>
            </w:pPr>
            <w:r w:rsidRPr="005071A1">
              <w:t>1.13</w:t>
            </w:r>
          </w:p>
        </w:tc>
      </w:tr>
      <w:tr w:rsidR="00B33542" w:rsidRPr="005071A1" w14:paraId="7661CA00" w14:textId="77777777" w:rsidTr="009B7AF5">
        <w:tc>
          <w:tcPr>
            <w:tcW w:w="2432" w:type="dxa"/>
            <w:shd w:val="clear" w:color="auto" w:fill="auto"/>
          </w:tcPr>
          <w:p w14:paraId="326BDE63" w14:textId="77777777" w:rsidR="00B33542" w:rsidRPr="005071A1" w:rsidRDefault="00B33542" w:rsidP="009B7AF5">
            <w:pPr>
              <w:pStyle w:val="Tabletext"/>
            </w:pPr>
            <w:r w:rsidRPr="005071A1">
              <w:t>55</w:t>
            </w:r>
          </w:p>
        </w:tc>
        <w:tc>
          <w:tcPr>
            <w:tcW w:w="2432" w:type="dxa"/>
            <w:shd w:val="clear" w:color="auto" w:fill="auto"/>
          </w:tcPr>
          <w:p w14:paraId="6F3F3A3A" w14:textId="77777777" w:rsidR="00B33542" w:rsidRPr="005071A1" w:rsidRDefault="00B33542" w:rsidP="009B7AF5">
            <w:pPr>
              <w:pStyle w:val="Tabletext"/>
            </w:pPr>
            <w:r w:rsidRPr="005071A1">
              <w:t>2.56</w:t>
            </w:r>
          </w:p>
        </w:tc>
        <w:tc>
          <w:tcPr>
            <w:tcW w:w="2474" w:type="dxa"/>
            <w:shd w:val="clear" w:color="auto" w:fill="auto"/>
          </w:tcPr>
          <w:p w14:paraId="67A9C119" w14:textId="77777777" w:rsidR="00B33542" w:rsidRPr="005071A1" w:rsidRDefault="00B33542" w:rsidP="009B7AF5">
            <w:pPr>
              <w:pStyle w:val="Tabletext"/>
            </w:pPr>
            <w:r w:rsidRPr="005071A1">
              <w:t>1.28</w:t>
            </w:r>
          </w:p>
        </w:tc>
      </w:tr>
      <w:tr w:rsidR="00B33542" w:rsidRPr="005071A1" w14:paraId="36BA130B" w14:textId="77777777" w:rsidTr="009B7AF5">
        <w:tc>
          <w:tcPr>
            <w:tcW w:w="2432" w:type="dxa"/>
            <w:shd w:val="clear" w:color="auto" w:fill="auto"/>
          </w:tcPr>
          <w:p w14:paraId="208F4DC0" w14:textId="77777777" w:rsidR="00B33542" w:rsidRPr="005071A1" w:rsidRDefault="00B33542" w:rsidP="009B7AF5">
            <w:pPr>
              <w:pStyle w:val="Tabletext"/>
            </w:pPr>
            <w:r w:rsidRPr="005071A1">
              <w:t>56</w:t>
            </w:r>
          </w:p>
        </w:tc>
        <w:tc>
          <w:tcPr>
            <w:tcW w:w="2432" w:type="dxa"/>
            <w:shd w:val="clear" w:color="auto" w:fill="auto"/>
          </w:tcPr>
          <w:p w14:paraId="34A67A05" w14:textId="77777777" w:rsidR="00B33542" w:rsidRPr="005071A1" w:rsidRDefault="00B33542" w:rsidP="009B7AF5">
            <w:pPr>
              <w:pStyle w:val="Tabletext"/>
            </w:pPr>
            <w:r w:rsidRPr="005071A1">
              <w:t>2.92</w:t>
            </w:r>
          </w:p>
        </w:tc>
        <w:tc>
          <w:tcPr>
            <w:tcW w:w="2474" w:type="dxa"/>
            <w:shd w:val="clear" w:color="auto" w:fill="auto"/>
          </w:tcPr>
          <w:p w14:paraId="71A3DF4A" w14:textId="77777777" w:rsidR="00B33542" w:rsidRPr="005071A1" w:rsidRDefault="00B33542" w:rsidP="009B7AF5">
            <w:pPr>
              <w:pStyle w:val="Tabletext"/>
            </w:pPr>
            <w:r w:rsidRPr="005071A1">
              <w:t>1.46</w:t>
            </w:r>
          </w:p>
        </w:tc>
      </w:tr>
      <w:tr w:rsidR="00B33542" w:rsidRPr="005071A1" w14:paraId="20BFB02E" w14:textId="77777777" w:rsidTr="009B7AF5">
        <w:tc>
          <w:tcPr>
            <w:tcW w:w="2432" w:type="dxa"/>
            <w:shd w:val="clear" w:color="auto" w:fill="auto"/>
          </w:tcPr>
          <w:p w14:paraId="1B795BE6" w14:textId="77777777" w:rsidR="00B33542" w:rsidRPr="005071A1" w:rsidRDefault="00B33542" w:rsidP="009B7AF5">
            <w:pPr>
              <w:pStyle w:val="Tabletext"/>
            </w:pPr>
            <w:r w:rsidRPr="005071A1">
              <w:t>57</w:t>
            </w:r>
          </w:p>
        </w:tc>
        <w:tc>
          <w:tcPr>
            <w:tcW w:w="2432" w:type="dxa"/>
            <w:shd w:val="clear" w:color="auto" w:fill="auto"/>
          </w:tcPr>
          <w:p w14:paraId="19C7444C" w14:textId="77777777" w:rsidR="00B33542" w:rsidRPr="005071A1" w:rsidRDefault="00B33542" w:rsidP="009B7AF5">
            <w:pPr>
              <w:pStyle w:val="Tabletext"/>
            </w:pPr>
            <w:r w:rsidRPr="005071A1">
              <w:t>3.40</w:t>
            </w:r>
          </w:p>
        </w:tc>
        <w:tc>
          <w:tcPr>
            <w:tcW w:w="2474" w:type="dxa"/>
            <w:shd w:val="clear" w:color="auto" w:fill="auto"/>
          </w:tcPr>
          <w:p w14:paraId="0C93E4DD" w14:textId="77777777" w:rsidR="00B33542" w:rsidRPr="005071A1" w:rsidRDefault="00B33542" w:rsidP="009B7AF5">
            <w:pPr>
              <w:pStyle w:val="Tabletext"/>
            </w:pPr>
            <w:r w:rsidRPr="005071A1">
              <w:t>1.70</w:t>
            </w:r>
          </w:p>
        </w:tc>
      </w:tr>
      <w:tr w:rsidR="00B33542" w:rsidRPr="005071A1" w14:paraId="73B1082F" w14:textId="77777777" w:rsidTr="009B7AF5">
        <w:tc>
          <w:tcPr>
            <w:tcW w:w="2432" w:type="dxa"/>
            <w:shd w:val="clear" w:color="auto" w:fill="auto"/>
          </w:tcPr>
          <w:p w14:paraId="74D68988" w14:textId="77777777" w:rsidR="00B33542" w:rsidRPr="005071A1" w:rsidRDefault="00B33542" w:rsidP="009B7AF5">
            <w:pPr>
              <w:pStyle w:val="Tabletext"/>
            </w:pPr>
            <w:r w:rsidRPr="005071A1">
              <w:t>58</w:t>
            </w:r>
          </w:p>
        </w:tc>
        <w:tc>
          <w:tcPr>
            <w:tcW w:w="2432" w:type="dxa"/>
            <w:shd w:val="clear" w:color="auto" w:fill="auto"/>
          </w:tcPr>
          <w:p w14:paraId="656728C8" w14:textId="77777777" w:rsidR="00B33542" w:rsidRPr="005071A1" w:rsidRDefault="00B33542" w:rsidP="009B7AF5">
            <w:pPr>
              <w:pStyle w:val="Tabletext"/>
            </w:pPr>
            <w:r w:rsidRPr="005071A1">
              <w:t>3.98</w:t>
            </w:r>
          </w:p>
        </w:tc>
        <w:tc>
          <w:tcPr>
            <w:tcW w:w="2474" w:type="dxa"/>
            <w:shd w:val="clear" w:color="auto" w:fill="auto"/>
          </w:tcPr>
          <w:p w14:paraId="41945C98" w14:textId="77777777" w:rsidR="00B33542" w:rsidRPr="005071A1" w:rsidRDefault="00B33542" w:rsidP="009B7AF5">
            <w:pPr>
              <w:pStyle w:val="Tabletext"/>
            </w:pPr>
            <w:r w:rsidRPr="005071A1">
              <w:t>1.99</w:t>
            </w:r>
          </w:p>
        </w:tc>
      </w:tr>
      <w:tr w:rsidR="00B33542" w:rsidRPr="005071A1" w14:paraId="20F0BBDA" w14:textId="77777777" w:rsidTr="009B7AF5">
        <w:tc>
          <w:tcPr>
            <w:tcW w:w="2432" w:type="dxa"/>
            <w:shd w:val="clear" w:color="auto" w:fill="auto"/>
          </w:tcPr>
          <w:p w14:paraId="6993F286" w14:textId="77777777" w:rsidR="00B33542" w:rsidRPr="005071A1" w:rsidRDefault="00B33542" w:rsidP="009B7AF5">
            <w:pPr>
              <w:pStyle w:val="Tabletext"/>
            </w:pPr>
            <w:r w:rsidRPr="005071A1">
              <w:t>59</w:t>
            </w:r>
          </w:p>
        </w:tc>
        <w:tc>
          <w:tcPr>
            <w:tcW w:w="2432" w:type="dxa"/>
            <w:shd w:val="clear" w:color="auto" w:fill="auto"/>
          </w:tcPr>
          <w:p w14:paraId="6BCBFDD5" w14:textId="77777777" w:rsidR="00B33542" w:rsidRPr="005071A1" w:rsidRDefault="00B33542" w:rsidP="009B7AF5">
            <w:pPr>
              <w:pStyle w:val="Tabletext"/>
            </w:pPr>
            <w:r w:rsidRPr="005071A1">
              <w:t>4.76</w:t>
            </w:r>
          </w:p>
        </w:tc>
        <w:tc>
          <w:tcPr>
            <w:tcW w:w="2474" w:type="dxa"/>
            <w:shd w:val="clear" w:color="auto" w:fill="auto"/>
          </w:tcPr>
          <w:p w14:paraId="0BD5B796" w14:textId="77777777" w:rsidR="00B33542" w:rsidRPr="005071A1" w:rsidRDefault="00B33542" w:rsidP="009B7AF5">
            <w:pPr>
              <w:pStyle w:val="Tabletext"/>
            </w:pPr>
            <w:r w:rsidRPr="005071A1">
              <w:t>2.38</w:t>
            </w:r>
          </w:p>
        </w:tc>
      </w:tr>
      <w:tr w:rsidR="00B33542" w:rsidRPr="005071A1" w14:paraId="3A1E0A27" w14:textId="77777777" w:rsidTr="009B7AF5">
        <w:tc>
          <w:tcPr>
            <w:tcW w:w="2432" w:type="dxa"/>
            <w:shd w:val="clear" w:color="auto" w:fill="auto"/>
          </w:tcPr>
          <w:p w14:paraId="4E63632D" w14:textId="77777777" w:rsidR="00B33542" w:rsidRPr="005071A1" w:rsidRDefault="00B33542" w:rsidP="009B7AF5">
            <w:pPr>
              <w:pStyle w:val="Tabletext"/>
            </w:pPr>
            <w:r w:rsidRPr="005071A1">
              <w:t>60</w:t>
            </w:r>
          </w:p>
        </w:tc>
        <w:tc>
          <w:tcPr>
            <w:tcW w:w="2432" w:type="dxa"/>
            <w:shd w:val="clear" w:color="auto" w:fill="auto"/>
          </w:tcPr>
          <w:p w14:paraId="55E08C0A" w14:textId="77777777" w:rsidR="00B33542" w:rsidRPr="005071A1" w:rsidRDefault="00B33542" w:rsidP="009B7AF5">
            <w:pPr>
              <w:pStyle w:val="Tabletext"/>
            </w:pPr>
            <w:r w:rsidRPr="005071A1">
              <w:t>5.84</w:t>
            </w:r>
          </w:p>
        </w:tc>
        <w:tc>
          <w:tcPr>
            <w:tcW w:w="2474" w:type="dxa"/>
            <w:shd w:val="clear" w:color="auto" w:fill="auto"/>
          </w:tcPr>
          <w:p w14:paraId="22693B8B" w14:textId="77777777" w:rsidR="00B33542" w:rsidRPr="005071A1" w:rsidRDefault="00B33542" w:rsidP="009B7AF5">
            <w:pPr>
              <w:pStyle w:val="Tabletext"/>
            </w:pPr>
            <w:r w:rsidRPr="005071A1">
              <w:t>2.92</w:t>
            </w:r>
          </w:p>
        </w:tc>
      </w:tr>
      <w:tr w:rsidR="00B33542" w:rsidRPr="005071A1" w14:paraId="75A07D71" w14:textId="77777777" w:rsidTr="009B7AF5">
        <w:tc>
          <w:tcPr>
            <w:tcW w:w="2432" w:type="dxa"/>
            <w:shd w:val="clear" w:color="auto" w:fill="auto"/>
          </w:tcPr>
          <w:p w14:paraId="2D785F06" w14:textId="77777777" w:rsidR="00B33542" w:rsidRPr="005071A1" w:rsidRDefault="00B33542" w:rsidP="009B7AF5">
            <w:pPr>
              <w:pStyle w:val="Tabletext"/>
            </w:pPr>
            <w:r w:rsidRPr="005071A1">
              <w:t>61</w:t>
            </w:r>
          </w:p>
        </w:tc>
        <w:tc>
          <w:tcPr>
            <w:tcW w:w="2432" w:type="dxa"/>
            <w:shd w:val="clear" w:color="auto" w:fill="auto"/>
          </w:tcPr>
          <w:p w14:paraId="7DE22F62" w14:textId="77777777" w:rsidR="00B33542" w:rsidRPr="005071A1" w:rsidRDefault="00B33542" w:rsidP="009B7AF5">
            <w:pPr>
              <w:pStyle w:val="Tabletext"/>
            </w:pPr>
            <w:r w:rsidRPr="005071A1">
              <w:t>7.28</w:t>
            </w:r>
          </w:p>
        </w:tc>
        <w:tc>
          <w:tcPr>
            <w:tcW w:w="2474" w:type="dxa"/>
            <w:shd w:val="clear" w:color="auto" w:fill="auto"/>
          </w:tcPr>
          <w:p w14:paraId="6940CA5F" w14:textId="77777777" w:rsidR="00B33542" w:rsidRPr="005071A1" w:rsidRDefault="00B33542" w:rsidP="009B7AF5">
            <w:pPr>
              <w:pStyle w:val="Tabletext"/>
            </w:pPr>
            <w:r w:rsidRPr="005071A1">
              <w:t>3.64</w:t>
            </w:r>
          </w:p>
        </w:tc>
      </w:tr>
      <w:tr w:rsidR="00B33542" w:rsidRPr="005071A1" w14:paraId="0048CF0E" w14:textId="77777777" w:rsidTr="009B7AF5">
        <w:tc>
          <w:tcPr>
            <w:tcW w:w="2432" w:type="dxa"/>
            <w:shd w:val="clear" w:color="auto" w:fill="auto"/>
          </w:tcPr>
          <w:p w14:paraId="28F95D93" w14:textId="77777777" w:rsidR="00B33542" w:rsidRPr="005071A1" w:rsidRDefault="00B33542" w:rsidP="009B7AF5">
            <w:pPr>
              <w:pStyle w:val="Tabletext"/>
            </w:pPr>
            <w:r w:rsidRPr="005071A1">
              <w:lastRenderedPageBreak/>
              <w:t>62</w:t>
            </w:r>
          </w:p>
        </w:tc>
        <w:tc>
          <w:tcPr>
            <w:tcW w:w="2432" w:type="dxa"/>
            <w:shd w:val="clear" w:color="auto" w:fill="auto"/>
          </w:tcPr>
          <w:p w14:paraId="01879E42" w14:textId="77777777" w:rsidR="00B33542" w:rsidRPr="005071A1" w:rsidRDefault="00B33542" w:rsidP="009B7AF5">
            <w:pPr>
              <w:pStyle w:val="Tabletext"/>
            </w:pPr>
            <w:r w:rsidRPr="005071A1">
              <w:t>9.46</w:t>
            </w:r>
          </w:p>
        </w:tc>
        <w:tc>
          <w:tcPr>
            <w:tcW w:w="2474" w:type="dxa"/>
            <w:shd w:val="clear" w:color="auto" w:fill="auto"/>
          </w:tcPr>
          <w:p w14:paraId="4ACEF2E3" w14:textId="77777777" w:rsidR="00B33542" w:rsidRPr="005071A1" w:rsidRDefault="00B33542" w:rsidP="009B7AF5">
            <w:pPr>
              <w:pStyle w:val="Tabletext"/>
            </w:pPr>
            <w:r w:rsidRPr="005071A1">
              <w:t>4.73</w:t>
            </w:r>
          </w:p>
        </w:tc>
      </w:tr>
      <w:tr w:rsidR="00B33542" w:rsidRPr="005071A1" w14:paraId="74663BCC" w14:textId="77777777" w:rsidTr="009B7AF5">
        <w:tc>
          <w:tcPr>
            <w:tcW w:w="2432" w:type="dxa"/>
            <w:shd w:val="clear" w:color="auto" w:fill="auto"/>
          </w:tcPr>
          <w:p w14:paraId="043BE9D6" w14:textId="77777777" w:rsidR="00B33542" w:rsidRPr="005071A1" w:rsidRDefault="00B33542" w:rsidP="009B7AF5">
            <w:pPr>
              <w:pStyle w:val="Tabletext"/>
            </w:pPr>
            <w:r w:rsidRPr="005071A1">
              <w:t>63</w:t>
            </w:r>
          </w:p>
        </w:tc>
        <w:tc>
          <w:tcPr>
            <w:tcW w:w="2432" w:type="dxa"/>
            <w:shd w:val="clear" w:color="auto" w:fill="auto"/>
          </w:tcPr>
          <w:p w14:paraId="09866E7E" w14:textId="77777777" w:rsidR="00B33542" w:rsidRPr="005071A1" w:rsidRDefault="00B33542" w:rsidP="009B7AF5">
            <w:pPr>
              <w:pStyle w:val="Tabletext"/>
            </w:pPr>
            <w:r w:rsidRPr="005071A1">
              <w:t>13.20</w:t>
            </w:r>
          </w:p>
        </w:tc>
        <w:tc>
          <w:tcPr>
            <w:tcW w:w="2474" w:type="dxa"/>
            <w:shd w:val="clear" w:color="auto" w:fill="auto"/>
          </w:tcPr>
          <w:p w14:paraId="05499F05" w14:textId="77777777" w:rsidR="00B33542" w:rsidRPr="005071A1" w:rsidRDefault="00B33542" w:rsidP="009B7AF5">
            <w:pPr>
              <w:pStyle w:val="Tabletext"/>
            </w:pPr>
            <w:r w:rsidRPr="005071A1">
              <w:t>6.60</w:t>
            </w:r>
          </w:p>
        </w:tc>
      </w:tr>
      <w:tr w:rsidR="00B33542" w:rsidRPr="005071A1" w14:paraId="5CCFD97E" w14:textId="77777777" w:rsidTr="009B7AF5">
        <w:tc>
          <w:tcPr>
            <w:tcW w:w="2432" w:type="dxa"/>
            <w:tcBorders>
              <w:bottom w:val="single" w:sz="4" w:space="0" w:color="auto"/>
            </w:tcBorders>
            <w:shd w:val="clear" w:color="auto" w:fill="auto"/>
          </w:tcPr>
          <w:p w14:paraId="1110F36A" w14:textId="77777777" w:rsidR="00B33542" w:rsidRPr="005071A1" w:rsidRDefault="00B33542" w:rsidP="009B7AF5">
            <w:pPr>
              <w:pStyle w:val="Tabletext"/>
            </w:pPr>
            <w:r w:rsidRPr="005071A1">
              <w:t>64</w:t>
            </w:r>
          </w:p>
        </w:tc>
        <w:tc>
          <w:tcPr>
            <w:tcW w:w="2432" w:type="dxa"/>
            <w:tcBorders>
              <w:bottom w:val="single" w:sz="4" w:space="0" w:color="auto"/>
            </w:tcBorders>
            <w:shd w:val="clear" w:color="auto" w:fill="auto"/>
          </w:tcPr>
          <w:p w14:paraId="5256F3C3" w14:textId="77777777" w:rsidR="00B33542" w:rsidRPr="005071A1" w:rsidRDefault="00B33542" w:rsidP="009B7AF5">
            <w:pPr>
              <w:pStyle w:val="Tabletext"/>
            </w:pPr>
            <w:r w:rsidRPr="005071A1">
              <w:t>25.08</w:t>
            </w:r>
          </w:p>
        </w:tc>
        <w:tc>
          <w:tcPr>
            <w:tcW w:w="2474" w:type="dxa"/>
            <w:tcBorders>
              <w:bottom w:val="single" w:sz="4" w:space="0" w:color="auto"/>
            </w:tcBorders>
            <w:shd w:val="clear" w:color="auto" w:fill="auto"/>
          </w:tcPr>
          <w:p w14:paraId="6CD259E7" w14:textId="77777777" w:rsidR="00B33542" w:rsidRPr="005071A1" w:rsidRDefault="00B33542" w:rsidP="009B7AF5">
            <w:pPr>
              <w:pStyle w:val="Tabletext"/>
            </w:pPr>
            <w:r w:rsidRPr="005071A1">
              <w:t>12.54</w:t>
            </w:r>
          </w:p>
        </w:tc>
      </w:tr>
      <w:tr w:rsidR="00B33542" w:rsidRPr="005071A1" w14:paraId="14B7DC04" w14:textId="77777777" w:rsidTr="009B7AF5">
        <w:tc>
          <w:tcPr>
            <w:tcW w:w="2432" w:type="dxa"/>
            <w:tcBorders>
              <w:bottom w:val="single" w:sz="12" w:space="0" w:color="auto"/>
            </w:tcBorders>
            <w:shd w:val="clear" w:color="auto" w:fill="auto"/>
          </w:tcPr>
          <w:p w14:paraId="2CD7AA3D" w14:textId="77777777" w:rsidR="00B33542" w:rsidRPr="005071A1" w:rsidRDefault="00B33542" w:rsidP="009B7AF5">
            <w:pPr>
              <w:pStyle w:val="Tabletext"/>
            </w:pPr>
            <w:r w:rsidRPr="005071A1">
              <w:t>65</w:t>
            </w:r>
          </w:p>
        </w:tc>
        <w:tc>
          <w:tcPr>
            <w:tcW w:w="2432" w:type="dxa"/>
            <w:tcBorders>
              <w:bottom w:val="single" w:sz="12" w:space="0" w:color="auto"/>
            </w:tcBorders>
            <w:shd w:val="clear" w:color="auto" w:fill="auto"/>
          </w:tcPr>
          <w:p w14:paraId="68AABC7A" w14:textId="77777777" w:rsidR="00B33542" w:rsidRPr="005071A1" w:rsidRDefault="00B33542" w:rsidP="009B7AF5">
            <w:pPr>
              <w:pStyle w:val="Tabletext"/>
            </w:pPr>
            <w:r w:rsidRPr="005071A1">
              <w:t>25.36</w:t>
            </w:r>
          </w:p>
        </w:tc>
        <w:tc>
          <w:tcPr>
            <w:tcW w:w="2474" w:type="dxa"/>
            <w:tcBorders>
              <w:bottom w:val="single" w:sz="12" w:space="0" w:color="auto"/>
            </w:tcBorders>
            <w:shd w:val="clear" w:color="auto" w:fill="auto"/>
          </w:tcPr>
          <w:p w14:paraId="790D77BF" w14:textId="77777777" w:rsidR="00B33542" w:rsidRPr="005071A1" w:rsidRDefault="00B33542" w:rsidP="009B7AF5">
            <w:pPr>
              <w:pStyle w:val="Tabletext"/>
            </w:pPr>
            <w:r w:rsidRPr="005071A1">
              <w:t>12.68</w:t>
            </w:r>
          </w:p>
        </w:tc>
      </w:tr>
    </w:tbl>
    <w:p w14:paraId="6C804238" w14:textId="77777777" w:rsidR="00B33542" w:rsidRPr="005071A1" w:rsidRDefault="00B33542" w:rsidP="00674A0D">
      <w:pPr>
        <w:pStyle w:val="ActHead5"/>
        <w:pageBreakBefore/>
      </w:pPr>
      <w:bookmarkStart w:id="294" w:name="_Toc185577676"/>
      <w:r w:rsidRPr="005071A1">
        <w:lastRenderedPageBreak/>
        <w:t>Table VII</w:t>
      </w:r>
      <w:bookmarkEnd w:id="294"/>
    </w:p>
    <w:p w14:paraId="0F79441A" w14:textId="77777777" w:rsidR="00B33542" w:rsidRPr="005071A1" w:rsidRDefault="00B33542" w:rsidP="00B33542">
      <w:pPr>
        <w:spacing w:before="120"/>
      </w:pPr>
      <w:r w:rsidRPr="005071A1">
        <w:t>Rates of contribution to be paid fortnightly by male contributors for units of pension based on a retiring age of 60 years and the age next birthday of the contributor when the obligation to contribute for those units came into existence</w:t>
      </w:r>
    </w:p>
    <w:p w14:paraId="3A364055"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24"/>
        <w:gridCol w:w="1824"/>
        <w:gridCol w:w="1824"/>
        <w:gridCol w:w="1824"/>
      </w:tblGrid>
      <w:tr w:rsidR="00B33542" w:rsidRPr="005071A1" w14:paraId="536A9335" w14:textId="77777777" w:rsidTr="009B7AF5">
        <w:trPr>
          <w:tblHeader/>
        </w:trPr>
        <w:tc>
          <w:tcPr>
            <w:tcW w:w="1824" w:type="dxa"/>
            <w:tcBorders>
              <w:top w:val="single" w:sz="12" w:space="0" w:color="auto"/>
              <w:bottom w:val="single" w:sz="6" w:space="0" w:color="auto"/>
            </w:tcBorders>
            <w:shd w:val="clear" w:color="auto" w:fill="auto"/>
          </w:tcPr>
          <w:p w14:paraId="4E4EE122" w14:textId="77777777" w:rsidR="00B33542" w:rsidRPr="005071A1" w:rsidRDefault="00B33542" w:rsidP="009B7AF5">
            <w:pPr>
              <w:pStyle w:val="TableHeading"/>
            </w:pPr>
            <w:r w:rsidRPr="005071A1">
              <w:t>Column 1</w:t>
            </w:r>
          </w:p>
        </w:tc>
        <w:tc>
          <w:tcPr>
            <w:tcW w:w="1824" w:type="dxa"/>
            <w:tcBorders>
              <w:top w:val="single" w:sz="12" w:space="0" w:color="auto"/>
              <w:bottom w:val="single" w:sz="6" w:space="0" w:color="auto"/>
            </w:tcBorders>
            <w:shd w:val="clear" w:color="auto" w:fill="auto"/>
          </w:tcPr>
          <w:p w14:paraId="431FB08A" w14:textId="77777777" w:rsidR="00B33542" w:rsidRPr="005071A1" w:rsidRDefault="00B33542" w:rsidP="009B7AF5">
            <w:pPr>
              <w:pStyle w:val="TableHeading"/>
            </w:pPr>
            <w:r w:rsidRPr="005071A1">
              <w:t>Column 2</w:t>
            </w:r>
          </w:p>
        </w:tc>
        <w:tc>
          <w:tcPr>
            <w:tcW w:w="1824" w:type="dxa"/>
            <w:tcBorders>
              <w:top w:val="single" w:sz="12" w:space="0" w:color="auto"/>
              <w:bottom w:val="single" w:sz="6" w:space="0" w:color="auto"/>
            </w:tcBorders>
            <w:shd w:val="clear" w:color="auto" w:fill="auto"/>
          </w:tcPr>
          <w:p w14:paraId="31C47A25" w14:textId="77777777" w:rsidR="00B33542" w:rsidRPr="005071A1" w:rsidRDefault="00B33542" w:rsidP="009B7AF5">
            <w:pPr>
              <w:pStyle w:val="TableHeading"/>
            </w:pPr>
            <w:r w:rsidRPr="005071A1">
              <w:t>Column 3</w:t>
            </w:r>
          </w:p>
        </w:tc>
        <w:tc>
          <w:tcPr>
            <w:tcW w:w="1824" w:type="dxa"/>
            <w:tcBorders>
              <w:top w:val="single" w:sz="12" w:space="0" w:color="auto"/>
              <w:bottom w:val="single" w:sz="6" w:space="0" w:color="auto"/>
            </w:tcBorders>
            <w:shd w:val="clear" w:color="auto" w:fill="auto"/>
          </w:tcPr>
          <w:p w14:paraId="598EB961" w14:textId="77777777" w:rsidR="00B33542" w:rsidRPr="005071A1" w:rsidRDefault="00B33542" w:rsidP="009B7AF5">
            <w:pPr>
              <w:pStyle w:val="TableHeading"/>
            </w:pPr>
            <w:r w:rsidRPr="005071A1">
              <w:t>Column 4</w:t>
            </w:r>
          </w:p>
        </w:tc>
      </w:tr>
      <w:tr w:rsidR="00B33542" w:rsidRPr="005071A1" w14:paraId="6E5A7299" w14:textId="77777777" w:rsidTr="009B7AF5">
        <w:trPr>
          <w:tblHeader/>
        </w:trPr>
        <w:tc>
          <w:tcPr>
            <w:tcW w:w="1824" w:type="dxa"/>
            <w:tcBorders>
              <w:top w:val="single" w:sz="6" w:space="0" w:color="auto"/>
              <w:bottom w:val="single" w:sz="6" w:space="0" w:color="auto"/>
            </w:tcBorders>
            <w:shd w:val="clear" w:color="auto" w:fill="auto"/>
          </w:tcPr>
          <w:p w14:paraId="3A9E3158" w14:textId="77777777" w:rsidR="00B33542" w:rsidRPr="005071A1" w:rsidRDefault="00B33542" w:rsidP="00F07EE2">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824" w:type="dxa"/>
            <w:tcBorders>
              <w:top w:val="single" w:sz="6" w:space="0" w:color="auto"/>
              <w:bottom w:val="single" w:sz="6" w:space="0" w:color="auto"/>
            </w:tcBorders>
            <w:shd w:val="clear" w:color="auto" w:fill="auto"/>
          </w:tcPr>
          <w:p w14:paraId="61D7D5AF" w14:textId="77777777" w:rsidR="00B33542" w:rsidRPr="005071A1" w:rsidRDefault="00B33542" w:rsidP="00F07EE2">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t>Contribution for First Two Units, where the Obligation to Contribute for those Units came into existence after 2nd November, 1942, and before 14th December, 1959</w:t>
            </w:r>
          </w:p>
        </w:tc>
        <w:tc>
          <w:tcPr>
            <w:tcW w:w="1824" w:type="dxa"/>
            <w:tcBorders>
              <w:top w:val="single" w:sz="6" w:space="0" w:color="auto"/>
              <w:bottom w:val="single" w:sz="6" w:space="0" w:color="auto"/>
            </w:tcBorders>
            <w:shd w:val="clear" w:color="auto" w:fill="auto"/>
          </w:tcPr>
          <w:p w14:paraId="302D76D0" w14:textId="77777777" w:rsidR="00B33542" w:rsidRPr="005071A1" w:rsidRDefault="00B33542" w:rsidP="00F07EE2">
            <w:pPr>
              <w:pStyle w:val="TableHeading"/>
              <w:spacing w:before="40" w:after="40" w:line="180" w:lineRule="atLeast"/>
              <w:rPr>
                <w:sz w:val="16"/>
                <w:szCs w:val="16"/>
              </w:rPr>
            </w:pPr>
            <w:r w:rsidRPr="005071A1">
              <w:rPr>
                <w:sz w:val="16"/>
                <w:szCs w:val="16"/>
              </w:rPr>
              <w:t xml:space="preserve">Contribution for each Additional Two Units where Contributor is already a Contributor for Two or more Units and the Obligation to Contribute for those Additional Units came into existence after </w:t>
            </w:r>
            <w:smartTag w:uri="urn:schemas-microsoft-com:office:smarttags" w:element="date">
              <w:smartTagPr>
                <w:attr w:name="Year" w:val="1942"/>
                <w:attr w:name="Day" w:val="2"/>
                <w:attr w:name="Month" w:val="11"/>
              </w:smartTagPr>
              <w:r w:rsidRPr="005071A1">
                <w:rPr>
                  <w:sz w:val="16"/>
                  <w:szCs w:val="16"/>
                </w:rPr>
                <w:t>2nd November, 1942</w:t>
              </w:r>
            </w:smartTag>
            <w:r w:rsidRPr="005071A1">
              <w:rPr>
                <w:sz w:val="16"/>
                <w:szCs w:val="16"/>
              </w:rPr>
              <w:t xml:space="preserve">, and before </w:t>
            </w:r>
            <w:smartTag w:uri="urn:schemas-microsoft-com:office:smarttags" w:element="date">
              <w:smartTagPr>
                <w:attr w:name="Year" w:val="1951"/>
                <w:attr w:name="Day" w:val="1"/>
                <w:attr w:name="Month" w:val="11"/>
              </w:smartTagPr>
              <w:r w:rsidRPr="005071A1">
                <w:rPr>
                  <w:sz w:val="16"/>
                  <w:szCs w:val="16"/>
                </w:rPr>
                <w:t>1st November, 1951</w:t>
              </w:r>
            </w:smartTag>
          </w:p>
        </w:tc>
        <w:tc>
          <w:tcPr>
            <w:tcW w:w="1824" w:type="dxa"/>
            <w:tcBorders>
              <w:top w:val="single" w:sz="6" w:space="0" w:color="auto"/>
              <w:bottom w:val="single" w:sz="6" w:space="0" w:color="auto"/>
            </w:tcBorders>
            <w:shd w:val="clear" w:color="auto" w:fill="auto"/>
          </w:tcPr>
          <w:p w14:paraId="5B33D40A" w14:textId="77777777" w:rsidR="00B33542" w:rsidRPr="005071A1" w:rsidRDefault="00B33542" w:rsidP="00F07EE2">
            <w:pPr>
              <w:pStyle w:val="TableHeading"/>
              <w:spacing w:before="40" w:after="40" w:line="180" w:lineRule="atLeast"/>
              <w:rPr>
                <w:sz w:val="16"/>
                <w:szCs w:val="16"/>
              </w:rPr>
            </w:pPr>
            <w:r w:rsidRPr="005071A1">
              <w:rPr>
                <w:sz w:val="16"/>
                <w:szCs w:val="16"/>
              </w:rPr>
              <w:t>Contribution for each Additional Unit where Contributor is already a Contributor for Two or more Units and the Obligation to Contribute for that Additional Unit came into existence on or after 1st November 1951, and before 14th December, 1959</w:t>
            </w:r>
          </w:p>
        </w:tc>
      </w:tr>
      <w:tr w:rsidR="00B33542" w:rsidRPr="005071A1" w14:paraId="658D0DB7" w14:textId="77777777" w:rsidTr="009B7AF5">
        <w:trPr>
          <w:tblHeader/>
        </w:trPr>
        <w:tc>
          <w:tcPr>
            <w:tcW w:w="1824" w:type="dxa"/>
            <w:tcBorders>
              <w:top w:val="single" w:sz="6" w:space="0" w:color="auto"/>
              <w:bottom w:val="single" w:sz="12" w:space="0" w:color="auto"/>
            </w:tcBorders>
            <w:shd w:val="clear" w:color="auto" w:fill="auto"/>
          </w:tcPr>
          <w:p w14:paraId="1EEB5829" w14:textId="77777777" w:rsidR="00B33542" w:rsidRPr="005071A1" w:rsidRDefault="00B33542" w:rsidP="00C35CF0">
            <w:pPr>
              <w:pStyle w:val="TableHeading"/>
            </w:pPr>
          </w:p>
        </w:tc>
        <w:tc>
          <w:tcPr>
            <w:tcW w:w="1824" w:type="dxa"/>
            <w:tcBorders>
              <w:top w:val="single" w:sz="6" w:space="0" w:color="auto"/>
              <w:bottom w:val="single" w:sz="12" w:space="0" w:color="auto"/>
            </w:tcBorders>
            <w:shd w:val="clear" w:color="auto" w:fill="auto"/>
          </w:tcPr>
          <w:p w14:paraId="45A1EB0B" w14:textId="77777777" w:rsidR="00B33542" w:rsidRPr="005071A1" w:rsidRDefault="00B33542" w:rsidP="00C35CF0">
            <w:pPr>
              <w:pStyle w:val="TableHeading"/>
            </w:pPr>
            <w:r w:rsidRPr="005071A1">
              <w:t>$</w:t>
            </w:r>
          </w:p>
        </w:tc>
        <w:tc>
          <w:tcPr>
            <w:tcW w:w="1824" w:type="dxa"/>
            <w:tcBorders>
              <w:top w:val="single" w:sz="6" w:space="0" w:color="auto"/>
              <w:bottom w:val="single" w:sz="12" w:space="0" w:color="auto"/>
            </w:tcBorders>
            <w:shd w:val="clear" w:color="auto" w:fill="auto"/>
          </w:tcPr>
          <w:p w14:paraId="6FC2F024" w14:textId="77777777" w:rsidR="00B33542" w:rsidRPr="005071A1" w:rsidRDefault="00B33542" w:rsidP="00C35CF0">
            <w:pPr>
              <w:pStyle w:val="TableHeading"/>
            </w:pPr>
            <w:r w:rsidRPr="005071A1">
              <w:t>$</w:t>
            </w:r>
          </w:p>
        </w:tc>
        <w:tc>
          <w:tcPr>
            <w:tcW w:w="1824" w:type="dxa"/>
            <w:tcBorders>
              <w:top w:val="single" w:sz="6" w:space="0" w:color="auto"/>
              <w:bottom w:val="single" w:sz="12" w:space="0" w:color="auto"/>
            </w:tcBorders>
            <w:shd w:val="clear" w:color="auto" w:fill="auto"/>
          </w:tcPr>
          <w:p w14:paraId="24838B8B" w14:textId="77777777" w:rsidR="00B33542" w:rsidRPr="005071A1" w:rsidRDefault="00B33542" w:rsidP="00C35CF0">
            <w:pPr>
              <w:pStyle w:val="TableHeading"/>
            </w:pPr>
            <w:r w:rsidRPr="005071A1">
              <w:t>$</w:t>
            </w:r>
          </w:p>
        </w:tc>
      </w:tr>
      <w:tr w:rsidR="00B33542" w:rsidRPr="005071A1" w14:paraId="4A8234FF" w14:textId="77777777" w:rsidTr="009B7AF5">
        <w:tc>
          <w:tcPr>
            <w:tcW w:w="1824" w:type="dxa"/>
            <w:tcBorders>
              <w:top w:val="single" w:sz="12" w:space="0" w:color="auto"/>
            </w:tcBorders>
            <w:shd w:val="clear" w:color="auto" w:fill="auto"/>
          </w:tcPr>
          <w:p w14:paraId="6F54047D" w14:textId="77777777" w:rsidR="00B33542" w:rsidRPr="005071A1" w:rsidRDefault="00B33542" w:rsidP="009B7AF5">
            <w:pPr>
              <w:pStyle w:val="Tabletext"/>
            </w:pPr>
            <w:r w:rsidRPr="005071A1">
              <w:t>15</w:t>
            </w:r>
          </w:p>
        </w:tc>
        <w:tc>
          <w:tcPr>
            <w:tcW w:w="1824" w:type="dxa"/>
            <w:tcBorders>
              <w:top w:val="single" w:sz="12" w:space="0" w:color="auto"/>
            </w:tcBorders>
            <w:shd w:val="clear" w:color="auto" w:fill="auto"/>
          </w:tcPr>
          <w:p w14:paraId="053D158B" w14:textId="77777777" w:rsidR="00B33542" w:rsidRPr="005071A1" w:rsidRDefault="00B33542" w:rsidP="009B7AF5">
            <w:pPr>
              <w:pStyle w:val="Tabletext"/>
            </w:pPr>
            <w:r w:rsidRPr="005071A1">
              <w:t>0.28</w:t>
            </w:r>
          </w:p>
        </w:tc>
        <w:tc>
          <w:tcPr>
            <w:tcW w:w="1824" w:type="dxa"/>
            <w:tcBorders>
              <w:top w:val="single" w:sz="12" w:space="0" w:color="auto"/>
            </w:tcBorders>
            <w:shd w:val="clear" w:color="auto" w:fill="auto"/>
          </w:tcPr>
          <w:p w14:paraId="137018CA" w14:textId="77777777" w:rsidR="00B33542" w:rsidRPr="005071A1" w:rsidRDefault="00B33542" w:rsidP="009B7AF5">
            <w:pPr>
              <w:pStyle w:val="Tabletext"/>
            </w:pPr>
            <w:r w:rsidRPr="005071A1">
              <w:t>0.28</w:t>
            </w:r>
          </w:p>
        </w:tc>
        <w:tc>
          <w:tcPr>
            <w:tcW w:w="1824" w:type="dxa"/>
            <w:tcBorders>
              <w:top w:val="single" w:sz="12" w:space="0" w:color="auto"/>
            </w:tcBorders>
            <w:shd w:val="clear" w:color="auto" w:fill="auto"/>
          </w:tcPr>
          <w:p w14:paraId="4E73C610" w14:textId="77777777" w:rsidR="00B33542" w:rsidRPr="005071A1" w:rsidRDefault="00B33542" w:rsidP="009B7AF5">
            <w:pPr>
              <w:pStyle w:val="Tabletext"/>
            </w:pPr>
            <w:r w:rsidRPr="005071A1">
              <w:t>0.14</w:t>
            </w:r>
          </w:p>
        </w:tc>
      </w:tr>
      <w:tr w:rsidR="00B33542" w:rsidRPr="005071A1" w14:paraId="1936609D" w14:textId="77777777" w:rsidTr="009B7AF5">
        <w:tc>
          <w:tcPr>
            <w:tcW w:w="1824" w:type="dxa"/>
            <w:shd w:val="clear" w:color="auto" w:fill="auto"/>
          </w:tcPr>
          <w:p w14:paraId="0037E4AC" w14:textId="77777777" w:rsidR="00B33542" w:rsidRPr="005071A1" w:rsidRDefault="00B33542" w:rsidP="009B7AF5">
            <w:pPr>
              <w:pStyle w:val="Tabletext"/>
            </w:pPr>
            <w:r w:rsidRPr="005071A1">
              <w:t>16</w:t>
            </w:r>
          </w:p>
        </w:tc>
        <w:tc>
          <w:tcPr>
            <w:tcW w:w="1824" w:type="dxa"/>
            <w:shd w:val="clear" w:color="auto" w:fill="auto"/>
          </w:tcPr>
          <w:p w14:paraId="7B4C3947" w14:textId="77777777" w:rsidR="00B33542" w:rsidRPr="005071A1" w:rsidRDefault="00B33542" w:rsidP="009B7AF5">
            <w:pPr>
              <w:pStyle w:val="Tabletext"/>
            </w:pPr>
            <w:r w:rsidRPr="005071A1">
              <w:t>0.28</w:t>
            </w:r>
          </w:p>
        </w:tc>
        <w:tc>
          <w:tcPr>
            <w:tcW w:w="1824" w:type="dxa"/>
            <w:shd w:val="clear" w:color="auto" w:fill="auto"/>
          </w:tcPr>
          <w:p w14:paraId="363E4BBC" w14:textId="77777777" w:rsidR="00B33542" w:rsidRPr="005071A1" w:rsidRDefault="00B33542" w:rsidP="009B7AF5">
            <w:pPr>
              <w:pStyle w:val="Tabletext"/>
            </w:pPr>
            <w:r w:rsidRPr="005071A1">
              <w:t>0.28</w:t>
            </w:r>
          </w:p>
        </w:tc>
        <w:tc>
          <w:tcPr>
            <w:tcW w:w="1824" w:type="dxa"/>
            <w:shd w:val="clear" w:color="auto" w:fill="auto"/>
          </w:tcPr>
          <w:p w14:paraId="0EEC4597" w14:textId="77777777" w:rsidR="00B33542" w:rsidRPr="005071A1" w:rsidRDefault="00B33542" w:rsidP="009B7AF5">
            <w:pPr>
              <w:pStyle w:val="Tabletext"/>
            </w:pPr>
            <w:r w:rsidRPr="005071A1">
              <w:t>0.14</w:t>
            </w:r>
          </w:p>
        </w:tc>
      </w:tr>
      <w:tr w:rsidR="00B33542" w:rsidRPr="005071A1" w14:paraId="4ABDB997" w14:textId="77777777" w:rsidTr="009B7AF5">
        <w:tc>
          <w:tcPr>
            <w:tcW w:w="1824" w:type="dxa"/>
            <w:shd w:val="clear" w:color="auto" w:fill="auto"/>
          </w:tcPr>
          <w:p w14:paraId="562527B2" w14:textId="77777777" w:rsidR="00B33542" w:rsidRPr="005071A1" w:rsidRDefault="00B33542" w:rsidP="009B7AF5">
            <w:pPr>
              <w:pStyle w:val="Tabletext"/>
            </w:pPr>
            <w:r w:rsidRPr="005071A1">
              <w:t>17</w:t>
            </w:r>
          </w:p>
        </w:tc>
        <w:tc>
          <w:tcPr>
            <w:tcW w:w="1824" w:type="dxa"/>
            <w:shd w:val="clear" w:color="auto" w:fill="auto"/>
          </w:tcPr>
          <w:p w14:paraId="6A70CE80" w14:textId="77777777" w:rsidR="00B33542" w:rsidRPr="005071A1" w:rsidRDefault="00B33542" w:rsidP="009B7AF5">
            <w:pPr>
              <w:pStyle w:val="Tabletext"/>
            </w:pPr>
            <w:r w:rsidRPr="005071A1">
              <w:t>0.30</w:t>
            </w:r>
          </w:p>
        </w:tc>
        <w:tc>
          <w:tcPr>
            <w:tcW w:w="1824" w:type="dxa"/>
            <w:shd w:val="clear" w:color="auto" w:fill="auto"/>
          </w:tcPr>
          <w:p w14:paraId="04AEE17D" w14:textId="77777777" w:rsidR="00B33542" w:rsidRPr="005071A1" w:rsidRDefault="00B33542" w:rsidP="009B7AF5">
            <w:pPr>
              <w:pStyle w:val="Tabletext"/>
            </w:pPr>
            <w:r w:rsidRPr="005071A1">
              <w:t>0.28</w:t>
            </w:r>
          </w:p>
        </w:tc>
        <w:tc>
          <w:tcPr>
            <w:tcW w:w="1824" w:type="dxa"/>
            <w:shd w:val="clear" w:color="auto" w:fill="auto"/>
          </w:tcPr>
          <w:p w14:paraId="440D3BD8" w14:textId="77777777" w:rsidR="00B33542" w:rsidRPr="005071A1" w:rsidRDefault="00B33542" w:rsidP="009B7AF5">
            <w:pPr>
              <w:pStyle w:val="Tabletext"/>
            </w:pPr>
            <w:r w:rsidRPr="005071A1">
              <w:t>0.14</w:t>
            </w:r>
          </w:p>
        </w:tc>
      </w:tr>
      <w:tr w:rsidR="00B33542" w:rsidRPr="005071A1" w14:paraId="0C3E2336" w14:textId="77777777" w:rsidTr="009B7AF5">
        <w:tc>
          <w:tcPr>
            <w:tcW w:w="1824" w:type="dxa"/>
            <w:shd w:val="clear" w:color="auto" w:fill="auto"/>
          </w:tcPr>
          <w:p w14:paraId="6B85B3D0" w14:textId="77777777" w:rsidR="00B33542" w:rsidRPr="005071A1" w:rsidRDefault="00B33542" w:rsidP="009B7AF5">
            <w:pPr>
              <w:pStyle w:val="Tabletext"/>
            </w:pPr>
            <w:r w:rsidRPr="005071A1">
              <w:t>18</w:t>
            </w:r>
          </w:p>
        </w:tc>
        <w:tc>
          <w:tcPr>
            <w:tcW w:w="1824" w:type="dxa"/>
            <w:shd w:val="clear" w:color="auto" w:fill="auto"/>
          </w:tcPr>
          <w:p w14:paraId="03502A3A" w14:textId="77777777" w:rsidR="00B33542" w:rsidRPr="005071A1" w:rsidRDefault="00B33542" w:rsidP="009B7AF5">
            <w:pPr>
              <w:pStyle w:val="Tabletext"/>
            </w:pPr>
            <w:r w:rsidRPr="005071A1">
              <w:t>0.32</w:t>
            </w:r>
          </w:p>
        </w:tc>
        <w:tc>
          <w:tcPr>
            <w:tcW w:w="1824" w:type="dxa"/>
            <w:shd w:val="clear" w:color="auto" w:fill="auto"/>
          </w:tcPr>
          <w:p w14:paraId="3570A9B2" w14:textId="77777777" w:rsidR="00B33542" w:rsidRPr="005071A1" w:rsidRDefault="00B33542" w:rsidP="009B7AF5">
            <w:pPr>
              <w:pStyle w:val="Tabletext"/>
            </w:pPr>
            <w:r w:rsidRPr="005071A1">
              <w:t>0.30</w:t>
            </w:r>
          </w:p>
        </w:tc>
        <w:tc>
          <w:tcPr>
            <w:tcW w:w="1824" w:type="dxa"/>
            <w:shd w:val="clear" w:color="auto" w:fill="auto"/>
          </w:tcPr>
          <w:p w14:paraId="3E2AD51A" w14:textId="77777777" w:rsidR="00B33542" w:rsidRPr="005071A1" w:rsidRDefault="00B33542" w:rsidP="009B7AF5">
            <w:pPr>
              <w:pStyle w:val="Tabletext"/>
            </w:pPr>
            <w:r w:rsidRPr="005071A1">
              <w:t>0.15</w:t>
            </w:r>
          </w:p>
        </w:tc>
      </w:tr>
      <w:tr w:rsidR="00B33542" w:rsidRPr="005071A1" w14:paraId="54C7A5F0" w14:textId="77777777" w:rsidTr="009B7AF5">
        <w:tc>
          <w:tcPr>
            <w:tcW w:w="1824" w:type="dxa"/>
            <w:shd w:val="clear" w:color="auto" w:fill="auto"/>
          </w:tcPr>
          <w:p w14:paraId="46D97D26" w14:textId="77777777" w:rsidR="00B33542" w:rsidRPr="005071A1" w:rsidRDefault="00B33542" w:rsidP="009B7AF5">
            <w:pPr>
              <w:pStyle w:val="Tabletext"/>
            </w:pPr>
            <w:r w:rsidRPr="005071A1">
              <w:t>19</w:t>
            </w:r>
          </w:p>
        </w:tc>
        <w:tc>
          <w:tcPr>
            <w:tcW w:w="1824" w:type="dxa"/>
            <w:shd w:val="clear" w:color="auto" w:fill="auto"/>
          </w:tcPr>
          <w:p w14:paraId="20A2ECEE" w14:textId="77777777" w:rsidR="00B33542" w:rsidRPr="005071A1" w:rsidRDefault="00B33542" w:rsidP="009B7AF5">
            <w:pPr>
              <w:pStyle w:val="Tabletext"/>
            </w:pPr>
            <w:r w:rsidRPr="005071A1">
              <w:t>0.34</w:t>
            </w:r>
          </w:p>
        </w:tc>
        <w:tc>
          <w:tcPr>
            <w:tcW w:w="1824" w:type="dxa"/>
            <w:shd w:val="clear" w:color="auto" w:fill="auto"/>
          </w:tcPr>
          <w:p w14:paraId="25681CF0" w14:textId="77777777" w:rsidR="00B33542" w:rsidRPr="005071A1" w:rsidRDefault="00B33542" w:rsidP="009B7AF5">
            <w:pPr>
              <w:pStyle w:val="Tabletext"/>
            </w:pPr>
            <w:r w:rsidRPr="005071A1">
              <w:t>0.32</w:t>
            </w:r>
          </w:p>
        </w:tc>
        <w:tc>
          <w:tcPr>
            <w:tcW w:w="1824" w:type="dxa"/>
            <w:shd w:val="clear" w:color="auto" w:fill="auto"/>
          </w:tcPr>
          <w:p w14:paraId="262AD8B0" w14:textId="77777777" w:rsidR="00B33542" w:rsidRPr="005071A1" w:rsidRDefault="00B33542" w:rsidP="009B7AF5">
            <w:pPr>
              <w:pStyle w:val="Tabletext"/>
            </w:pPr>
            <w:r w:rsidRPr="005071A1">
              <w:t>0.16</w:t>
            </w:r>
          </w:p>
        </w:tc>
      </w:tr>
      <w:tr w:rsidR="00B33542" w:rsidRPr="005071A1" w14:paraId="2DEE6305" w14:textId="77777777" w:rsidTr="009B7AF5">
        <w:tc>
          <w:tcPr>
            <w:tcW w:w="1824" w:type="dxa"/>
            <w:shd w:val="clear" w:color="auto" w:fill="auto"/>
          </w:tcPr>
          <w:p w14:paraId="0A35C567" w14:textId="77777777" w:rsidR="00B33542" w:rsidRPr="005071A1" w:rsidRDefault="00B33542" w:rsidP="009B7AF5">
            <w:pPr>
              <w:pStyle w:val="Tabletext"/>
            </w:pPr>
            <w:r w:rsidRPr="005071A1">
              <w:t>20</w:t>
            </w:r>
          </w:p>
        </w:tc>
        <w:tc>
          <w:tcPr>
            <w:tcW w:w="1824" w:type="dxa"/>
            <w:shd w:val="clear" w:color="auto" w:fill="auto"/>
          </w:tcPr>
          <w:p w14:paraId="4BE2B265" w14:textId="77777777" w:rsidR="00B33542" w:rsidRPr="005071A1" w:rsidRDefault="00B33542" w:rsidP="009B7AF5">
            <w:pPr>
              <w:pStyle w:val="Tabletext"/>
            </w:pPr>
            <w:r w:rsidRPr="005071A1">
              <w:t>0.36</w:t>
            </w:r>
          </w:p>
        </w:tc>
        <w:tc>
          <w:tcPr>
            <w:tcW w:w="1824" w:type="dxa"/>
            <w:shd w:val="clear" w:color="auto" w:fill="auto"/>
          </w:tcPr>
          <w:p w14:paraId="52E2AC73" w14:textId="77777777" w:rsidR="00B33542" w:rsidRPr="005071A1" w:rsidRDefault="00B33542" w:rsidP="009B7AF5">
            <w:pPr>
              <w:pStyle w:val="Tabletext"/>
            </w:pPr>
            <w:r w:rsidRPr="005071A1">
              <w:t>0.34</w:t>
            </w:r>
          </w:p>
        </w:tc>
        <w:tc>
          <w:tcPr>
            <w:tcW w:w="1824" w:type="dxa"/>
            <w:shd w:val="clear" w:color="auto" w:fill="auto"/>
          </w:tcPr>
          <w:p w14:paraId="5CFE96DC" w14:textId="77777777" w:rsidR="00B33542" w:rsidRPr="005071A1" w:rsidRDefault="00B33542" w:rsidP="009B7AF5">
            <w:pPr>
              <w:pStyle w:val="Tabletext"/>
            </w:pPr>
            <w:r w:rsidRPr="005071A1">
              <w:t>0.17</w:t>
            </w:r>
          </w:p>
        </w:tc>
      </w:tr>
      <w:tr w:rsidR="00B33542" w:rsidRPr="005071A1" w14:paraId="4DC22B7D" w14:textId="77777777" w:rsidTr="009B7AF5">
        <w:tc>
          <w:tcPr>
            <w:tcW w:w="1824" w:type="dxa"/>
            <w:shd w:val="clear" w:color="auto" w:fill="auto"/>
          </w:tcPr>
          <w:p w14:paraId="2D597C47" w14:textId="77777777" w:rsidR="00B33542" w:rsidRPr="005071A1" w:rsidRDefault="00B33542" w:rsidP="009B7AF5">
            <w:pPr>
              <w:pStyle w:val="Tabletext"/>
            </w:pPr>
            <w:r w:rsidRPr="005071A1">
              <w:t>21</w:t>
            </w:r>
          </w:p>
        </w:tc>
        <w:tc>
          <w:tcPr>
            <w:tcW w:w="1824" w:type="dxa"/>
            <w:shd w:val="clear" w:color="auto" w:fill="auto"/>
          </w:tcPr>
          <w:p w14:paraId="5D0171E1" w14:textId="77777777" w:rsidR="00B33542" w:rsidRPr="005071A1" w:rsidRDefault="00B33542" w:rsidP="009B7AF5">
            <w:pPr>
              <w:pStyle w:val="Tabletext"/>
            </w:pPr>
            <w:r w:rsidRPr="005071A1">
              <w:t>0.38</w:t>
            </w:r>
          </w:p>
        </w:tc>
        <w:tc>
          <w:tcPr>
            <w:tcW w:w="1824" w:type="dxa"/>
            <w:shd w:val="clear" w:color="auto" w:fill="auto"/>
          </w:tcPr>
          <w:p w14:paraId="1B7AA686" w14:textId="77777777" w:rsidR="00B33542" w:rsidRPr="005071A1" w:rsidRDefault="00B33542" w:rsidP="009B7AF5">
            <w:pPr>
              <w:pStyle w:val="Tabletext"/>
            </w:pPr>
            <w:r w:rsidRPr="005071A1">
              <w:t>0.36</w:t>
            </w:r>
          </w:p>
        </w:tc>
        <w:tc>
          <w:tcPr>
            <w:tcW w:w="1824" w:type="dxa"/>
            <w:shd w:val="clear" w:color="auto" w:fill="auto"/>
          </w:tcPr>
          <w:p w14:paraId="4B5317BB" w14:textId="77777777" w:rsidR="00B33542" w:rsidRPr="005071A1" w:rsidRDefault="00B33542" w:rsidP="009B7AF5">
            <w:pPr>
              <w:pStyle w:val="Tabletext"/>
            </w:pPr>
            <w:r w:rsidRPr="005071A1">
              <w:t>0.18</w:t>
            </w:r>
          </w:p>
        </w:tc>
      </w:tr>
      <w:tr w:rsidR="00B33542" w:rsidRPr="005071A1" w14:paraId="046C7566" w14:textId="77777777" w:rsidTr="009B7AF5">
        <w:tc>
          <w:tcPr>
            <w:tcW w:w="1824" w:type="dxa"/>
            <w:shd w:val="clear" w:color="auto" w:fill="auto"/>
          </w:tcPr>
          <w:p w14:paraId="2D0B29FC" w14:textId="77777777" w:rsidR="00B33542" w:rsidRPr="005071A1" w:rsidRDefault="00B33542" w:rsidP="009B7AF5">
            <w:pPr>
              <w:pStyle w:val="Tabletext"/>
            </w:pPr>
            <w:r w:rsidRPr="005071A1">
              <w:t>22</w:t>
            </w:r>
          </w:p>
        </w:tc>
        <w:tc>
          <w:tcPr>
            <w:tcW w:w="1824" w:type="dxa"/>
            <w:shd w:val="clear" w:color="auto" w:fill="auto"/>
          </w:tcPr>
          <w:p w14:paraId="20567EA4" w14:textId="77777777" w:rsidR="00B33542" w:rsidRPr="005071A1" w:rsidRDefault="00B33542" w:rsidP="009B7AF5">
            <w:pPr>
              <w:pStyle w:val="Tabletext"/>
            </w:pPr>
            <w:r w:rsidRPr="005071A1">
              <w:t>0.38</w:t>
            </w:r>
          </w:p>
        </w:tc>
        <w:tc>
          <w:tcPr>
            <w:tcW w:w="1824" w:type="dxa"/>
            <w:shd w:val="clear" w:color="auto" w:fill="auto"/>
          </w:tcPr>
          <w:p w14:paraId="3145281B" w14:textId="77777777" w:rsidR="00B33542" w:rsidRPr="005071A1" w:rsidRDefault="00B33542" w:rsidP="009B7AF5">
            <w:pPr>
              <w:pStyle w:val="Tabletext"/>
            </w:pPr>
            <w:r w:rsidRPr="005071A1">
              <w:t>0.36</w:t>
            </w:r>
          </w:p>
        </w:tc>
        <w:tc>
          <w:tcPr>
            <w:tcW w:w="1824" w:type="dxa"/>
            <w:shd w:val="clear" w:color="auto" w:fill="auto"/>
          </w:tcPr>
          <w:p w14:paraId="45205512" w14:textId="77777777" w:rsidR="00B33542" w:rsidRPr="005071A1" w:rsidRDefault="00B33542" w:rsidP="009B7AF5">
            <w:pPr>
              <w:pStyle w:val="Tabletext"/>
            </w:pPr>
            <w:r w:rsidRPr="005071A1">
              <w:t>0.18</w:t>
            </w:r>
          </w:p>
        </w:tc>
      </w:tr>
      <w:tr w:rsidR="00B33542" w:rsidRPr="005071A1" w14:paraId="51BF4AAA" w14:textId="77777777" w:rsidTr="009B7AF5">
        <w:tc>
          <w:tcPr>
            <w:tcW w:w="1824" w:type="dxa"/>
            <w:shd w:val="clear" w:color="auto" w:fill="auto"/>
          </w:tcPr>
          <w:p w14:paraId="4FE08612" w14:textId="77777777" w:rsidR="00B33542" w:rsidRPr="005071A1" w:rsidRDefault="00B33542" w:rsidP="009B7AF5">
            <w:pPr>
              <w:pStyle w:val="Tabletext"/>
            </w:pPr>
            <w:r w:rsidRPr="005071A1">
              <w:t>23</w:t>
            </w:r>
          </w:p>
        </w:tc>
        <w:tc>
          <w:tcPr>
            <w:tcW w:w="1824" w:type="dxa"/>
            <w:shd w:val="clear" w:color="auto" w:fill="auto"/>
          </w:tcPr>
          <w:p w14:paraId="73844D55" w14:textId="77777777" w:rsidR="00B33542" w:rsidRPr="005071A1" w:rsidRDefault="00B33542" w:rsidP="009B7AF5">
            <w:pPr>
              <w:pStyle w:val="Tabletext"/>
            </w:pPr>
            <w:r w:rsidRPr="005071A1">
              <w:t>0.40</w:t>
            </w:r>
          </w:p>
        </w:tc>
        <w:tc>
          <w:tcPr>
            <w:tcW w:w="1824" w:type="dxa"/>
            <w:shd w:val="clear" w:color="auto" w:fill="auto"/>
          </w:tcPr>
          <w:p w14:paraId="3597AC31" w14:textId="77777777" w:rsidR="00B33542" w:rsidRPr="005071A1" w:rsidRDefault="00B33542" w:rsidP="009B7AF5">
            <w:pPr>
              <w:pStyle w:val="Tabletext"/>
            </w:pPr>
            <w:r w:rsidRPr="005071A1">
              <w:t>0.38</w:t>
            </w:r>
          </w:p>
        </w:tc>
        <w:tc>
          <w:tcPr>
            <w:tcW w:w="1824" w:type="dxa"/>
            <w:shd w:val="clear" w:color="auto" w:fill="auto"/>
          </w:tcPr>
          <w:p w14:paraId="16B5A673" w14:textId="77777777" w:rsidR="00B33542" w:rsidRPr="005071A1" w:rsidRDefault="00B33542" w:rsidP="009B7AF5">
            <w:pPr>
              <w:pStyle w:val="Tabletext"/>
            </w:pPr>
            <w:r w:rsidRPr="005071A1">
              <w:t>0.19</w:t>
            </w:r>
          </w:p>
        </w:tc>
      </w:tr>
      <w:tr w:rsidR="00B33542" w:rsidRPr="005071A1" w14:paraId="3F122E6F" w14:textId="77777777" w:rsidTr="009B7AF5">
        <w:tc>
          <w:tcPr>
            <w:tcW w:w="1824" w:type="dxa"/>
            <w:shd w:val="clear" w:color="auto" w:fill="auto"/>
          </w:tcPr>
          <w:p w14:paraId="32A04123" w14:textId="77777777" w:rsidR="00B33542" w:rsidRPr="005071A1" w:rsidRDefault="00B33542" w:rsidP="009B7AF5">
            <w:pPr>
              <w:pStyle w:val="Tabletext"/>
            </w:pPr>
            <w:r w:rsidRPr="005071A1">
              <w:t>24</w:t>
            </w:r>
          </w:p>
        </w:tc>
        <w:tc>
          <w:tcPr>
            <w:tcW w:w="1824" w:type="dxa"/>
            <w:shd w:val="clear" w:color="auto" w:fill="auto"/>
          </w:tcPr>
          <w:p w14:paraId="48EFAC56" w14:textId="77777777" w:rsidR="00B33542" w:rsidRPr="005071A1" w:rsidRDefault="00B33542" w:rsidP="009B7AF5">
            <w:pPr>
              <w:pStyle w:val="Tabletext"/>
            </w:pPr>
            <w:r w:rsidRPr="005071A1">
              <w:t>0.42</w:t>
            </w:r>
          </w:p>
        </w:tc>
        <w:tc>
          <w:tcPr>
            <w:tcW w:w="1824" w:type="dxa"/>
            <w:shd w:val="clear" w:color="auto" w:fill="auto"/>
          </w:tcPr>
          <w:p w14:paraId="2DB34A2B" w14:textId="77777777" w:rsidR="00B33542" w:rsidRPr="005071A1" w:rsidRDefault="00B33542" w:rsidP="009B7AF5">
            <w:pPr>
              <w:pStyle w:val="Tabletext"/>
            </w:pPr>
            <w:r w:rsidRPr="005071A1">
              <w:t>0.40</w:t>
            </w:r>
          </w:p>
        </w:tc>
        <w:tc>
          <w:tcPr>
            <w:tcW w:w="1824" w:type="dxa"/>
            <w:shd w:val="clear" w:color="auto" w:fill="auto"/>
          </w:tcPr>
          <w:p w14:paraId="52310ED0" w14:textId="77777777" w:rsidR="00B33542" w:rsidRPr="005071A1" w:rsidRDefault="00B33542" w:rsidP="009B7AF5">
            <w:pPr>
              <w:pStyle w:val="Tabletext"/>
            </w:pPr>
            <w:r w:rsidRPr="005071A1">
              <w:t>0.20</w:t>
            </w:r>
          </w:p>
        </w:tc>
      </w:tr>
      <w:tr w:rsidR="00B33542" w:rsidRPr="005071A1" w14:paraId="29B75999" w14:textId="77777777" w:rsidTr="009B7AF5">
        <w:tc>
          <w:tcPr>
            <w:tcW w:w="1824" w:type="dxa"/>
            <w:shd w:val="clear" w:color="auto" w:fill="auto"/>
          </w:tcPr>
          <w:p w14:paraId="378C2F3E" w14:textId="77777777" w:rsidR="00B33542" w:rsidRPr="005071A1" w:rsidRDefault="00B33542" w:rsidP="009B7AF5">
            <w:pPr>
              <w:pStyle w:val="Tabletext"/>
            </w:pPr>
            <w:r w:rsidRPr="005071A1">
              <w:t>25</w:t>
            </w:r>
          </w:p>
        </w:tc>
        <w:tc>
          <w:tcPr>
            <w:tcW w:w="1824" w:type="dxa"/>
            <w:shd w:val="clear" w:color="auto" w:fill="auto"/>
          </w:tcPr>
          <w:p w14:paraId="17FD2BFA" w14:textId="77777777" w:rsidR="00B33542" w:rsidRPr="005071A1" w:rsidRDefault="00B33542" w:rsidP="009B7AF5">
            <w:pPr>
              <w:pStyle w:val="Tabletext"/>
            </w:pPr>
            <w:r w:rsidRPr="005071A1">
              <w:t>0.44</w:t>
            </w:r>
          </w:p>
        </w:tc>
        <w:tc>
          <w:tcPr>
            <w:tcW w:w="1824" w:type="dxa"/>
            <w:shd w:val="clear" w:color="auto" w:fill="auto"/>
          </w:tcPr>
          <w:p w14:paraId="668CD01D" w14:textId="77777777" w:rsidR="00B33542" w:rsidRPr="005071A1" w:rsidRDefault="00B33542" w:rsidP="009B7AF5">
            <w:pPr>
              <w:pStyle w:val="Tabletext"/>
            </w:pPr>
            <w:r w:rsidRPr="005071A1">
              <w:t>0.42</w:t>
            </w:r>
          </w:p>
        </w:tc>
        <w:tc>
          <w:tcPr>
            <w:tcW w:w="1824" w:type="dxa"/>
            <w:shd w:val="clear" w:color="auto" w:fill="auto"/>
          </w:tcPr>
          <w:p w14:paraId="4318CE83" w14:textId="77777777" w:rsidR="00B33542" w:rsidRPr="005071A1" w:rsidRDefault="00B33542" w:rsidP="009B7AF5">
            <w:pPr>
              <w:pStyle w:val="Tabletext"/>
            </w:pPr>
            <w:r w:rsidRPr="005071A1">
              <w:t>0.21</w:t>
            </w:r>
          </w:p>
        </w:tc>
      </w:tr>
      <w:tr w:rsidR="00B33542" w:rsidRPr="005071A1" w14:paraId="12BA706D" w14:textId="77777777" w:rsidTr="009B7AF5">
        <w:tc>
          <w:tcPr>
            <w:tcW w:w="1824" w:type="dxa"/>
            <w:shd w:val="clear" w:color="auto" w:fill="auto"/>
          </w:tcPr>
          <w:p w14:paraId="79F50C88" w14:textId="77777777" w:rsidR="00B33542" w:rsidRPr="005071A1" w:rsidRDefault="00B33542" w:rsidP="009B7AF5">
            <w:pPr>
              <w:pStyle w:val="Tabletext"/>
            </w:pPr>
            <w:r w:rsidRPr="005071A1">
              <w:t>26</w:t>
            </w:r>
          </w:p>
        </w:tc>
        <w:tc>
          <w:tcPr>
            <w:tcW w:w="1824" w:type="dxa"/>
            <w:shd w:val="clear" w:color="auto" w:fill="auto"/>
          </w:tcPr>
          <w:p w14:paraId="48EEC853" w14:textId="77777777" w:rsidR="00B33542" w:rsidRPr="005071A1" w:rsidRDefault="00B33542" w:rsidP="009B7AF5">
            <w:pPr>
              <w:pStyle w:val="Tabletext"/>
            </w:pPr>
            <w:r w:rsidRPr="005071A1">
              <w:t>0.48</w:t>
            </w:r>
          </w:p>
        </w:tc>
        <w:tc>
          <w:tcPr>
            <w:tcW w:w="1824" w:type="dxa"/>
            <w:shd w:val="clear" w:color="auto" w:fill="auto"/>
          </w:tcPr>
          <w:p w14:paraId="0B87E901" w14:textId="77777777" w:rsidR="00B33542" w:rsidRPr="005071A1" w:rsidRDefault="00B33542" w:rsidP="009B7AF5">
            <w:pPr>
              <w:pStyle w:val="Tabletext"/>
            </w:pPr>
            <w:r w:rsidRPr="005071A1">
              <w:t>0.46</w:t>
            </w:r>
          </w:p>
        </w:tc>
        <w:tc>
          <w:tcPr>
            <w:tcW w:w="1824" w:type="dxa"/>
            <w:shd w:val="clear" w:color="auto" w:fill="auto"/>
          </w:tcPr>
          <w:p w14:paraId="78027E76" w14:textId="77777777" w:rsidR="00B33542" w:rsidRPr="005071A1" w:rsidRDefault="00B33542" w:rsidP="009B7AF5">
            <w:pPr>
              <w:pStyle w:val="Tabletext"/>
            </w:pPr>
            <w:r w:rsidRPr="005071A1">
              <w:t>0.23</w:t>
            </w:r>
          </w:p>
        </w:tc>
      </w:tr>
      <w:tr w:rsidR="00B33542" w:rsidRPr="005071A1" w14:paraId="440C31D7" w14:textId="77777777" w:rsidTr="009B7AF5">
        <w:tc>
          <w:tcPr>
            <w:tcW w:w="1824" w:type="dxa"/>
            <w:shd w:val="clear" w:color="auto" w:fill="auto"/>
          </w:tcPr>
          <w:p w14:paraId="1577CD4F" w14:textId="77777777" w:rsidR="00B33542" w:rsidRPr="005071A1" w:rsidRDefault="00B33542" w:rsidP="009B7AF5">
            <w:pPr>
              <w:pStyle w:val="Tabletext"/>
            </w:pPr>
            <w:r w:rsidRPr="005071A1">
              <w:t>27</w:t>
            </w:r>
          </w:p>
        </w:tc>
        <w:tc>
          <w:tcPr>
            <w:tcW w:w="1824" w:type="dxa"/>
            <w:shd w:val="clear" w:color="auto" w:fill="auto"/>
          </w:tcPr>
          <w:p w14:paraId="300BFCA8" w14:textId="77777777" w:rsidR="00B33542" w:rsidRPr="005071A1" w:rsidRDefault="00B33542" w:rsidP="009B7AF5">
            <w:pPr>
              <w:pStyle w:val="Tabletext"/>
            </w:pPr>
            <w:r w:rsidRPr="005071A1">
              <w:t>0.50</w:t>
            </w:r>
          </w:p>
        </w:tc>
        <w:tc>
          <w:tcPr>
            <w:tcW w:w="1824" w:type="dxa"/>
            <w:shd w:val="clear" w:color="auto" w:fill="auto"/>
          </w:tcPr>
          <w:p w14:paraId="56E89245" w14:textId="77777777" w:rsidR="00B33542" w:rsidRPr="005071A1" w:rsidRDefault="00B33542" w:rsidP="009B7AF5">
            <w:pPr>
              <w:pStyle w:val="Tabletext"/>
            </w:pPr>
            <w:r w:rsidRPr="005071A1">
              <w:t>0.48</w:t>
            </w:r>
          </w:p>
        </w:tc>
        <w:tc>
          <w:tcPr>
            <w:tcW w:w="1824" w:type="dxa"/>
            <w:shd w:val="clear" w:color="auto" w:fill="auto"/>
          </w:tcPr>
          <w:p w14:paraId="334047B8" w14:textId="77777777" w:rsidR="00B33542" w:rsidRPr="005071A1" w:rsidRDefault="00B33542" w:rsidP="009B7AF5">
            <w:pPr>
              <w:pStyle w:val="Tabletext"/>
            </w:pPr>
            <w:r w:rsidRPr="005071A1">
              <w:t>0.24</w:t>
            </w:r>
          </w:p>
        </w:tc>
      </w:tr>
      <w:tr w:rsidR="00B33542" w:rsidRPr="005071A1" w14:paraId="0E59A351" w14:textId="77777777" w:rsidTr="009B7AF5">
        <w:tc>
          <w:tcPr>
            <w:tcW w:w="1824" w:type="dxa"/>
            <w:shd w:val="clear" w:color="auto" w:fill="auto"/>
          </w:tcPr>
          <w:p w14:paraId="22E0D056" w14:textId="77777777" w:rsidR="00B33542" w:rsidRPr="005071A1" w:rsidRDefault="00B33542" w:rsidP="009B7AF5">
            <w:pPr>
              <w:pStyle w:val="Tabletext"/>
            </w:pPr>
            <w:r w:rsidRPr="005071A1">
              <w:lastRenderedPageBreak/>
              <w:t>28</w:t>
            </w:r>
          </w:p>
        </w:tc>
        <w:tc>
          <w:tcPr>
            <w:tcW w:w="1824" w:type="dxa"/>
            <w:shd w:val="clear" w:color="auto" w:fill="auto"/>
          </w:tcPr>
          <w:p w14:paraId="25A534CE" w14:textId="77777777" w:rsidR="00B33542" w:rsidRPr="005071A1" w:rsidRDefault="00B33542" w:rsidP="009B7AF5">
            <w:pPr>
              <w:pStyle w:val="Tabletext"/>
            </w:pPr>
            <w:r w:rsidRPr="005071A1">
              <w:t>0.52</w:t>
            </w:r>
          </w:p>
        </w:tc>
        <w:tc>
          <w:tcPr>
            <w:tcW w:w="1824" w:type="dxa"/>
            <w:shd w:val="clear" w:color="auto" w:fill="auto"/>
          </w:tcPr>
          <w:p w14:paraId="4DE79A34" w14:textId="77777777" w:rsidR="00B33542" w:rsidRPr="005071A1" w:rsidRDefault="00B33542" w:rsidP="009B7AF5">
            <w:pPr>
              <w:pStyle w:val="Tabletext"/>
            </w:pPr>
            <w:r w:rsidRPr="005071A1">
              <w:t>0.50</w:t>
            </w:r>
          </w:p>
        </w:tc>
        <w:tc>
          <w:tcPr>
            <w:tcW w:w="1824" w:type="dxa"/>
            <w:shd w:val="clear" w:color="auto" w:fill="auto"/>
          </w:tcPr>
          <w:p w14:paraId="49138EC9" w14:textId="77777777" w:rsidR="00B33542" w:rsidRPr="005071A1" w:rsidRDefault="00B33542" w:rsidP="009B7AF5">
            <w:pPr>
              <w:pStyle w:val="Tabletext"/>
            </w:pPr>
            <w:r w:rsidRPr="005071A1">
              <w:t>0.25</w:t>
            </w:r>
          </w:p>
        </w:tc>
      </w:tr>
      <w:tr w:rsidR="00B33542" w:rsidRPr="005071A1" w14:paraId="15C42023" w14:textId="77777777" w:rsidTr="00D57394">
        <w:tc>
          <w:tcPr>
            <w:tcW w:w="1824" w:type="dxa"/>
            <w:tcBorders>
              <w:bottom w:val="single" w:sz="4" w:space="0" w:color="auto"/>
            </w:tcBorders>
            <w:shd w:val="clear" w:color="auto" w:fill="auto"/>
          </w:tcPr>
          <w:p w14:paraId="1FDB1C4A" w14:textId="77777777" w:rsidR="00B33542" w:rsidRPr="005071A1" w:rsidRDefault="00B33542" w:rsidP="009B7AF5">
            <w:pPr>
              <w:pStyle w:val="Tabletext"/>
            </w:pPr>
            <w:r w:rsidRPr="005071A1">
              <w:t>29</w:t>
            </w:r>
          </w:p>
        </w:tc>
        <w:tc>
          <w:tcPr>
            <w:tcW w:w="1824" w:type="dxa"/>
            <w:tcBorders>
              <w:bottom w:val="single" w:sz="4" w:space="0" w:color="auto"/>
            </w:tcBorders>
            <w:shd w:val="clear" w:color="auto" w:fill="auto"/>
          </w:tcPr>
          <w:p w14:paraId="33D90FC3" w14:textId="77777777" w:rsidR="00B33542" w:rsidRPr="005071A1" w:rsidRDefault="00B33542" w:rsidP="009B7AF5">
            <w:pPr>
              <w:pStyle w:val="Tabletext"/>
            </w:pPr>
            <w:r w:rsidRPr="005071A1">
              <w:t>0.54</w:t>
            </w:r>
          </w:p>
        </w:tc>
        <w:tc>
          <w:tcPr>
            <w:tcW w:w="1824" w:type="dxa"/>
            <w:tcBorders>
              <w:bottom w:val="single" w:sz="4" w:space="0" w:color="auto"/>
            </w:tcBorders>
            <w:shd w:val="clear" w:color="auto" w:fill="auto"/>
          </w:tcPr>
          <w:p w14:paraId="293E6D41" w14:textId="77777777" w:rsidR="00B33542" w:rsidRPr="005071A1" w:rsidRDefault="00B33542" w:rsidP="009B7AF5">
            <w:pPr>
              <w:pStyle w:val="Tabletext"/>
            </w:pPr>
            <w:r w:rsidRPr="005071A1">
              <w:t>0.52</w:t>
            </w:r>
          </w:p>
        </w:tc>
        <w:tc>
          <w:tcPr>
            <w:tcW w:w="1824" w:type="dxa"/>
            <w:tcBorders>
              <w:bottom w:val="single" w:sz="4" w:space="0" w:color="auto"/>
            </w:tcBorders>
            <w:shd w:val="clear" w:color="auto" w:fill="auto"/>
          </w:tcPr>
          <w:p w14:paraId="5AF2200B" w14:textId="77777777" w:rsidR="00B33542" w:rsidRPr="005071A1" w:rsidRDefault="00B33542" w:rsidP="009B7AF5">
            <w:pPr>
              <w:pStyle w:val="Tabletext"/>
            </w:pPr>
            <w:r w:rsidRPr="005071A1">
              <w:t>0.26</w:t>
            </w:r>
          </w:p>
        </w:tc>
      </w:tr>
      <w:tr w:rsidR="00B33542" w:rsidRPr="005071A1" w14:paraId="265BA1C0" w14:textId="77777777" w:rsidTr="00D57394">
        <w:tc>
          <w:tcPr>
            <w:tcW w:w="1824" w:type="dxa"/>
            <w:tcBorders>
              <w:bottom w:val="single" w:sz="4" w:space="0" w:color="auto"/>
            </w:tcBorders>
            <w:shd w:val="clear" w:color="auto" w:fill="auto"/>
          </w:tcPr>
          <w:p w14:paraId="2011A5E6" w14:textId="77777777" w:rsidR="00B33542" w:rsidRPr="005071A1" w:rsidRDefault="00B33542" w:rsidP="009B7AF5">
            <w:pPr>
              <w:pStyle w:val="Tabletext"/>
            </w:pPr>
            <w:r w:rsidRPr="005071A1">
              <w:t>30</w:t>
            </w:r>
          </w:p>
        </w:tc>
        <w:tc>
          <w:tcPr>
            <w:tcW w:w="1824" w:type="dxa"/>
            <w:tcBorders>
              <w:bottom w:val="single" w:sz="4" w:space="0" w:color="auto"/>
            </w:tcBorders>
            <w:shd w:val="clear" w:color="auto" w:fill="auto"/>
          </w:tcPr>
          <w:p w14:paraId="60163175" w14:textId="77777777" w:rsidR="00B33542" w:rsidRPr="005071A1" w:rsidRDefault="00B33542" w:rsidP="009B7AF5">
            <w:pPr>
              <w:pStyle w:val="Tabletext"/>
            </w:pPr>
            <w:r w:rsidRPr="005071A1">
              <w:t>0.58</w:t>
            </w:r>
          </w:p>
        </w:tc>
        <w:tc>
          <w:tcPr>
            <w:tcW w:w="1824" w:type="dxa"/>
            <w:tcBorders>
              <w:bottom w:val="single" w:sz="4" w:space="0" w:color="auto"/>
            </w:tcBorders>
            <w:shd w:val="clear" w:color="auto" w:fill="auto"/>
          </w:tcPr>
          <w:p w14:paraId="4E744B97" w14:textId="77777777" w:rsidR="00B33542" w:rsidRPr="005071A1" w:rsidRDefault="00B33542" w:rsidP="009B7AF5">
            <w:pPr>
              <w:pStyle w:val="Tabletext"/>
            </w:pPr>
            <w:r w:rsidRPr="005071A1">
              <w:t>0.56</w:t>
            </w:r>
          </w:p>
        </w:tc>
        <w:tc>
          <w:tcPr>
            <w:tcW w:w="1824" w:type="dxa"/>
            <w:tcBorders>
              <w:bottom w:val="single" w:sz="4" w:space="0" w:color="auto"/>
            </w:tcBorders>
            <w:shd w:val="clear" w:color="auto" w:fill="auto"/>
          </w:tcPr>
          <w:p w14:paraId="5E84C3E2" w14:textId="77777777" w:rsidR="00B33542" w:rsidRPr="005071A1" w:rsidRDefault="00B33542" w:rsidP="009B7AF5">
            <w:pPr>
              <w:pStyle w:val="Tabletext"/>
            </w:pPr>
            <w:r w:rsidRPr="005071A1">
              <w:t>0.28</w:t>
            </w:r>
          </w:p>
        </w:tc>
      </w:tr>
      <w:tr w:rsidR="00B33542" w:rsidRPr="005071A1" w14:paraId="7229DFC8" w14:textId="77777777" w:rsidTr="00640BB6">
        <w:tc>
          <w:tcPr>
            <w:tcW w:w="1824" w:type="dxa"/>
            <w:tcBorders>
              <w:bottom w:val="single" w:sz="4" w:space="0" w:color="auto"/>
            </w:tcBorders>
            <w:shd w:val="clear" w:color="auto" w:fill="auto"/>
          </w:tcPr>
          <w:p w14:paraId="245904C4" w14:textId="77777777" w:rsidR="00B33542" w:rsidRPr="005071A1" w:rsidRDefault="00B33542" w:rsidP="009B7AF5">
            <w:pPr>
              <w:pStyle w:val="Tabletext"/>
            </w:pPr>
            <w:r w:rsidRPr="005071A1">
              <w:t>31</w:t>
            </w:r>
          </w:p>
        </w:tc>
        <w:tc>
          <w:tcPr>
            <w:tcW w:w="1824" w:type="dxa"/>
            <w:tcBorders>
              <w:bottom w:val="single" w:sz="4" w:space="0" w:color="auto"/>
            </w:tcBorders>
            <w:shd w:val="clear" w:color="auto" w:fill="auto"/>
          </w:tcPr>
          <w:p w14:paraId="061887A8" w14:textId="77777777" w:rsidR="00B33542" w:rsidRPr="005071A1" w:rsidRDefault="00B33542" w:rsidP="009B7AF5">
            <w:pPr>
              <w:pStyle w:val="Tabletext"/>
            </w:pPr>
            <w:r w:rsidRPr="005071A1">
              <w:t>0.60</w:t>
            </w:r>
          </w:p>
        </w:tc>
        <w:tc>
          <w:tcPr>
            <w:tcW w:w="1824" w:type="dxa"/>
            <w:tcBorders>
              <w:bottom w:val="single" w:sz="4" w:space="0" w:color="auto"/>
            </w:tcBorders>
            <w:shd w:val="clear" w:color="auto" w:fill="auto"/>
          </w:tcPr>
          <w:p w14:paraId="7618F133" w14:textId="77777777" w:rsidR="00B33542" w:rsidRPr="005071A1" w:rsidRDefault="00B33542" w:rsidP="009B7AF5">
            <w:pPr>
              <w:pStyle w:val="Tabletext"/>
            </w:pPr>
            <w:r w:rsidRPr="005071A1">
              <w:t>0.58</w:t>
            </w:r>
          </w:p>
        </w:tc>
        <w:tc>
          <w:tcPr>
            <w:tcW w:w="1824" w:type="dxa"/>
            <w:tcBorders>
              <w:bottom w:val="single" w:sz="4" w:space="0" w:color="auto"/>
            </w:tcBorders>
            <w:shd w:val="clear" w:color="auto" w:fill="auto"/>
          </w:tcPr>
          <w:p w14:paraId="35EA2212" w14:textId="77777777" w:rsidR="00B33542" w:rsidRPr="005071A1" w:rsidRDefault="00B33542" w:rsidP="009B7AF5">
            <w:pPr>
              <w:pStyle w:val="Tabletext"/>
            </w:pPr>
            <w:r w:rsidRPr="005071A1">
              <w:t>0.29</w:t>
            </w:r>
          </w:p>
        </w:tc>
      </w:tr>
      <w:tr w:rsidR="00B33542" w:rsidRPr="005071A1" w14:paraId="2DB51972" w14:textId="77777777" w:rsidTr="00640BB6">
        <w:tc>
          <w:tcPr>
            <w:tcW w:w="1824" w:type="dxa"/>
            <w:tcBorders>
              <w:top w:val="single" w:sz="4" w:space="0" w:color="auto"/>
              <w:bottom w:val="single" w:sz="4" w:space="0" w:color="auto"/>
            </w:tcBorders>
            <w:shd w:val="clear" w:color="auto" w:fill="auto"/>
          </w:tcPr>
          <w:p w14:paraId="4B7AF44A" w14:textId="77777777" w:rsidR="00B33542" w:rsidRPr="005071A1" w:rsidRDefault="00B33542" w:rsidP="009B7AF5">
            <w:pPr>
              <w:pStyle w:val="Tabletext"/>
            </w:pPr>
            <w:r w:rsidRPr="005071A1">
              <w:t>32</w:t>
            </w:r>
          </w:p>
        </w:tc>
        <w:tc>
          <w:tcPr>
            <w:tcW w:w="1824" w:type="dxa"/>
            <w:tcBorders>
              <w:top w:val="single" w:sz="4" w:space="0" w:color="auto"/>
              <w:bottom w:val="single" w:sz="4" w:space="0" w:color="auto"/>
            </w:tcBorders>
            <w:shd w:val="clear" w:color="auto" w:fill="auto"/>
          </w:tcPr>
          <w:p w14:paraId="46FAA5CE" w14:textId="77777777" w:rsidR="00B33542" w:rsidRPr="005071A1" w:rsidRDefault="00B33542" w:rsidP="009B7AF5">
            <w:pPr>
              <w:pStyle w:val="Tabletext"/>
            </w:pPr>
            <w:r w:rsidRPr="005071A1">
              <w:t>0.64</w:t>
            </w:r>
          </w:p>
        </w:tc>
        <w:tc>
          <w:tcPr>
            <w:tcW w:w="1824" w:type="dxa"/>
            <w:tcBorders>
              <w:top w:val="single" w:sz="4" w:space="0" w:color="auto"/>
              <w:bottom w:val="single" w:sz="4" w:space="0" w:color="auto"/>
            </w:tcBorders>
            <w:shd w:val="clear" w:color="auto" w:fill="auto"/>
          </w:tcPr>
          <w:p w14:paraId="18B7B165" w14:textId="77777777" w:rsidR="00B33542" w:rsidRPr="005071A1" w:rsidRDefault="00B33542" w:rsidP="009B7AF5">
            <w:pPr>
              <w:pStyle w:val="Tabletext"/>
            </w:pPr>
            <w:r w:rsidRPr="005071A1">
              <w:t>0.62</w:t>
            </w:r>
          </w:p>
        </w:tc>
        <w:tc>
          <w:tcPr>
            <w:tcW w:w="1824" w:type="dxa"/>
            <w:tcBorders>
              <w:top w:val="single" w:sz="4" w:space="0" w:color="auto"/>
              <w:bottom w:val="single" w:sz="4" w:space="0" w:color="auto"/>
            </w:tcBorders>
            <w:shd w:val="clear" w:color="auto" w:fill="auto"/>
          </w:tcPr>
          <w:p w14:paraId="5A1D3633" w14:textId="77777777" w:rsidR="00B33542" w:rsidRPr="005071A1" w:rsidRDefault="00B33542" w:rsidP="009B7AF5">
            <w:pPr>
              <w:pStyle w:val="Tabletext"/>
            </w:pPr>
            <w:r w:rsidRPr="005071A1">
              <w:t>0.31</w:t>
            </w:r>
          </w:p>
        </w:tc>
      </w:tr>
      <w:tr w:rsidR="00B33542" w:rsidRPr="005071A1" w14:paraId="4D2C0EAE" w14:textId="77777777" w:rsidTr="00640BB6">
        <w:tc>
          <w:tcPr>
            <w:tcW w:w="1824" w:type="dxa"/>
            <w:tcBorders>
              <w:top w:val="single" w:sz="4" w:space="0" w:color="auto"/>
            </w:tcBorders>
            <w:shd w:val="clear" w:color="auto" w:fill="auto"/>
          </w:tcPr>
          <w:p w14:paraId="179DF8DE" w14:textId="77777777" w:rsidR="00B33542" w:rsidRPr="005071A1" w:rsidRDefault="00B33542" w:rsidP="009B7AF5">
            <w:pPr>
              <w:pStyle w:val="Tabletext"/>
            </w:pPr>
            <w:r w:rsidRPr="005071A1">
              <w:t>33</w:t>
            </w:r>
          </w:p>
        </w:tc>
        <w:tc>
          <w:tcPr>
            <w:tcW w:w="1824" w:type="dxa"/>
            <w:tcBorders>
              <w:top w:val="single" w:sz="4" w:space="0" w:color="auto"/>
            </w:tcBorders>
            <w:shd w:val="clear" w:color="auto" w:fill="auto"/>
          </w:tcPr>
          <w:p w14:paraId="226116F2" w14:textId="77777777" w:rsidR="00B33542" w:rsidRPr="005071A1" w:rsidRDefault="00B33542" w:rsidP="009B7AF5">
            <w:pPr>
              <w:pStyle w:val="Tabletext"/>
            </w:pPr>
            <w:r w:rsidRPr="005071A1">
              <w:t>0.68</w:t>
            </w:r>
          </w:p>
        </w:tc>
        <w:tc>
          <w:tcPr>
            <w:tcW w:w="1824" w:type="dxa"/>
            <w:tcBorders>
              <w:top w:val="single" w:sz="4" w:space="0" w:color="auto"/>
            </w:tcBorders>
            <w:shd w:val="clear" w:color="auto" w:fill="auto"/>
          </w:tcPr>
          <w:p w14:paraId="01BA0188" w14:textId="77777777" w:rsidR="00B33542" w:rsidRPr="005071A1" w:rsidRDefault="00B33542" w:rsidP="009B7AF5">
            <w:pPr>
              <w:pStyle w:val="Tabletext"/>
            </w:pPr>
            <w:r w:rsidRPr="005071A1">
              <w:t>0.66</w:t>
            </w:r>
          </w:p>
        </w:tc>
        <w:tc>
          <w:tcPr>
            <w:tcW w:w="1824" w:type="dxa"/>
            <w:tcBorders>
              <w:top w:val="single" w:sz="4" w:space="0" w:color="auto"/>
            </w:tcBorders>
            <w:shd w:val="clear" w:color="auto" w:fill="auto"/>
          </w:tcPr>
          <w:p w14:paraId="57D97A0C" w14:textId="77777777" w:rsidR="00B33542" w:rsidRPr="005071A1" w:rsidRDefault="00B33542" w:rsidP="009B7AF5">
            <w:pPr>
              <w:pStyle w:val="Tabletext"/>
            </w:pPr>
            <w:r w:rsidRPr="005071A1">
              <w:t>0.33</w:t>
            </w:r>
          </w:p>
        </w:tc>
      </w:tr>
      <w:tr w:rsidR="00B33542" w:rsidRPr="005071A1" w14:paraId="09B8DE70" w14:textId="77777777" w:rsidTr="009B7AF5">
        <w:tc>
          <w:tcPr>
            <w:tcW w:w="1824" w:type="dxa"/>
            <w:shd w:val="clear" w:color="auto" w:fill="auto"/>
          </w:tcPr>
          <w:p w14:paraId="2E3BFE68" w14:textId="77777777" w:rsidR="00B33542" w:rsidRPr="005071A1" w:rsidRDefault="00B33542" w:rsidP="009B7AF5">
            <w:pPr>
              <w:pStyle w:val="Tabletext"/>
            </w:pPr>
            <w:r w:rsidRPr="005071A1">
              <w:t>34</w:t>
            </w:r>
          </w:p>
        </w:tc>
        <w:tc>
          <w:tcPr>
            <w:tcW w:w="1824" w:type="dxa"/>
            <w:shd w:val="clear" w:color="auto" w:fill="auto"/>
          </w:tcPr>
          <w:p w14:paraId="4E9BA36A" w14:textId="77777777" w:rsidR="00B33542" w:rsidRPr="005071A1" w:rsidRDefault="00B33542" w:rsidP="009B7AF5">
            <w:pPr>
              <w:pStyle w:val="Tabletext"/>
            </w:pPr>
            <w:r w:rsidRPr="005071A1">
              <w:t>0.72</w:t>
            </w:r>
          </w:p>
        </w:tc>
        <w:tc>
          <w:tcPr>
            <w:tcW w:w="1824" w:type="dxa"/>
            <w:shd w:val="clear" w:color="auto" w:fill="auto"/>
          </w:tcPr>
          <w:p w14:paraId="43D8E5DC" w14:textId="77777777" w:rsidR="00B33542" w:rsidRPr="005071A1" w:rsidRDefault="00B33542" w:rsidP="009B7AF5">
            <w:pPr>
              <w:pStyle w:val="Tabletext"/>
            </w:pPr>
            <w:r w:rsidRPr="005071A1">
              <w:t>0.70</w:t>
            </w:r>
          </w:p>
        </w:tc>
        <w:tc>
          <w:tcPr>
            <w:tcW w:w="1824" w:type="dxa"/>
            <w:shd w:val="clear" w:color="auto" w:fill="auto"/>
          </w:tcPr>
          <w:p w14:paraId="72F70648" w14:textId="77777777" w:rsidR="00B33542" w:rsidRPr="005071A1" w:rsidRDefault="00B33542" w:rsidP="009B7AF5">
            <w:pPr>
              <w:pStyle w:val="Tabletext"/>
            </w:pPr>
            <w:r w:rsidRPr="005071A1">
              <w:t>0.35</w:t>
            </w:r>
          </w:p>
        </w:tc>
      </w:tr>
      <w:tr w:rsidR="00B33542" w:rsidRPr="005071A1" w14:paraId="0AEFDBEC" w14:textId="77777777" w:rsidTr="009B7AF5">
        <w:tc>
          <w:tcPr>
            <w:tcW w:w="1824" w:type="dxa"/>
            <w:shd w:val="clear" w:color="auto" w:fill="auto"/>
          </w:tcPr>
          <w:p w14:paraId="143A1FEB" w14:textId="77777777" w:rsidR="00B33542" w:rsidRPr="005071A1" w:rsidRDefault="00B33542" w:rsidP="009B7AF5">
            <w:pPr>
              <w:pStyle w:val="Tabletext"/>
            </w:pPr>
            <w:r w:rsidRPr="005071A1">
              <w:t>35</w:t>
            </w:r>
          </w:p>
        </w:tc>
        <w:tc>
          <w:tcPr>
            <w:tcW w:w="1824" w:type="dxa"/>
            <w:shd w:val="clear" w:color="auto" w:fill="auto"/>
          </w:tcPr>
          <w:p w14:paraId="14E73AD0" w14:textId="77777777" w:rsidR="00B33542" w:rsidRPr="005071A1" w:rsidRDefault="00B33542" w:rsidP="009B7AF5">
            <w:pPr>
              <w:pStyle w:val="Tabletext"/>
            </w:pPr>
            <w:r w:rsidRPr="005071A1">
              <w:t>0.76</w:t>
            </w:r>
          </w:p>
        </w:tc>
        <w:tc>
          <w:tcPr>
            <w:tcW w:w="1824" w:type="dxa"/>
            <w:shd w:val="clear" w:color="auto" w:fill="auto"/>
          </w:tcPr>
          <w:p w14:paraId="05C7F922" w14:textId="77777777" w:rsidR="00B33542" w:rsidRPr="005071A1" w:rsidRDefault="00B33542" w:rsidP="009B7AF5">
            <w:pPr>
              <w:pStyle w:val="Tabletext"/>
            </w:pPr>
            <w:r w:rsidRPr="005071A1">
              <w:t>0.72</w:t>
            </w:r>
          </w:p>
        </w:tc>
        <w:tc>
          <w:tcPr>
            <w:tcW w:w="1824" w:type="dxa"/>
            <w:shd w:val="clear" w:color="auto" w:fill="auto"/>
          </w:tcPr>
          <w:p w14:paraId="63AD5056" w14:textId="77777777" w:rsidR="00B33542" w:rsidRPr="005071A1" w:rsidRDefault="00B33542" w:rsidP="009B7AF5">
            <w:pPr>
              <w:pStyle w:val="Tabletext"/>
            </w:pPr>
            <w:r w:rsidRPr="005071A1">
              <w:t>0.36</w:t>
            </w:r>
          </w:p>
        </w:tc>
      </w:tr>
      <w:tr w:rsidR="00B33542" w:rsidRPr="005071A1" w14:paraId="5055FCFF" w14:textId="77777777" w:rsidTr="009B7AF5">
        <w:tc>
          <w:tcPr>
            <w:tcW w:w="1824" w:type="dxa"/>
            <w:shd w:val="clear" w:color="auto" w:fill="auto"/>
          </w:tcPr>
          <w:p w14:paraId="2ED496B2" w14:textId="77777777" w:rsidR="00B33542" w:rsidRPr="005071A1" w:rsidRDefault="00B33542" w:rsidP="009B7AF5">
            <w:pPr>
              <w:pStyle w:val="Tabletext"/>
            </w:pPr>
            <w:r w:rsidRPr="005071A1">
              <w:t>36</w:t>
            </w:r>
          </w:p>
        </w:tc>
        <w:tc>
          <w:tcPr>
            <w:tcW w:w="1824" w:type="dxa"/>
            <w:shd w:val="clear" w:color="auto" w:fill="auto"/>
          </w:tcPr>
          <w:p w14:paraId="2CA5F9B7" w14:textId="77777777" w:rsidR="00B33542" w:rsidRPr="005071A1" w:rsidRDefault="00B33542" w:rsidP="009B7AF5">
            <w:pPr>
              <w:pStyle w:val="Tabletext"/>
            </w:pPr>
            <w:r w:rsidRPr="005071A1">
              <w:t>0.80</w:t>
            </w:r>
          </w:p>
        </w:tc>
        <w:tc>
          <w:tcPr>
            <w:tcW w:w="1824" w:type="dxa"/>
            <w:shd w:val="clear" w:color="auto" w:fill="auto"/>
          </w:tcPr>
          <w:p w14:paraId="7669AD28" w14:textId="77777777" w:rsidR="00B33542" w:rsidRPr="005071A1" w:rsidRDefault="00B33542" w:rsidP="009B7AF5">
            <w:pPr>
              <w:pStyle w:val="Tabletext"/>
            </w:pPr>
            <w:r w:rsidRPr="005071A1">
              <w:t>0.78</w:t>
            </w:r>
          </w:p>
        </w:tc>
        <w:tc>
          <w:tcPr>
            <w:tcW w:w="1824" w:type="dxa"/>
            <w:shd w:val="clear" w:color="auto" w:fill="auto"/>
          </w:tcPr>
          <w:p w14:paraId="4F24C2E7" w14:textId="77777777" w:rsidR="00B33542" w:rsidRPr="005071A1" w:rsidRDefault="00B33542" w:rsidP="009B7AF5">
            <w:pPr>
              <w:pStyle w:val="Tabletext"/>
            </w:pPr>
            <w:r w:rsidRPr="005071A1">
              <w:t>0.39</w:t>
            </w:r>
          </w:p>
        </w:tc>
      </w:tr>
      <w:tr w:rsidR="00B33542" w:rsidRPr="005071A1" w14:paraId="5A3E7192" w14:textId="77777777" w:rsidTr="009B7AF5">
        <w:tc>
          <w:tcPr>
            <w:tcW w:w="1824" w:type="dxa"/>
            <w:shd w:val="clear" w:color="auto" w:fill="auto"/>
          </w:tcPr>
          <w:p w14:paraId="0DD79DC1" w14:textId="77777777" w:rsidR="00B33542" w:rsidRPr="005071A1" w:rsidRDefault="00B33542" w:rsidP="009B7AF5">
            <w:pPr>
              <w:pStyle w:val="Tabletext"/>
            </w:pPr>
            <w:r w:rsidRPr="005071A1">
              <w:t>37</w:t>
            </w:r>
          </w:p>
        </w:tc>
        <w:tc>
          <w:tcPr>
            <w:tcW w:w="1824" w:type="dxa"/>
            <w:shd w:val="clear" w:color="auto" w:fill="auto"/>
          </w:tcPr>
          <w:p w14:paraId="23CBA3CC" w14:textId="77777777" w:rsidR="00B33542" w:rsidRPr="005071A1" w:rsidRDefault="00B33542" w:rsidP="009B7AF5">
            <w:pPr>
              <w:pStyle w:val="Tabletext"/>
            </w:pPr>
            <w:r w:rsidRPr="005071A1">
              <w:t>0.86</w:t>
            </w:r>
          </w:p>
        </w:tc>
        <w:tc>
          <w:tcPr>
            <w:tcW w:w="1824" w:type="dxa"/>
            <w:shd w:val="clear" w:color="auto" w:fill="auto"/>
          </w:tcPr>
          <w:p w14:paraId="565782CE" w14:textId="77777777" w:rsidR="00B33542" w:rsidRPr="005071A1" w:rsidRDefault="00B33542" w:rsidP="009B7AF5">
            <w:pPr>
              <w:pStyle w:val="Tabletext"/>
            </w:pPr>
            <w:r w:rsidRPr="005071A1">
              <w:t>0.82</w:t>
            </w:r>
          </w:p>
        </w:tc>
        <w:tc>
          <w:tcPr>
            <w:tcW w:w="1824" w:type="dxa"/>
            <w:shd w:val="clear" w:color="auto" w:fill="auto"/>
          </w:tcPr>
          <w:p w14:paraId="7641ED6D" w14:textId="77777777" w:rsidR="00B33542" w:rsidRPr="005071A1" w:rsidRDefault="00B33542" w:rsidP="009B7AF5">
            <w:pPr>
              <w:pStyle w:val="Tabletext"/>
            </w:pPr>
            <w:r w:rsidRPr="005071A1">
              <w:t>0.41</w:t>
            </w:r>
          </w:p>
        </w:tc>
      </w:tr>
      <w:tr w:rsidR="00B33542" w:rsidRPr="005071A1" w14:paraId="15A4C055" w14:textId="77777777" w:rsidTr="009B7AF5">
        <w:tc>
          <w:tcPr>
            <w:tcW w:w="1824" w:type="dxa"/>
            <w:shd w:val="clear" w:color="auto" w:fill="auto"/>
          </w:tcPr>
          <w:p w14:paraId="2897DB5C" w14:textId="77777777" w:rsidR="00B33542" w:rsidRPr="005071A1" w:rsidRDefault="00B33542" w:rsidP="009B7AF5">
            <w:pPr>
              <w:pStyle w:val="Tabletext"/>
            </w:pPr>
            <w:r w:rsidRPr="005071A1">
              <w:t>38</w:t>
            </w:r>
          </w:p>
        </w:tc>
        <w:tc>
          <w:tcPr>
            <w:tcW w:w="1824" w:type="dxa"/>
            <w:shd w:val="clear" w:color="auto" w:fill="auto"/>
          </w:tcPr>
          <w:p w14:paraId="64C732C9" w14:textId="77777777" w:rsidR="00B33542" w:rsidRPr="005071A1" w:rsidRDefault="00B33542" w:rsidP="009B7AF5">
            <w:pPr>
              <w:pStyle w:val="Tabletext"/>
            </w:pPr>
            <w:r w:rsidRPr="005071A1">
              <w:t>0.90</w:t>
            </w:r>
          </w:p>
        </w:tc>
        <w:tc>
          <w:tcPr>
            <w:tcW w:w="1824" w:type="dxa"/>
            <w:shd w:val="clear" w:color="auto" w:fill="auto"/>
          </w:tcPr>
          <w:p w14:paraId="48F4251B" w14:textId="77777777" w:rsidR="00B33542" w:rsidRPr="005071A1" w:rsidRDefault="00B33542" w:rsidP="009B7AF5">
            <w:pPr>
              <w:pStyle w:val="Tabletext"/>
            </w:pPr>
            <w:r w:rsidRPr="005071A1">
              <w:t>0.88</w:t>
            </w:r>
          </w:p>
        </w:tc>
        <w:tc>
          <w:tcPr>
            <w:tcW w:w="1824" w:type="dxa"/>
            <w:shd w:val="clear" w:color="auto" w:fill="auto"/>
          </w:tcPr>
          <w:p w14:paraId="59405FB6" w14:textId="77777777" w:rsidR="00B33542" w:rsidRPr="005071A1" w:rsidRDefault="00B33542" w:rsidP="009B7AF5">
            <w:pPr>
              <w:pStyle w:val="Tabletext"/>
            </w:pPr>
            <w:r w:rsidRPr="005071A1">
              <w:t>0.44</w:t>
            </w:r>
          </w:p>
        </w:tc>
      </w:tr>
      <w:tr w:rsidR="00B33542" w:rsidRPr="005071A1" w14:paraId="10D59B0A" w14:textId="77777777" w:rsidTr="009B7AF5">
        <w:tc>
          <w:tcPr>
            <w:tcW w:w="1824" w:type="dxa"/>
            <w:shd w:val="clear" w:color="auto" w:fill="auto"/>
          </w:tcPr>
          <w:p w14:paraId="6C732FFA" w14:textId="77777777" w:rsidR="00B33542" w:rsidRPr="005071A1" w:rsidRDefault="00B33542" w:rsidP="009B7AF5">
            <w:pPr>
              <w:pStyle w:val="Tabletext"/>
            </w:pPr>
            <w:r w:rsidRPr="005071A1">
              <w:t>39</w:t>
            </w:r>
          </w:p>
        </w:tc>
        <w:tc>
          <w:tcPr>
            <w:tcW w:w="1824" w:type="dxa"/>
            <w:shd w:val="clear" w:color="auto" w:fill="auto"/>
          </w:tcPr>
          <w:p w14:paraId="1A048561" w14:textId="77777777" w:rsidR="00B33542" w:rsidRPr="005071A1" w:rsidRDefault="00B33542" w:rsidP="009B7AF5">
            <w:pPr>
              <w:pStyle w:val="Tabletext"/>
            </w:pPr>
            <w:r w:rsidRPr="005071A1">
              <w:t>0.96</w:t>
            </w:r>
          </w:p>
        </w:tc>
        <w:tc>
          <w:tcPr>
            <w:tcW w:w="1824" w:type="dxa"/>
            <w:shd w:val="clear" w:color="auto" w:fill="auto"/>
          </w:tcPr>
          <w:p w14:paraId="3A7DA1F2" w14:textId="77777777" w:rsidR="00B33542" w:rsidRPr="005071A1" w:rsidRDefault="00B33542" w:rsidP="009B7AF5">
            <w:pPr>
              <w:pStyle w:val="Tabletext"/>
            </w:pPr>
            <w:r w:rsidRPr="005071A1">
              <w:t>0.94</w:t>
            </w:r>
          </w:p>
        </w:tc>
        <w:tc>
          <w:tcPr>
            <w:tcW w:w="1824" w:type="dxa"/>
            <w:shd w:val="clear" w:color="auto" w:fill="auto"/>
          </w:tcPr>
          <w:p w14:paraId="00BA943D" w14:textId="77777777" w:rsidR="00B33542" w:rsidRPr="005071A1" w:rsidRDefault="00B33542" w:rsidP="009B7AF5">
            <w:pPr>
              <w:pStyle w:val="Tabletext"/>
            </w:pPr>
            <w:r w:rsidRPr="005071A1">
              <w:t>0.47</w:t>
            </w:r>
          </w:p>
        </w:tc>
      </w:tr>
      <w:tr w:rsidR="00B33542" w:rsidRPr="005071A1" w14:paraId="19AC5D9E" w14:textId="77777777" w:rsidTr="009B7AF5">
        <w:tc>
          <w:tcPr>
            <w:tcW w:w="1824" w:type="dxa"/>
            <w:shd w:val="clear" w:color="auto" w:fill="auto"/>
          </w:tcPr>
          <w:p w14:paraId="6DA98EEC" w14:textId="77777777" w:rsidR="00B33542" w:rsidRPr="005071A1" w:rsidRDefault="00B33542" w:rsidP="009B7AF5">
            <w:pPr>
              <w:pStyle w:val="Tabletext"/>
            </w:pPr>
            <w:r w:rsidRPr="005071A1">
              <w:t>40</w:t>
            </w:r>
          </w:p>
        </w:tc>
        <w:tc>
          <w:tcPr>
            <w:tcW w:w="1824" w:type="dxa"/>
            <w:shd w:val="clear" w:color="auto" w:fill="auto"/>
          </w:tcPr>
          <w:p w14:paraId="1CDCD33C" w14:textId="77777777" w:rsidR="00B33542" w:rsidRPr="005071A1" w:rsidRDefault="00B33542" w:rsidP="009B7AF5">
            <w:pPr>
              <w:pStyle w:val="Tabletext"/>
            </w:pPr>
            <w:r w:rsidRPr="005071A1">
              <w:t>1.02</w:t>
            </w:r>
          </w:p>
        </w:tc>
        <w:tc>
          <w:tcPr>
            <w:tcW w:w="1824" w:type="dxa"/>
            <w:shd w:val="clear" w:color="auto" w:fill="auto"/>
          </w:tcPr>
          <w:p w14:paraId="5EA0586C" w14:textId="77777777" w:rsidR="00B33542" w:rsidRPr="005071A1" w:rsidRDefault="00B33542" w:rsidP="009B7AF5">
            <w:pPr>
              <w:pStyle w:val="Tabletext"/>
            </w:pPr>
            <w:r w:rsidRPr="005071A1">
              <w:t>1.00</w:t>
            </w:r>
          </w:p>
        </w:tc>
        <w:tc>
          <w:tcPr>
            <w:tcW w:w="1824" w:type="dxa"/>
            <w:shd w:val="clear" w:color="auto" w:fill="auto"/>
          </w:tcPr>
          <w:p w14:paraId="486D06D8" w14:textId="77777777" w:rsidR="00B33542" w:rsidRPr="005071A1" w:rsidRDefault="00B33542" w:rsidP="009B7AF5">
            <w:pPr>
              <w:pStyle w:val="Tabletext"/>
            </w:pPr>
            <w:r w:rsidRPr="005071A1">
              <w:t>0.50</w:t>
            </w:r>
          </w:p>
        </w:tc>
      </w:tr>
      <w:tr w:rsidR="00B33542" w:rsidRPr="005071A1" w14:paraId="07745EFF" w14:textId="77777777" w:rsidTr="009B7AF5">
        <w:tc>
          <w:tcPr>
            <w:tcW w:w="1824" w:type="dxa"/>
            <w:shd w:val="clear" w:color="auto" w:fill="auto"/>
          </w:tcPr>
          <w:p w14:paraId="04904560" w14:textId="77777777" w:rsidR="00B33542" w:rsidRPr="005071A1" w:rsidRDefault="00B33542" w:rsidP="009B7AF5">
            <w:pPr>
              <w:pStyle w:val="Tabletext"/>
            </w:pPr>
            <w:r w:rsidRPr="005071A1">
              <w:t>41</w:t>
            </w:r>
          </w:p>
        </w:tc>
        <w:tc>
          <w:tcPr>
            <w:tcW w:w="1824" w:type="dxa"/>
            <w:shd w:val="clear" w:color="auto" w:fill="auto"/>
          </w:tcPr>
          <w:p w14:paraId="2DC23896" w14:textId="77777777" w:rsidR="00B33542" w:rsidRPr="005071A1" w:rsidRDefault="00B33542" w:rsidP="009B7AF5">
            <w:pPr>
              <w:pStyle w:val="Tabletext"/>
            </w:pPr>
            <w:r w:rsidRPr="005071A1">
              <w:t>1.10</w:t>
            </w:r>
          </w:p>
        </w:tc>
        <w:tc>
          <w:tcPr>
            <w:tcW w:w="1824" w:type="dxa"/>
            <w:shd w:val="clear" w:color="auto" w:fill="auto"/>
          </w:tcPr>
          <w:p w14:paraId="0F019BA0" w14:textId="77777777" w:rsidR="00B33542" w:rsidRPr="005071A1" w:rsidRDefault="00B33542" w:rsidP="009B7AF5">
            <w:pPr>
              <w:pStyle w:val="Tabletext"/>
            </w:pPr>
            <w:r w:rsidRPr="005071A1">
              <w:t>1.08</w:t>
            </w:r>
          </w:p>
        </w:tc>
        <w:tc>
          <w:tcPr>
            <w:tcW w:w="1824" w:type="dxa"/>
            <w:shd w:val="clear" w:color="auto" w:fill="auto"/>
          </w:tcPr>
          <w:p w14:paraId="4BBC0764" w14:textId="77777777" w:rsidR="00B33542" w:rsidRPr="005071A1" w:rsidRDefault="00B33542" w:rsidP="009B7AF5">
            <w:pPr>
              <w:pStyle w:val="Tabletext"/>
            </w:pPr>
            <w:r w:rsidRPr="005071A1">
              <w:t>0.54</w:t>
            </w:r>
          </w:p>
        </w:tc>
      </w:tr>
      <w:tr w:rsidR="00B33542" w:rsidRPr="005071A1" w14:paraId="7E1CC965" w14:textId="77777777" w:rsidTr="009B7AF5">
        <w:tc>
          <w:tcPr>
            <w:tcW w:w="1824" w:type="dxa"/>
            <w:shd w:val="clear" w:color="auto" w:fill="auto"/>
          </w:tcPr>
          <w:p w14:paraId="166D240C" w14:textId="77777777" w:rsidR="00B33542" w:rsidRPr="005071A1" w:rsidRDefault="00B33542" w:rsidP="009B7AF5">
            <w:pPr>
              <w:pStyle w:val="Tabletext"/>
            </w:pPr>
            <w:r w:rsidRPr="005071A1">
              <w:t>42</w:t>
            </w:r>
          </w:p>
        </w:tc>
        <w:tc>
          <w:tcPr>
            <w:tcW w:w="1824" w:type="dxa"/>
            <w:shd w:val="clear" w:color="auto" w:fill="auto"/>
          </w:tcPr>
          <w:p w14:paraId="740C97CE" w14:textId="77777777" w:rsidR="00B33542" w:rsidRPr="005071A1" w:rsidRDefault="00B33542" w:rsidP="009B7AF5">
            <w:pPr>
              <w:pStyle w:val="Tabletext"/>
            </w:pPr>
            <w:r w:rsidRPr="005071A1">
              <w:t>1.18</w:t>
            </w:r>
          </w:p>
        </w:tc>
        <w:tc>
          <w:tcPr>
            <w:tcW w:w="1824" w:type="dxa"/>
            <w:shd w:val="clear" w:color="auto" w:fill="auto"/>
          </w:tcPr>
          <w:p w14:paraId="2228A390" w14:textId="77777777" w:rsidR="00B33542" w:rsidRPr="005071A1" w:rsidRDefault="00B33542" w:rsidP="009B7AF5">
            <w:pPr>
              <w:pStyle w:val="Tabletext"/>
            </w:pPr>
            <w:r w:rsidRPr="005071A1">
              <w:t>1.16</w:t>
            </w:r>
          </w:p>
        </w:tc>
        <w:tc>
          <w:tcPr>
            <w:tcW w:w="1824" w:type="dxa"/>
            <w:shd w:val="clear" w:color="auto" w:fill="auto"/>
          </w:tcPr>
          <w:p w14:paraId="0C178A2E" w14:textId="77777777" w:rsidR="00B33542" w:rsidRPr="005071A1" w:rsidRDefault="00B33542" w:rsidP="009B7AF5">
            <w:pPr>
              <w:pStyle w:val="Tabletext"/>
            </w:pPr>
            <w:r w:rsidRPr="005071A1">
              <w:t>0.58</w:t>
            </w:r>
          </w:p>
        </w:tc>
      </w:tr>
      <w:tr w:rsidR="00B33542" w:rsidRPr="005071A1" w14:paraId="5FB2F1A7" w14:textId="77777777" w:rsidTr="009B7AF5">
        <w:tc>
          <w:tcPr>
            <w:tcW w:w="1824" w:type="dxa"/>
            <w:shd w:val="clear" w:color="auto" w:fill="auto"/>
          </w:tcPr>
          <w:p w14:paraId="31671ADB" w14:textId="77777777" w:rsidR="00B33542" w:rsidRPr="005071A1" w:rsidRDefault="00B33542" w:rsidP="009B7AF5">
            <w:pPr>
              <w:pStyle w:val="Tabletext"/>
            </w:pPr>
            <w:r w:rsidRPr="005071A1">
              <w:t>43</w:t>
            </w:r>
          </w:p>
        </w:tc>
        <w:tc>
          <w:tcPr>
            <w:tcW w:w="1824" w:type="dxa"/>
            <w:shd w:val="clear" w:color="auto" w:fill="auto"/>
          </w:tcPr>
          <w:p w14:paraId="5B7E2471" w14:textId="77777777" w:rsidR="00B33542" w:rsidRPr="005071A1" w:rsidRDefault="00B33542" w:rsidP="009B7AF5">
            <w:pPr>
              <w:pStyle w:val="Tabletext"/>
            </w:pPr>
            <w:r w:rsidRPr="005071A1">
              <w:t>1.28</w:t>
            </w:r>
          </w:p>
        </w:tc>
        <w:tc>
          <w:tcPr>
            <w:tcW w:w="1824" w:type="dxa"/>
            <w:shd w:val="clear" w:color="auto" w:fill="auto"/>
          </w:tcPr>
          <w:p w14:paraId="1148D793" w14:textId="77777777" w:rsidR="00B33542" w:rsidRPr="005071A1" w:rsidRDefault="00B33542" w:rsidP="009B7AF5">
            <w:pPr>
              <w:pStyle w:val="Tabletext"/>
            </w:pPr>
            <w:r w:rsidRPr="005071A1">
              <w:t>1.24</w:t>
            </w:r>
          </w:p>
        </w:tc>
        <w:tc>
          <w:tcPr>
            <w:tcW w:w="1824" w:type="dxa"/>
            <w:shd w:val="clear" w:color="auto" w:fill="auto"/>
          </w:tcPr>
          <w:p w14:paraId="3282D1AF" w14:textId="77777777" w:rsidR="00B33542" w:rsidRPr="005071A1" w:rsidRDefault="00B33542" w:rsidP="009B7AF5">
            <w:pPr>
              <w:pStyle w:val="Tabletext"/>
            </w:pPr>
            <w:r w:rsidRPr="005071A1">
              <w:t>0.62</w:t>
            </w:r>
          </w:p>
        </w:tc>
      </w:tr>
      <w:tr w:rsidR="00B33542" w:rsidRPr="005071A1" w14:paraId="65BBB291" w14:textId="77777777" w:rsidTr="009B7AF5">
        <w:tc>
          <w:tcPr>
            <w:tcW w:w="1824" w:type="dxa"/>
            <w:shd w:val="clear" w:color="auto" w:fill="auto"/>
          </w:tcPr>
          <w:p w14:paraId="6EED6DA8" w14:textId="77777777" w:rsidR="00B33542" w:rsidRPr="005071A1" w:rsidRDefault="00B33542" w:rsidP="009B7AF5">
            <w:pPr>
              <w:pStyle w:val="Tabletext"/>
            </w:pPr>
            <w:r w:rsidRPr="005071A1">
              <w:t>44</w:t>
            </w:r>
          </w:p>
        </w:tc>
        <w:tc>
          <w:tcPr>
            <w:tcW w:w="1824" w:type="dxa"/>
            <w:shd w:val="clear" w:color="auto" w:fill="auto"/>
          </w:tcPr>
          <w:p w14:paraId="2594A5A4" w14:textId="77777777" w:rsidR="00B33542" w:rsidRPr="005071A1" w:rsidRDefault="00B33542" w:rsidP="009B7AF5">
            <w:pPr>
              <w:pStyle w:val="Tabletext"/>
            </w:pPr>
            <w:r w:rsidRPr="005071A1">
              <w:t>1.36</w:t>
            </w:r>
          </w:p>
        </w:tc>
        <w:tc>
          <w:tcPr>
            <w:tcW w:w="1824" w:type="dxa"/>
            <w:shd w:val="clear" w:color="auto" w:fill="auto"/>
          </w:tcPr>
          <w:p w14:paraId="52A355BA" w14:textId="77777777" w:rsidR="00B33542" w:rsidRPr="005071A1" w:rsidRDefault="00B33542" w:rsidP="009B7AF5">
            <w:pPr>
              <w:pStyle w:val="Tabletext"/>
            </w:pPr>
            <w:r w:rsidRPr="005071A1">
              <w:t>1.34</w:t>
            </w:r>
          </w:p>
        </w:tc>
        <w:tc>
          <w:tcPr>
            <w:tcW w:w="1824" w:type="dxa"/>
            <w:shd w:val="clear" w:color="auto" w:fill="auto"/>
          </w:tcPr>
          <w:p w14:paraId="5F1C8F8B" w14:textId="77777777" w:rsidR="00B33542" w:rsidRPr="005071A1" w:rsidRDefault="00B33542" w:rsidP="009B7AF5">
            <w:pPr>
              <w:pStyle w:val="Tabletext"/>
            </w:pPr>
            <w:r w:rsidRPr="005071A1">
              <w:t>0.67</w:t>
            </w:r>
          </w:p>
        </w:tc>
      </w:tr>
      <w:tr w:rsidR="00B33542" w:rsidRPr="005071A1" w14:paraId="4F25FFFE" w14:textId="77777777" w:rsidTr="009B7AF5">
        <w:tc>
          <w:tcPr>
            <w:tcW w:w="1824" w:type="dxa"/>
            <w:shd w:val="clear" w:color="auto" w:fill="auto"/>
          </w:tcPr>
          <w:p w14:paraId="6CBE542B" w14:textId="77777777" w:rsidR="00B33542" w:rsidRPr="005071A1" w:rsidRDefault="00B33542" w:rsidP="009B7AF5">
            <w:pPr>
              <w:pStyle w:val="Tabletext"/>
            </w:pPr>
            <w:r w:rsidRPr="005071A1">
              <w:t>45</w:t>
            </w:r>
          </w:p>
        </w:tc>
        <w:tc>
          <w:tcPr>
            <w:tcW w:w="1824" w:type="dxa"/>
            <w:shd w:val="clear" w:color="auto" w:fill="auto"/>
          </w:tcPr>
          <w:p w14:paraId="5CAFDA40" w14:textId="77777777" w:rsidR="00B33542" w:rsidRPr="005071A1" w:rsidRDefault="00B33542" w:rsidP="009B7AF5">
            <w:pPr>
              <w:pStyle w:val="Tabletext"/>
            </w:pPr>
            <w:r w:rsidRPr="005071A1">
              <w:t>1.48</w:t>
            </w:r>
          </w:p>
        </w:tc>
        <w:tc>
          <w:tcPr>
            <w:tcW w:w="1824" w:type="dxa"/>
            <w:shd w:val="clear" w:color="auto" w:fill="auto"/>
          </w:tcPr>
          <w:p w14:paraId="6154A0FD" w14:textId="77777777" w:rsidR="00B33542" w:rsidRPr="005071A1" w:rsidRDefault="00B33542" w:rsidP="009B7AF5">
            <w:pPr>
              <w:pStyle w:val="Tabletext"/>
            </w:pPr>
            <w:r w:rsidRPr="005071A1">
              <w:t>1.46</w:t>
            </w:r>
          </w:p>
        </w:tc>
        <w:tc>
          <w:tcPr>
            <w:tcW w:w="1824" w:type="dxa"/>
            <w:shd w:val="clear" w:color="auto" w:fill="auto"/>
          </w:tcPr>
          <w:p w14:paraId="06B0FEA7" w14:textId="77777777" w:rsidR="00B33542" w:rsidRPr="005071A1" w:rsidRDefault="00B33542" w:rsidP="009B7AF5">
            <w:pPr>
              <w:pStyle w:val="Tabletext"/>
            </w:pPr>
            <w:r w:rsidRPr="005071A1">
              <w:t>0.73</w:t>
            </w:r>
          </w:p>
        </w:tc>
      </w:tr>
      <w:tr w:rsidR="00B33542" w:rsidRPr="005071A1" w14:paraId="674532CC" w14:textId="77777777" w:rsidTr="009B7AF5">
        <w:tc>
          <w:tcPr>
            <w:tcW w:w="1824" w:type="dxa"/>
            <w:shd w:val="clear" w:color="auto" w:fill="auto"/>
          </w:tcPr>
          <w:p w14:paraId="7FDA9D5E" w14:textId="77777777" w:rsidR="00B33542" w:rsidRPr="005071A1" w:rsidRDefault="00B33542" w:rsidP="009B7AF5">
            <w:pPr>
              <w:pStyle w:val="Tabletext"/>
            </w:pPr>
            <w:r w:rsidRPr="005071A1">
              <w:t>46</w:t>
            </w:r>
          </w:p>
        </w:tc>
        <w:tc>
          <w:tcPr>
            <w:tcW w:w="1824" w:type="dxa"/>
            <w:shd w:val="clear" w:color="auto" w:fill="auto"/>
          </w:tcPr>
          <w:p w14:paraId="00D42726" w14:textId="77777777" w:rsidR="00B33542" w:rsidRPr="005071A1" w:rsidRDefault="00B33542" w:rsidP="009B7AF5">
            <w:pPr>
              <w:pStyle w:val="Tabletext"/>
            </w:pPr>
            <w:r w:rsidRPr="005071A1">
              <w:t>1.62</w:t>
            </w:r>
          </w:p>
        </w:tc>
        <w:tc>
          <w:tcPr>
            <w:tcW w:w="1824" w:type="dxa"/>
            <w:shd w:val="clear" w:color="auto" w:fill="auto"/>
          </w:tcPr>
          <w:p w14:paraId="65EE83FD" w14:textId="77777777" w:rsidR="00B33542" w:rsidRPr="005071A1" w:rsidRDefault="00B33542" w:rsidP="009B7AF5">
            <w:pPr>
              <w:pStyle w:val="Tabletext"/>
            </w:pPr>
            <w:r w:rsidRPr="005071A1">
              <w:t>1.58</w:t>
            </w:r>
          </w:p>
        </w:tc>
        <w:tc>
          <w:tcPr>
            <w:tcW w:w="1824" w:type="dxa"/>
            <w:shd w:val="clear" w:color="auto" w:fill="auto"/>
          </w:tcPr>
          <w:p w14:paraId="0A4A810B" w14:textId="77777777" w:rsidR="00B33542" w:rsidRPr="005071A1" w:rsidRDefault="00B33542" w:rsidP="009B7AF5">
            <w:pPr>
              <w:pStyle w:val="Tabletext"/>
            </w:pPr>
            <w:r w:rsidRPr="005071A1">
              <w:t>0.79</w:t>
            </w:r>
          </w:p>
        </w:tc>
      </w:tr>
      <w:tr w:rsidR="00B33542" w:rsidRPr="005071A1" w14:paraId="301B709C" w14:textId="77777777" w:rsidTr="009B7AF5">
        <w:tc>
          <w:tcPr>
            <w:tcW w:w="1824" w:type="dxa"/>
            <w:shd w:val="clear" w:color="auto" w:fill="auto"/>
          </w:tcPr>
          <w:p w14:paraId="64BAB7F7" w14:textId="77777777" w:rsidR="00B33542" w:rsidRPr="005071A1" w:rsidRDefault="00B33542" w:rsidP="009B7AF5">
            <w:pPr>
              <w:pStyle w:val="Tabletext"/>
            </w:pPr>
            <w:r w:rsidRPr="005071A1">
              <w:t>47</w:t>
            </w:r>
          </w:p>
        </w:tc>
        <w:tc>
          <w:tcPr>
            <w:tcW w:w="1824" w:type="dxa"/>
            <w:shd w:val="clear" w:color="auto" w:fill="auto"/>
          </w:tcPr>
          <w:p w14:paraId="6A30623C" w14:textId="77777777" w:rsidR="00B33542" w:rsidRPr="005071A1" w:rsidRDefault="00B33542" w:rsidP="009B7AF5">
            <w:pPr>
              <w:pStyle w:val="Tabletext"/>
            </w:pPr>
            <w:r w:rsidRPr="005071A1">
              <w:t>1.78</w:t>
            </w:r>
          </w:p>
        </w:tc>
        <w:tc>
          <w:tcPr>
            <w:tcW w:w="1824" w:type="dxa"/>
            <w:shd w:val="clear" w:color="auto" w:fill="auto"/>
          </w:tcPr>
          <w:p w14:paraId="5D357A07" w14:textId="77777777" w:rsidR="00B33542" w:rsidRPr="005071A1" w:rsidRDefault="00B33542" w:rsidP="009B7AF5">
            <w:pPr>
              <w:pStyle w:val="Tabletext"/>
            </w:pPr>
            <w:r w:rsidRPr="005071A1">
              <w:t>1.74</w:t>
            </w:r>
          </w:p>
        </w:tc>
        <w:tc>
          <w:tcPr>
            <w:tcW w:w="1824" w:type="dxa"/>
            <w:shd w:val="clear" w:color="auto" w:fill="auto"/>
          </w:tcPr>
          <w:p w14:paraId="67973D66" w14:textId="77777777" w:rsidR="00B33542" w:rsidRPr="005071A1" w:rsidRDefault="00B33542" w:rsidP="009B7AF5">
            <w:pPr>
              <w:pStyle w:val="Tabletext"/>
            </w:pPr>
            <w:r w:rsidRPr="005071A1">
              <w:t>0.87</w:t>
            </w:r>
          </w:p>
        </w:tc>
      </w:tr>
      <w:tr w:rsidR="00B33542" w:rsidRPr="005071A1" w14:paraId="40C533E8" w14:textId="77777777" w:rsidTr="009B7AF5">
        <w:tc>
          <w:tcPr>
            <w:tcW w:w="1824" w:type="dxa"/>
            <w:shd w:val="clear" w:color="auto" w:fill="auto"/>
          </w:tcPr>
          <w:p w14:paraId="27BBE27F" w14:textId="77777777" w:rsidR="00B33542" w:rsidRPr="005071A1" w:rsidRDefault="00B33542" w:rsidP="009B7AF5">
            <w:pPr>
              <w:pStyle w:val="Tabletext"/>
            </w:pPr>
            <w:r w:rsidRPr="005071A1">
              <w:lastRenderedPageBreak/>
              <w:t>48</w:t>
            </w:r>
          </w:p>
        </w:tc>
        <w:tc>
          <w:tcPr>
            <w:tcW w:w="1824" w:type="dxa"/>
            <w:shd w:val="clear" w:color="auto" w:fill="auto"/>
          </w:tcPr>
          <w:p w14:paraId="6DECE319" w14:textId="77777777" w:rsidR="00B33542" w:rsidRPr="005071A1" w:rsidRDefault="00B33542" w:rsidP="009B7AF5">
            <w:pPr>
              <w:pStyle w:val="Tabletext"/>
            </w:pPr>
            <w:r w:rsidRPr="005071A1">
              <w:t>1.94</w:t>
            </w:r>
          </w:p>
        </w:tc>
        <w:tc>
          <w:tcPr>
            <w:tcW w:w="1824" w:type="dxa"/>
            <w:shd w:val="clear" w:color="auto" w:fill="auto"/>
          </w:tcPr>
          <w:p w14:paraId="33D1226E" w14:textId="77777777" w:rsidR="00B33542" w:rsidRPr="005071A1" w:rsidRDefault="00B33542" w:rsidP="009B7AF5">
            <w:pPr>
              <w:pStyle w:val="Tabletext"/>
            </w:pPr>
            <w:r w:rsidRPr="005071A1">
              <w:t>1.92</w:t>
            </w:r>
          </w:p>
        </w:tc>
        <w:tc>
          <w:tcPr>
            <w:tcW w:w="1824" w:type="dxa"/>
            <w:shd w:val="clear" w:color="auto" w:fill="auto"/>
          </w:tcPr>
          <w:p w14:paraId="7922A29C" w14:textId="77777777" w:rsidR="00B33542" w:rsidRPr="005071A1" w:rsidRDefault="00B33542" w:rsidP="009B7AF5">
            <w:pPr>
              <w:pStyle w:val="Tabletext"/>
            </w:pPr>
            <w:r w:rsidRPr="005071A1">
              <w:t>0.96</w:t>
            </w:r>
          </w:p>
        </w:tc>
      </w:tr>
      <w:tr w:rsidR="00B33542" w:rsidRPr="005071A1" w14:paraId="4F8B56D1" w14:textId="77777777" w:rsidTr="009B7AF5">
        <w:tc>
          <w:tcPr>
            <w:tcW w:w="1824" w:type="dxa"/>
            <w:shd w:val="clear" w:color="auto" w:fill="auto"/>
          </w:tcPr>
          <w:p w14:paraId="68652139" w14:textId="77777777" w:rsidR="00B33542" w:rsidRPr="005071A1" w:rsidRDefault="00B33542" w:rsidP="009B7AF5">
            <w:pPr>
              <w:pStyle w:val="Tabletext"/>
            </w:pPr>
            <w:r w:rsidRPr="005071A1">
              <w:t>49</w:t>
            </w:r>
          </w:p>
        </w:tc>
        <w:tc>
          <w:tcPr>
            <w:tcW w:w="1824" w:type="dxa"/>
            <w:shd w:val="clear" w:color="auto" w:fill="auto"/>
          </w:tcPr>
          <w:p w14:paraId="0AB86EA9" w14:textId="77777777" w:rsidR="00B33542" w:rsidRPr="005071A1" w:rsidRDefault="00B33542" w:rsidP="009B7AF5">
            <w:pPr>
              <w:pStyle w:val="Tabletext"/>
            </w:pPr>
            <w:r w:rsidRPr="005071A1">
              <w:t>2.16</w:t>
            </w:r>
          </w:p>
        </w:tc>
        <w:tc>
          <w:tcPr>
            <w:tcW w:w="1824" w:type="dxa"/>
            <w:shd w:val="clear" w:color="auto" w:fill="auto"/>
          </w:tcPr>
          <w:p w14:paraId="607A12E6" w14:textId="77777777" w:rsidR="00B33542" w:rsidRPr="005071A1" w:rsidRDefault="00B33542" w:rsidP="009B7AF5">
            <w:pPr>
              <w:pStyle w:val="Tabletext"/>
            </w:pPr>
            <w:r w:rsidRPr="005071A1">
              <w:t>2.12</w:t>
            </w:r>
          </w:p>
        </w:tc>
        <w:tc>
          <w:tcPr>
            <w:tcW w:w="1824" w:type="dxa"/>
            <w:shd w:val="clear" w:color="auto" w:fill="auto"/>
          </w:tcPr>
          <w:p w14:paraId="4633E2A9" w14:textId="77777777" w:rsidR="00B33542" w:rsidRPr="005071A1" w:rsidRDefault="00B33542" w:rsidP="009B7AF5">
            <w:pPr>
              <w:pStyle w:val="Tabletext"/>
            </w:pPr>
            <w:r w:rsidRPr="005071A1">
              <w:t>1.06</w:t>
            </w:r>
          </w:p>
        </w:tc>
      </w:tr>
      <w:tr w:rsidR="00B33542" w:rsidRPr="005071A1" w14:paraId="437B5417" w14:textId="77777777" w:rsidTr="009B7AF5">
        <w:tc>
          <w:tcPr>
            <w:tcW w:w="1824" w:type="dxa"/>
            <w:shd w:val="clear" w:color="auto" w:fill="auto"/>
          </w:tcPr>
          <w:p w14:paraId="2F8E7F92" w14:textId="77777777" w:rsidR="00B33542" w:rsidRPr="005071A1" w:rsidRDefault="00B33542" w:rsidP="009B7AF5">
            <w:pPr>
              <w:pStyle w:val="Tabletext"/>
            </w:pPr>
            <w:r w:rsidRPr="005071A1">
              <w:t>50</w:t>
            </w:r>
          </w:p>
        </w:tc>
        <w:tc>
          <w:tcPr>
            <w:tcW w:w="1824" w:type="dxa"/>
            <w:shd w:val="clear" w:color="auto" w:fill="auto"/>
          </w:tcPr>
          <w:p w14:paraId="08C0D03F" w14:textId="77777777" w:rsidR="00B33542" w:rsidRPr="005071A1" w:rsidRDefault="00B33542" w:rsidP="009B7AF5">
            <w:pPr>
              <w:pStyle w:val="Tabletext"/>
            </w:pPr>
            <w:r w:rsidRPr="005071A1">
              <w:t>2.42</w:t>
            </w:r>
          </w:p>
        </w:tc>
        <w:tc>
          <w:tcPr>
            <w:tcW w:w="1824" w:type="dxa"/>
            <w:shd w:val="clear" w:color="auto" w:fill="auto"/>
          </w:tcPr>
          <w:p w14:paraId="6801A9F2" w14:textId="77777777" w:rsidR="00B33542" w:rsidRPr="005071A1" w:rsidRDefault="00B33542" w:rsidP="009B7AF5">
            <w:pPr>
              <w:pStyle w:val="Tabletext"/>
            </w:pPr>
            <w:r w:rsidRPr="005071A1">
              <w:t>2.38</w:t>
            </w:r>
          </w:p>
        </w:tc>
        <w:tc>
          <w:tcPr>
            <w:tcW w:w="1824" w:type="dxa"/>
            <w:shd w:val="clear" w:color="auto" w:fill="auto"/>
          </w:tcPr>
          <w:p w14:paraId="22E1976F" w14:textId="77777777" w:rsidR="00B33542" w:rsidRPr="005071A1" w:rsidRDefault="00B33542" w:rsidP="009B7AF5">
            <w:pPr>
              <w:pStyle w:val="Tabletext"/>
            </w:pPr>
            <w:r w:rsidRPr="005071A1">
              <w:t>1.19</w:t>
            </w:r>
          </w:p>
        </w:tc>
      </w:tr>
      <w:tr w:rsidR="00B33542" w:rsidRPr="005071A1" w14:paraId="3AB9C7B9" w14:textId="77777777" w:rsidTr="009B7AF5">
        <w:tc>
          <w:tcPr>
            <w:tcW w:w="1824" w:type="dxa"/>
            <w:shd w:val="clear" w:color="auto" w:fill="auto"/>
          </w:tcPr>
          <w:p w14:paraId="6D55DD3B" w14:textId="77777777" w:rsidR="00B33542" w:rsidRPr="005071A1" w:rsidRDefault="00B33542" w:rsidP="009B7AF5">
            <w:pPr>
              <w:pStyle w:val="Tabletext"/>
            </w:pPr>
            <w:r w:rsidRPr="005071A1">
              <w:t>51</w:t>
            </w:r>
          </w:p>
        </w:tc>
        <w:tc>
          <w:tcPr>
            <w:tcW w:w="1824" w:type="dxa"/>
            <w:shd w:val="clear" w:color="auto" w:fill="auto"/>
          </w:tcPr>
          <w:p w14:paraId="12150956" w14:textId="77777777" w:rsidR="00B33542" w:rsidRPr="005071A1" w:rsidRDefault="00B33542" w:rsidP="009B7AF5">
            <w:pPr>
              <w:pStyle w:val="Tabletext"/>
            </w:pPr>
            <w:r w:rsidRPr="005071A1">
              <w:t>2.72</w:t>
            </w:r>
          </w:p>
        </w:tc>
        <w:tc>
          <w:tcPr>
            <w:tcW w:w="1824" w:type="dxa"/>
            <w:shd w:val="clear" w:color="auto" w:fill="auto"/>
          </w:tcPr>
          <w:p w14:paraId="4C13E71B" w14:textId="77777777" w:rsidR="00B33542" w:rsidRPr="005071A1" w:rsidRDefault="00B33542" w:rsidP="009B7AF5">
            <w:pPr>
              <w:pStyle w:val="Tabletext"/>
            </w:pPr>
            <w:r w:rsidRPr="005071A1">
              <w:t>2.68</w:t>
            </w:r>
          </w:p>
        </w:tc>
        <w:tc>
          <w:tcPr>
            <w:tcW w:w="1824" w:type="dxa"/>
            <w:shd w:val="clear" w:color="auto" w:fill="auto"/>
          </w:tcPr>
          <w:p w14:paraId="3295DFDC" w14:textId="77777777" w:rsidR="00B33542" w:rsidRPr="005071A1" w:rsidRDefault="00B33542" w:rsidP="009B7AF5">
            <w:pPr>
              <w:pStyle w:val="Tabletext"/>
            </w:pPr>
            <w:r w:rsidRPr="005071A1">
              <w:t>1.34</w:t>
            </w:r>
          </w:p>
        </w:tc>
      </w:tr>
      <w:tr w:rsidR="00B33542" w:rsidRPr="005071A1" w14:paraId="1DADA7E3" w14:textId="77777777" w:rsidTr="00D57394">
        <w:tc>
          <w:tcPr>
            <w:tcW w:w="1824" w:type="dxa"/>
            <w:tcBorders>
              <w:bottom w:val="single" w:sz="4" w:space="0" w:color="auto"/>
            </w:tcBorders>
            <w:shd w:val="clear" w:color="auto" w:fill="auto"/>
          </w:tcPr>
          <w:p w14:paraId="042FE505" w14:textId="77777777" w:rsidR="00B33542" w:rsidRPr="005071A1" w:rsidRDefault="00B33542" w:rsidP="009B7AF5">
            <w:pPr>
              <w:pStyle w:val="Tabletext"/>
            </w:pPr>
            <w:r w:rsidRPr="005071A1">
              <w:t>52</w:t>
            </w:r>
          </w:p>
        </w:tc>
        <w:tc>
          <w:tcPr>
            <w:tcW w:w="1824" w:type="dxa"/>
            <w:tcBorders>
              <w:bottom w:val="single" w:sz="4" w:space="0" w:color="auto"/>
            </w:tcBorders>
            <w:shd w:val="clear" w:color="auto" w:fill="auto"/>
          </w:tcPr>
          <w:p w14:paraId="3C719801" w14:textId="77777777" w:rsidR="00B33542" w:rsidRPr="005071A1" w:rsidRDefault="00B33542" w:rsidP="009B7AF5">
            <w:pPr>
              <w:pStyle w:val="Tabletext"/>
            </w:pPr>
            <w:r w:rsidRPr="005071A1">
              <w:t>3.12</w:t>
            </w:r>
          </w:p>
        </w:tc>
        <w:tc>
          <w:tcPr>
            <w:tcW w:w="1824" w:type="dxa"/>
            <w:tcBorders>
              <w:bottom w:val="single" w:sz="4" w:space="0" w:color="auto"/>
            </w:tcBorders>
            <w:shd w:val="clear" w:color="auto" w:fill="auto"/>
          </w:tcPr>
          <w:p w14:paraId="6CE13820" w14:textId="77777777" w:rsidR="00B33542" w:rsidRPr="005071A1" w:rsidRDefault="00B33542" w:rsidP="009B7AF5">
            <w:pPr>
              <w:pStyle w:val="Tabletext"/>
            </w:pPr>
            <w:r w:rsidRPr="005071A1">
              <w:t>3.08</w:t>
            </w:r>
          </w:p>
        </w:tc>
        <w:tc>
          <w:tcPr>
            <w:tcW w:w="1824" w:type="dxa"/>
            <w:tcBorders>
              <w:bottom w:val="single" w:sz="4" w:space="0" w:color="auto"/>
            </w:tcBorders>
            <w:shd w:val="clear" w:color="auto" w:fill="auto"/>
          </w:tcPr>
          <w:p w14:paraId="173314B2" w14:textId="77777777" w:rsidR="00B33542" w:rsidRPr="005071A1" w:rsidRDefault="00B33542" w:rsidP="009B7AF5">
            <w:pPr>
              <w:pStyle w:val="Tabletext"/>
            </w:pPr>
            <w:r w:rsidRPr="005071A1">
              <w:t>1.54</w:t>
            </w:r>
          </w:p>
        </w:tc>
      </w:tr>
      <w:tr w:rsidR="00B33542" w:rsidRPr="005071A1" w14:paraId="34186BA8" w14:textId="77777777" w:rsidTr="00D57394">
        <w:tc>
          <w:tcPr>
            <w:tcW w:w="1824" w:type="dxa"/>
            <w:tcBorders>
              <w:bottom w:val="single" w:sz="4" w:space="0" w:color="auto"/>
            </w:tcBorders>
            <w:shd w:val="clear" w:color="auto" w:fill="auto"/>
          </w:tcPr>
          <w:p w14:paraId="2A0E8449" w14:textId="77777777" w:rsidR="00B33542" w:rsidRPr="005071A1" w:rsidRDefault="00B33542" w:rsidP="009B7AF5">
            <w:pPr>
              <w:pStyle w:val="Tabletext"/>
            </w:pPr>
            <w:r w:rsidRPr="005071A1">
              <w:t>53</w:t>
            </w:r>
          </w:p>
        </w:tc>
        <w:tc>
          <w:tcPr>
            <w:tcW w:w="1824" w:type="dxa"/>
            <w:tcBorders>
              <w:bottom w:val="single" w:sz="4" w:space="0" w:color="auto"/>
            </w:tcBorders>
            <w:shd w:val="clear" w:color="auto" w:fill="auto"/>
          </w:tcPr>
          <w:p w14:paraId="09F5AFAD" w14:textId="77777777" w:rsidR="00B33542" w:rsidRPr="005071A1" w:rsidRDefault="00B33542" w:rsidP="009B7AF5">
            <w:pPr>
              <w:pStyle w:val="Tabletext"/>
            </w:pPr>
            <w:r w:rsidRPr="005071A1">
              <w:t>3.60</w:t>
            </w:r>
          </w:p>
        </w:tc>
        <w:tc>
          <w:tcPr>
            <w:tcW w:w="1824" w:type="dxa"/>
            <w:tcBorders>
              <w:bottom w:val="single" w:sz="4" w:space="0" w:color="auto"/>
            </w:tcBorders>
            <w:shd w:val="clear" w:color="auto" w:fill="auto"/>
          </w:tcPr>
          <w:p w14:paraId="31613A71" w14:textId="77777777" w:rsidR="00B33542" w:rsidRPr="005071A1" w:rsidRDefault="00B33542" w:rsidP="009B7AF5">
            <w:pPr>
              <w:pStyle w:val="Tabletext"/>
            </w:pPr>
            <w:r w:rsidRPr="005071A1">
              <w:t>3.56</w:t>
            </w:r>
          </w:p>
        </w:tc>
        <w:tc>
          <w:tcPr>
            <w:tcW w:w="1824" w:type="dxa"/>
            <w:tcBorders>
              <w:bottom w:val="single" w:sz="4" w:space="0" w:color="auto"/>
            </w:tcBorders>
            <w:shd w:val="clear" w:color="auto" w:fill="auto"/>
          </w:tcPr>
          <w:p w14:paraId="7A0BDC89" w14:textId="77777777" w:rsidR="00B33542" w:rsidRPr="005071A1" w:rsidRDefault="00B33542" w:rsidP="009B7AF5">
            <w:pPr>
              <w:pStyle w:val="Tabletext"/>
            </w:pPr>
            <w:r w:rsidRPr="005071A1">
              <w:t>1.78</w:t>
            </w:r>
          </w:p>
        </w:tc>
      </w:tr>
      <w:tr w:rsidR="00B33542" w:rsidRPr="005071A1" w14:paraId="35112BE9" w14:textId="77777777" w:rsidTr="00D57394">
        <w:tc>
          <w:tcPr>
            <w:tcW w:w="1824" w:type="dxa"/>
            <w:tcBorders>
              <w:top w:val="single" w:sz="4" w:space="0" w:color="auto"/>
            </w:tcBorders>
            <w:shd w:val="clear" w:color="auto" w:fill="auto"/>
          </w:tcPr>
          <w:p w14:paraId="27E6D77C" w14:textId="77777777" w:rsidR="00B33542" w:rsidRPr="005071A1" w:rsidRDefault="00B33542" w:rsidP="009B7AF5">
            <w:pPr>
              <w:pStyle w:val="Tabletext"/>
            </w:pPr>
            <w:r w:rsidRPr="005071A1">
              <w:t>54</w:t>
            </w:r>
          </w:p>
        </w:tc>
        <w:tc>
          <w:tcPr>
            <w:tcW w:w="1824" w:type="dxa"/>
            <w:tcBorders>
              <w:top w:val="single" w:sz="4" w:space="0" w:color="auto"/>
            </w:tcBorders>
            <w:shd w:val="clear" w:color="auto" w:fill="auto"/>
          </w:tcPr>
          <w:p w14:paraId="5DE58683" w14:textId="77777777" w:rsidR="00B33542" w:rsidRPr="005071A1" w:rsidRDefault="00B33542" w:rsidP="009B7AF5">
            <w:pPr>
              <w:pStyle w:val="Tabletext"/>
            </w:pPr>
            <w:r w:rsidRPr="005071A1">
              <w:t>4.28</w:t>
            </w:r>
          </w:p>
        </w:tc>
        <w:tc>
          <w:tcPr>
            <w:tcW w:w="1824" w:type="dxa"/>
            <w:tcBorders>
              <w:top w:val="single" w:sz="4" w:space="0" w:color="auto"/>
            </w:tcBorders>
            <w:shd w:val="clear" w:color="auto" w:fill="auto"/>
          </w:tcPr>
          <w:p w14:paraId="496640F5" w14:textId="77777777" w:rsidR="00B33542" w:rsidRPr="005071A1" w:rsidRDefault="00B33542" w:rsidP="009B7AF5">
            <w:pPr>
              <w:pStyle w:val="Tabletext"/>
            </w:pPr>
            <w:r w:rsidRPr="005071A1">
              <w:t>4.22</w:t>
            </w:r>
          </w:p>
        </w:tc>
        <w:tc>
          <w:tcPr>
            <w:tcW w:w="1824" w:type="dxa"/>
            <w:tcBorders>
              <w:top w:val="single" w:sz="4" w:space="0" w:color="auto"/>
            </w:tcBorders>
            <w:shd w:val="clear" w:color="auto" w:fill="auto"/>
          </w:tcPr>
          <w:p w14:paraId="72D6CA06" w14:textId="77777777" w:rsidR="00B33542" w:rsidRPr="005071A1" w:rsidRDefault="00B33542" w:rsidP="009B7AF5">
            <w:pPr>
              <w:pStyle w:val="Tabletext"/>
            </w:pPr>
            <w:r w:rsidRPr="005071A1">
              <w:t>2.11</w:t>
            </w:r>
          </w:p>
        </w:tc>
      </w:tr>
      <w:tr w:rsidR="00B33542" w:rsidRPr="005071A1" w14:paraId="2F852A4E" w14:textId="77777777" w:rsidTr="00640BB6">
        <w:tc>
          <w:tcPr>
            <w:tcW w:w="1824" w:type="dxa"/>
            <w:tcBorders>
              <w:bottom w:val="single" w:sz="4" w:space="0" w:color="auto"/>
            </w:tcBorders>
            <w:shd w:val="clear" w:color="auto" w:fill="auto"/>
          </w:tcPr>
          <w:p w14:paraId="6ECE5A7D" w14:textId="77777777" w:rsidR="00B33542" w:rsidRPr="005071A1" w:rsidRDefault="00B33542" w:rsidP="009B7AF5">
            <w:pPr>
              <w:pStyle w:val="Tabletext"/>
            </w:pPr>
            <w:r w:rsidRPr="005071A1">
              <w:t>55</w:t>
            </w:r>
          </w:p>
        </w:tc>
        <w:tc>
          <w:tcPr>
            <w:tcW w:w="1824" w:type="dxa"/>
            <w:tcBorders>
              <w:bottom w:val="single" w:sz="4" w:space="0" w:color="auto"/>
            </w:tcBorders>
            <w:shd w:val="clear" w:color="auto" w:fill="auto"/>
          </w:tcPr>
          <w:p w14:paraId="7D726D3C" w14:textId="77777777" w:rsidR="00B33542" w:rsidRPr="005071A1" w:rsidRDefault="00B33542" w:rsidP="009B7AF5">
            <w:pPr>
              <w:pStyle w:val="Tabletext"/>
            </w:pPr>
            <w:r w:rsidRPr="005071A1">
              <w:t>5.20</w:t>
            </w:r>
          </w:p>
        </w:tc>
        <w:tc>
          <w:tcPr>
            <w:tcW w:w="1824" w:type="dxa"/>
            <w:tcBorders>
              <w:bottom w:val="single" w:sz="4" w:space="0" w:color="auto"/>
            </w:tcBorders>
            <w:shd w:val="clear" w:color="auto" w:fill="auto"/>
          </w:tcPr>
          <w:p w14:paraId="29D59281" w14:textId="77777777" w:rsidR="00B33542" w:rsidRPr="005071A1" w:rsidRDefault="00B33542" w:rsidP="009B7AF5">
            <w:pPr>
              <w:pStyle w:val="Tabletext"/>
            </w:pPr>
            <w:r w:rsidRPr="005071A1">
              <w:t>5.14</w:t>
            </w:r>
          </w:p>
        </w:tc>
        <w:tc>
          <w:tcPr>
            <w:tcW w:w="1824" w:type="dxa"/>
            <w:tcBorders>
              <w:bottom w:val="single" w:sz="4" w:space="0" w:color="auto"/>
            </w:tcBorders>
            <w:shd w:val="clear" w:color="auto" w:fill="auto"/>
          </w:tcPr>
          <w:p w14:paraId="01623483" w14:textId="77777777" w:rsidR="00B33542" w:rsidRPr="005071A1" w:rsidRDefault="00B33542" w:rsidP="009B7AF5">
            <w:pPr>
              <w:pStyle w:val="Tabletext"/>
            </w:pPr>
            <w:r w:rsidRPr="005071A1">
              <w:t>2.57</w:t>
            </w:r>
          </w:p>
        </w:tc>
      </w:tr>
      <w:tr w:rsidR="00B33542" w:rsidRPr="005071A1" w14:paraId="4FB8E04C" w14:textId="77777777" w:rsidTr="00640BB6">
        <w:tc>
          <w:tcPr>
            <w:tcW w:w="1824" w:type="dxa"/>
            <w:tcBorders>
              <w:bottom w:val="single" w:sz="4" w:space="0" w:color="auto"/>
            </w:tcBorders>
            <w:shd w:val="clear" w:color="auto" w:fill="auto"/>
          </w:tcPr>
          <w:p w14:paraId="22B4CC54" w14:textId="77777777" w:rsidR="00B33542" w:rsidRPr="005071A1" w:rsidRDefault="00B33542" w:rsidP="009B7AF5">
            <w:pPr>
              <w:pStyle w:val="Tabletext"/>
            </w:pPr>
            <w:r w:rsidRPr="005071A1">
              <w:t>56</w:t>
            </w:r>
          </w:p>
        </w:tc>
        <w:tc>
          <w:tcPr>
            <w:tcW w:w="1824" w:type="dxa"/>
            <w:tcBorders>
              <w:bottom w:val="single" w:sz="4" w:space="0" w:color="auto"/>
            </w:tcBorders>
            <w:shd w:val="clear" w:color="auto" w:fill="auto"/>
          </w:tcPr>
          <w:p w14:paraId="0D0F7744" w14:textId="77777777" w:rsidR="00B33542" w:rsidRPr="005071A1" w:rsidRDefault="00B33542" w:rsidP="009B7AF5">
            <w:pPr>
              <w:pStyle w:val="Tabletext"/>
            </w:pPr>
            <w:r w:rsidRPr="005071A1">
              <w:t>6.60</w:t>
            </w:r>
          </w:p>
        </w:tc>
        <w:tc>
          <w:tcPr>
            <w:tcW w:w="1824" w:type="dxa"/>
            <w:tcBorders>
              <w:bottom w:val="single" w:sz="4" w:space="0" w:color="auto"/>
            </w:tcBorders>
            <w:shd w:val="clear" w:color="auto" w:fill="auto"/>
          </w:tcPr>
          <w:p w14:paraId="255F2523" w14:textId="77777777" w:rsidR="00B33542" w:rsidRPr="005071A1" w:rsidRDefault="00B33542" w:rsidP="009B7AF5">
            <w:pPr>
              <w:pStyle w:val="Tabletext"/>
            </w:pPr>
            <w:r w:rsidRPr="005071A1">
              <w:t>6.54</w:t>
            </w:r>
          </w:p>
        </w:tc>
        <w:tc>
          <w:tcPr>
            <w:tcW w:w="1824" w:type="dxa"/>
            <w:tcBorders>
              <w:bottom w:val="single" w:sz="4" w:space="0" w:color="auto"/>
            </w:tcBorders>
            <w:shd w:val="clear" w:color="auto" w:fill="auto"/>
          </w:tcPr>
          <w:p w14:paraId="4E207F1A" w14:textId="77777777" w:rsidR="00B33542" w:rsidRPr="005071A1" w:rsidRDefault="00B33542" w:rsidP="009B7AF5">
            <w:pPr>
              <w:pStyle w:val="Tabletext"/>
            </w:pPr>
            <w:r w:rsidRPr="005071A1">
              <w:t>3.27</w:t>
            </w:r>
          </w:p>
        </w:tc>
      </w:tr>
      <w:tr w:rsidR="00B33542" w:rsidRPr="005071A1" w14:paraId="507E058C" w14:textId="77777777" w:rsidTr="00640BB6">
        <w:tc>
          <w:tcPr>
            <w:tcW w:w="1824" w:type="dxa"/>
            <w:tcBorders>
              <w:top w:val="single" w:sz="4" w:space="0" w:color="auto"/>
            </w:tcBorders>
            <w:shd w:val="clear" w:color="auto" w:fill="auto"/>
          </w:tcPr>
          <w:p w14:paraId="0281AFA9" w14:textId="77777777" w:rsidR="00B33542" w:rsidRPr="005071A1" w:rsidRDefault="00B33542" w:rsidP="009B7AF5">
            <w:pPr>
              <w:pStyle w:val="Tabletext"/>
            </w:pPr>
            <w:r w:rsidRPr="005071A1">
              <w:t>57</w:t>
            </w:r>
          </w:p>
        </w:tc>
        <w:tc>
          <w:tcPr>
            <w:tcW w:w="1824" w:type="dxa"/>
            <w:tcBorders>
              <w:top w:val="single" w:sz="4" w:space="0" w:color="auto"/>
            </w:tcBorders>
            <w:shd w:val="clear" w:color="auto" w:fill="auto"/>
          </w:tcPr>
          <w:p w14:paraId="443C9706" w14:textId="77777777" w:rsidR="00B33542" w:rsidRPr="005071A1" w:rsidRDefault="00B33542" w:rsidP="009B7AF5">
            <w:pPr>
              <w:pStyle w:val="Tabletext"/>
            </w:pPr>
            <w:r w:rsidRPr="005071A1">
              <w:t>8.90</w:t>
            </w:r>
          </w:p>
        </w:tc>
        <w:tc>
          <w:tcPr>
            <w:tcW w:w="1824" w:type="dxa"/>
            <w:tcBorders>
              <w:top w:val="single" w:sz="4" w:space="0" w:color="auto"/>
            </w:tcBorders>
            <w:shd w:val="clear" w:color="auto" w:fill="auto"/>
          </w:tcPr>
          <w:p w14:paraId="637A9699" w14:textId="77777777" w:rsidR="00B33542" w:rsidRPr="005071A1" w:rsidRDefault="00B33542" w:rsidP="009B7AF5">
            <w:pPr>
              <w:pStyle w:val="Tabletext"/>
            </w:pPr>
            <w:r w:rsidRPr="005071A1">
              <w:t>8.82</w:t>
            </w:r>
          </w:p>
        </w:tc>
        <w:tc>
          <w:tcPr>
            <w:tcW w:w="1824" w:type="dxa"/>
            <w:tcBorders>
              <w:top w:val="single" w:sz="4" w:space="0" w:color="auto"/>
            </w:tcBorders>
            <w:shd w:val="clear" w:color="auto" w:fill="auto"/>
          </w:tcPr>
          <w:p w14:paraId="70F05F1E" w14:textId="77777777" w:rsidR="00B33542" w:rsidRPr="005071A1" w:rsidRDefault="00B33542" w:rsidP="009B7AF5">
            <w:pPr>
              <w:pStyle w:val="Tabletext"/>
            </w:pPr>
            <w:r w:rsidRPr="005071A1">
              <w:t>4.41</w:t>
            </w:r>
          </w:p>
        </w:tc>
      </w:tr>
      <w:tr w:rsidR="00B33542" w:rsidRPr="005071A1" w14:paraId="7C3EBC02" w14:textId="77777777" w:rsidTr="009B7AF5">
        <w:tc>
          <w:tcPr>
            <w:tcW w:w="1824" w:type="dxa"/>
            <w:shd w:val="clear" w:color="auto" w:fill="auto"/>
          </w:tcPr>
          <w:p w14:paraId="0DA7AB3F" w14:textId="77777777" w:rsidR="00B33542" w:rsidRPr="005071A1" w:rsidRDefault="00B33542" w:rsidP="009B7AF5">
            <w:pPr>
              <w:pStyle w:val="Tabletext"/>
            </w:pPr>
            <w:r w:rsidRPr="005071A1">
              <w:t>58</w:t>
            </w:r>
          </w:p>
        </w:tc>
        <w:tc>
          <w:tcPr>
            <w:tcW w:w="1824" w:type="dxa"/>
            <w:shd w:val="clear" w:color="auto" w:fill="auto"/>
          </w:tcPr>
          <w:p w14:paraId="74614C20" w14:textId="77777777" w:rsidR="00B33542" w:rsidRPr="005071A1" w:rsidRDefault="00B33542" w:rsidP="009B7AF5">
            <w:pPr>
              <w:pStyle w:val="Tabletext"/>
            </w:pPr>
            <w:r w:rsidRPr="005071A1">
              <w:t>13.52</w:t>
            </w:r>
          </w:p>
        </w:tc>
        <w:tc>
          <w:tcPr>
            <w:tcW w:w="1824" w:type="dxa"/>
            <w:shd w:val="clear" w:color="auto" w:fill="auto"/>
          </w:tcPr>
          <w:p w14:paraId="53B26953" w14:textId="77777777" w:rsidR="00B33542" w:rsidRPr="005071A1" w:rsidRDefault="00B33542" w:rsidP="009B7AF5">
            <w:pPr>
              <w:pStyle w:val="Tabletext"/>
            </w:pPr>
            <w:r w:rsidRPr="005071A1">
              <w:t>13.42</w:t>
            </w:r>
          </w:p>
        </w:tc>
        <w:tc>
          <w:tcPr>
            <w:tcW w:w="1824" w:type="dxa"/>
            <w:shd w:val="clear" w:color="auto" w:fill="auto"/>
          </w:tcPr>
          <w:p w14:paraId="7E7F7F2C" w14:textId="77777777" w:rsidR="00B33542" w:rsidRPr="005071A1" w:rsidRDefault="00B33542" w:rsidP="009B7AF5">
            <w:pPr>
              <w:pStyle w:val="Tabletext"/>
            </w:pPr>
            <w:r w:rsidRPr="005071A1">
              <w:t>6.71</w:t>
            </w:r>
          </w:p>
        </w:tc>
      </w:tr>
      <w:tr w:rsidR="00B33542" w:rsidRPr="005071A1" w14:paraId="0C795F5B" w14:textId="77777777" w:rsidTr="009B7AF5">
        <w:tc>
          <w:tcPr>
            <w:tcW w:w="1824" w:type="dxa"/>
            <w:tcBorders>
              <w:bottom w:val="single" w:sz="4" w:space="0" w:color="auto"/>
            </w:tcBorders>
            <w:shd w:val="clear" w:color="auto" w:fill="auto"/>
          </w:tcPr>
          <w:p w14:paraId="0DBF90D7" w14:textId="77777777" w:rsidR="00B33542" w:rsidRPr="005071A1" w:rsidRDefault="00B33542" w:rsidP="009B7AF5">
            <w:pPr>
              <w:pStyle w:val="Tabletext"/>
            </w:pPr>
            <w:r w:rsidRPr="005071A1">
              <w:t>59</w:t>
            </w:r>
          </w:p>
        </w:tc>
        <w:tc>
          <w:tcPr>
            <w:tcW w:w="1824" w:type="dxa"/>
            <w:tcBorders>
              <w:bottom w:val="single" w:sz="4" w:space="0" w:color="auto"/>
            </w:tcBorders>
            <w:shd w:val="clear" w:color="auto" w:fill="auto"/>
          </w:tcPr>
          <w:p w14:paraId="0924422E" w14:textId="77777777" w:rsidR="00B33542" w:rsidRPr="005071A1" w:rsidRDefault="00B33542" w:rsidP="009B7AF5">
            <w:pPr>
              <w:pStyle w:val="Tabletext"/>
            </w:pPr>
            <w:r w:rsidRPr="005071A1">
              <w:t>27.30</w:t>
            </w:r>
          </w:p>
        </w:tc>
        <w:tc>
          <w:tcPr>
            <w:tcW w:w="1824" w:type="dxa"/>
            <w:tcBorders>
              <w:bottom w:val="single" w:sz="4" w:space="0" w:color="auto"/>
            </w:tcBorders>
            <w:shd w:val="clear" w:color="auto" w:fill="auto"/>
          </w:tcPr>
          <w:p w14:paraId="4F0B896B" w14:textId="77777777" w:rsidR="00B33542" w:rsidRPr="005071A1" w:rsidRDefault="00B33542" w:rsidP="009B7AF5">
            <w:pPr>
              <w:pStyle w:val="Tabletext"/>
            </w:pPr>
            <w:r w:rsidRPr="005071A1">
              <w:t>27.14</w:t>
            </w:r>
          </w:p>
        </w:tc>
        <w:tc>
          <w:tcPr>
            <w:tcW w:w="1824" w:type="dxa"/>
            <w:tcBorders>
              <w:bottom w:val="single" w:sz="4" w:space="0" w:color="auto"/>
            </w:tcBorders>
            <w:shd w:val="clear" w:color="auto" w:fill="auto"/>
          </w:tcPr>
          <w:p w14:paraId="08A3BC3F" w14:textId="77777777" w:rsidR="00B33542" w:rsidRPr="005071A1" w:rsidRDefault="00B33542" w:rsidP="009B7AF5">
            <w:pPr>
              <w:pStyle w:val="Tabletext"/>
            </w:pPr>
            <w:r w:rsidRPr="005071A1">
              <w:t>13.57</w:t>
            </w:r>
          </w:p>
        </w:tc>
      </w:tr>
      <w:tr w:rsidR="00B33542" w:rsidRPr="005071A1" w14:paraId="61D5F357" w14:textId="77777777" w:rsidTr="009B7AF5">
        <w:tc>
          <w:tcPr>
            <w:tcW w:w="1824" w:type="dxa"/>
            <w:tcBorders>
              <w:bottom w:val="single" w:sz="12" w:space="0" w:color="auto"/>
            </w:tcBorders>
            <w:shd w:val="clear" w:color="auto" w:fill="auto"/>
          </w:tcPr>
          <w:p w14:paraId="274BEED1" w14:textId="77777777" w:rsidR="00B33542" w:rsidRPr="005071A1" w:rsidRDefault="00B33542" w:rsidP="009B7AF5">
            <w:pPr>
              <w:pStyle w:val="Tabletext"/>
            </w:pPr>
            <w:r w:rsidRPr="005071A1">
              <w:t>60</w:t>
            </w:r>
          </w:p>
        </w:tc>
        <w:tc>
          <w:tcPr>
            <w:tcW w:w="1824" w:type="dxa"/>
            <w:tcBorders>
              <w:bottom w:val="single" w:sz="12" w:space="0" w:color="auto"/>
            </w:tcBorders>
            <w:shd w:val="clear" w:color="auto" w:fill="auto"/>
          </w:tcPr>
          <w:p w14:paraId="271589B7" w14:textId="77777777" w:rsidR="00B33542" w:rsidRPr="005071A1" w:rsidRDefault="00B33542" w:rsidP="009B7AF5">
            <w:pPr>
              <w:pStyle w:val="Tabletext"/>
            </w:pPr>
            <w:r w:rsidRPr="005071A1">
              <w:t>27.56</w:t>
            </w:r>
          </w:p>
        </w:tc>
        <w:tc>
          <w:tcPr>
            <w:tcW w:w="1824" w:type="dxa"/>
            <w:tcBorders>
              <w:bottom w:val="single" w:sz="12" w:space="0" w:color="auto"/>
            </w:tcBorders>
            <w:shd w:val="clear" w:color="auto" w:fill="auto"/>
          </w:tcPr>
          <w:p w14:paraId="0050F765" w14:textId="77777777" w:rsidR="00B33542" w:rsidRPr="005071A1" w:rsidRDefault="00B33542" w:rsidP="009B7AF5">
            <w:pPr>
              <w:pStyle w:val="Tabletext"/>
            </w:pPr>
            <w:r w:rsidRPr="005071A1">
              <w:t>27.40</w:t>
            </w:r>
          </w:p>
        </w:tc>
        <w:tc>
          <w:tcPr>
            <w:tcW w:w="1824" w:type="dxa"/>
            <w:tcBorders>
              <w:bottom w:val="single" w:sz="12" w:space="0" w:color="auto"/>
            </w:tcBorders>
            <w:shd w:val="clear" w:color="auto" w:fill="auto"/>
          </w:tcPr>
          <w:p w14:paraId="3D2F7CDD" w14:textId="77777777" w:rsidR="00B33542" w:rsidRPr="005071A1" w:rsidRDefault="00B33542" w:rsidP="009B7AF5">
            <w:pPr>
              <w:pStyle w:val="Tabletext"/>
            </w:pPr>
            <w:r w:rsidRPr="005071A1">
              <w:t>13.70</w:t>
            </w:r>
          </w:p>
        </w:tc>
      </w:tr>
    </w:tbl>
    <w:p w14:paraId="67E53CA6" w14:textId="77777777" w:rsidR="00B33542" w:rsidRPr="005071A1" w:rsidRDefault="00B33542" w:rsidP="00674A0D">
      <w:pPr>
        <w:pStyle w:val="ActHead5"/>
        <w:pageBreakBefore/>
      </w:pPr>
      <w:bookmarkStart w:id="295" w:name="_Toc185577677"/>
      <w:r w:rsidRPr="005071A1">
        <w:lastRenderedPageBreak/>
        <w:t>Table VIII</w:t>
      </w:r>
      <w:bookmarkEnd w:id="295"/>
    </w:p>
    <w:p w14:paraId="6054A9A8" w14:textId="77777777" w:rsidR="00B33542" w:rsidRPr="005071A1" w:rsidRDefault="00B33542" w:rsidP="00B33542">
      <w:pPr>
        <w:spacing w:before="120"/>
      </w:pPr>
      <w:r w:rsidRPr="005071A1">
        <w:t>Rates of contribution to be paid fortnightly by female contributors for units of pension based on a retiring age of 60 years and the age next birthday of the contributor when the obligation to contribute for those units came into existence</w:t>
      </w:r>
    </w:p>
    <w:p w14:paraId="2AFD8DD0"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32"/>
        <w:gridCol w:w="2432"/>
        <w:gridCol w:w="2432"/>
      </w:tblGrid>
      <w:tr w:rsidR="00B33542" w:rsidRPr="005071A1" w14:paraId="3D9D32E9" w14:textId="77777777" w:rsidTr="009B7AF5">
        <w:trPr>
          <w:tblHeader/>
        </w:trPr>
        <w:tc>
          <w:tcPr>
            <w:tcW w:w="2432" w:type="dxa"/>
            <w:tcBorders>
              <w:top w:val="single" w:sz="12" w:space="0" w:color="auto"/>
              <w:bottom w:val="single" w:sz="6" w:space="0" w:color="auto"/>
            </w:tcBorders>
            <w:shd w:val="clear" w:color="auto" w:fill="auto"/>
          </w:tcPr>
          <w:p w14:paraId="5C364119" w14:textId="77777777" w:rsidR="00B33542" w:rsidRPr="005071A1" w:rsidRDefault="00B33542" w:rsidP="009B7AF5">
            <w:pPr>
              <w:pStyle w:val="TableHeading"/>
            </w:pPr>
            <w:r w:rsidRPr="005071A1">
              <w:t>Column 1</w:t>
            </w:r>
          </w:p>
        </w:tc>
        <w:tc>
          <w:tcPr>
            <w:tcW w:w="2432" w:type="dxa"/>
            <w:tcBorders>
              <w:top w:val="single" w:sz="12" w:space="0" w:color="auto"/>
              <w:bottom w:val="single" w:sz="6" w:space="0" w:color="auto"/>
            </w:tcBorders>
            <w:shd w:val="clear" w:color="auto" w:fill="auto"/>
          </w:tcPr>
          <w:p w14:paraId="286C4270" w14:textId="77777777" w:rsidR="00B33542" w:rsidRPr="005071A1" w:rsidRDefault="00B33542" w:rsidP="009B7AF5">
            <w:pPr>
              <w:pStyle w:val="TableHeading"/>
            </w:pPr>
            <w:r w:rsidRPr="005071A1">
              <w:t>Column 2</w:t>
            </w:r>
          </w:p>
        </w:tc>
        <w:tc>
          <w:tcPr>
            <w:tcW w:w="2432" w:type="dxa"/>
            <w:tcBorders>
              <w:top w:val="single" w:sz="12" w:space="0" w:color="auto"/>
              <w:bottom w:val="single" w:sz="6" w:space="0" w:color="auto"/>
            </w:tcBorders>
            <w:shd w:val="clear" w:color="auto" w:fill="auto"/>
          </w:tcPr>
          <w:p w14:paraId="5C3D7ACF" w14:textId="77777777" w:rsidR="00B33542" w:rsidRPr="005071A1" w:rsidRDefault="00B33542" w:rsidP="009B7AF5">
            <w:pPr>
              <w:pStyle w:val="TableHeading"/>
            </w:pPr>
            <w:r w:rsidRPr="005071A1">
              <w:t>Column 3</w:t>
            </w:r>
          </w:p>
        </w:tc>
      </w:tr>
      <w:tr w:rsidR="00B33542" w:rsidRPr="005071A1" w14:paraId="68596616" w14:textId="77777777" w:rsidTr="009B7AF5">
        <w:trPr>
          <w:tblHeader/>
        </w:trPr>
        <w:tc>
          <w:tcPr>
            <w:tcW w:w="2432" w:type="dxa"/>
            <w:tcBorders>
              <w:top w:val="single" w:sz="6" w:space="0" w:color="auto"/>
              <w:bottom w:val="single" w:sz="6" w:space="0" w:color="auto"/>
            </w:tcBorders>
            <w:shd w:val="clear" w:color="auto" w:fill="auto"/>
          </w:tcPr>
          <w:p w14:paraId="52B6FB12" w14:textId="77777777" w:rsidR="00B33542" w:rsidRPr="005071A1" w:rsidRDefault="00B33542" w:rsidP="00F07EE2">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2432" w:type="dxa"/>
            <w:tcBorders>
              <w:top w:val="single" w:sz="6" w:space="0" w:color="auto"/>
              <w:bottom w:val="single" w:sz="6" w:space="0" w:color="auto"/>
            </w:tcBorders>
            <w:shd w:val="clear" w:color="auto" w:fill="auto"/>
          </w:tcPr>
          <w:p w14:paraId="50CAC6FE" w14:textId="77777777" w:rsidR="00B33542" w:rsidRPr="005071A1" w:rsidRDefault="00B33542" w:rsidP="00F07EE2">
            <w:pPr>
              <w:pStyle w:val="TableHeading"/>
              <w:spacing w:before="40" w:after="40" w:line="180" w:lineRule="atLeast"/>
              <w:rPr>
                <w:sz w:val="16"/>
                <w:szCs w:val="16"/>
              </w:rPr>
            </w:pPr>
            <w:r w:rsidRPr="005071A1">
              <w:rPr>
                <w:sz w:val="16"/>
                <w:szCs w:val="16"/>
              </w:rPr>
              <w:t>Contribution for First Two Units where the Obligation to Contribute for those Units came into existence after 2nd November, 1942, and before 14th December, 1959; and Contribution for each Additional Two Units where Contributor is already a Contributor for Two or more Units and the Obligation to Contribute for those Additional Units came into existence after 2nd November, 1942, and before 1st November, 1951</w:t>
            </w:r>
          </w:p>
        </w:tc>
        <w:tc>
          <w:tcPr>
            <w:tcW w:w="2432" w:type="dxa"/>
            <w:tcBorders>
              <w:top w:val="single" w:sz="6" w:space="0" w:color="auto"/>
              <w:bottom w:val="single" w:sz="6" w:space="0" w:color="auto"/>
            </w:tcBorders>
            <w:shd w:val="clear" w:color="auto" w:fill="auto"/>
          </w:tcPr>
          <w:p w14:paraId="0E40D5DE" w14:textId="77777777" w:rsidR="00B33542" w:rsidRPr="005071A1" w:rsidRDefault="00B33542" w:rsidP="00F07EE2">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Contribution for each Additional Unit where Contributor is already a Contributor for Two or more Units and the Obligation to Contribute for that Additional Unit came into existence on or after 1st November, 1951, and before 14th December, 1959</w:t>
            </w:r>
          </w:p>
        </w:tc>
      </w:tr>
      <w:tr w:rsidR="00B33542" w:rsidRPr="005071A1" w14:paraId="72D37CA8" w14:textId="77777777" w:rsidTr="009B7AF5">
        <w:trPr>
          <w:tblHeader/>
        </w:trPr>
        <w:tc>
          <w:tcPr>
            <w:tcW w:w="2432" w:type="dxa"/>
            <w:tcBorders>
              <w:top w:val="single" w:sz="6" w:space="0" w:color="auto"/>
              <w:bottom w:val="single" w:sz="12" w:space="0" w:color="auto"/>
            </w:tcBorders>
            <w:shd w:val="clear" w:color="auto" w:fill="auto"/>
          </w:tcPr>
          <w:p w14:paraId="48AE3BEC" w14:textId="77777777" w:rsidR="00B33542" w:rsidRPr="005071A1" w:rsidRDefault="00B33542" w:rsidP="00A516E3">
            <w:pPr>
              <w:pStyle w:val="TableHeading"/>
            </w:pPr>
          </w:p>
        </w:tc>
        <w:tc>
          <w:tcPr>
            <w:tcW w:w="2432" w:type="dxa"/>
            <w:tcBorders>
              <w:top w:val="single" w:sz="6" w:space="0" w:color="auto"/>
              <w:bottom w:val="single" w:sz="12" w:space="0" w:color="auto"/>
            </w:tcBorders>
            <w:shd w:val="clear" w:color="auto" w:fill="auto"/>
          </w:tcPr>
          <w:p w14:paraId="5F3DB615" w14:textId="77777777" w:rsidR="00B33542" w:rsidRPr="005071A1" w:rsidRDefault="00B33542" w:rsidP="00A516E3">
            <w:pPr>
              <w:pStyle w:val="TableHeading"/>
            </w:pPr>
            <w:r w:rsidRPr="005071A1">
              <w:t>$</w:t>
            </w:r>
          </w:p>
        </w:tc>
        <w:tc>
          <w:tcPr>
            <w:tcW w:w="2432" w:type="dxa"/>
            <w:tcBorders>
              <w:top w:val="single" w:sz="6" w:space="0" w:color="auto"/>
              <w:bottom w:val="single" w:sz="12" w:space="0" w:color="auto"/>
            </w:tcBorders>
            <w:shd w:val="clear" w:color="auto" w:fill="auto"/>
          </w:tcPr>
          <w:p w14:paraId="5D7F2C4D" w14:textId="77777777" w:rsidR="00B33542" w:rsidRPr="005071A1" w:rsidRDefault="00B33542" w:rsidP="00A516E3">
            <w:pPr>
              <w:pStyle w:val="TableHeading"/>
            </w:pPr>
            <w:r w:rsidRPr="005071A1">
              <w:t>$</w:t>
            </w:r>
          </w:p>
        </w:tc>
      </w:tr>
      <w:tr w:rsidR="00B33542" w:rsidRPr="005071A1" w14:paraId="329C869E" w14:textId="77777777" w:rsidTr="009B7AF5">
        <w:tc>
          <w:tcPr>
            <w:tcW w:w="2432" w:type="dxa"/>
            <w:tcBorders>
              <w:top w:val="single" w:sz="12" w:space="0" w:color="auto"/>
            </w:tcBorders>
            <w:shd w:val="clear" w:color="auto" w:fill="auto"/>
          </w:tcPr>
          <w:p w14:paraId="36622E72" w14:textId="77777777" w:rsidR="00B33542" w:rsidRPr="005071A1" w:rsidRDefault="00B33542" w:rsidP="009B7AF5">
            <w:pPr>
              <w:pStyle w:val="Tabletext"/>
            </w:pPr>
            <w:r w:rsidRPr="005071A1">
              <w:t>15</w:t>
            </w:r>
          </w:p>
        </w:tc>
        <w:tc>
          <w:tcPr>
            <w:tcW w:w="2432" w:type="dxa"/>
            <w:tcBorders>
              <w:top w:val="single" w:sz="12" w:space="0" w:color="auto"/>
            </w:tcBorders>
            <w:shd w:val="clear" w:color="auto" w:fill="auto"/>
          </w:tcPr>
          <w:p w14:paraId="6F9C972A" w14:textId="77777777" w:rsidR="00B33542" w:rsidRPr="005071A1" w:rsidRDefault="00B33542" w:rsidP="009B7AF5">
            <w:pPr>
              <w:pStyle w:val="Tabletext"/>
            </w:pPr>
            <w:r w:rsidRPr="005071A1">
              <w:t>0.24</w:t>
            </w:r>
          </w:p>
        </w:tc>
        <w:tc>
          <w:tcPr>
            <w:tcW w:w="2432" w:type="dxa"/>
            <w:tcBorders>
              <w:top w:val="single" w:sz="12" w:space="0" w:color="auto"/>
            </w:tcBorders>
            <w:shd w:val="clear" w:color="auto" w:fill="auto"/>
          </w:tcPr>
          <w:p w14:paraId="65601899" w14:textId="77777777" w:rsidR="00B33542" w:rsidRPr="005071A1" w:rsidRDefault="00B33542" w:rsidP="009B7AF5">
            <w:pPr>
              <w:pStyle w:val="Tabletext"/>
            </w:pPr>
            <w:r w:rsidRPr="005071A1">
              <w:t>0.12</w:t>
            </w:r>
          </w:p>
        </w:tc>
      </w:tr>
      <w:tr w:rsidR="00B33542" w:rsidRPr="005071A1" w14:paraId="292D8D4C" w14:textId="77777777" w:rsidTr="009B7AF5">
        <w:tc>
          <w:tcPr>
            <w:tcW w:w="2432" w:type="dxa"/>
            <w:shd w:val="clear" w:color="auto" w:fill="auto"/>
          </w:tcPr>
          <w:p w14:paraId="39E5177E" w14:textId="77777777" w:rsidR="00B33542" w:rsidRPr="005071A1" w:rsidRDefault="00B33542" w:rsidP="009B7AF5">
            <w:pPr>
              <w:pStyle w:val="Tabletext"/>
            </w:pPr>
            <w:r w:rsidRPr="005071A1">
              <w:t>16</w:t>
            </w:r>
          </w:p>
        </w:tc>
        <w:tc>
          <w:tcPr>
            <w:tcW w:w="2432" w:type="dxa"/>
            <w:shd w:val="clear" w:color="auto" w:fill="auto"/>
          </w:tcPr>
          <w:p w14:paraId="24C30A2D" w14:textId="77777777" w:rsidR="00B33542" w:rsidRPr="005071A1" w:rsidRDefault="00B33542" w:rsidP="009B7AF5">
            <w:pPr>
              <w:pStyle w:val="Tabletext"/>
            </w:pPr>
            <w:r w:rsidRPr="005071A1">
              <w:t>0.24</w:t>
            </w:r>
          </w:p>
        </w:tc>
        <w:tc>
          <w:tcPr>
            <w:tcW w:w="2432" w:type="dxa"/>
            <w:shd w:val="clear" w:color="auto" w:fill="auto"/>
          </w:tcPr>
          <w:p w14:paraId="696A2C2C" w14:textId="77777777" w:rsidR="00B33542" w:rsidRPr="005071A1" w:rsidRDefault="00B33542" w:rsidP="009B7AF5">
            <w:pPr>
              <w:pStyle w:val="Tabletext"/>
            </w:pPr>
            <w:r w:rsidRPr="005071A1">
              <w:t>0.12</w:t>
            </w:r>
          </w:p>
        </w:tc>
      </w:tr>
      <w:tr w:rsidR="00B33542" w:rsidRPr="005071A1" w14:paraId="515C33F0" w14:textId="77777777" w:rsidTr="009B7AF5">
        <w:tc>
          <w:tcPr>
            <w:tcW w:w="2432" w:type="dxa"/>
            <w:shd w:val="clear" w:color="auto" w:fill="auto"/>
          </w:tcPr>
          <w:p w14:paraId="53925302" w14:textId="77777777" w:rsidR="00B33542" w:rsidRPr="005071A1" w:rsidRDefault="00B33542" w:rsidP="009B7AF5">
            <w:pPr>
              <w:pStyle w:val="Tabletext"/>
            </w:pPr>
            <w:r w:rsidRPr="005071A1">
              <w:t>17</w:t>
            </w:r>
          </w:p>
        </w:tc>
        <w:tc>
          <w:tcPr>
            <w:tcW w:w="2432" w:type="dxa"/>
            <w:shd w:val="clear" w:color="auto" w:fill="auto"/>
          </w:tcPr>
          <w:p w14:paraId="2F87489F" w14:textId="77777777" w:rsidR="00B33542" w:rsidRPr="005071A1" w:rsidRDefault="00B33542" w:rsidP="009B7AF5">
            <w:pPr>
              <w:pStyle w:val="Tabletext"/>
            </w:pPr>
            <w:r w:rsidRPr="005071A1">
              <w:t>0.26</w:t>
            </w:r>
          </w:p>
        </w:tc>
        <w:tc>
          <w:tcPr>
            <w:tcW w:w="2432" w:type="dxa"/>
            <w:shd w:val="clear" w:color="auto" w:fill="auto"/>
          </w:tcPr>
          <w:p w14:paraId="73F9CDE1" w14:textId="77777777" w:rsidR="00B33542" w:rsidRPr="005071A1" w:rsidRDefault="00B33542" w:rsidP="009B7AF5">
            <w:pPr>
              <w:pStyle w:val="Tabletext"/>
            </w:pPr>
            <w:r w:rsidRPr="005071A1">
              <w:t>0.13</w:t>
            </w:r>
          </w:p>
        </w:tc>
      </w:tr>
      <w:tr w:rsidR="00B33542" w:rsidRPr="005071A1" w14:paraId="5F57316A" w14:textId="77777777" w:rsidTr="009B7AF5">
        <w:tc>
          <w:tcPr>
            <w:tcW w:w="2432" w:type="dxa"/>
            <w:shd w:val="clear" w:color="auto" w:fill="auto"/>
          </w:tcPr>
          <w:p w14:paraId="59415A20" w14:textId="77777777" w:rsidR="00B33542" w:rsidRPr="005071A1" w:rsidRDefault="00B33542" w:rsidP="009B7AF5">
            <w:pPr>
              <w:pStyle w:val="Tabletext"/>
            </w:pPr>
            <w:r w:rsidRPr="005071A1">
              <w:t>18</w:t>
            </w:r>
          </w:p>
        </w:tc>
        <w:tc>
          <w:tcPr>
            <w:tcW w:w="2432" w:type="dxa"/>
            <w:shd w:val="clear" w:color="auto" w:fill="auto"/>
          </w:tcPr>
          <w:p w14:paraId="3B2B5298" w14:textId="77777777" w:rsidR="00B33542" w:rsidRPr="005071A1" w:rsidRDefault="00B33542" w:rsidP="009B7AF5">
            <w:pPr>
              <w:pStyle w:val="Tabletext"/>
            </w:pPr>
            <w:r w:rsidRPr="005071A1">
              <w:t>0.28</w:t>
            </w:r>
          </w:p>
        </w:tc>
        <w:tc>
          <w:tcPr>
            <w:tcW w:w="2432" w:type="dxa"/>
            <w:shd w:val="clear" w:color="auto" w:fill="auto"/>
          </w:tcPr>
          <w:p w14:paraId="080C6A50" w14:textId="77777777" w:rsidR="00B33542" w:rsidRPr="005071A1" w:rsidRDefault="00B33542" w:rsidP="009B7AF5">
            <w:pPr>
              <w:pStyle w:val="Tabletext"/>
            </w:pPr>
            <w:r w:rsidRPr="005071A1">
              <w:t>0.14</w:t>
            </w:r>
          </w:p>
        </w:tc>
      </w:tr>
      <w:tr w:rsidR="00B33542" w:rsidRPr="005071A1" w14:paraId="2EAD78D5" w14:textId="77777777" w:rsidTr="009B7AF5">
        <w:tc>
          <w:tcPr>
            <w:tcW w:w="2432" w:type="dxa"/>
            <w:shd w:val="clear" w:color="auto" w:fill="auto"/>
          </w:tcPr>
          <w:p w14:paraId="2F0F8BBF" w14:textId="77777777" w:rsidR="00B33542" w:rsidRPr="005071A1" w:rsidRDefault="00B33542" w:rsidP="009B7AF5">
            <w:pPr>
              <w:pStyle w:val="Tabletext"/>
            </w:pPr>
            <w:r w:rsidRPr="005071A1">
              <w:t>19</w:t>
            </w:r>
          </w:p>
        </w:tc>
        <w:tc>
          <w:tcPr>
            <w:tcW w:w="2432" w:type="dxa"/>
            <w:shd w:val="clear" w:color="auto" w:fill="auto"/>
          </w:tcPr>
          <w:p w14:paraId="0270E8DF" w14:textId="77777777" w:rsidR="00B33542" w:rsidRPr="005071A1" w:rsidRDefault="00B33542" w:rsidP="009B7AF5">
            <w:pPr>
              <w:pStyle w:val="Tabletext"/>
            </w:pPr>
            <w:r w:rsidRPr="005071A1">
              <w:t>0.30</w:t>
            </w:r>
          </w:p>
        </w:tc>
        <w:tc>
          <w:tcPr>
            <w:tcW w:w="2432" w:type="dxa"/>
            <w:shd w:val="clear" w:color="auto" w:fill="auto"/>
          </w:tcPr>
          <w:p w14:paraId="40A25541" w14:textId="77777777" w:rsidR="00B33542" w:rsidRPr="005071A1" w:rsidRDefault="00B33542" w:rsidP="009B7AF5">
            <w:pPr>
              <w:pStyle w:val="Tabletext"/>
            </w:pPr>
            <w:r w:rsidRPr="005071A1">
              <w:t>0.15</w:t>
            </w:r>
          </w:p>
        </w:tc>
      </w:tr>
      <w:tr w:rsidR="00B33542" w:rsidRPr="005071A1" w14:paraId="4592B47F" w14:textId="77777777" w:rsidTr="009B7AF5">
        <w:tc>
          <w:tcPr>
            <w:tcW w:w="2432" w:type="dxa"/>
            <w:shd w:val="clear" w:color="auto" w:fill="auto"/>
          </w:tcPr>
          <w:p w14:paraId="5001422B" w14:textId="77777777" w:rsidR="00B33542" w:rsidRPr="005071A1" w:rsidRDefault="00B33542" w:rsidP="009B7AF5">
            <w:pPr>
              <w:pStyle w:val="Tabletext"/>
            </w:pPr>
            <w:r w:rsidRPr="005071A1">
              <w:t>20</w:t>
            </w:r>
          </w:p>
        </w:tc>
        <w:tc>
          <w:tcPr>
            <w:tcW w:w="2432" w:type="dxa"/>
            <w:shd w:val="clear" w:color="auto" w:fill="auto"/>
          </w:tcPr>
          <w:p w14:paraId="5B544DB3" w14:textId="77777777" w:rsidR="00B33542" w:rsidRPr="005071A1" w:rsidRDefault="00B33542" w:rsidP="009B7AF5">
            <w:pPr>
              <w:pStyle w:val="Tabletext"/>
            </w:pPr>
            <w:r w:rsidRPr="005071A1">
              <w:t>0.32</w:t>
            </w:r>
          </w:p>
        </w:tc>
        <w:tc>
          <w:tcPr>
            <w:tcW w:w="2432" w:type="dxa"/>
            <w:shd w:val="clear" w:color="auto" w:fill="auto"/>
          </w:tcPr>
          <w:p w14:paraId="4C35C350" w14:textId="77777777" w:rsidR="00B33542" w:rsidRPr="005071A1" w:rsidRDefault="00B33542" w:rsidP="009B7AF5">
            <w:pPr>
              <w:pStyle w:val="Tabletext"/>
            </w:pPr>
            <w:r w:rsidRPr="005071A1">
              <w:t>0.16</w:t>
            </w:r>
          </w:p>
        </w:tc>
      </w:tr>
      <w:tr w:rsidR="00B33542" w:rsidRPr="005071A1" w14:paraId="10B641C3" w14:textId="77777777" w:rsidTr="009B7AF5">
        <w:tc>
          <w:tcPr>
            <w:tcW w:w="2432" w:type="dxa"/>
            <w:shd w:val="clear" w:color="auto" w:fill="auto"/>
          </w:tcPr>
          <w:p w14:paraId="28233D36" w14:textId="77777777" w:rsidR="00B33542" w:rsidRPr="005071A1" w:rsidRDefault="00B33542" w:rsidP="009B7AF5">
            <w:pPr>
              <w:pStyle w:val="Tabletext"/>
            </w:pPr>
            <w:r w:rsidRPr="005071A1">
              <w:t>21</w:t>
            </w:r>
          </w:p>
        </w:tc>
        <w:tc>
          <w:tcPr>
            <w:tcW w:w="2432" w:type="dxa"/>
            <w:shd w:val="clear" w:color="auto" w:fill="auto"/>
          </w:tcPr>
          <w:p w14:paraId="6AF0089F" w14:textId="77777777" w:rsidR="00B33542" w:rsidRPr="005071A1" w:rsidRDefault="00B33542" w:rsidP="009B7AF5">
            <w:pPr>
              <w:pStyle w:val="Tabletext"/>
            </w:pPr>
            <w:r w:rsidRPr="005071A1">
              <w:t>0.36</w:t>
            </w:r>
          </w:p>
        </w:tc>
        <w:tc>
          <w:tcPr>
            <w:tcW w:w="2432" w:type="dxa"/>
            <w:shd w:val="clear" w:color="auto" w:fill="auto"/>
          </w:tcPr>
          <w:p w14:paraId="1587AAF5" w14:textId="77777777" w:rsidR="00B33542" w:rsidRPr="005071A1" w:rsidRDefault="00B33542" w:rsidP="009B7AF5">
            <w:pPr>
              <w:pStyle w:val="Tabletext"/>
            </w:pPr>
            <w:r w:rsidRPr="005071A1">
              <w:t>0.18</w:t>
            </w:r>
          </w:p>
        </w:tc>
      </w:tr>
      <w:tr w:rsidR="00B33542" w:rsidRPr="005071A1" w14:paraId="404308E9" w14:textId="77777777" w:rsidTr="009B7AF5">
        <w:tc>
          <w:tcPr>
            <w:tcW w:w="2432" w:type="dxa"/>
            <w:shd w:val="clear" w:color="auto" w:fill="auto"/>
          </w:tcPr>
          <w:p w14:paraId="3B0597A1" w14:textId="77777777" w:rsidR="00B33542" w:rsidRPr="005071A1" w:rsidRDefault="00B33542" w:rsidP="009B7AF5">
            <w:pPr>
              <w:pStyle w:val="Tabletext"/>
            </w:pPr>
            <w:r w:rsidRPr="005071A1">
              <w:t>22</w:t>
            </w:r>
          </w:p>
        </w:tc>
        <w:tc>
          <w:tcPr>
            <w:tcW w:w="2432" w:type="dxa"/>
            <w:shd w:val="clear" w:color="auto" w:fill="auto"/>
          </w:tcPr>
          <w:p w14:paraId="6096C165" w14:textId="77777777" w:rsidR="00B33542" w:rsidRPr="005071A1" w:rsidRDefault="00B33542" w:rsidP="009B7AF5">
            <w:pPr>
              <w:pStyle w:val="Tabletext"/>
            </w:pPr>
            <w:r w:rsidRPr="005071A1">
              <w:t>0.38</w:t>
            </w:r>
          </w:p>
        </w:tc>
        <w:tc>
          <w:tcPr>
            <w:tcW w:w="2432" w:type="dxa"/>
            <w:shd w:val="clear" w:color="auto" w:fill="auto"/>
          </w:tcPr>
          <w:p w14:paraId="12862B97" w14:textId="77777777" w:rsidR="00B33542" w:rsidRPr="005071A1" w:rsidRDefault="00B33542" w:rsidP="009B7AF5">
            <w:pPr>
              <w:pStyle w:val="Tabletext"/>
            </w:pPr>
            <w:r w:rsidRPr="005071A1">
              <w:t>0.19</w:t>
            </w:r>
          </w:p>
        </w:tc>
      </w:tr>
      <w:tr w:rsidR="00B33542" w:rsidRPr="005071A1" w14:paraId="08F6745E" w14:textId="77777777" w:rsidTr="009B7AF5">
        <w:tc>
          <w:tcPr>
            <w:tcW w:w="2432" w:type="dxa"/>
            <w:shd w:val="clear" w:color="auto" w:fill="auto"/>
          </w:tcPr>
          <w:p w14:paraId="66B9B04E" w14:textId="77777777" w:rsidR="00B33542" w:rsidRPr="005071A1" w:rsidRDefault="00B33542" w:rsidP="009B7AF5">
            <w:pPr>
              <w:pStyle w:val="Tabletext"/>
            </w:pPr>
            <w:r w:rsidRPr="005071A1">
              <w:t>23</w:t>
            </w:r>
          </w:p>
        </w:tc>
        <w:tc>
          <w:tcPr>
            <w:tcW w:w="2432" w:type="dxa"/>
            <w:shd w:val="clear" w:color="auto" w:fill="auto"/>
          </w:tcPr>
          <w:p w14:paraId="7CAD7C1F" w14:textId="77777777" w:rsidR="00B33542" w:rsidRPr="005071A1" w:rsidRDefault="00B33542" w:rsidP="009B7AF5">
            <w:pPr>
              <w:pStyle w:val="Tabletext"/>
            </w:pPr>
            <w:r w:rsidRPr="005071A1">
              <w:t>0.40</w:t>
            </w:r>
          </w:p>
        </w:tc>
        <w:tc>
          <w:tcPr>
            <w:tcW w:w="2432" w:type="dxa"/>
            <w:shd w:val="clear" w:color="auto" w:fill="auto"/>
          </w:tcPr>
          <w:p w14:paraId="267F9EA9" w14:textId="77777777" w:rsidR="00B33542" w:rsidRPr="005071A1" w:rsidRDefault="00B33542" w:rsidP="009B7AF5">
            <w:pPr>
              <w:pStyle w:val="Tabletext"/>
            </w:pPr>
            <w:r w:rsidRPr="005071A1">
              <w:t>0.20</w:t>
            </w:r>
          </w:p>
        </w:tc>
      </w:tr>
      <w:tr w:rsidR="00B33542" w:rsidRPr="005071A1" w14:paraId="2187EA9B" w14:textId="77777777" w:rsidTr="009B7AF5">
        <w:tc>
          <w:tcPr>
            <w:tcW w:w="2432" w:type="dxa"/>
            <w:shd w:val="clear" w:color="auto" w:fill="auto"/>
          </w:tcPr>
          <w:p w14:paraId="71DAEBC0" w14:textId="77777777" w:rsidR="00B33542" w:rsidRPr="005071A1" w:rsidRDefault="00B33542" w:rsidP="009B7AF5">
            <w:pPr>
              <w:pStyle w:val="Tabletext"/>
            </w:pPr>
            <w:r w:rsidRPr="005071A1">
              <w:t>24</w:t>
            </w:r>
          </w:p>
        </w:tc>
        <w:tc>
          <w:tcPr>
            <w:tcW w:w="2432" w:type="dxa"/>
            <w:shd w:val="clear" w:color="auto" w:fill="auto"/>
          </w:tcPr>
          <w:p w14:paraId="76930807" w14:textId="77777777" w:rsidR="00B33542" w:rsidRPr="005071A1" w:rsidRDefault="00B33542" w:rsidP="009B7AF5">
            <w:pPr>
              <w:pStyle w:val="Tabletext"/>
            </w:pPr>
            <w:r w:rsidRPr="005071A1">
              <w:t>0.42</w:t>
            </w:r>
          </w:p>
        </w:tc>
        <w:tc>
          <w:tcPr>
            <w:tcW w:w="2432" w:type="dxa"/>
            <w:shd w:val="clear" w:color="auto" w:fill="auto"/>
          </w:tcPr>
          <w:p w14:paraId="01A7E850" w14:textId="77777777" w:rsidR="00B33542" w:rsidRPr="005071A1" w:rsidRDefault="00B33542" w:rsidP="009B7AF5">
            <w:pPr>
              <w:pStyle w:val="Tabletext"/>
            </w:pPr>
            <w:r w:rsidRPr="005071A1">
              <w:t>0.21</w:t>
            </w:r>
          </w:p>
        </w:tc>
      </w:tr>
      <w:tr w:rsidR="00B33542" w:rsidRPr="005071A1" w14:paraId="49F610C0" w14:textId="77777777" w:rsidTr="009B7AF5">
        <w:tc>
          <w:tcPr>
            <w:tcW w:w="2432" w:type="dxa"/>
            <w:shd w:val="clear" w:color="auto" w:fill="auto"/>
          </w:tcPr>
          <w:p w14:paraId="763FEFDC" w14:textId="77777777" w:rsidR="00B33542" w:rsidRPr="005071A1" w:rsidRDefault="00B33542" w:rsidP="009B7AF5">
            <w:pPr>
              <w:pStyle w:val="Tabletext"/>
            </w:pPr>
            <w:r w:rsidRPr="005071A1">
              <w:t>25</w:t>
            </w:r>
          </w:p>
        </w:tc>
        <w:tc>
          <w:tcPr>
            <w:tcW w:w="2432" w:type="dxa"/>
            <w:shd w:val="clear" w:color="auto" w:fill="auto"/>
          </w:tcPr>
          <w:p w14:paraId="0DE1AF11" w14:textId="77777777" w:rsidR="00B33542" w:rsidRPr="005071A1" w:rsidRDefault="00B33542" w:rsidP="009B7AF5">
            <w:pPr>
              <w:pStyle w:val="Tabletext"/>
            </w:pPr>
            <w:r w:rsidRPr="005071A1">
              <w:t>0.44</w:t>
            </w:r>
          </w:p>
        </w:tc>
        <w:tc>
          <w:tcPr>
            <w:tcW w:w="2432" w:type="dxa"/>
            <w:shd w:val="clear" w:color="auto" w:fill="auto"/>
          </w:tcPr>
          <w:p w14:paraId="2605DCD8" w14:textId="77777777" w:rsidR="00B33542" w:rsidRPr="005071A1" w:rsidRDefault="00B33542" w:rsidP="009B7AF5">
            <w:pPr>
              <w:pStyle w:val="Tabletext"/>
            </w:pPr>
            <w:r w:rsidRPr="005071A1">
              <w:t>0.22</w:t>
            </w:r>
          </w:p>
        </w:tc>
      </w:tr>
      <w:tr w:rsidR="00B33542" w:rsidRPr="005071A1" w14:paraId="624828E2" w14:textId="77777777" w:rsidTr="009B7AF5">
        <w:tc>
          <w:tcPr>
            <w:tcW w:w="2432" w:type="dxa"/>
            <w:shd w:val="clear" w:color="auto" w:fill="auto"/>
          </w:tcPr>
          <w:p w14:paraId="7FED7E1F" w14:textId="77777777" w:rsidR="00B33542" w:rsidRPr="005071A1" w:rsidRDefault="00B33542" w:rsidP="009B7AF5">
            <w:pPr>
              <w:pStyle w:val="Tabletext"/>
            </w:pPr>
            <w:r w:rsidRPr="005071A1">
              <w:t>26</w:t>
            </w:r>
          </w:p>
        </w:tc>
        <w:tc>
          <w:tcPr>
            <w:tcW w:w="2432" w:type="dxa"/>
            <w:shd w:val="clear" w:color="auto" w:fill="auto"/>
          </w:tcPr>
          <w:p w14:paraId="550C6C70" w14:textId="77777777" w:rsidR="00B33542" w:rsidRPr="005071A1" w:rsidRDefault="00B33542" w:rsidP="009B7AF5">
            <w:pPr>
              <w:pStyle w:val="Tabletext"/>
            </w:pPr>
            <w:r w:rsidRPr="005071A1">
              <w:t>0.46</w:t>
            </w:r>
          </w:p>
        </w:tc>
        <w:tc>
          <w:tcPr>
            <w:tcW w:w="2432" w:type="dxa"/>
            <w:shd w:val="clear" w:color="auto" w:fill="auto"/>
          </w:tcPr>
          <w:p w14:paraId="58A8E438" w14:textId="77777777" w:rsidR="00B33542" w:rsidRPr="005071A1" w:rsidRDefault="00B33542" w:rsidP="009B7AF5">
            <w:pPr>
              <w:pStyle w:val="Tabletext"/>
            </w:pPr>
            <w:r w:rsidRPr="005071A1">
              <w:t>0.23</w:t>
            </w:r>
          </w:p>
        </w:tc>
      </w:tr>
      <w:tr w:rsidR="00B33542" w:rsidRPr="005071A1" w14:paraId="7A3AF8DF" w14:textId="77777777" w:rsidTr="009B7AF5">
        <w:tc>
          <w:tcPr>
            <w:tcW w:w="2432" w:type="dxa"/>
            <w:shd w:val="clear" w:color="auto" w:fill="auto"/>
          </w:tcPr>
          <w:p w14:paraId="05555F90" w14:textId="77777777" w:rsidR="00B33542" w:rsidRPr="005071A1" w:rsidRDefault="00B33542" w:rsidP="009B7AF5">
            <w:pPr>
              <w:pStyle w:val="Tabletext"/>
            </w:pPr>
            <w:r w:rsidRPr="005071A1">
              <w:t>27</w:t>
            </w:r>
          </w:p>
        </w:tc>
        <w:tc>
          <w:tcPr>
            <w:tcW w:w="2432" w:type="dxa"/>
            <w:shd w:val="clear" w:color="auto" w:fill="auto"/>
          </w:tcPr>
          <w:p w14:paraId="373FDBA6" w14:textId="77777777" w:rsidR="00B33542" w:rsidRPr="005071A1" w:rsidRDefault="00B33542" w:rsidP="009B7AF5">
            <w:pPr>
              <w:pStyle w:val="Tabletext"/>
            </w:pPr>
            <w:r w:rsidRPr="005071A1">
              <w:t>0.48</w:t>
            </w:r>
          </w:p>
        </w:tc>
        <w:tc>
          <w:tcPr>
            <w:tcW w:w="2432" w:type="dxa"/>
            <w:shd w:val="clear" w:color="auto" w:fill="auto"/>
          </w:tcPr>
          <w:p w14:paraId="27DA3BF5" w14:textId="77777777" w:rsidR="00B33542" w:rsidRPr="005071A1" w:rsidRDefault="00B33542" w:rsidP="009B7AF5">
            <w:pPr>
              <w:pStyle w:val="Tabletext"/>
            </w:pPr>
            <w:r w:rsidRPr="005071A1">
              <w:t>0.24</w:t>
            </w:r>
          </w:p>
        </w:tc>
      </w:tr>
      <w:tr w:rsidR="00B33542" w:rsidRPr="005071A1" w14:paraId="5447429D" w14:textId="77777777" w:rsidTr="00D57394">
        <w:tc>
          <w:tcPr>
            <w:tcW w:w="2432" w:type="dxa"/>
            <w:tcBorders>
              <w:bottom w:val="single" w:sz="4" w:space="0" w:color="auto"/>
            </w:tcBorders>
            <w:shd w:val="clear" w:color="auto" w:fill="auto"/>
          </w:tcPr>
          <w:p w14:paraId="436A7F2B" w14:textId="77777777" w:rsidR="00B33542" w:rsidRPr="005071A1" w:rsidRDefault="00B33542" w:rsidP="009B7AF5">
            <w:pPr>
              <w:pStyle w:val="Tabletext"/>
            </w:pPr>
            <w:r w:rsidRPr="005071A1">
              <w:lastRenderedPageBreak/>
              <w:t>28</w:t>
            </w:r>
          </w:p>
        </w:tc>
        <w:tc>
          <w:tcPr>
            <w:tcW w:w="2432" w:type="dxa"/>
            <w:tcBorders>
              <w:bottom w:val="single" w:sz="4" w:space="0" w:color="auto"/>
            </w:tcBorders>
            <w:shd w:val="clear" w:color="auto" w:fill="auto"/>
          </w:tcPr>
          <w:p w14:paraId="679D6DB5" w14:textId="77777777" w:rsidR="00B33542" w:rsidRPr="005071A1" w:rsidRDefault="00B33542" w:rsidP="009B7AF5">
            <w:pPr>
              <w:pStyle w:val="Tabletext"/>
            </w:pPr>
            <w:r w:rsidRPr="005071A1">
              <w:t>0.52</w:t>
            </w:r>
          </w:p>
        </w:tc>
        <w:tc>
          <w:tcPr>
            <w:tcW w:w="2432" w:type="dxa"/>
            <w:tcBorders>
              <w:bottom w:val="single" w:sz="4" w:space="0" w:color="auto"/>
            </w:tcBorders>
            <w:shd w:val="clear" w:color="auto" w:fill="auto"/>
          </w:tcPr>
          <w:p w14:paraId="1D86B7D6" w14:textId="77777777" w:rsidR="00B33542" w:rsidRPr="005071A1" w:rsidRDefault="00B33542" w:rsidP="009B7AF5">
            <w:pPr>
              <w:pStyle w:val="Tabletext"/>
            </w:pPr>
            <w:r w:rsidRPr="005071A1">
              <w:t>0.26</w:t>
            </w:r>
          </w:p>
        </w:tc>
      </w:tr>
      <w:tr w:rsidR="00B33542" w:rsidRPr="005071A1" w14:paraId="50713039" w14:textId="77777777" w:rsidTr="00640BB6">
        <w:tc>
          <w:tcPr>
            <w:tcW w:w="2432" w:type="dxa"/>
            <w:tcBorders>
              <w:bottom w:val="single" w:sz="4" w:space="0" w:color="auto"/>
            </w:tcBorders>
            <w:shd w:val="clear" w:color="auto" w:fill="auto"/>
          </w:tcPr>
          <w:p w14:paraId="4CD371E0" w14:textId="77777777" w:rsidR="00B33542" w:rsidRPr="005071A1" w:rsidRDefault="00B33542" w:rsidP="009B7AF5">
            <w:pPr>
              <w:pStyle w:val="Tabletext"/>
            </w:pPr>
            <w:r w:rsidRPr="005071A1">
              <w:t>29</w:t>
            </w:r>
          </w:p>
        </w:tc>
        <w:tc>
          <w:tcPr>
            <w:tcW w:w="2432" w:type="dxa"/>
            <w:tcBorders>
              <w:bottom w:val="single" w:sz="4" w:space="0" w:color="auto"/>
            </w:tcBorders>
            <w:shd w:val="clear" w:color="auto" w:fill="auto"/>
          </w:tcPr>
          <w:p w14:paraId="66C48D57" w14:textId="77777777" w:rsidR="00B33542" w:rsidRPr="005071A1" w:rsidRDefault="00B33542" w:rsidP="009B7AF5">
            <w:pPr>
              <w:pStyle w:val="Tabletext"/>
            </w:pPr>
            <w:r w:rsidRPr="005071A1">
              <w:t>0.54</w:t>
            </w:r>
          </w:p>
        </w:tc>
        <w:tc>
          <w:tcPr>
            <w:tcW w:w="2432" w:type="dxa"/>
            <w:tcBorders>
              <w:bottom w:val="single" w:sz="4" w:space="0" w:color="auto"/>
            </w:tcBorders>
            <w:shd w:val="clear" w:color="auto" w:fill="auto"/>
          </w:tcPr>
          <w:p w14:paraId="1D6F432F" w14:textId="77777777" w:rsidR="00B33542" w:rsidRPr="005071A1" w:rsidRDefault="00B33542" w:rsidP="009B7AF5">
            <w:pPr>
              <w:pStyle w:val="Tabletext"/>
            </w:pPr>
            <w:r w:rsidRPr="005071A1">
              <w:t>0.27</w:t>
            </w:r>
          </w:p>
        </w:tc>
      </w:tr>
      <w:tr w:rsidR="00B33542" w:rsidRPr="005071A1" w14:paraId="341E212D" w14:textId="77777777" w:rsidTr="00640BB6">
        <w:tc>
          <w:tcPr>
            <w:tcW w:w="2432" w:type="dxa"/>
            <w:tcBorders>
              <w:top w:val="single" w:sz="4" w:space="0" w:color="auto"/>
              <w:bottom w:val="single" w:sz="4" w:space="0" w:color="auto"/>
            </w:tcBorders>
            <w:shd w:val="clear" w:color="auto" w:fill="auto"/>
          </w:tcPr>
          <w:p w14:paraId="2153E5DB" w14:textId="77777777" w:rsidR="00B33542" w:rsidRPr="005071A1" w:rsidRDefault="00B33542" w:rsidP="009B7AF5">
            <w:pPr>
              <w:pStyle w:val="Tabletext"/>
            </w:pPr>
            <w:r w:rsidRPr="005071A1">
              <w:t>30</w:t>
            </w:r>
          </w:p>
        </w:tc>
        <w:tc>
          <w:tcPr>
            <w:tcW w:w="2432" w:type="dxa"/>
            <w:tcBorders>
              <w:top w:val="single" w:sz="4" w:space="0" w:color="auto"/>
              <w:bottom w:val="single" w:sz="4" w:space="0" w:color="auto"/>
            </w:tcBorders>
            <w:shd w:val="clear" w:color="auto" w:fill="auto"/>
          </w:tcPr>
          <w:p w14:paraId="2AA5D2A9" w14:textId="77777777" w:rsidR="00B33542" w:rsidRPr="005071A1" w:rsidRDefault="00B33542" w:rsidP="009B7AF5">
            <w:pPr>
              <w:pStyle w:val="Tabletext"/>
            </w:pPr>
            <w:r w:rsidRPr="005071A1">
              <w:t>0.58</w:t>
            </w:r>
          </w:p>
        </w:tc>
        <w:tc>
          <w:tcPr>
            <w:tcW w:w="2432" w:type="dxa"/>
            <w:tcBorders>
              <w:top w:val="single" w:sz="4" w:space="0" w:color="auto"/>
              <w:bottom w:val="single" w:sz="4" w:space="0" w:color="auto"/>
            </w:tcBorders>
            <w:shd w:val="clear" w:color="auto" w:fill="auto"/>
          </w:tcPr>
          <w:p w14:paraId="368F578A" w14:textId="77777777" w:rsidR="00B33542" w:rsidRPr="005071A1" w:rsidRDefault="00B33542" w:rsidP="009B7AF5">
            <w:pPr>
              <w:pStyle w:val="Tabletext"/>
            </w:pPr>
            <w:r w:rsidRPr="005071A1">
              <w:t>0.29</w:t>
            </w:r>
          </w:p>
        </w:tc>
      </w:tr>
      <w:tr w:rsidR="00B33542" w:rsidRPr="005071A1" w14:paraId="618CF121" w14:textId="77777777" w:rsidTr="00640BB6">
        <w:tc>
          <w:tcPr>
            <w:tcW w:w="2432" w:type="dxa"/>
            <w:tcBorders>
              <w:top w:val="single" w:sz="4" w:space="0" w:color="auto"/>
            </w:tcBorders>
            <w:shd w:val="clear" w:color="auto" w:fill="auto"/>
          </w:tcPr>
          <w:p w14:paraId="02EB7F3D" w14:textId="77777777" w:rsidR="00B33542" w:rsidRPr="005071A1" w:rsidRDefault="00B33542" w:rsidP="009B7AF5">
            <w:pPr>
              <w:pStyle w:val="Tabletext"/>
            </w:pPr>
            <w:r w:rsidRPr="005071A1">
              <w:t>31</w:t>
            </w:r>
          </w:p>
        </w:tc>
        <w:tc>
          <w:tcPr>
            <w:tcW w:w="2432" w:type="dxa"/>
            <w:tcBorders>
              <w:top w:val="single" w:sz="4" w:space="0" w:color="auto"/>
            </w:tcBorders>
            <w:shd w:val="clear" w:color="auto" w:fill="auto"/>
          </w:tcPr>
          <w:p w14:paraId="1F7CEA01" w14:textId="77777777" w:rsidR="00B33542" w:rsidRPr="005071A1" w:rsidRDefault="00B33542" w:rsidP="009B7AF5">
            <w:pPr>
              <w:pStyle w:val="Tabletext"/>
            </w:pPr>
            <w:r w:rsidRPr="005071A1">
              <w:t>0.60</w:t>
            </w:r>
          </w:p>
        </w:tc>
        <w:tc>
          <w:tcPr>
            <w:tcW w:w="2432" w:type="dxa"/>
            <w:tcBorders>
              <w:top w:val="single" w:sz="4" w:space="0" w:color="auto"/>
            </w:tcBorders>
            <w:shd w:val="clear" w:color="auto" w:fill="auto"/>
          </w:tcPr>
          <w:p w14:paraId="1629ED9A" w14:textId="77777777" w:rsidR="00B33542" w:rsidRPr="005071A1" w:rsidRDefault="00B33542" w:rsidP="009B7AF5">
            <w:pPr>
              <w:pStyle w:val="Tabletext"/>
            </w:pPr>
            <w:r w:rsidRPr="005071A1">
              <w:t>0.30</w:t>
            </w:r>
          </w:p>
        </w:tc>
      </w:tr>
      <w:tr w:rsidR="00B33542" w:rsidRPr="005071A1" w14:paraId="1C3E9629" w14:textId="77777777" w:rsidTr="009B7AF5">
        <w:tc>
          <w:tcPr>
            <w:tcW w:w="2432" w:type="dxa"/>
            <w:shd w:val="clear" w:color="auto" w:fill="auto"/>
          </w:tcPr>
          <w:p w14:paraId="770B6410" w14:textId="77777777" w:rsidR="00B33542" w:rsidRPr="005071A1" w:rsidRDefault="00B33542" w:rsidP="009B7AF5">
            <w:pPr>
              <w:pStyle w:val="Tabletext"/>
            </w:pPr>
            <w:r w:rsidRPr="005071A1">
              <w:t>32</w:t>
            </w:r>
          </w:p>
        </w:tc>
        <w:tc>
          <w:tcPr>
            <w:tcW w:w="2432" w:type="dxa"/>
            <w:shd w:val="clear" w:color="auto" w:fill="auto"/>
          </w:tcPr>
          <w:p w14:paraId="0B0ABB4B" w14:textId="77777777" w:rsidR="00B33542" w:rsidRPr="005071A1" w:rsidRDefault="00B33542" w:rsidP="009B7AF5">
            <w:pPr>
              <w:pStyle w:val="Tabletext"/>
            </w:pPr>
            <w:r w:rsidRPr="005071A1">
              <w:t>0.64</w:t>
            </w:r>
          </w:p>
        </w:tc>
        <w:tc>
          <w:tcPr>
            <w:tcW w:w="2432" w:type="dxa"/>
            <w:shd w:val="clear" w:color="auto" w:fill="auto"/>
          </w:tcPr>
          <w:p w14:paraId="35BFDAED" w14:textId="77777777" w:rsidR="00B33542" w:rsidRPr="005071A1" w:rsidRDefault="00B33542" w:rsidP="009B7AF5">
            <w:pPr>
              <w:pStyle w:val="Tabletext"/>
            </w:pPr>
            <w:r w:rsidRPr="005071A1">
              <w:t>0.32</w:t>
            </w:r>
          </w:p>
        </w:tc>
      </w:tr>
      <w:tr w:rsidR="00B33542" w:rsidRPr="005071A1" w14:paraId="77773542" w14:textId="77777777" w:rsidTr="009B7AF5">
        <w:tc>
          <w:tcPr>
            <w:tcW w:w="2432" w:type="dxa"/>
            <w:shd w:val="clear" w:color="auto" w:fill="auto"/>
          </w:tcPr>
          <w:p w14:paraId="28135121" w14:textId="77777777" w:rsidR="00B33542" w:rsidRPr="005071A1" w:rsidRDefault="00B33542" w:rsidP="009B7AF5">
            <w:pPr>
              <w:pStyle w:val="Tabletext"/>
            </w:pPr>
            <w:r w:rsidRPr="005071A1">
              <w:t>33</w:t>
            </w:r>
          </w:p>
        </w:tc>
        <w:tc>
          <w:tcPr>
            <w:tcW w:w="2432" w:type="dxa"/>
            <w:shd w:val="clear" w:color="auto" w:fill="auto"/>
          </w:tcPr>
          <w:p w14:paraId="081C153D" w14:textId="77777777" w:rsidR="00B33542" w:rsidRPr="005071A1" w:rsidRDefault="00B33542" w:rsidP="009B7AF5">
            <w:pPr>
              <w:pStyle w:val="Tabletext"/>
            </w:pPr>
            <w:r w:rsidRPr="005071A1">
              <w:t>0.68</w:t>
            </w:r>
          </w:p>
        </w:tc>
        <w:tc>
          <w:tcPr>
            <w:tcW w:w="2432" w:type="dxa"/>
            <w:shd w:val="clear" w:color="auto" w:fill="auto"/>
          </w:tcPr>
          <w:p w14:paraId="38678C1E" w14:textId="77777777" w:rsidR="00B33542" w:rsidRPr="005071A1" w:rsidRDefault="00B33542" w:rsidP="009B7AF5">
            <w:pPr>
              <w:pStyle w:val="Tabletext"/>
            </w:pPr>
            <w:r w:rsidRPr="005071A1">
              <w:t>0.34</w:t>
            </w:r>
          </w:p>
        </w:tc>
      </w:tr>
      <w:tr w:rsidR="00B33542" w:rsidRPr="005071A1" w14:paraId="69AAB578" w14:textId="77777777" w:rsidTr="009B7AF5">
        <w:tc>
          <w:tcPr>
            <w:tcW w:w="2432" w:type="dxa"/>
            <w:shd w:val="clear" w:color="auto" w:fill="auto"/>
          </w:tcPr>
          <w:p w14:paraId="3343276E" w14:textId="77777777" w:rsidR="00B33542" w:rsidRPr="005071A1" w:rsidRDefault="00B33542" w:rsidP="009B7AF5">
            <w:pPr>
              <w:pStyle w:val="Tabletext"/>
            </w:pPr>
            <w:r w:rsidRPr="005071A1">
              <w:t>34</w:t>
            </w:r>
          </w:p>
        </w:tc>
        <w:tc>
          <w:tcPr>
            <w:tcW w:w="2432" w:type="dxa"/>
            <w:shd w:val="clear" w:color="auto" w:fill="auto"/>
          </w:tcPr>
          <w:p w14:paraId="324C6394" w14:textId="77777777" w:rsidR="00B33542" w:rsidRPr="005071A1" w:rsidRDefault="00B33542" w:rsidP="009B7AF5">
            <w:pPr>
              <w:pStyle w:val="Tabletext"/>
            </w:pPr>
            <w:r w:rsidRPr="005071A1">
              <w:t>0.72</w:t>
            </w:r>
          </w:p>
        </w:tc>
        <w:tc>
          <w:tcPr>
            <w:tcW w:w="2432" w:type="dxa"/>
            <w:shd w:val="clear" w:color="auto" w:fill="auto"/>
          </w:tcPr>
          <w:p w14:paraId="3794FC95" w14:textId="77777777" w:rsidR="00B33542" w:rsidRPr="005071A1" w:rsidRDefault="00B33542" w:rsidP="009B7AF5">
            <w:pPr>
              <w:pStyle w:val="Tabletext"/>
            </w:pPr>
            <w:r w:rsidRPr="005071A1">
              <w:t>0.36</w:t>
            </w:r>
          </w:p>
        </w:tc>
      </w:tr>
      <w:tr w:rsidR="00B33542" w:rsidRPr="005071A1" w14:paraId="02D67008" w14:textId="77777777" w:rsidTr="009B7AF5">
        <w:tc>
          <w:tcPr>
            <w:tcW w:w="2432" w:type="dxa"/>
            <w:shd w:val="clear" w:color="auto" w:fill="auto"/>
          </w:tcPr>
          <w:p w14:paraId="5500B886" w14:textId="77777777" w:rsidR="00B33542" w:rsidRPr="005071A1" w:rsidRDefault="00B33542" w:rsidP="009B7AF5">
            <w:pPr>
              <w:pStyle w:val="Tabletext"/>
            </w:pPr>
            <w:r w:rsidRPr="005071A1">
              <w:t>35</w:t>
            </w:r>
          </w:p>
        </w:tc>
        <w:tc>
          <w:tcPr>
            <w:tcW w:w="2432" w:type="dxa"/>
            <w:shd w:val="clear" w:color="auto" w:fill="auto"/>
          </w:tcPr>
          <w:p w14:paraId="17B3D728" w14:textId="77777777" w:rsidR="00B33542" w:rsidRPr="005071A1" w:rsidRDefault="00B33542" w:rsidP="009B7AF5">
            <w:pPr>
              <w:pStyle w:val="Tabletext"/>
            </w:pPr>
            <w:r w:rsidRPr="005071A1">
              <w:t>0.76</w:t>
            </w:r>
          </w:p>
        </w:tc>
        <w:tc>
          <w:tcPr>
            <w:tcW w:w="2432" w:type="dxa"/>
            <w:shd w:val="clear" w:color="auto" w:fill="auto"/>
          </w:tcPr>
          <w:p w14:paraId="6951D147" w14:textId="77777777" w:rsidR="00B33542" w:rsidRPr="005071A1" w:rsidRDefault="00B33542" w:rsidP="009B7AF5">
            <w:pPr>
              <w:pStyle w:val="Tabletext"/>
            </w:pPr>
            <w:r w:rsidRPr="005071A1">
              <w:t>0.38</w:t>
            </w:r>
          </w:p>
        </w:tc>
      </w:tr>
      <w:tr w:rsidR="00B33542" w:rsidRPr="005071A1" w14:paraId="6C3795D1" w14:textId="77777777" w:rsidTr="009B7AF5">
        <w:tc>
          <w:tcPr>
            <w:tcW w:w="2432" w:type="dxa"/>
            <w:shd w:val="clear" w:color="auto" w:fill="auto"/>
          </w:tcPr>
          <w:p w14:paraId="77949135" w14:textId="77777777" w:rsidR="00B33542" w:rsidRPr="005071A1" w:rsidRDefault="00B33542" w:rsidP="009B7AF5">
            <w:pPr>
              <w:pStyle w:val="Tabletext"/>
            </w:pPr>
            <w:r w:rsidRPr="005071A1">
              <w:t>36</w:t>
            </w:r>
          </w:p>
        </w:tc>
        <w:tc>
          <w:tcPr>
            <w:tcW w:w="2432" w:type="dxa"/>
            <w:shd w:val="clear" w:color="auto" w:fill="auto"/>
          </w:tcPr>
          <w:p w14:paraId="1993A834" w14:textId="77777777" w:rsidR="00B33542" w:rsidRPr="005071A1" w:rsidRDefault="00B33542" w:rsidP="009B7AF5">
            <w:pPr>
              <w:pStyle w:val="Tabletext"/>
            </w:pPr>
            <w:r w:rsidRPr="005071A1">
              <w:t>0.80</w:t>
            </w:r>
          </w:p>
        </w:tc>
        <w:tc>
          <w:tcPr>
            <w:tcW w:w="2432" w:type="dxa"/>
            <w:shd w:val="clear" w:color="auto" w:fill="auto"/>
          </w:tcPr>
          <w:p w14:paraId="50A8865E" w14:textId="77777777" w:rsidR="00B33542" w:rsidRPr="005071A1" w:rsidRDefault="00B33542" w:rsidP="009B7AF5">
            <w:pPr>
              <w:pStyle w:val="Tabletext"/>
            </w:pPr>
            <w:r w:rsidRPr="005071A1">
              <w:t>0.40</w:t>
            </w:r>
          </w:p>
        </w:tc>
      </w:tr>
      <w:tr w:rsidR="00B33542" w:rsidRPr="005071A1" w14:paraId="6C37CBEB" w14:textId="77777777" w:rsidTr="009B7AF5">
        <w:tc>
          <w:tcPr>
            <w:tcW w:w="2432" w:type="dxa"/>
            <w:shd w:val="clear" w:color="auto" w:fill="auto"/>
          </w:tcPr>
          <w:p w14:paraId="2B7B72AE" w14:textId="77777777" w:rsidR="00B33542" w:rsidRPr="005071A1" w:rsidRDefault="00B33542" w:rsidP="009B7AF5">
            <w:pPr>
              <w:pStyle w:val="Tabletext"/>
            </w:pPr>
            <w:r w:rsidRPr="005071A1">
              <w:t>37</w:t>
            </w:r>
          </w:p>
        </w:tc>
        <w:tc>
          <w:tcPr>
            <w:tcW w:w="2432" w:type="dxa"/>
            <w:shd w:val="clear" w:color="auto" w:fill="auto"/>
          </w:tcPr>
          <w:p w14:paraId="39EB4B83" w14:textId="77777777" w:rsidR="00B33542" w:rsidRPr="005071A1" w:rsidRDefault="00B33542" w:rsidP="009B7AF5">
            <w:pPr>
              <w:pStyle w:val="Tabletext"/>
            </w:pPr>
            <w:r w:rsidRPr="005071A1">
              <w:t>0.86</w:t>
            </w:r>
          </w:p>
        </w:tc>
        <w:tc>
          <w:tcPr>
            <w:tcW w:w="2432" w:type="dxa"/>
            <w:shd w:val="clear" w:color="auto" w:fill="auto"/>
          </w:tcPr>
          <w:p w14:paraId="12BCB350" w14:textId="77777777" w:rsidR="00B33542" w:rsidRPr="005071A1" w:rsidRDefault="00B33542" w:rsidP="009B7AF5">
            <w:pPr>
              <w:pStyle w:val="Tabletext"/>
            </w:pPr>
            <w:r w:rsidRPr="005071A1">
              <w:t>0.43</w:t>
            </w:r>
          </w:p>
        </w:tc>
      </w:tr>
      <w:tr w:rsidR="00B33542" w:rsidRPr="005071A1" w14:paraId="725B5482" w14:textId="77777777" w:rsidTr="009B7AF5">
        <w:tc>
          <w:tcPr>
            <w:tcW w:w="2432" w:type="dxa"/>
            <w:shd w:val="clear" w:color="auto" w:fill="auto"/>
          </w:tcPr>
          <w:p w14:paraId="3396D7A1" w14:textId="77777777" w:rsidR="00B33542" w:rsidRPr="005071A1" w:rsidRDefault="00B33542" w:rsidP="009B7AF5">
            <w:pPr>
              <w:pStyle w:val="Tabletext"/>
            </w:pPr>
            <w:r w:rsidRPr="005071A1">
              <w:t>38</w:t>
            </w:r>
          </w:p>
        </w:tc>
        <w:tc>
          <w:tcPr>
            <w:tcW w:w="2432" w:type="dxa"/>
            <w:shd w:val="clear" w:color="auto" w:fill="auto"/>
          </w:tcPr>
          <w:p w14:paraId="3CDB0CA3" w14:textId="77777777" w:rsidR="00B33542" w:rsidRPr="005071A1" w:rsidRDefault="00B33542" w:rsidP="009B7AF5">
            <w:pPr>
              <w:pStyle w:val="Tabletext"/>
            </w:pPr>
            <w:r w:rsidRPr="005071A1">
              <w:t>0.92</w:t>
            </w:r>
          </w:p>
        </w:tc>
        <w:tc>
          <w:tcPr>
            <w:tcW w:w="2432" w:type="dxa"/>
            <w:shd w:val="clear" w:color="auto" w:fill="auto"/>
          </w:tcPr>
          <w:p w14:paraId="3A809831" w14:textId="77777777" w:rsidR="00B33542" w:rsidRPr="005071A1" w:rsidRDefault="00B33542" w:rsidP="009B7AF5">
            <w:pPr>
              <w:pStyle w:val="Tabletext"/>
            </w:pPr>
            <w:r w:rsidRPr="005071A1">
              <w:t>0.46</w:t>
            </w:r>
          </w:p>
        </w:tc>
      </w:tr>
      <w:tr w:rsidR="00B33542" w:rsidRPr="005071A1" w14:paraId="5DC94B88" w14:textId="77777777" w:rsidTr="009B7AF5">
        <w:tc>
          <w:tcPr>
            <w:tcW w:w="2432" w:type="dxa"/>
            <w:shd w:val="clear" w:color="auto" w:fill="auto"/>
          </w:tcPr>
          <w:p w14:paraId="34C5EEB9" w14:textId="77777777" w:rsidR="00B33542" w:rsidRPr="005071A1" w:rsidRDefault="00B33542" w:rsidP="009B7AF5">
            <w:pPr>
              <w:pStyle w:val="Tabletext"/>
            </w:pPr>
            <w:r w:rsidRPr="005071A1">
              <w:t>39</w:t>
            </w:r>
          </w:p>
        </w:tc>
        <w:tc>
          <w:tcPr>
            <w:tcW w:w="2432" w:type="dxa"/>
            <w:shd w:val="clear" w:color="auto" w:fill="auto"/>
          </w:tcPr>
          <w:p w14:paraId="2863ED79" w14:textId="77777777" w:rsidR="00B33542" w:rsidRPr="005071A1" w:rsidRDefault="00B33542" w:rsidP="009B7AF5">
            <w:pPr>
              <w:pStyle w:val="Tabletext"/>
            </w:pPr>
            <w:r w:rsidRPr="005071A1">
              <w:t>0.98</w:t>
            </w:r>
          </w:p>
        </w:tc>
        <w:tc>
          <w:tcPr>
            <w:tcW w:w="2432" w:type="dxa"/>
            <w:shd w:val="clear" w:color="auto" w:fill="auto"/>
          </w:tcPr>
          <w:p w14:paraId="1C9A12A0" w14:textId="77777777" w:rsidR="00B33542" w:rsidRPr="005071A1" w:rsidRDefault="00B33542" w:rsidP="009B7AF5">
            <w:pPr>
              <w:pStyle w:val="Tabletext"/>
            </w:pPr>
            <w:r w:rsidRPr="005071A1">
              <w:t>0.49</w:t>
            </w:r>
          </w:p>
        </w:tc>
      </w:tr>
      <w:tr w:rsidR="00B33542" w:rsidRPr="005071A1" w14:paraId="3A597194" w14:textId="77777777" w:rsidTr="009B7AF5">
        <w:tc>
          <w:tcPr>
            <w:tcW w:w="2432" w:type="dxa"/>
            <w:shd w:val="clear" w:color="auto" w:fill="auto"/>
          </w:tcPr>
          <w:p w14:paraId="0E637E38" w14:textId="77777777" w:rsidR="00B33542" w:rsidRPr="005071A1" w:rsidRDefault="00B33542" w:rsidP="009B7AF5">
            <w:pPr>
              <w:pStyle w:val="Tabletext"/>
            </w:pPr>
            <w:r w:rsidRPr="005071A1">
              <w:t>40</w:t>
            </w:r>
          </w:p>
        </w:tc>
        <w:tc>
          <w:tcPr>
            <w:tcW w:w="2432" w:type="dxa"/>
            <w:shd w:val="clear" w:color="auto" w:fill="auto"/>
          </w:tcPr>
          <w:p w14:paraId="19EDEDB5" w14:textId="77777777" w:rsidR="00B33542" w:rsidRPr="005071A1" w:rsidRDefault="00B33542" w:rsidP="009B7AF5">
            <w:pPr>
              <w:pStyle w:val="Tabletext"/>
            </w:pPr>
            <w:r w:rsidRPr="005071A1">
              <w:t>1.04</w:t>
            </w:r>
          </w:p>
        </w:tc>
        <w:tc>
          <w:tcPr>
            <w:tcW w:w="2432" w:type="dxa"/>
            <w:shd w:val="clear" w:color="auto" w:fill="auto"/>
          </w:tcPr>
          <w:p w14:paraId="57C4F78B" w14:textId="77777777" w:rsidR="00B33542" w:rsidRPr="005071A1" w:rsidRDefault="00B33542" w:rsidP="009B7AF5">
            <w:pPr>
              <w:pStyle w:val="Tabletext"/>
            </w:pPr>
            <w:r w:rsidRPr="005071A1">
              <w:t>0.52</w:t>
            </w:r>
          </w:p>
        </w:tc>
      </w:tr>
      <w:tr w:rsidR="00B33542" w:rsidRPr="005071A1" w14:paraId="7B91727F" w14:textId="77777777" w:rsidTr="009B7AF5">
        <w:tc>
          <w:tcPr>
            <w:tcW w:w="2432" w:type="dxa"/>
            <w:shd w:val="clear" w:color="auto" w:fill="auto"/>
          </w:tcPr>
          <w:p w14:paraId="14670BB1" w14:textId="77777777" w:rsidR="00B33542" w:rsidRPr="005071A1" w:rsidRDefault="00B33542" w:rsidP="009B7AF5">
            <w:pPr>
              <w:pStyle w:val="Tabletext"/>
            </w:pPr>
            <w:r w:rsidRPr="005071A1">
              <w:t>41</w:t>
            </w:r>
          </w:p>
        </w:tc>
        <w:tc>
          <w:tcPr>
            <w:tcW w:w="2432" w:type="dxa"/>
            <w:shd w:val="clear" w:color="auto" w:fill="auto"/>
          </w:tcPr>
          <w:p w14:paraId="50383F5F" w14:textId="77777777" w:rsidR="00B33542" w:rsidRPr="005071A1" w:rsidRDefault="00B33542" w:rsidP="009B7AF5">
            <w:pPr>
              <w:pStyle w:val="Tabletext"/>
            </w:pPr>
            <w:r w:rsidRPr="005071A1">
              <w:t>1.10</w:t>
            </w:r>
          </w:p>
        </w:tc>
        <w:tc>
          <w:tcPr>
            <w:tcW w:w="2432" w:type="dxa"/>
            <w:shd w:val="clear" w:color="auto" w:fill="auto"/>
          </w:tcPr>
          <w:p w14:paraId="18E3F096" w14:textId="77777777" w:rsidR="00B33542" w:rsidRPr="005071A1" w:rsidRDefault="00B33542" w:rsidP="009B7AF5">
            <w:pPr>
              <w:pStyle w:val="Tabletext"/>
            </w:pPr>
            <w:r w:rsidRPr="005071A1">
              <w:t>0.55</w:t>
            </w:r>
          </w:p>
        </w:tc>
      </w:tr>
      <w:tr w:rsidR="00B33542" w:rsidRPr="005071A1" w14:paraId="11F75146" w14:textId="77777777" w:rsidTr="009B7AF5">
        <w:tc>
          <w:tcPr>
            <w:tcW w:w="2432" w:type="dxa"/>
            <w:shd w:val="clear" w:color="auto" w:fill="auto"/>
          </w:tcPr>
          <w:p w14:paraId="15E26155" w14:textId="77777777" w:rsidR="00B33542" w:rsidRPr="005071A1" w:rsidRDefault="00B33542" w:rsidP="009B7AF5">
            <w:pPr>
              <w:pStyle w:val="Tabletext"/>
            </w:pPr>
            <w:r w:rsidRPr="005071A1">
              <w:t>42</w:t>
            </w:r>
          </w:p>
        </w:tc>
        <w:tc>
          <w:tcPr>
            <w:tcW w:w="2432" w:type="dxa"/>
            <w:shd w:val="clear" w:color="auto" w:fill="auto"/>
          </w:tcPr>
          <w:p w14:paraId="28BCC2A3" w14:textId="77777777" w:rsidR="00B33542" w:rsidRPr="005071A1" w:rsidRDefault="00B33542" w:rsidP="009B7AF5">
            <w:pPr>
              <w:pStyle w:val="Tabletext"/>
            </w:pPr>
            <w:r w:rsidRPr="005071A1">
              <w:t>1.18</w:t>
            </w:r>
          </w:p>
        </w:tc>
        <w:tc>
          <w:tcPr>
            <w:tcW w:w="2432" w:type="dxa"/>
            <w:shd w:val="clear" w:color="auto" w:fill="auto"/>
          </w:tcPr>
          <w:p w14:paraId="6C83A900" w14:textId="77777777" w:rsidR="00B33542" w:rsidRPr="005071A1" w:rsidRDefault="00B33542" w:rsidP="009B7AF5">
            <w:pPr>
              <w:pStyle w:val="Tabletext"/>
            </w:pPr>
            <w:r w:rsidRPr="005071A1">
              <w:t>0.59</w:t>
            </w:r>
          </w:p>
        </w:tc>
      </w:tr>
      <w:tr w:rsidR="00B33542" w:rsidRPr="005071A1" w14:paraId="15B26234" w14:textId="77777777" w:rsidTr="009B7AF5">
        <w:tc>
          <w:tcPr>
            <w:tcW w:w="2432" w:type="dxa"/>
            <w:shd w:val="clear" w:color="auto" w:fill="auto"/>
          </w:tcPr>
          <w:p w14:paraId="57F5B009" w14:textId="77777777" w:rsidR="00B33542" w:rsidRPr="005071A1" w:rsidRDefault="00B33542" w:rsidP="009B7AF5">
            <w:pPr>
              <w:pStyle w:val="Tabletext"/>
            </w:pPr>
            <w:r w:rsidRPr="005071A1">
              <w:t>43</w:t>
            </w:r>
          </w:p>
        </w:tc>
        <w:tc>
          <w:tcPr>
            <w:tcW w:w="2432" w:type="dxa"/>
            <w:shd w:val="clear" w:color="auto" w:fill="auto"/>
          </w:tcPr>
          <w:p w14:paraId="076F3FA9" w14:textId="77777777" w:rsidR="00B33542" w:rsidRPr="005071A1" w:rsidRDefault="00B33542" w:rsidP="009B7AF5">
            <w:pPr>
              <w:pStyle w:val="Tabletext"/>
            </w:pPr>
            <w:r w:rsidRPr="005071A1">
              <w:t>1.28</w:t>
            </w:r>
          </w:p>
        </w:tc>
        <w:tc>
          <w:tcPr>
            <w:tcW w:w="2432" w:type="dxa"/>
            <w:shd w:val="clear" w:color="auto" w:fill="auto"/>
          </w:tcPr>
          <w:p w14:paraId="51E9E992" w14:textId="77777777" w:rsidR="00B33542" w:rsidRPr="005071A1" w:rsidRDefault="00B33542" w:rsidP="009B7AF5">
            <w:pPr>
              <w:pStyle w:val="Tabletext"/>
            </w:pPr>
            <w:r w:rsidRPr="005071A1">
              <w:t>0.64</w:t>
            </w:r>
          </w:p>
        </w:tc>
      </w:tr>
      <w:tr w:rsidR="00B33542" w:rsidRPr="005071A1" w14:paraId="6DA230D3" w14:textId="77777777" w:rsidTr="009B7AF5">
        <w:tc>
          <w:tcPr>
            <w:tcW w:w="2432" w:type="dxa"/>
            <w:shd w:val="clear" w:color="auto" w:fill="auto"/>
          </w:tcPr>
          <w:p w14:paraId="776E2866" w14:textId="77777777" w:rsidR="00B33542" w:rsidRPr="005071A1" w:rsidRDefault="00B33542" w:rsidP="009B7AF5">
            <w:pPr>
              <w:pStyle w:val="Tabletext"/>
            </w:pPr>
            <w:r w:rsidRPr="005071A1">
              <w:t>44</w:t>
            </w:r>
          </w:p>
        </w:tc>
        <w:tc>
          <w:tcPr>
            <w:tcW w:w="2432" w:type="dxa"/>
            <w:shd w:val="clear" w:color="auto" w:fill="auto"/>
          </w:tcPr>
          <w:p w14:paraId="5810C425" w14:textId="77777777" w:rsidR="00B33542" w:rsidRPr="005071A1" w:rsidRDefault="00B33542" w:rsidP="009B7AF5">
            <w:pPr>
              <w:pStyle w:val="Tabletext"/>
            </w:pPr>
            <w:r w:rsidRPr="005071A1">
              <w:t>1.38</w:t>
            </w:r>
          </w:p>
        </w:tc>
        <w:tc>
          <w:tcPr>
            <w:tcW w:w="2432" w:type="dxa"/>
            <w:shd w:val="clear" w:color="auto" w:fill="auto"/>
          </w:tcPr>
          <w:p w14:paraId="16419949" w14:textId="77777777" w:rsidR="00B33542" w:rsidRPr="005071A1" w:rsidRDefault="00B33542" w:rsidP="009B7AF5">
            <w:pPr>
              <w:pStyle w:val="Tabletext"/>
            </w:pPr>
            <w:r w:rsidRPr="005071A1">
              <w:t>0.69</w:t>
            </w:r>
          </w:p>
        </w:tc>
      </w:tr>
      <w:tr w:rsidR="00B33542" w:rsidRPr="005071A1" w14:paraId="09DE3D8F" w14:textId="77777777" w:rsidTr="009B7AF5">
        <w:tc>
          <w:tcPr>
            <w:tcW w:w="2432" w:type="dxa"/>
            <w:shd w:val="clear" w:color="auto" w:fill="auto"/>
          </w:tcPr>
          <w:p w14:paraId="02380E69" w14:textId="77777777" w:rsidR="00B33542" w:rsidRPr="005071A1" w:rsidRDefault="00B33542" w:rsidP="009B7AF5">
            <w:pPr>
              <w:pStyle w:val="Tabletext"/>
            </w:pPr>
            <w:r w:rsidRPr="005071A1">
              <w:lastRenderedPageBreak/>
              <w:t>45</w:t>
            </w:r>
          </w:p>
        </w:tc>
        <w:tc>
          <w:tcPr>
            <w:tcW w:w="2432" w:type="dxa"/>
            <w:shd w:val="clear" w:color="auto" w:fill="auto"/>
          </w:tcPr>
          <w:p w14:paraId="3B8D7A15" w14:textId="77777777" w:rsidR="00B33542" w:rsidRPr="005071A1" w:rsidRDefault="00B33542" w:rsidP="009B7AF5">
            <w:pPr>
              <w:pStyle w:val="Tabletext"/>
            </w:pPr>
            <w:r w:rsidRPr="005071A1">
              <w:t>1.50</w:t>
            </w:r>
          </w:p>
        </w:tc>
        <w:tc>
          <w:tcPr>
            <w:tcW w:w="2432" w:type="dxa"/>
            <w:shd w:val="clear" w:color="auto" w:fill="auto"/>
          </w:tcPr>
          <w:p w14:paraId="3D914A5A" w14:textId="77777777" w:rsidR="00B33542" w:rsidRPr="005071A1" w:rsidRDefault="00B33542" w:rsidP="009B7AF5">
            <w:pPr>
              <w:pStyle w:val="Tabletext"/>
            </w:pPr>
            <w:r w:rsidRPr="005071A1">
              <w:t>0.75</w:t>
            </w:r>
          </w:p>
        </w:tc>
      </w:tr>
      <w:tr w:rsidR="00B33542" w:rsidRPr="005071A1" w14:paraId="0137F346" w14:textId="77777777" w:rsidTr="009B7AF5">
        <w:tc>
          <w:tcPr>
            <w:tcW w:w="2432" w:type="dxa"/>
            <w:shd w:val="clear" w:color="auto" w:fill="auto"/>
          </w:tcPr>
          <w:p w14:paraId="2DEC48C7" w14:textId="77777777" w:rsidR="00B33542" w:rsidRPr="005071A1" w:rsidRDefault="00B33542" w:rsidP="009B7AF5">
            <w:pPr>
              <w:pStyle w:val="Tabletext"/>
            </w:pPr>
            <w:r w:rsidRPr="005071A1">
              <w:t>46</w:t>
            </w:r>
          </w:p>
        </w:tc>
        <w:tc>
          <w:tcPr>
            <w:tcW w:w="2432" w:type="dxa"/>
            <w:shd w:val="clear" w:color="auto" w:fill="auto"/>
          </w:tcPr>
          <w:p w14:paraId="5CB0CC1D" w14:textId="77777777" w:rsidR="00B33542" w:rsidRPr="005071A1" w:rsidRDefault="00B33542" w:rsidP="009B7AF5">
            <w:pPr>
              <w:pStyle w:val="Tabletext"/>
            </w:pPr>
            <w:r w:rsidRPr="005071A1">
              <w:t>1.62</w:t>
            </w:r>
          </w:p>
        </w:tc>
        <w:tc>
          <w:tcPr>
            <w:tcW w:w="2432" w:type="dxa"/>
            <w:shd w:val="clear" w:color="auto" w:fill="auto"/>
          </w:tcPr>
          <w:p w14:paraId="05935BDD" w14:textId="77777777" w:rsidR="00B33542" w:rsidRPr="005071A1" w:rsidRDefault="00B33542" w:rsidP="009B7AF5">
            <w:pPr>
              <w:pStyle w:val="Tabletext"/>
            </w:pPr>
            <w:r w:rsidRPr="005071A1">
              <w:t>0.81</w:t>
            </w:r>
          </w:p>
        </w:tc>
      </w:tr>
      <w:tr w:rsidR="00B33542" w:rsidRPr="005071A1" w14:paraId="4328DB41" w14:textId="77777777" w:rsidTr="009B7AF5">
        <w:tc>
          <w:tcPr>
            <w:tcW w:w="2432" w:type="dxa"/>
            <w:shd w:val="clear" w:color="auto" w:fill="auto"/>
          </w:tcPr>
          <w:p w14:paraId="5A7C6A91" w14:textId="77777777" w:rsidR="00B33542" w:rsidRPr="005071A1" w:rsidRDefault="00B33542" w:rsidP="009B7AF5">
            <w:pPr>
              <w:pStyle w:val="Tabletext"/>
            </w:pPr>
            <w:r w:rsidRPr="005071A1">
              <w:t>47</w:t>
            </w:r>
          </w:p>
        </w:tc>
        <w:tc>
          <w:tcPr>
            <w:tcW w:w="2432" w:type="dxa"/>
            <w:shd w:val="clear" w:color="auto" w:fill="auto"/>
          </w:tcPr>
          <w:p w14:paraId="721127F9" w14:textId="77777777" w:rsidR="00B33542" w:rsidRPr="005071A1" w:rsidRDefault="00B33542" w:rsidP="009B7AF5">
            <w:pPr>
              <w:pStyle w:val="Tabletext"/>
            </w:pPr>
            <w:r w:rsidRPr="005071A1">
              <w:t>1.78</w:t>
            </w:r>
          </w:p>
        </w:tc>
        <w:tc>
          <w:tcPr>
            <w:tcW w:w="2432" w:type="dxa"/>
            <w:shd w:val="clear" w:color="auto" w:fill="auto"/>
          </w:tcPr>
          <w:p w14:paraId="173764F5" w14:textId="77777777" w:rsidR="00B33542" w:rsidRPr="005071A1" w:rsidRDefault="00B33542" w:rsidP="009B7AF5">
            <w:pPr>
              <w:pStyle w:val="Tabletext"/>
            </w:pPr>
            <w:r w:rsidRPr="005071A1">
              <w:t>0.89</w:t>
            </w:r>
          </w:p>
        </w:tc>
      </w:tr>
      <w:tr w:rsidR="00B33542" w:rsidRPr="005071A1" w14:paraId="5F5E5BCF" w14:textId="77777777" w:rsidTr="009B7AF5">
        <w:tc>
          <w:tcPr>
            <w:tcW w:w="2432" w:type="dxa"/>
            <w:shd w:val="clear" w:color="auto" w:fill="auto"/>
          </w:tcPr>
          <w:p w14:paraId="117014B3" w14:textId="77777777" w:rsidR="00B33542" w:rsidRPr="005071A1" w:rsidRDefault="00B33542" w:rsidP="009B7AF5">
            <w:pPr>
              <w:pStyle w:val="Tabletext"/>
            </w:pPr>
            <w:r w:rsidRPr="005071A1">
              <w:t>48</w:t>
            </w:r>
          </w:p>
        </w:tc>
        <w:tc>
          <w:tcPr>
            <w:tcW w:w="2432" w:type="dxa"/>
            <w:shd w:val="clear" w:color="auto" w:fill="auto"/>
          </w:tcPr>
          <w:p w14:paraId="13D6C077" w14:textId="77777777" w:rsidR="00B33542" w:rsidRPr="005071A1" w:rsidRDefault="00B33542" w:rsidP="009B7AF5">
            <w:pPr>
              <w:pStyle w:val="Tabletext"/>
            </w:pPr>
            <w:r w:rsidRPr="005071A1">
              <w:t>1.96</w:t>
            </w:r>
          </w:p>
        </w:tc>
        <w:tc>
          <w:tcPr>
            <w:tcW w:w="2432" w:type="dxa"/>
            <w:shd w:val="clear" w:color="auto" w:fill="auto"/>
          </w:tcPr>
          <w:p w14:paraId="30A259DE" w14:textId="77777777" w:rsidR="00B33542" w:rsidRPr="005071A1" w:rsidRDefault="00B33542" w:rsidP="009B7AF5">
            <w:pPr>
              <w:pStyle w:val="Tabletext"/>
            </w:pPr>
            <w:r w:rsidRPr="005071A1">
              <w:t>0.98</w:t>
            </w:r>
          </w:p>
        </w:tc>
      </w:tr>
      <w:tr w:rsidR="00B33542" w:rsidRPr="005071A1" w14:paraId="347E0A26" w14:textId="77777777" w:rsidTr="00D57394">
        <w:tc>
          <w:tcPr>
            <w:tcW w:w="2432" w:type="dxa"/>
            <w:tcBorders>
              <w:bottom w:val="single" w:sz="4" w:space="0" w:color="auto"/>
            </w:tcBorders>
            <w:shd w:val="clear" w:color="auto" w:fill="auto"/>
          </w:tcPr>
          <w:p w14:paraId="41F4FCF3" w14:textId="77777777" w:rsidR="00B33542" w:rsidRPr="005071A1" w:rsidRDefault="00B33542" w:rsidP="009B7AF5">
            <w:pPr>
              <w:pStyle w:val="Tabletext"/>
            </w:pPr>
            <w:r w:rsidRPr="005071A1">
              <w:t>49</w:t>
            </w:r>
          </w:p>
        </w:tc>
        <w:tc>
          <w:tcPr>
            <w:tcW w:w="2432" w:type="dxa"/>
            <w:tcBorders>
              <w:bottom w:val="single" w:sz="4" w:space="0" w:color="auto"/>
            </w:tcBorders>
            <w:shd w:val="clear" w:color="auto" w:fill="auto"/>
          </w:tcPr>
          <w:p w14:paraId="6E98CD91" w14:textId="77777777" w:rsidR="00B33542" w:rsidRPr="005071A1" w:rsidRDefault="00B33542" w:rsidP="009B7AF5">
            <w:pPr>
              <w:pStyle w:val="Tabletext"/>
            </w:pPr>
            <w:r w:rsidRPr="005071A1">
              <w:t>2.16</w:t>
            </w:r>
          </w:p>
        </w:tc>
        <w:tc>
          <w:tcPr>
            <w:tcW w:w="2432" w:type="dxa"/>
            <w:tcBorders>
              <w:bottom w:val="single" w:sz="4" w:space="0" w:color="auto"/>
            </w:tcBorders>
            <w:shd w:val="clear" w:color="auto" w:fill="auto"/>
          </w:tcPr>
          <w:p w14:paraId="771324F7" w14:textId="77777777" w:rsidR="00B33542" w:rsidRPr="005071A1" w:rsidRDefault="00B33542" w:rsidP="009B7AF5">
            <w:pPr>
              <w:pStyle w:val="Tabletext"/>
            </w:pPr>
            <w:r w:rsidRPr="005071A1">
              <w:t>1.08</w:t>
            </w:r>
          </w:p>
        </w:tc>
      </w:tr>
      <w:tr w:rsidR="00B33542" w:rsidRPr="005071A1" w14:paraId="53F88620" w14:textId="77777777" w:rsidTr="00D57394">
        <w:tc>
          <w:tcPr>
            <w:tcW w:w="2432" w:type="dxa"/>
            <w:tcBorders>
              <w:bottom w:val="single" w:sz="4" w:space="0" w:color="auto"/>
            </w:tcBorders>
            <w:shd w:val="clear" w:color="auto" w:fill="auto"/>
          </w:tcPr>
          <w:p w14:paraId="6258155D" w14:textId="77777777" w:rsidR="00B33542" w:rsidRPr="005071A1" w:rsidRDefault="00B33542" w:rsidP="009B7AF5">
            <w:pPr>
              <w:pStyle w:val="Tabletext"/>
            </w:pPr>
            <w:r w:rsidRPr="005071A1">
              <w:t>50</w:t>
            </w:r>
          </w:p>
        </w:tc>
        <w:tc>
          <w:tcPr>
            <w:tcW w:w="2432" w:type="dxa"/>
            <w:tcBorders>
              <w:bottom w:val="single" w:sz="4" w:space="0" w:color="auto"/>
            </w:tcBorders>
            <w:shd w:val="clear" w:color="auto" w:fill="auto"/>
          </w:tcPr>
          <w:p w14:paraId="68388E83" w14:textId="77777777" w:rsidR="00B33542" w:rsidRPr="005071A1" w:rsidRDefault="00B33542" w:rsidP="009B7AF5">
            <w:pPr>
              <w:pStyle w:val="Tabletext"/>
            </w:pPr>
            <w:r w:rsidRPr="005071A1">
              <w:t>2.42</w:t>
            </w:r>
          </w:p>
        </w:tc>
        <w:tc>
          <w:tcPr>
            <w:tcW w:w="2432" w:type="dxa"/>
            <w:tcBorders>
              <w:bottom w:val="single" w:sz="4" w:space="0" w:color="auto"/>
            </w:tcBorders>
            <w:shd w:val="clear" w:color="auto" w:fill="auto"/>
          </w:tcPr>
          <w:p w14:paraId="5CC02FD9" w14:textId="77777777" w:rsidR="00B33542" w:rsidRPr="005071A1" w:rsidRDefault="00B33542" w:rsidP="009B7AF5">
            <w:pPr>
              <w:pStyle w:val="Tabletext"/>
            </w:pPr>
            <w:r w:rsidRPr="005071A1">
              <w:t>1.21</w:t>
            </w:r>
          </w:p>
        </w:tc>
      </w:tr>
      <w:tr w:rsidR="00B33542" w:rsidRPr="005071A1" w14:paraId="60EB0A51" w14:textId="77777777" w:rsidTr="00640BB6">
        <w:tc>
          <w:tcPr>
            <w:tcW w:w="2432" w:type="dxa"/>
            <w:tcBorders>
              <w:top w:val="single" w:sz="4" w:space="0" w:color="auto"/>
              <w:bottom w:val="single" w:sz="4" w:space="0" w:color="auto"/>
            </w:tcBorders>
            <w:shd w:val="clear" w:color="auto" w:fill="auto"/>
          </w:tcPr>
          <w:p w14:paraId="003E61DB" w14:textId="77777777" w:rsidR="00B33542" w:rsidRPr="005071A1" w:rsidRDefault="00B33542" w:rsidP="009B7AF5">
            <w:pPr>
              <w:pStyle w:val="Tabletext"/>
            </w:pPr>
            <w:r w:rsidRPr="005071A1">
              <w:t>51</w:t>
            </w:r>
          </w:p>
        </w:tc>
        <w:tc>
          <w:tcPr>
            <w:tcW w:w="2432" w:type="dxa"/>
            <w:tcBorders>
              <w:top w:val="single" w:sz="4" w:space="0" w:color="auto"/>
              <w:bottom w:val="single" w:sz="4" w:space="0" w:color="auto"/>
            </w:tcBorders>
            <w:shd w:val="clear" w:color="auto" w:fill="auto"/>
          </w:tcPr>
          <w:p w14:paraId="743CB512" w14:textId="77777777" w:rsidR="00B33542" w:rsidRPr="005071A1" w:rsidRDefault="00B33542" w:rsidP="009B7AF5">
            <w:pPr>
              <w:pStyle w:val="Tabletext"/>
            </w:pPr>
            <w:r w:rsidRPr="005071A1">
              <w:t>2.74</w:t>
            </w:r>
          </w:p>
        </w:tc>
        <w:tc>
          <w:tcPr>
            <w:tcW w:w="2432" w:type="dxa"/>
            <w:tcBorders>
              <w:top w:val="single" w:sz="4" w:space="0" w:color="auto"/>
              <w:bottom w:val="single" w:sz="4" w:space="0" w:color="auto"/>
            </w:tcBorders>
            <w:shd w:val="clear" w:color="auto" w:fill="auto"/>
          </w:tcPr>
          <w:p w14:paraId="57FB5B51" w14:textId="77777777" w:rsidR="00B33542" w:rsidRPr="005071A1" w:rsidRDefault="00B33542" w:rsidP="009B7AF5">
            <w:pPr>
              <w:pStyle w:val="Tabletext"/>
            </w:pPr>
            <w:r w:rsidRPr="005071A1">
              <w:t>1.37</w:t>
            </w:r>
          </w:p>
        </w:tc>
      </w:tr>
      <w:tr w:rsidR="00B33542" w:rsidRPr="005071A1" w14:paraId="3052CE9F" w14:textId="77777777" w:rsidTr="00640BB6">
        <w:tc>
          <w:tcPr>
            <w:tcW w:w="2432" w:type="dxa"/>
            <w:tcBorders>
              <w:bottom w:val="single" w:sz="4" w:space="0" w:color="auto"/>
            </w:tcBorders>
            <w:shd w:val="clear" w:color="auto" w:fill="auto"/>
          </w:tcPr>
          <w:p w14:paraId="33F7A1BD" w14:textId="77777777" w:rsidR="00B33542" w:rsidRPr="005071A1" w:rsidRDefault="00B33542" w:rsidP="009B7AF5">
            <w:pPr>
              <w:pStyle w:val="Tabletext"/>
            </w:pPr>
            <w:r w:rsidRPr="005071A1">
              <w:t>52</w:t>
            </w:r>
          </w:p>
        </w:tc>
        <w:tc>
          <w:tcPr>
            <w:tcW w:w="2432" w:type="dxa"/>
            <w:tcBorders>
              <w:bottom w:val="single" w:sz="4" w:space="0" w:color="auto"/>
            </w:tcBorders>
            <w:shd w:val="clear" w:color="auto" w:fill="auto"/>
          </w:tcPr>
          <w:p w14:paraId="3E04A11C" w14:textId="77777777" w:rsidR="00B33542" w:rsidRPr="005071A1" w:rsidRDefault="00B33542" w:rsidP="009B7AF5">
            <w:pPr>
              <w:pStyle w:val="Tabletext"/>
            </w:pPr>
            <w:r w:rsidRPr="005071A1">
              <w:t>3.12</w:t>
            </w:r>
          </w:p>
        </w:tc>
        <w:tc>
          <w:tcPr>
            <w:tcW w:w="2432" w:type="dxa"/>
            <w:tcBorders>
              <w:bottom w:val="single" w:sz="4" w:space="0" w:color="auto"/>
            </w:tcBorders>
            <w:shd w:val="clear" w:color="auto" w:fill="auto"/>
          </w:tcPr>
          <w:p w14:paraId="52A573A8" w14:textId="77777777" w:rsidR="00B33542" w:rsidRPr="005071A1" w:rsidRDefault="00B33542" w:rsidP="009B7AF5">
            <w:pPr>
              <w:pStyle w:val="Tabletext"/>
            </w:pPr>
            <w:r w:rsidRPr="005071A1">
              <w:t>1.56</w:t>
            </w:r>
          </w:p>
        </w:tc>
      </w:tr>
      <w:tr w:rsidR="00B33542" w:rsidRPr="005071A1" w14:paraId="3A6E6451" w14:textId="77777777" w:rsidTr="00640BB6">
        <w:tc>
          <w:tcPr>
            <w:tcW w:w="2432" w:type="dxa"/>
            <w:tcBorders>
              <w:top w:val="single" w:sz="4" w:space="0" w:color="auto"/>
            </w:tcBorders>
            <w:shd w:val="clear" w:color="auto" w:fill="auto"/>
          </w:tcPr>
          <w:p w14:paraId="73CD7463" w14:textId="77777777" w:rsidR="00B33542" w:rsidRPr="005071A1" w:rsidRDefault="00B33542" w:rsidP="009B7AF5">
            <w:pPr>
              <w:pStyle w:val="Tabletext"/>
            </w:pPr>
            <w:r w:rsidRPr="005071A1">
              <w:t>53</w:t>
            </w:r>
          </w:p>
        </w:tc>
        <w:tc>
          <w:tcPr>
            <w:tcW w:w="2432" w:type="dxa"/>
            <w:tcBorders>
              <w:top w:val="single" w:sz="4" w:space="0" w:color="auto"/>
            </w:tcBorders>
            <w:shd w:val="clear" w:color="auto" w:fill="auto"/>
          </w:tcPr>
          <w:p w14:paraId="2BF6F6DF" w14:textId="77777777" w:rsidR="00B33542" w:rsidRPr="005071A1" w:rsidRDefault="00B33542" w:rsidP="009B7AF5">
            <w:pPr>
              <w:pStyle w:val="Tabletext"/>
            </w:pPr>
            <w:r w:rsidRPr="005071A1">
              <w:t>3.62</w:t>
            </w:r>
          </w:p>
        </w:tc>
        <w:tc>
          <w:tcPr>
            <w:tcW w:w="2432" w:type="dxa"/>
            <w:tcBorders>
              <w:top w:val="single" w:sz="4" w:space="0" w:color="auto"/>
            </w:tcBorders>
            <w:shd w:val="clear" w:color="auto" w:fill="auto"/>
          </w:tcPr>
          <w:p w14:paraId="3C699B0F" w14:textId="77777777" w:rsidR="00B33542" w:rsidRPr="005071A1" w:rsidRDefault="00B33542" w:rsidP="009B7AF5">
            <w:pPr>
              <w:pStyle w:val="Tabletext"/>
            </w:pPr>
            <w:r w:rsidRPr="005071A1">
              <w:t>1.81</w:t>
            </w:r>
          </w:p>
        </w:tc>
      </w:tr>
      <w:tr w:rsidR="00B33542" w:rsidRPr="005071A1" w14:paraId="7F60A28D" w14:textId="77777777" w:rsidTr="009B7AF5">
        <w:tc>
          <w:tcPr>
            <w:tcW w:w="2432" w:type="dxa"/>
            <w:shd w:val="clear" w:color="auto" w:fill="auto"/>
          </w:tcPr>
          <w:p w14:paraId="380B5769" w14:textId="77777777" w:rsidR="00B33542" w:rsidRPr="005071A1" w:rsidRDefault="00B33542" w:rsidP="009B7AF5">
            <w:pPr>
              <w:pStyle w:val="Tabletext"/>
            </w:pPr>
            <w:r w:rsidRPr="005071A1">
              <w:t>54</w:t>
            </w:r>
          </w:p>
        </w:tc>
        <w:tc>
          <w:tcPr>
            <w:tcW w:w="2432" w:type="dxa"/>
            <w:shd w:val="clear" w:color="auto" w:fill="auto"/>
          </w:tcPr>
          <w:p w14:paraId="262524C6" w14:textId="77777777" w:rsidR="00B33542" w:rsidRPr="005071A1" w:rsidRDefault="00B33542" w:rsidP="009B7AF5">
            <w:pPr>
              <w:pStyle w:val="Tabletext"/>
            </w:pPr>
            <w:r w:rsidRPr="005071A1">
              <w:t>4.30</w:t>
            </w:r>
          </w:p>
        </w:tc>
        <w:tc>
          <w:tcPr>
            <w:tcW w:w="2432" w:type="dxa"/>
            <w:shd w:val="clear" w:color="auto" w:fill="auto"/>
          </w:tcPr>
          <w:p w14:paraId="7A007A4C" w14:textId="77777777" w:rsidR="00B33542" w:rsidRPr="005071A1" w:rsidRDefault="00B33542" w:rsidP="009B7AF5">
            <w:pPr>
              <w:pStyle w:val="Tabletext"/>
            </w:pPr>
            <w:r w:rsidRPr="005071A1">
              <w:t>2.15</w:t>
            </w:r>
          </w:p>
        </w:tc>
      </w:tr>
      <w:tr w:rsidR="00B33542" w:rsidRPr="005071A1" w14:paraId="76D641F9" w14:textId="77777777" w:rsidTr="009B7AF5">
        <w:tc>
          <w:tcPr>
            <w:tcW w:w="2432" w:type="dxa"/>
            <w:shd w:val="clear" w:color="auto" w:fill="auto"/>
          </w:tcPr>
          <w:p w14:paraId="3948FF9F" w14:textId="77777777" w:rsidR="00B33542" w:rsidRPr="005071A1" w:rsidRDefault="00B33542" w:rsidP="009B7AF5">
            <w:pPr>
              <w:pStyle w:val="Tabletext"/>
            </w:pPr>
            <w:r w:rsidRPr="005071A1">
              <w:t>55</w:t>
            </w:r>
          </w:p>
        </w:tc>
        <w:tc>
          <w:tcPr>
            <w:tcW w:w="2432" w:type="dxa"/>
            <w:shd w:val="clear" w:color="auto" w:fill="auto"/>
          </w:tcPr>
          <w:p w14:paraId="40834F1A" w14:textId="77777777" w:rsidR="00B33542" w:rsidRPr="005071A1" w:rsidRDefault="00B33542" w:rsidP="009B7AF5">
            <w:pPr>
              <w:pStyle w:val="Tabletext"/>
            </w:pPr>
            <w:r w:rsidRPr="005071A1">
              <w:t>5.24</w:t>
            </w:r>
          </w:p>
        </w:tc>
        <w:tc>
          <w:tcPr>
            <w:tcW w:w="2432" w:type="dxa"/>
            <w:shd w:val="clear" w:color="auto" w:fill="auto"/>
          </w:tcPr>
          <w:p w14:paraId="087E7835" w14:textId="77777777" w:rsidR="00B33542" w:rsidRPr="005071A1" w:rsidRDefault="00B33542" w:rsidP="009B7AF5">
            <w:pPr>
              <w:pStyle w:val="Tabletext"/>
            </w:pPr>
            <w:r w:rsidRPr="005071A1">
              <w:t>2.62</w:t>
            </w:r>
          </w:p>
        </w:tc>
      </w:tr>
      <w:tr w:rsidR="00B33542" w:rsidRPr="005071A1" w14:paraId="24860459" w14:textId="77777777" w:rsidTr="009B7AF5">
        <w:tc>
          <w:tcPr>
            <w:tcW w:w="2432" w:type="dxa"/>
            <w:shd w:val="clear" w:color="auto" w:fill="auto"/>
          </w:tcPr>
          <w:p w14:paraId="14ADDA8E" w14:textId="77777777" w:rsidR="00B33542" w:rsidRPr="005071A1" w:rsidRDefault="00B33542" w:rsidP="009B7AF5">
            <w:pPr>
              <w:pStyle w:val="Tabletext"/>
            </w:pPr>
            <w:r w:rsidRPr="005071A1">
              <w:t>56</w:t>
            </w:r>
          </w:p>
        </w:tc>
        <w:tc>
          <w:tcPr>
            <w:tcW w:w="2432" w:type="dxa"/>
            <w:shd w:val="clear" w:color="auto" w:fill="auto"/>
          </w:tcPr>
          <w:p w14:paraId="6CA63F0B" w14:textId="77777777" w:rsidR="00B33542" w:rsidRPr="005071A1" w:rsidRDefault="00B33542" w:rsidP="009B7AF5">
            <w:pPr>
              <w:pStyle w:val="Tabletext"/>
            </w:pPr>
            <w:r w:rsidRPr="005071A1">
              <w:t>6.66</w:t>
            </w:r>
          </w:p>
        </w:tc>
        <w:tc>
          <w:tcPr>
            <w:tcW w:w="2432" w:type="dxa"/>
            <w:shd w:val="clear" w:color="auto" w:fill="auto"/>
          </w:tcPr>
          <w:p w14:paraId="40CD7172" w14:textId="77777777" w:rsidR="00B33542" w:rsidRPr="005071A1" w:rsidRDefault="00B33542" w:rsidP="009B7AF5">
            <w:pPr>
              <w:pStyle w:val="Tabletext"/>
            </w:pPr>
            <w:r w:rsidRPr="005071A1">
              <w:t>3.33</w:t>
            </w:r>
          </w:p>
        </w:tc>
      </w:tr>
      <w:tr w:rsidR="00B33542" w:rsidRPr="005071A1" w14:paraId="66B0429D" w14:textId="77777777" w:rsidTr="009B7AF5">
        <w:tc>
          <w:tcPr>
            <w:tcW w:w="2432" w:type="dxa"/>
            <w:shd w:val="clear" w:color="auto" w:fill="auto"/>
          </w:tcPr>
          <w:p w14:paraId="44618D51" w14:textId="77777777" w:rsidR="00B33542" w:rsidRPr="005071A1" w:rsidRDefault="00B33542" w:rsidP="009B7AF5">
            <w:pPr>
              <w:pStyle w:val="Tabletext"/>
            </w:pPr>
            <w:r w:rsidRPr="005071A1">
              <w:t>57</w:t>
            </w:r>
          </w:p>
        </w:tc>
        <w:tc>
          <w:tcPr>
            <w:tcW w:w="2432" w:type="dxa"/>
            <w:shd w:val="clear" w:color="auto" w:fill="auto"/>
          </w:tcPr>
          <w:p w14:paraId="6D774519" w14:textId="77777777" w:rsidR="00B33542" w:rsidRPr="005071A1" w:rsidRDefault="00B33542" w:rsidP="009B7AF5">
            <w:pPr>
              <w:pStyle w:val="Tabletext"/>
            </w:pPr>
            <w:r w:rsidRPr="005071A1">
              <w:t>9.00</w:t>
            </w:r>
          </w:p>
        </w:tc>
        <w:tc>
          <w:tcPr>
            <w:tcW w:w="2432" w:type="dxa"/>
            <w:shd w:val="clear" w:color="auto" w:fill="auto"/>
          </w:tcPr>
          <w:p w14:paraId="13A2C6C5" w14:textId="77777777" w:rsidR="00B33542" w:rsidRPr="005071A1" w:rsidRDefault="00B33542" w:rsidP="009B7AF5">
            <w:pPr>
              <w:pStyle w:val="Tabletext"/>
            </w:pPr>
            <w:r w:rsidRPr="005071A1">
              <w:t>4.50</w:t>
            </w:r>
          </w:p>
        </w:tc>
      </w:tr>
      <w:tr w:rsidR="00B33542" w:rsidRPr="005071A1" w14:paraId="4BEF3378" w14:textId="77777777" w:rsidTr="009B7AF5">
        <w:tc>
          <w:tcPr>
            <w:tcW w:w="2432" w:type="dxa"/>
            <w:shd w:val="clear" w:color="auto" w:fill="auto"/>
          </w:tcPr>
          <w:p w14:paraId="12F87314" w14:textId="77777777" w:rsidR="00B33542" w:rsidRPr="005071A1" w:rsidRDefault="00B33542" w:rsidP="009B7AF5">
            <w:pPr>
              <w:pStyle w:val="Tabletext"/>
            </w:pPr>
            <w:r w:rsidRPr="005071A1">
              <w:t>58</w:t>
            </w:r>
          </w:p>
        </w:tc>
        <w:tc>
          <w:tcPr>
            <w:tcW w:w="2432" w:type="dxa"/>
            <w:shd w:val="clear" w:color="auto" w:fill="auto"/>
          </w:tcPr>
          <w:p w14:paraId="60638B46" w14:textId="77777777" w:rsidR="00B33542" w:rsidRPr="005071A1" w:rsidRDefault="00B33542" w:rsidP="009B7AF5">
            <w:pPr>
              <w:pStyle w:val="Tabletext"/>
            </w:pPr>
            <w:r w:rsidRPr="005071A1">
              <w:t>13.62</w:t>
            </w:r>
          </w:p>
        </w:tc>
        <w:tc>
          <w:tcPr>
            <w:tcW w:w="2432" w:type="dxa"/>
            <w:shd w:val="clear" w:color="auto" w:fill="auto"/>
          </w:tcPr>
          <w:p w14:paraId="65E2E16E" w14:textId="77777777" w:rsidR="00B33542" w:rsidRPr="005071A1" w:rsidRDefault="00B33542" w:rsidP="009B7AF5">
            <w:pPr>
              <w:pStyle w:val="Tabletext"/>
            </w:pPr>
            <w:r w:rsidRPr="005071A1">
              <w:t>6.81</w:t>
            </w:r>
          </w:p>
        </w:tc>
      </w:tr>
      <w:tr w:rsidR="00B33542" w:rsidRPr="005071A1" w14:paraId="1121EFF2" w14:textId="77777777" w:rsidTr="00A516E3">
        <w:tc>
          <w:tcPr>
            <w:tcW w:w="2432" w:type="dxa"/>
            <w:tcBorders>
              <w:bottom w:val="single" w:sz="4" w:space="0" w:color="auto"/>
            </w:tcBorders>
            <w:shd w:val="clear" w:color="auto" w:fill="auto"/>
          </w:tcPr>
          <w:p w14:paraId="32965BC2" w14:textId="77777777" w:rsidR="00B33542" w:rsidRPr="005071A1" w:rsidRDefault="00B33542" w:rsidP="009B7AF5">
            <w:pPr>
              <w:pStyle w:val="Tabletext"/>
            </w:pPr>
            <w:r w:rsidRPr="005071A1">
              <w:t>59</w:t>
            </w:r>
          </w:p>
        </w:tc>
        <w:tc>
          <w:tcPr>
            <w:tcW w:w="2432" w:type="dxa"/>
            <w:tcBorders>
              <w:bottom w:val="single" w:sz="4" w:space="0" w:color="auto"/>
            </w:tcBorders>
            <w:shd w:val="clear" w:color="auto" w:fill="auto"/>
          </w:tcPr>
          <w:p w14:paraId="4D4B0129" w14:textId="77777777" w:rsidR="00B33542" w:rsidRPr="005071A1" w:rsidRDefault="00B33542" w:rsidP="009B7AF5">
            <w:pPr>
              <w:pStyle w:val="Tabletext"/>
            </w:pPr>
            <w:r w:rsidRPr="005071A1">
              <w:t>27.30</w:t>
            </w:r>
          </w:p>
        </w:tc>
        <w:tc>
          <w:tcPr>
            <w:tcW w:w="2432" w:type="dxa"/>
            <w:tcBorders>
              <w:bottom w:val="single" w:sz="4" w:space="0" w:color="auto"/>
            </w:tcBorders>
            <w:shd w:val="clear" w:color="auto" w:fill="auto"/>
          </w:tcPr>
          <w:p w14:paraId="51785A02" w14:textId="77777777" w:rsidR="00B33542" w:rsidRPr="005071A1" w:rsidRDefault="00B33542" w:rsidP="009B7AF5">
            <w:pPr>
              <w:pStyle w:val="Tabletext"/>
            </w:pPr>
            <w:r w:rsidRPr="005071A1">
              <w:t>13.65</w:t>
            </w:r>
          </w:p>
        </w:tc>
      </w:tr>
      <w:tr w:rsidR="00B33542" w:rsidRPr="005071A1" w14:paraId="41BEEF34" w14:textId="77777777" w:rsidTr="00A516E3">
        <w:tc>
          <w:tcPr>
            <w:tcW w:w="2432" w:type="dxa"/>
            <w:tcBorders>
              <w:bottom w:val="single" w:sz="12" w:space="0" w:color="auto"/>
            </w:tcBorders>
            <w:shd w:val="clear" w:color="auto" w:fill="auto"/>
          </w:tcPr>
          <w:p w14:paraId="5DFEDBFF" w14:textId="77777777" w:rsidR="00B33542" w:rsidRPr="005071A1" w:rsidRDefault="00B33542" w:rsidP="009B7AF5">
            <w:pPr>
              <w:pStyle w:val="Tabletext"/>
            </w:pPr>
            <w:r w:rsidRPr="005071A1">
              <w:t>60</w:t>
            </w:r>
          </w:p>
        </w:tc>
        <w:tc>
          <w:tcPr>
            <w:tcW w:w="2432" w:type="dxa"/>
            <w:tcBorders>
              <w:bottom w:val="single" w:sz="12" w:space="0" w:color="auto"/>
            </w:tcBorders>
            <w:shd w:val="clear" w:color="auto" w:fill="auto"/>
          </w:tcPr>
          <w:p w14:paraId="154AB19C" w14:textId="77777777" w:rsidR="00B33542" w:rsidRPr="005071A1" w:rsidRDefault="00B33542" w:rsidP="009B7AF5">
            <w:pPr>
              <w:pStyle w:val="Tabletext"/>
            </w:pPr>
            <w:r w:rsidRPr="005071A1">
              <w:t>27.56</w:t>
            </w:r>
          </w:p>
        </w:tc>
        <w:tc>
          <w:tcPr>
            <w:tcW w:w="2432" w:type="dxa"/>
            <w:tcBorders>
              <w:bottom w:val="single" w:sz="12" w:space="0" w:color="auto"/>
            </w:tcBorders>
            <w:shd w:val="clear" w:color="auto" w:fill="auto"/>
          </w:tcPr>
          <w:p w14:paraId="6D8C7DB1" w14:textId="77777777" w:rsidR="00B33542" w:rsidRPr="005071A1" w:rsidRDefault="00B33542" w:rsidP="009B7AF5">
            <w:pPr>
              <w:pStyle w:val="Tabletext"/>
            </w:pPr>
            <w:r w:rsidRPr="005071A1">
              <w:t>13.78</w:t>
            </w:r>
          </w:p>
        </w:tc>
      </w:tr>
    </w:tbl>
    <w:p w14:paraId="54EB7A20" w14:textId="77777777" w:rsidR="00B33542" w:rsidRPr="005071A1" w:rsidRDefault="00B33542" w:rsidP="00674A0D">
      <w:pPr>
        <w:pStyle w:val="ActHead5"/>
        <w:pageBreakBefore/>
      </w:pPr>
      <w:bookmarkStart w:id="296" w:name="_Toc185577678"/>
      <w:r w:rsidRPr="005071A1">
        <w:lastRenderedPageBreak/>
        <w:t>Table IX</w:t>
      </w:r>
      <w:bookmarkEnd w:id="296"/>
    </w:p>
    <w:p w14:paraId="68B90E77" w14:textId="77777777" w:rsidR="00B33542" w:rsidRPr="005071A1" w:rsidRDefault="00B33542" w:rsidP="00B33542">
      <w:pPr>
        <w:spacing w:before="120"/>
      </w:pPr>
      <w:r w:rsidRPr="005071A1">
        <w:t xml:space="preserve">Rates of contribution to be paid fortnightly by male contributors for units of pension (other than units of pension to which </w:t>
      </w:r>
      <w:r w:rsidR="008B2950" w:rsidRPr="005071A1">
        <w:t>paragraph (</w:t>
      </w:r>
      <w:r w:rsidRPr="005071A1">
        <w:t xml:space="preserve">a) of </w:t>
      </w:r>
      <w:r w:rsidR="008B2950" w:rsidRPr="005071A1">
        <w:t>subsection (</w:t>
      </w:r>
      <w:r w:rsidRPr="005071A1">
        <w:t>3) of section</w:t>
      </w:r>
      <w:r w:rsidR="008B2950" w:rsidRPr="005071A1">
        <w:t> </w:t>
      </w:r>
      <w:r w:rsidRPr="005071A1">
        <w:t>23 applies) where the obligation to contribute for those units came into existence on or after 14th December, 1959, and before 1st July, 1962, based on a retiring age of 65 years and the age next birthday of the contributor when that obligation came into existence</w:t>
      </w:r>
    </w:p>
    <w:p w14:paraId="1E6CDA34"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19"/>
        <w:gridCol w:w="2693"/>
      </w:tblGrid>
      <w:tr w:rsidR="00B33542" w:rsidRPr="005071A1" w14:paraId="50297E22" w14:textId="77777777" w:rsidTr="009B7AF5">
        <w:trPr>
          <w:tblHeader/>
        </w:trPr>
        <w:tc>
          <w:tcPr>
            <w:tcW w:w="3119" w:type="dxa"/>
            <w:tcBorders>
              <w:top w:val="single" w:sz="12" w:space="0" w:color="auto"/>
              <w:bottom w:val="single" w:sz="6" w:space="0" w:color="auto"/>
            </w:tcBorders>
            <w:shd w:val="clear" w:color="auto" w:fill="auto"/>
          </w:tcPr>
          <w:p w14:paraId="50FBB0BE" w14:textId="77777777" w:rsidR="00B33542" w:rsidRPr="005071A1" w:rsidRDefault="00B33542" w:rsidP="009B7AF5">
            <w:pPr>
              <w:pStyle w:val="TableHeading"/>
            </w:pPr>
            <w:r w:rsidRPr="005071A1">
              <w:t>Column 1</w:t>
            </w:r>
          </w:p>
        </w:tc>
        <w:tc>
          <w:tcPr>
            <w:tcW w:w="2693" w:type="dxa"/>
            <w:tcBorders>
              <w:top w:val="single" w:sz="12" w:space="0" w:color="auto"/>
              <w:bottom w:val="single" w:sz="6" w:space="0" w:color="auto"/>
            </w:tcBorders>
            <w:shd w:val="clear" w:color="auto" w:fill="auto"/>
          </w:tcPr>
          <w:p w14:paraId="62B8372C" w14:textId="77777777" w:rsidR="00B33542" w:rsidRPr="005071A1" w:rsidRDefault="00B33542" w:rsidP="009B7AF5">
            <w:pPr>
              <w:pStyle w:val="TableHeading"/>
            </w:pPr>
            <w:r w:rsidRPr="005071A1">
              <w:t>Column 2</w:t>
            </w:r>
          </w:p>
        </w:tc>
      </w:tr>
      <w:tr w:rsidR="00B33542" w:rsidRPr="005071A1" w14:paraId="53C6928F" w14:textId="77777777" w:rsidTr="009B7AF5">
        <w:trPr>
          <w:tblHeader/>
        </w:trPr>
        <w:tc>
          <w:tcPr>
            <w:tcW w:w="3119" w:type="dxa"/>
            <w:tcBorders>
              <w:top w:val="single" w:sz="6" w:space="0" w:color="auto"/>
              <w:bottom w:val="single" w:sz="6" w:space="0" w:color="auto"/>
            </w:tcBorders>
            <w:shd w:val="clear" w:color="auto" w:fill="auto"/>
          </w:tcPr>
          <w:p w14:paraId="62D8AE73"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93" w:type="dxa"/>
            <w:tcBorders>
              <w:top w:val="single" w:sz="6" w:space="0" w:color="auto"/>
              <w:bottom w:val="single" w:sz="6" w:space="0" w:color="auto"/>
            </w:tcBorders>
            <w:shd w:val="clear" w:color="auto" w:fill="auto"/>
          </w:tcPr>
          <w:p w14:paraId="2DA95249"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65A27C87" w14:textId="77777777" w:rsidTr="009B7AF5">
        <w:trPr>
          <w:tblHeader/>
        </w:trPr>
        <w:tc>
          <w:tcPr>
            <w:tcW w:w="3119" w:type="dxa"/>
            <w:tcBorders>
              <w:top w:val="single" w:sz="6" w:space="0" w:color="auto"/>
              <w:bottom w:val="single" w:sz="12" w:space="0" w:color="auto"/>
            </w:tcBorders>
            <w:shd w:val="clear" w:color="auto" w:fill="auto"/>
          </w:tcPr>
          <w:p w14:paraId="03F16234" w14:textId="77777777" w:rsidR="00B33542" w:rsidRPr="005071A1" w:rsidRDefault="00B33542" w:rsidP="00A516E3">
            <w:pPr>
              <w:pStyle w:val="TableHeading"/>
            </w:pPr>
          </w:p>
        </w:tc>
        <w:tc>
          <w:tcPr>
            <w:tcW w:w="2693" w:type="dxa"/>
            <w:tcBorders>
              <w:top w:val="single" w:sz="6" w:space="0" w:color="auto"/>
              <w:bottom w:val="single" w:sz="12" w:space="0" w:color="auto"/>
            </w:tcBorders>
            <w:shd w:val="clear" w:color="auto" w:fill="auto"/>
          </w:tcPr>
          <w:p w14:paraId="5E5107BB" w14:textId="77777777" w:rsidR="00B33542" w:rsidRPr="005071A1" w:rsidRDefault="00B33542" w:rsidP="00A516E3">
            <w:pPr>
              <w:pStyle w:val="TableHeading"/>
            </w:pPr>
            <w:r w:rsidRPr="005071A1">
              <w:t>$</w:t>
            </w:r>
          </w:p>
        </w:tc>
      </w:tr>
      <w:tr w:rsidR="00B33542" w:rsidRPr="005071A1" w14:paraId="0C9C4187" w14:textId="77777777" w:rsidTr="009B7AF5">
        <w:tc>
          <w:tcPr>
            <w:tcW w:w="3119" w:type="dxa"/>
            <w:tcBorders>
              <w:top w:val="single" w:sz="12" w:space="0" w:color="auto"/>
            </w:tcBorders>
            <w:shd w:val="clear" w:color="auto" w:fill="auto"/>
          </w:tcPr>
          <w:p w14:paraId="259040F4" w14:textId="77777777" w:rsidR="00B33542" w:rsidRPr="005071A1" w:rsidRDefault="00B33542" w:rsidP="009B7AF5">
            <w:pPr>
              <w:pStyle w:val="Tabletext"/>
            </w:pPr>
            <w:r w:rsidRPr="005071A1">
              <w:t>15</w:t>
            </w:r>
          </w:p>
        </w:tc>
        <w:tc>
          <w:tcPr>
            <w:tcW w:w="2693" w:type="dxa"/>
            <w:tcBorders>
              <w:top w:val="single" w:sz="12" w:space="0" w:color="auto"/>
            </w:tcBorders>
            <w:shd w:val="clear" w:color="auto" w:fill="auto"/>
          </w:tcPr>
          <w:p w14:paraId="2A18986C" w14:textId="77777777" w:rsidR="00B33542" w:rsidRPr="005071A1" w:rsidRDefault="00B33542" w:rsidP="009B7AF5">
            <w:pPr>
              <w:pStyle w:val="Tabletext"/>
            </w:pPr>
            <w:r w:rsidRPr="005071A1">
              <w:t>0.11</w:t>
            </w:r>
          </w:p>
        </w:tc>
      </w:tr>
      <w:tr w:rsidR="00B33542" w:rsidRPr="005071A1" w14:paraId="42843A30" w14:textId="77777777" w:rsidTr="009B7AF5">
        <w:tc>
          <w:tcPr>
            <w:tcW w:w="3119" w:type="dxa"/>
            <w:shd w:val="clear" w:color="auto" w:fill="auto"/>
          </w:tcPr>
          <w:p w14:paraId="618A86CC" w14:textId="77777777" w:rsidR="00B33542" w:rsidRPr="005071A1" w:rsidRDefault="00B33542" w:rsidP="009B7AF5">
            <w:pPr>
              <w:pStyle w:val="Tabletext"/>
            </w:pPr>
            <w:r w:rsidRPr="005071A1">
              <w:t>16</w:t>
            </w:r>
          </w:p>
        </w:tc>
        <w:tc>
          <w:tcPr>
            <w:tcW w:w="2693" w:type="dxa"/>
            <w:shd w:val="clear" w:color="auto" w:fill="auto"/>
          </w:tcPr>
          <w:p w14:paraId="1A622723" w14:textId="77777777" w:rsidR="00B33542" w:rsidRPr="005071A1" w:rsidRDefault="00B33542" w:rsidP="009B7AF5">
            <w:pPr>
              <w:pStyle w:val="Tabletext"/>
            </w:pPr>
            <w:r w:rsidRPr="005071A1">
              <w:t>0.11</w:t>
            </w:r>
          </w:p>
        </w:tc>
      </w:tr>
      <w:tr w:rsidR="00B33542" w:rsidRPr="005071A1" w14:paraId="31505407" w14:textId="77777777" w:rsidTr="009B7AF5">
        <w:tc>
          <w:tcPr>
            <w:tcW w:w="3119" w:type="dxa"/>
            <w:shd w:val="clear" w:color="auto" w:fill="auto"/>
          </w:tcPr>
          <w:p w14:paraId="65B9206C" w14:textId="77777777" w:rsidR="00B33542" w:rsidRPr="005071A1" w:rsidRDefault="00B33542" w:rsidP="009B7AF5">
            <w:pPr>
              <w:pStyle w:val="Tabletext"/>
            </w:pPr>
            <w:r w:rsidRPr="005071A1">
              <w:t>17</w:t>
            </w:r>
          </w:p>
        </w:tc>
        <w:tc>
          <w:tcPr>
            <w:tcW w:w="2693" w:type="dxa"/>
            <w:shd w:val="clear" w:color="auto" w:fill="auto"/>
          </w:tcPr>
          <w:p w14:paraId="0A1DB909" w14:textId="77777777" w:rsidR="00B33542" w:rsidRPr="005071A1" w:rsidRDefault="00B33542" w:rsidP="009B7AF5">
            <w:pPr>
              <w:pStyle w:val="Tabletext"/>
            </w:pPr>
            <w:r w:rsidRPr="005071A1">
              <w:t>0.12</w:t>
            </w:r>
          </w:p>
        </w:tc>
      </w:tr>
      <w:tr w:rsidR="00B33542" w:rsidRPr="005071A1" w14:paraId="49452DE1" w14:textId="77777777" w:rsidTr="009B7AF5">
        <w:tc>
          <w:tcPr>
            <w:tcW w:w="3119" w:type="dxa"/>
            <w:shd w:val="clear" w:color="auto" w:fill="auto"/>
          </w:tcPr>
          <w:p w14:paraId="71B46E80" w14:textId="77777777" w:rsidR="00B33542" w:rsidRPr="005071A1" w:rsidRDefault="00B33542" w:rsidP="009B7AF5">
            <w:pPr>
              <w:pStyle w:val="Tabletext"/>
            </w:pPr>
            <w:r w:rsidRPr="005071A1">
              <w:t>18</w:t>
            </w:r>
          </w:p>
        </w:tc>
        <w:tc>
          <w:tcPr>
            <w:tcW w:w="2693" w:type="dxa"/>
            <w:shd w:val="clear" w:color="auto" w:fill="auto"/>
          </w:tcPr>
          <w:p w14:paraId="32001C29" w14:textId="77777777" w:rsidR="00B33542" w:rsidRPr="005071A1" w:rsidRDefault="00B33542" w:rsidP="009B7AF5">
            <w:pPr>
              <w:pStyle w:val="Tabletext"/>
            </w:pPr>
            <w:r w:rsidRPr="005071A1">
              <w:t>0.12</w:t>
            </w:r>
          </w:p>
        </w:tc>
      </w:tr>
      <w:tr w:rsidR="00B33542" w:rsidRPr="005071A1" w14:paraId="616319DD" w14:textId="77777777" w:rsidTr="009B7AF5">
        <w:tc>
          <w:tcPr>
            <w:tcW w:w="3119" w:type="dxa"/>
            <w:shd w:val="clear" w:color="auto" w:fill="auto"/>
          </w:tcPr>
          <w:p w14:paraId="7DFDFA89" w14:textId="77777777" w:rsidR="00B33542" w:rsidRPr="005071A1" w:rsidRDefault="00B33542" w:rsidP="009B7AF5">
            <w:pPr>
              <w:pStyle w:val="Tabletext"/>
            </w:pPr>
            <w:r w:rsidRPr="005071A1">
              <w:t>19</w:t>
            </w:r>
          </w:p>
        </w:tc>
        <w:tc>
          <w:tcPr>
            <w:tcW w:w="2693" w:type="dxa"/>
            <w:shd w:val="clear" w:color="auto" w:fill="auto"/>
          </w:tcPr>
          <w:p w14:paraId="138145E5" w14:textId="77777777" w:rsidR="00B33542" w:rsidRPr="005071A1" w:rsidRDefault="00B33542" w:rsidP="009B7AF5">
            <w:pPr>
              <w:pStyle w:val="Tabletext"/>
            </w:pPr>
            <w:r w:rsidRPr="005071A1">
              <w:t>0.13</w:t>
            </w:r>
          </w:p>
        </w:tc>
      </w:tr>
      <w:tr w:rsidR="00B33542" w:rsidRPr="005071A1" w14:paraId="3EACCB4C" w14:textId="77777777" w:rsidTr="009B7AF5">
        <w:tc>
          <w:tcPr>
            <w:tcW w:w="3119" w:type="dxa"/>
            <w:shd w:val="clear" w:color="auto" w:fill="auto"/>
          </w:tcPr>
          <w:p w14:paraId="31E40B8D" w14:textId="77777777" w:rsidR="00B33542" w:rsidRPr="005071A1" w:rsidRDefault="00B33542" w:rsidP="009B7AF5">
            <w:pPr>
              <w:pStyle w:val="Tabletext"/>
            </w:pPr>
            <w:r w:rsidRPr="005071A1">
              <w:t>20</w:t>
            </w:r>
          </w:p>
        </w:tc>
        <w:tc>
          <w:tcPr>
            <w:tcW w:w="2693" w:type="dxa"/>
            <w:shd w:val="clear" w:color="auto" w:fill="auto"/>
          </w:tcPr>
          <w:p w14:paraId="149BF904" w14:textId="77777777" w:rsidR="00B33542" w:rsidRPr="005071A1" w:rsidRDefault="00B33542" w:rsidP="009B7AF5">
            <w:pPr>
              <w:pStyle w:val="Tabletext"/>
            </w:pPr>
            <w:r w:rsidRPr="005071A1">
              <w:t>0.14</w:t>
            </w:r>
          </w:p>
        </w:tc>
      </w:tr>
      <w:tr w:rsidR="00B33542" w:rsidRPr="005071A1" w14:paraId="227C1E99" w14:textId="77777777" w:rsidTr="009B7AF5">
        <w:tc>
          <w:tcPr>
            <w:tcW w:w="3119" w:type="dxa"/>
            <w:shd w:val="clear" w:color="auto" w:fill="auto"/>
          </w:tcPr>
          <w:p w14:paraId="05FFE8F9" w14:textId="77777777" w:rsidR="00B33542" w:rsidRPr="005071A1" w:rsidRDefault="00B33542" w:rsidP="009B7AF5">
            <w:pPr>
              <w:pStyle w:val="Tabletext"/>
            </w:pPr>
            <w:r w:rsidRPr="005071A1">
              <w:t>21</w:t>
            </w:r>
          </w:p>
        </w:tc>
        <w:tc>
          <w:tcPr>
            <w:tcW w:w="2693" w:type="dxa"/>
            <w:shd w:val="clear" w:color="auto" w:fill="auto"/>
          </w:tcPr>
          <w:p w14:paraId="45993B13" w14:textId="77777777" w:rsidR="00B33542" w:rsidRPr="005071A1" w:rsidRDefault="00B33542" w:rsidP="009B7AF5">
            <w:pPr>
              <w:pStyle w:val="Tabletext"/>
            </w:pPr>
            <w:r w:rsidRPr="005071A1">
              <w:t>0.14</w:t>
            </w:r>
          </w:p>
        </w:tc>
      </w:tr>
      <w:tr w:rsidR="00B33542" w:rsidRPr="005071A1" w14:paraId="2A0B2BCC" w14:textId="77777777" w:rsidTr="009B7AF5">
        <w:tc>
          <w:tcPr>
            <w:tcW w:w="3119" w:type="dxa"/>
            <w:shd w:val="clear" w:color="auto" w:fill="auto"/>
          </w:tcPr>
          <w:p w14:paraId="0EAE8D21" w14:textId="77777777" w:rsidR="00B33542" w:rsidRPr="005071A1" w:rsidRDefault="00B33542" w:rsidP="009B7AF5">
            <w:pPr>
              <w:pStyle w:val="Tabletext"/>
            </w:pPr>
            <w:r w:rsidRPr="005071A1">
              <w:t>22</w:t>
            </w:r>
          </w:p>
        </w:tc>
        <w:tc>
          <w:tcPr>
            <w:tcW w:w="2693" w:type="dxa"/>
            <w:shd w:val="clear" w:color="auto" w:fill="auto"/>
          </w:tcPr>
          <w:p w14:paraId="5968F1A5" w14:textId="77777777" w:rsidR="00B33542" w:rsidRPr="005071A1" w:rsidRDefault="00B33542" w:rsidP="009B7AF5">
            <w:pPr>
              <w:pStyle w:val="Tabletext"/>
            </w:pPr>
            <w:r w:rsidRPr="005071A1">
              <w:t>0.15</w:t>
            </w:r>
          </w:p>
        </w:tc>
      </w:tr>
      <w:tr w:rsidR="00B33542" w:rsidRPr="005071A1" w14:paraId="23AB2D51" w14:textId="77777777" w:rsidTr="009B7AF5">
        <w:tc>
          <w:tcPr>
            <w:tcW w:w="3119" w:type="dxa"/>
            <w:shd w:val="clear" w:color="auto" w:fill="auto"/>
          </w:tcPr>
          <w:p w14:paraId="099BF752" w14:textId="77777777" w:rsidR="00B33542" w:rsidRPr="005071A1" w:rsidRDefault="00B33542" w:rsidP="009B7AF5">
            <w:pPr>
              <w:pStyle w:val="Tabletext"/>
            </w:pPr>
            <w:r w:rsidRPr="005071A1">
              <w:t>23</w:t>
            </w:r>
          </w:p>
        </w:tc>
        <w:tc>
          <w:tcPr>
            <w:tcW w:w="2693" w:type="dxa"/>
            <w:shd w:val="clear" w:color="auto" w:fill="auto"/>
          </w:tcPr>
          <w:p w14:paraId="3F6BBFD5" w14:textId="77777777" w:rsidR="00B33542" w:rsidRPr="005071A1" w:rsidRDefault="00B33542" w:rsidP="009B7AF5">
            <w:pPr>
              <w:pStyle w:val="Tabletext"/>
            </w:pPr>
            <w:r w:rsidRPr="005071A1">
              <w:t>0.16</w:t>
            </w:r>
          </w:p>
        </w:tc>
      </w:tr>
      <w:tr w:rsidR="00B33542" w:rsidRPr="005071A1" w14:paraId="665E128E" w14:textId="77777777" w:rsidTr="009B7AF5">
        <w:tc>
          <w:tcPr>
            <w:tcW w:w="3119" w:type="dxa"/>
            <w:shd w:val="clear" w:color="auto" w:fill="auto"/>
          </w:tcPr>
          <w:p w14:paraId="78F63538" w14:textId="77777777" w:rsidR="00B33542" w:rsidRPr="005071A1" w:rsidRDefault="00B33542" w:rsidP="009B7AF5">
            <w:pPr>
              <w:pStyle w:val="Tabletext"/>
            </w:pPr>
            <w:r w:rsidRPr="005071A1">
              <w:t>24</w:t>
            </w:r>
          </w:p>
        </w:tc>
        <w:tc>
          <w:tcPr>
            <w:tcW w:w="2693" w:type="dxa"/>
            <w:shd w:val="clear" w:color="auto" w:fill="auto"/>
          </w:tcPr>
          <w:p w14:paraId="18649969" w14:textId="77777777" w:rsidR="00B33542" w:rsidRPr="005071A1" w:rsidRDefault="00B33542" w:rsidP="009B7AF5">
            <w:pPr>
              <w:pStyle w:val="Tabletext"/>
            </w:pPr>
            <w:r w:rsidRPr="005071A1">
              <w:t>0.16</w:t>
            </w:r>
          </w:p>
        </w:tc>
      </w:tr>
      <w:tr w:rsidR="00B33542" w:rsidRPr="005071A1" w14:paraId="721ED06B" w14:textId="77777777" w:rsidTr="009B7AF5">
        <w:tc>
          <w:tcPr>
            <w:tcW w:w="3119" w:type="dxa"/>
            <w:shd w:val="clear" w:color="auto" w:fill="auto"/>
          </w:tcPr>
          <w:p w14:paraId="41FAC161" w14:textId="77777777" w:rsidR="00B33542" w:rsidRPr="005071A1" w:rsidRDefault="00B33542" w:rsidP="009B7AF5">
            <w:pPr>
              <w:pStyle w:val="Tabletext"/>
            </w:pPr>
            <w:r w:rsidRPr="005071A1">
              <w:t>25</w:t>
            </w:r>
          </w:p>
        </w:tc>
        <w:tc>
          <w:tcPr>
            <w:tcW w:w="2693" w:type="dxa"/>
            <w:shd w:val="clear" w:color="auto" w:fill="auto"/>
          </w:tcPr>
          <w:p w14:paraId="4BD98060" w14:textId="77777777" w:rsidR="00B33542" w:rsidRPr="005071A1" w:rsidRDefault="00B33542" w:rsidP="009B7AF5">
            <w:pPr>
              <w:pStyle w:val="Tabletext"/>
            </w:pPr>
            <w:r w:rsidRPr="005071A1">
              <w:t>0.17</w:t>
            </w:r>
          </w:p>
        </w:tc>
      </w:tr>
      <w:tr w:rsidR="00B33542" w:rsidRPr="005071A1" w14:paraId="16742860" w14:textId="77777777" w:rsidTr="009B7AF5">
        <w:tc>
          <w:tcPr>
            <w:tcW w:w="3119" w:type="dxa"/>
            <w:shd w:val="clear" w:color="auto" w:fill="auto"/>
          </w:tcPr>
          <w:p w14:paraId="232E8824" w14:textId="77777777" w:rsidR="00B33542" w:rsidRPr="005071A1" w:rsidRDefault="00B33542" w:rsidP="009B7AF5">
            <w:pPr>
              <w:pStyle w:val="Tabletext"/>
            </w:pPr>
            <w:r w:rsidRPr="005071A1">
              <w:t>26</w:t>
            </w:r>
          </w:p>
        </w:tc>
        <w:tc>
          <w:tcPr>
            <w:tcW w:w="2693" w:type="dxa"/>
            <w:shd w:val="clear" w:color="auto" w:fill="auto"/>
          </w:tcPr>
          <w:p w14:paraId="4B299CE0" w14:textId="77777777" w:rsidR="00B33542" w:rsidRPr="005071A1" w:rsidRDefault="00B33542" w:rsidP="009B7AF5">
            <w:pPr>
              <w:pStyle w:val="Tabletext"/>
            </w:pPr>
            <w:r w:rsidRPr="005071A1">
              <w:t>0.18</w:t>
            </w:r>
          </w:p>
        </w:tc>
      </w:tr>
      <w:tr w:rsidR="00B33542" w:rsidRPr="005071A1" w14:paraId="222D661C" w14:textId="77777777" w:rsidTr="009B7AF5">
        <w:tc>
          <w:tcPr>
            <w:tcW w:w="3119" w:type="dxa"/>
            <w:shd w:val="clear" w:color="auto" w:fill="auto"/>
          </w:tcPr>
          <w:p w14:paraId="013DAD0A" w14:textId="77777777" w:rsidR="00B33542" w:rsidRPr="005071A1" w:rsidRDefault="00B33542" w:rsidP="009B7AF5">
            <w:pPr>
              <w:pStyle w:val="Tabletext"/>
            </w:pPr>
            <w:r w:rsidRPr="005071A1">
              <w:t>27</w:t>
            </w:r>
          </w:p>
        </w:tc>
        <w:tc>
          <w:tcPr>
            <w:tcW w:w="2693" w:type="dxa"/>
            <w:shd w:val="clear" w:color="auto" w:fill="auto"/>
          </w:tcPr>
          <w:p w14:paraId="36241B05" w14:textId="77777777" w:rsidR="00B33542" w:rsidRPr="005071A1" w:rsidRDefault="00B33542" w:rsidP="009B7AF5">
            <w:pPr>
              <w:pStyle w:val="Tabletext"/>
            </w:pPr>
            <w:r w:rsidRPr="005071A1">
              <w:t>0.19</w:t>
            </w:r>
          </w:p>
        </w:tc>
      </w:tr>
      <w:tr w:rsidR="00B33542" w:rsidRPr="005071A1" w14:paraId="153E2943" w14:textId="77777777" w:rsidTr="009B7AF5">
        <w:tc>
          <w:tcPr>
            <w:tcW w:w="3119" w:type="dxa"/>
            <w:shd w:val="clear" w:color="auto" w:fill="auto"/>
          </w:tcPr>
          <w:p w14:paraId="42B31690" w14:textId="77777777" w:rsidR="00B33542" w:rsidRPr="005071A1" w:rsidRDefault="00B33542" w:rsidP="009B7AF5">
            <w:pPr>
              <w:pStyle w:val="Tabletext"/>
            </w:pPr>
            <w:r w:rsidRPr="005071A1">
              <w:t>28</w:t>
            </w:r>
          </w:p>
        </w:tc>
        <w:tc>
          <w:tcPr>
            <w:tcW w:w="2693" w:type="dxa"/>
            <w:shd w:val="clear" w:color="auto" w:fill="auto"/>
          </w:tcPr>
          <w:p w14:paraId="6B757CB5" w14:textId="77777777" w:rsidR="00B33542" w:rsidRPr="005071A1" w:rsidRDefault="00B33542" w:rsidP="009B7AF5">
            <w:pPr>
              <w:pStyle w:val="Tabletext"/>
            </w:pPr>
            <w:r w:rsidRPr="005071A1">
              <w:t>0.20</w:t>
            </w:r>
          </w:p>
        </w:tc>
      </w:tr>
      <w:tr w:rsidR="00B33542" w:rsidRPr="005071A1" w14:paraId="0135A1FB" w14:textId="77777777" w:rsidTr="009B7AF5">
        <w:tc>
          <w:tcPr>
            <w:tcW w:w="3119" w:type="dxa"/>
            <w:shd w:val="clear" w:color="auto" w:fill="auto"/>
          </w:tcPr>
          <w:p w14:paraId="0CC1AC69" w14:textId="77777777" w:rsidR="00B33542" w:rsidRPr="005071A1" w:rsidRDefault="00B33542" w:rsidP="009B7AF5">
            <w:pPr>
              <w:pStyle w:val="Tabletext"/>
            </w:pPr>
            <w:r w:rsidRPr="005071A1">
              <w:t>29</w:t>
            </w:r>
          </w:p>
        </w:tc>
        <w:tc>
          <w:tcPr>
            <w:tcW w:w="2693" w:type="dxa"/>
            <w:shd w:val="clear" w:color="auto" w:fill="auto"/>
          </w:tcPr>
          <w:p w14:paraId="7CFFED0A" w14:textId="77777777" w:rsidR="00B33542" w:rsidRPr="005071A1" w:rsidRDefault="00B33542" w:rsidP="009B7AF5">
            <w:pPr>
              <w:pStyle w:val="Tabletext"/>
            </w:pPr>
            <w:r w:rsidRPr="005071A1">
              <w:t>0.21</w:t>
            </w:r>
          </w:p>
        </w:tc>
      </w:tr>
      <w:tr w:rsidR="00B33542" w:rsidRPr="005071A1" w14:paraId="3CA715E8" w14:textId="77777777" w:rsidTr="009B7AF5">
        <w:tc>
          <w:tcPr>
            <w:tcW w:w="3119" w:type="dxa"/>
            <w:shd w:val="clear" w:color="auto" w:fill="auto"/>
          </w:tcPr>
          <w:p w14:paraId="0193CBB7" w14:textId="77777777" w:rsidR="00B33542" w:rsidRPr="005071A1" w:rsidRDefault="00B33542" w:rsidP="009B7AF5">
            <w:pPr>
              <w:pStyle w:val="Tabletext"/>
            </w:pPr>
            <w:r w:rsidRPr="005071A1">
              <w:t>30</w:t>
            </w:r>
          </w:p>
        </w:tc>
        <w:tc>
          <w:tcPr>
            <w:tcW w:w="2693" w:type="dxa"/>
            <w:shd w:val="clear" w:color="auto" w:fill="auto"/>
          </w:tcPr>
          <w:p w14:paraId="1DFAE16F" w14:textId="77777777" w:rsidR="00B33542" w:rsidRPr="005071A1" w:rsidRDefault="00B33542" w:rsidP="009B7AF5">
            <w:pPr>
              <w:pStyle w:val="Tabletext"/>
            </w:pPr>
            <w:r w:rsidRPr="005071A1">
              <w:t>0.22</w:t>
            </w:r>
          </w:p>
        </w:tc>
      </w:tr>
      <w:tr w:rsidR="00B33542" w:rsidRPr="005071A1" w14:paraId="31873586" w14:textId="77777777" w:rsidTr="009B7AF5">
        <w:tc>
          <w:tcPr>
            <w:tcW w:w="3119" w:type="dxa"/>
            <w:shd w:val="clear" w:color="auto" w:fill="auto"/>
          </w:tcPr>
          <w:p w14:paraId="710047C6" w14:textId="77777777" w:rsidR="00B33542" w:rsidRPr="005071A1" w:rsidRDefault="00B33542" w:rsidP="009B7AF5">
            <w:pPr>
              <w:pStyle w:val="Tabletext"/>
            </w:pPr>
            <w:r w:rsidRPr="005071A1">
              <w:t>31</w:t>
            </w:r>
          </w:p>
        </w:tc>
        <w:tc>
          <w:tcPr>
            <w:tcW w:w="2693" w:type="dxa"/>
            <w:shd w:val="clear" w:color="auto" w:fill="auto"/>
          </w:tcPr>
          <w:p w14:paraId="32CE5B09" w14:textId="77777777" w:rsidR="00B33542" w:rsidRPr="005071A1" w:rsidRDefault="00B33542" w:rsidP="009B7AF5">
            <w:pPr>
              <w:pStyle w:val="Tabletext"/>
            </w:pPr>
            <w:r w:rsidRPr="005071A1">
              <w:t>0.23</w:t>
            </w:r>
          </w:p>
        </w:tc>
      </w:tr>
      <w:tr w:rsidR="00B33542" w:rsidRPr="005071A1" w14:paraId="1C76C416" w14:textId="77777777" w:rsidTr="009B7AF5">
        <w:tc>
          <w:tcPr>
            <w:tcW w:w="3119" w:type="dxa"/>
            <w:shd w:val="clear" w:color="auto" w:fill="auto"/>
          </w:tcPr>
          <w:p w14:paraId="2B1D1392" w14:textId="77777777" w:rsidR="00B33542" w:rsidRPr="005071A1" w:rsidRDefault="00B33542" w:rsidP="009B7AF5">
            <w:pPr>
              <w:pStyle w:val="Tabletext"/>
            </w:pPr>
            <w:r w:rsidRPr="005071A1">
              <w:lastRenderedPageBreak/>
              <w:t>32</w:t>
            </w:r>
          </w:p>
        </w:tc>
        <w:tc>
          <w:tcPr>
            <w:tcW w:w="2693" w:type="dxa"/>
            <w:shd w:val="clear" w:color="auto" w:fill="auto"/>
          </w:tcPr>
          <w:p w14:paraId="1584A33B" w14:textId="77777777" w:rsidR="00B33542" w:rsidRPr="005071A1" w:rsidRDefault="00B33542" w:rsidP="009B7AF5">
            <w:pPr>
              <w:pStyle w:val="Tabletext"/>
            </w:pPr>
            <w:r w:rsidRPr="005071A1">
              <w:t>0.24</w:t>
            </w:r>
          </w:p>
        </w:tc>
      </w:tr>
      <w:tr w:rsidR="00B33542" w:rsidRPr="005071A1" w14:paraId="4AAD2308" w14:textId="77777777" w:rsidTr="00D57394">
        <w:tc>
          <w:tcPr>
            <w:tcW w:w="3119" w:type="dxa"/>
            <w:tcBorders>
              <w:bottom w:val="single" w:sz="4" w:space="0" w:color="auto"/>
            </w:tcBorders>
            <w:shd w:val="clear" w:color="auto" w:fill="auto"/>
          </w:tcPr>
          <w:p w14:paraId="134D3592" w14:textId="77777777" w:rsidR="00B33542" w:rsidRPr="005071A1" w:rsidRDefault="00B33542" w:rsidP="009B7AF5">
            <w:pPr>
              <w:pStyle w:val="Tabletext"/>
            </w:pPr>
            <w:r w:rsidRPr="005071A1">
              <w:t>33</w:t>
            </w:r>
          </w:p>
        </w:tc>
        <w:tc>
          <w:tcPr>
            <w:tcW w:w="2693" w:type="dxa"/>
            <w:tcBorders>
              <w:bottom w:val="single" w:sz="4" w:space="0" w:color="auto"/>
            </w:tcBorders>
            <w:shd w:val="clear" w:color="auto" w:fill="auto"/>
          </w:tcPr>
          <w:p w14:paraId="140CD0A6" w14:textId="77777777" w:rsidR="00B33542" w:rsidRPr="005071A1" w:rsidRDefault="00B33542" w:rsidP="009B7AF5">
            <w:pPr>
              <w:pStyle w:val="Tabletext"/>
            </w:pPr>
            <w:r w:rsidRPr="005071A1">
              <w:t>0.25</w:t>
            </w:r>
          </w:p>
        </w:tc>
      </w:tr>
      <w:tr w:rsidR="00B33542" w:rsidRPr="005071A1" w14:paraId="4C600C8E" w14:textId="77777777" w:rsidTr="00D57394">
        <w:tc>
          <w:tcPr>
            <w:tcW w:w="3119" w:type="dxa"/>
            <w:tcBorders>
              <w:bottom w:val="single" w:sz="4" w:space="0" w:color="auto"/>
            </w:tcBorders>
            <w:shd w:val="clear" w:color="auto" w:fill="auto"/>
          </w:tcPr>
          <w:p w14:paraId="6F25C29E" w14:textId="77777777" w:rsidR="00B33542" w:rsidRPr="005071A1" w:rsidRDefault="00B33542" w:rsidP="009B7AF5">
            <w:pPr>
              <w:pStyle w:val="Tabletext"/>
            </w:pPr>
            <w:r w:rsidRPr="005071A1">
              <w:t>34</w:t>
            </w:r>
          </w:p>
        </w:tc>
        <w:tc>
          <w:tcPr>
            <w:tcW w:w="2693" w:type="dxa"/>
            <w:tcBorders>
              <w:bottom w:val="single" w:sz="4" w:space="0" w:color="auto"/>
            </w:tcBorders>
            <w:shd w:val="clear" w:color="auto" w:fill="auto"/>
          </w:tcPr>
          <w:p w14:paraId="16A82A00" w14:textId="77777777" w:rsidR="00B33542" w:rsidRPr="005071A1" w:rsidRDefault="00B33542" w:rsidP="009B7AF5">
            <w:pPr>
              <w:pStyle w:val="Tabletext"/>
            </w:pPr>
            <w:r w:rsidRPr="005071A1">
              <w:t>0.27</w:t>
            </w:r>
          </w:p>
        </w:tc>
      </w:tr>
      <w:tr w:rsidR="00B33542" w:rsidRPr="005071A1" w14:paraId="4F32D56F" w14:textId="77777777" w:rsidTr="00D57394">
        <w:tc>
          <w:tcPr>
            <w:tcW w:w="3119" w:type="dxa"/>
            <w:tcBorders>
              <w:top w:val="single" w:sz="4" w:space="0" w:color="auto"/>
            </w:tcBorders>
            <w:shd w:val="clear" w:color="auto" w:fill="auto"/>
          </w:tcPr>
          <w:p w14:paraId="1BCE732A" w14:textId="77777777" w:rsidR="00B33542" w:rsidRPr="005071A1" w:rsidRDefault="00B33542" w:rsidP="009B7AF5">
            <w:pPr>
              <w:pStyle w:val="Tabletext"/>
            </w:pPr>
            <w:r w:rsidRPr="005071A1">
              <w:t>35</w:t>
            </w:r>
          </w:p>
        </w:tc>
        <w:tc>
          <w:tcPr>
            <w:tcW w:w="2693" w:type="dxa"/>
            <w:tcBorders>
              <w:top w:val="single" w:sz="4" w:space="0" w:color="auto"/>
            </w:tcBorders>
            <w:shd w:val="clear" w:color="auto" w:fill="auto"/>
          </w:tcPr>
          <w:p w14:paraId="5A24C1FC" w14:textId="77777777" w:rsidR="00B33542" w:rsidRPr="005071A1" w:rsidRDefault="00B33542" w:rsidP="009B7AF5">
            <w:pPr>
              <w:pStyle w:val="Tabletext"/>
            </w:pPr>
            <w:r w:rsidRPr="005071A1">
              <w:t>0.28</w:t>
            </w:r>
          </w:p>
        </w:tc>
      </w:tr>
      <w:tr w:rsidR="00B33542" w:rsidRPr="005071A1" w14:paraId="6DFE50E1" w14:textId="77777777" w:rsidTr="009B7AF5">
        <w:tc>
          <w:tcPr>
            <w:tcW w:w="3119" w:type="dxa"/>
            <w:shd w:val="clear" w:color="auto" w:fill="auto"/>
          </w:tcPr>
          <w:p w14:paraId="6C32EAF3" w14:textId="77777777" w:rsidR="00B33542" w:rsidRPr="005071A1" w:rsidRDefault="00B33542" w:rsidP="009B7AF5">
            <w:pPr>
              <w:pStyle w:val="Tabletext"/>
            </w:pPr>
            <w:r w:rsidRPr="005071A1">
              <w:t>36</w:t>
            </w:r>
          </w:p>
        </w:tc>
        <w:tc>
          <w:tcPr>
            <w:tcW w:w="2693" w:type="dxa"/>
            <w:shd w:val="clear" w:color="auto" w:fill="auto"/>
          </w:tcPr>
          <w:p w14:paraId="786C4E21" w14:textId="77777777" w:rsidR="00B33542" w:rsidRPr="005071A1" w:rsidRDefault="00B33542" w:rsidP="009B7AF5">
            <w:pPr>
              <w:pStyle w:val="Tabletext"/>
            </w:pPr>
            <w:r w:rsidRPr="005071A1">
              <w:t>0.30</w:t>
            </w:r>
          </w:p>
        </w:tc>
      </w:tr>
      <w:tr w:rsidR="00B33542" w:rsidRPr="005071A1" w14:paraId="5DCB8DD7" w14:textId="77777777" w:rsidTr="009B7AF5">
        <w:tc>
          <w:tcPr>
            <w:tcW w:w="3119" w:type="dxa"/>
            <w:shd w:val="clear" w:color="auto" w:fill="auto"/>
          </w:tcPr>
          <w:p w14:paraId="5071C28C" w14:textId="77777777" w:rsidR="00B33542" w:rsidRPr="005071A1" w:rsidRDefault="00B33542" w:rsidP="009B7AF5">
            <w:pPr>
              <w:pStyle w:val="Tabletext"/>
            </w:pPr>
            <w:r w:rsidRPr="005071A1">
              <w:t>37</w:t>
            </w:r>
          </w:p>
        </w:tc>
        <w:tc>
          <w:tcPr>
            <w:tcW w:w="2693" w:type="dxa"/>
            <w:shd w:val="clear" w:color="auto" w:fill="auto"/>
          </w:tcPr>
          <w:p w14:paraId="3741439C" w14:textId="77777777" w:rsidR="00B33542" w:rsidRPr="005071A1" w:rsidRDefault="00B33542" w:rsidP="009B7AF5">
            <w:pPr>
              <w:pStyle w:val="Tabletext"/>
            </w:pPr>
            <w:r w:rsidRPr="005071A1">
              <w:t>0.31</w:t>
            </w:r>
          </w:p>
        </w:tc>
      </w:tr>
      <w:tr w:rsidR="00B33542" w:rsidRPr="005071A1" w14:paraId="2633113A" w14:textId="77777777" w:rsidTr="009B7AF5">
        <w:tc>
          <w:tcPr>
            <w:tcW w:w="3119" w:type="dxa"/>
            <w:shd w:val="clear" w:color="auto" w:fill="auto"/>
          </w:tcPr>
          <w:p w14:paraId="650D4699" w14:textId="77777777" w:rsidR="00B33542" w:rsidRPr="005071A1" w:rsidRDefault="00B33542" w:rsidP="009B7AF5">
            <w:pPr>
              <w:pStyle w:val="Tabletext"/>
            </w:pPr>
            <w:r w:rsidRPr="005071A1">
              <w:t>38</w:t>
            </w:r>
          </w:p>
        </w:tc>
        <w:tc>
          <w:tcPr>
            <w:tcW w:w="2693" w:type="dxa"/>
            <w:shd w:val="clear" w:color="auto" w:fill="auto"/>
          </w:tcPr>
          <w:p w14:paraId="495A3F16" w14:textId="77777777" w:rsidR="00B33542" w:rsidRPr="005071A1" w:rsidRDefault="00B33542" w:rsidP="009B7AF5">
            <w:pPr>
              <w:pStyle w:val="Tabletext"/>
            </w:pPr>
            <w:r w:rsidRPr="005071A1">
              <w:t>0.33</w:t>
            </w:r>
          </w:p>
        </w:tc>
      </w:tr>
      <w:tr w:rsidR="00B33542" w:rsidRPr="005071A1" w14:paraId="2904E679" w14:textId="77777777" w:rsidTr="009B7AF5">
        <w:tc>
          <w:tcPr>
            <w:tcW w:w="3119" w:type="dxa"/>
            <w:shd w:val="clear" w:color="auto" w:fill="auto"/>
          </w:tcPr>
          <w:p w14:paraId="10289692" w14:textId="77777777" w:rsidR="00B33542" w:rsidRPr="005071A1" w:rsidRDefault="00B33542" w:rsidP="009B7AF5">
            <w:pPr>
              <w:pStyle w:val="Tabletext"/>
            </w:pPr>
            <w:r w:rsidRPr="005071A1">
              <w:t>39</w:t>
            </w:r>
          </w:p>
        </w:tc>
        <w:tc>
          <w:tcPr>
            <w:tcW w:w="2693" w:type="dxa"/>
            <w:shd w:val="clear" w:color="auto" w:fill="auto"/>
          </w:tcPr>
          <w:p w14:paraId="002510DF" w14:textId="77777777" w:rsidR="00B33542" w:rsidRPr="005071A1" w:rsidRDefault="00B33542" w:rsidP="009B7AF5">
            <w:pPr>
              <w:pStyle w:val="Tabletext"/>
            </w:pPr>
            <w:r w:rsidRPr="005071A1">
              <w:t>0.35</w:t>
            </w:r>
          </w:p>
        </w:tc>
      </w:tr>
      <w:tr w:rsidR="00B33542" w:rsidRPr="005071A1" w14:paraId="0BE0ED85" w14:textId="77777777" w:rsidTr="009B7AF5">
        <w:tc>
          <w:tcPr>
            <w:tcW w:w="3119" w:type="dxa"/>
            <w:shd w:val="clear" w:color="auto" w:fill="auto"/>
          </w:tcPr>
          <w:p w14:paraId="3C0A70EC" w14:textId="77777777" w:rsidR="00B33542" w:rsidRPr="005071A1" w:rsidRDefault="00B33542" w:rsidP="009B7AF5">
            <w:pPr>
              <w:pStyle w:val="Tabletext"/>
            </w:pPr>
            <w:r w:rsidRPr="005071A1">
              <w:t>40</w:t>
            </w:r>
          </w:p>
        </w:tc>
        <w:tc>
          <w:tcPr>
            <w:tcW w:w="2693" w:type="dxa"/>
            <w:shd w:val="clear" w:color="auto" w:fill="auto"/>
          </w:tcPr>
          <w:p w14:paraId="779AE21A" w14:textId="77777777" w:rsidR="00B33542" w:rsidRPr="005071A1" w:rsidRDefault="00B33542" w:rsidP="009B7AF5">
            <w:pPr>
              <w:pStyle w:val="Tabletext"/>
            </w:pPr>
            <w:r w:rsidRPr="005071A1">
              <w:t>0.37</w:t>
            </w:r>
          </w:p>
        </w:tc>
      </w:tr>
      <w:tr w:rsidR="00B33542" w:rsidRPr="005071A1" w14:paraId="274082AA" w14:textId="77777777" w:rsidTr="009B7AF5">
        <w:tc>
          <w:tcPr>
            <w:tcW w:w="3119" w:type="dxa"/>
            <w:shd w:val="clear" w:color="auto" w:fill="auto"/>
          </w:tcPr>
          <w:p w14:paraId="4F04B459" w14:textId="77777777" w:rsidR="00B33542" w:rsidRPr="005071A1" w:rsidRDefault="00B33542" w:rsidP="009B7AF5">
            <w:pPr>
              <w:pStyle w:val="Tabletext"/>
            </w:pPr>
            <w:r w:rsidRPr="005071A1">
              <w:t>41</w:t>
            </w:r>
          </w:p>
        </w:tc>
        <w:tc>
          <w:tcPr>
            <w:tcW w:w="2693" w:type="dxa"/>
            <w:shd w:val="clear" w:color="auto" w:fill="auto"/>
          </w:tcPr>
          <w:p w14:paraId="02879A8B" w14:textId="77777777" w:rsidR="00B33542" w:rsidRPr="005071A1" w:rsidRDefault="00B33542" w:rsidP="009B7AF5">
            <w:pPr>
              <w:pStyle w:val="Tabletext"/>
            </w:pPr>
            <w:r w:rsidRPr="005071A1">
              <w:t>0.39</w:t>
            </w:r>
          </w:p>
        </w:tc>
      </w:tr>
      <w:tr w:rsidR="00B33542" w:rsidRPr="005071A1" w14:paraId="2FFBF548" w14:textId="77777777" w:rsidTr="009B7AF5">
        <w:tc>
          <w:tcPr>
            <w:tcW w:w="3119" w:type="dxa"/>
            <w:shd w:val="clear" w:color="auto" w:fill="auto"/>
          </w:tcPr>
          <w:p w14:paraId="70E18820" w14:textId="77777777" w:rsidR="00B33542" w:rsidRPr="005071A1" w:rsidRDefault="00B33542" w:rsidP="009B7AF5">
            <w:pPr>
              <w:pStyle w:val="Tabletext"/>
            </w:pPr>
            <w:r w:rsidRPr="005071A1">
              <w:t>42</w:t>
            </w:r>
          </w:p>
        </w:tc>
        <w:tc>
          <w:tcPr>
            <w:tcW w:w="2693" w:type="dxa"/>
            <w:shd w:val="clear" w:color="auto" w:fill="auto"/>
          </w:tcPr>
          <w:p w14:paraId="173038B3" w14:textId="77777777" w:rsidR="00B33542" w:rsidRPr="005071A1" w:rsidRDefault="00B33542" w:rsidP="009B7AF5">
            <w:pPr>
              <w:pStyle w:val="Tabletext"/>
            </w:pPr>
            <w:r w:rsidRPr="005071A1">
              <w:t>0.42</w:t>
            </w:r>
          </w:p>
        </w:tc>
      </w:tr>
      <w:tr w:rsidR="00B33542" w:rsidRPr="005071A1" w14:paraId="66DF99D5" w14:textId="77777777" w:rsidTr="009B7AF5">
        <w:tc>
          <w:tcPr>
            <w:tcW w:w="3119" w:type="dxa"/>
            <w:shd w:val="clear" w:color="auto" w:fill="auto"/>
          </w:tcPr>
          <w:p w14:paraId="6FFDA538" w14:textId="77777777" w:rsidR="00B33542" w:rsidRPr="005071A1" w:rsidRDefault="00B33542" w:rsidP="009B7AF5">
            <w:pPr>
              <w:pStyle w:val="Tabletext"/>
            </w:pPr>
            <w:r w:rsidRPr="005071A1">
              <w:t>43</w:t>
            </w:r>
          </w:p>
        </w:tc>
        <w:tc>
          <w:tcPr>
            <w:tcW w:w="2693" w:type="dxa"/>
            <w:shd w:val="clear" w:color="auto" w:fill="auto"/>
          </w:tcPr>
          <w:p w14:paraId="70B83BEB" w14:textId="77777777" w:rsidR="00B33542" w:rsidRPr="005071A1" w:rsidRDefault="00B33542" w:rsidP="009B7AF5">
            <w:pPr>
              <w:pStyle w:val="Tabletext"/>
            </w:pPr>
            <w:r w:rsidRPr="005071A1">
              <w:t>0.44</w:t>
            </w:r>
          </w:p>
        </w:tc>
      </w:tr>
      <w:tr w:rsidR="00B33542" w:rsidRPr="005071A1" w14:paraId="7F707BE3" w14:textId="77777777" w:rsidTr="009B7AF5">
        <w:tc>
          <w:tcPr>
            <w:tcW w:w="3119" w:type="dxa"/>
            <w:shd w:val="clear" w:color="auto" w:fill="auto"/>
          </w:tcPr>
          <w:p w14:paraId="2B1D7D23" w14:textId="77777777" w:rsidR="00B33542" w:rsidRPr="005071A1" w:rsidRDefault="00B33542" w:rsidP="009B7AF5">
            <w:pPr>
              <w:pStyle w:val="Tabletext"/>
            </w:pPr>
            <w:r w:rsidRPr="005071A1">
              <w:t>44</w:t>
            </w:r>
          </w:p>
        </w:tc>
        <w:tc>
          <w:tcPr>
            <w:tcW w:w="2693" w:type="dxa"/>
            <w:shd w:val="clear" w:color="auto" w:fill="auto"/>
          </w:tcPr>
          <w:p w14:paraId="25566BC0" w14:textId="77777777" w:rsidR="00B33542" w:rsidRPr="005071A1" w:rsidRDefault="00B33542" w:rsidP="009B7AF5">
            <w:pPr>
              <w:pStyle w:val="Tabletext"/>
            </w:pPr>
            <w:r w:rsidRPr="005071A1">
              <w:t>0.47</w:t>
            </w:r>
          </w:p>
        </w:tc>
      </w:tr>
      <w:tr w:rsidR="00B33542" w:rsidRPr="005071A1" w14:paraId="2A0524FE" w14:textId="77777777" w:rsidTr="009B7AF5">
        <w:tc>
          <w:tcPr>
            <w:tcW w:w="3119" w:type="dxa"/>
            <w:shd w:val="clear" w:color="auto" w:fill="auto"/>
          </w:tcPr>
          <w:p w14:paraId="194DBD30" w14:textId="77777777" w:rsidR="00B33542" w:rsidRPr="005071A1" w:rsidRDefault="00B33542" w:rsidP="009B7AF5">
            <w:pPr>
              <w:pStyle w:val="Tabletext"/>
            </w:pPr>
            <w:r w:rsidRPr="005071A1">
              <w:t>45</w:t>
            </w:r>
          </w:p>
        </w:tc>
        <w:tc>
          <w:tcPr>
            <w:tcW w:w="2693" w:type="dxa"/>
            <w:shd w:val="clear" w:color="auto" w:fill="auto"/>
          </w:tcPr>
          <w:p w14:paraId="565F8884" w14:textId="77777777" w:rsidR="00B33542" w:rsidRPr="005071A1" w:rsidRDefault="00B33542" w:rsidP="009B7AF5">
            <w:pPr>
              <w:pStyle w:val="Tabletext"/>
            </w:pPr>
            <w:r w:rsidRPr="005071A1">
              <w:t>0.50</w:t>
            </w:r>
          </w:p>
        </w:tc>
      </w:tr>
      <w:tr w:rsidR="00B33542" w:rsidRPr="005071A1" w14:paraId="5B73BE2B" w14:textId="77777777" w:rsidTr="009B7AF5">
        <w:tc>
          <w:tcPr>
            <w:tcW w:w="3119" w:type="dxa"/>
            <w:shd w:val="clear" w:color="auto" w:fill="auto"/>
          </w:tcPr>
          <w:p w14:paraId="2268F37A" w14:textId="77777777" w:rsidR="00B33542" w:rsidRPr="005071A1" w:rsidRDefault="00B33542" w:rsidP="009B7AF5">
            <w:pPr>
              <w:pStyle w:val="Tabletext"/>
            </w:pPr>
            <w:r w:rsidRPr="005071A1">
              <w:t>46</w:t>
            </w:r>
          </w:p>
        </w:tc>
        <w:tc>
          <w:tcPr>
            <w:tcW w:w="2693" w:type="dxa"/>
            <w:shd w:val="clear" w:color="auto" w:fill="auto"/>
          </w:tcPr>
          <w:p w14:paraId="2F514293" w14:textId="77777777" w:rsidR="00B33542" w:rsidRPr="005071A1" w:rsidRDefault="00B33542" w:rsidP="009B7AF5">
            <w:pPr>
              <w:pStyle w:val="Tabletext"/>
            </w:pPr>
            <w:r w:rsidRPr="005071A1">
              <w:t>0.54</w:t>
            </w:r>
          </w:p>
        </w:tc>
      </w:tr>
      <w:tr w:rsidR="00B33542" w:rsidRPr="005071A1" w14:paraId="3F296524" w14:textId="77777777" w:rsidTr="009B7AF5">
        <w:tc>
          <w:tcPr>
            <w:tcW w:w="3119" w:type="dxa"/>
            <w:shd w:val="clear" w:color="auto" w:fill="auto"/>
          </w:tcPr>
          <w:p w14:paraId="02535D61" w14:textId="77777777" w:rsidR="00B33542" w:rsidRPr="005071A1" w:rsidRDefault="00B33542" w:rsidP="009B7AF5">
            <w:pPr>
              <w:pStyle w:val="Tabletext"/>
            </w:pPr>
            <w:r w:rsidRPr="005071A1">
              <w:t>47</w:t>
            </w:r>
          </w:p>
        </w:tc>
        <w:tc>
          <w:tcPr>
            <w:tcW w:w="2693" w:type="dxa"/>
            <w:shd w:val="clear" w:color="auto" w:fill="auto"/>
          </w:tcPr>
          <w:p w14:paraId="5331F8FA" w14:textId="77777777" w:rsidR="00B33542" w:rsidRPr="005071A1" w:rsidRDefault="00B33542" w:rsidP="009B7AF5">
            <w:pPr>
              <w:pStyle w:val="Tabletext"/>
            </w:pPr>
            <w:r w:rsidRPr="005071A1">
              <w:t>0.58</w:t>
            </w:r>
          </w:p>
        </w:tc>
      </w:tr>
      <w:tr w:rsidR="00B33542" w:rsidRPr="005071A1" w14:paraId="3E7991CE" w14:textId="77777777" w:rsidTr="009B7AF5">
        <w:tc>
          <w:tcPr>
            <w:tcW w:w="3119" w:type="dxa"/>
            <w:shd w:val="clear" w:color="auto" w:fill="auto"/>
          </w:tcPr>
          <w:p w14:paraId="3219EA26" w14:textId="77777777" w:rsidR="00B33542" w:rsidRPr="005071A1" w:rsidRDefault="00B33542" w:rsidP="009B7AF5">
            <w:pPr>
              <w:pStyle w:val="Tabletext"/>
            </w:pPr>
            <w:r w:rsidRPr="005071A1">
              <w:t>48</w:t>
            </w:r>
          </w:p>
        </w:tc>
        <w:tc>
          <w:tcPr>
            <w:tcW w:w="2693" w:type="dxa"/>
            <w:shd w:val="clear" w:color="auto" w:fill="auto"/>
          </w:tcPr>
          <w:p w14:paraId="27388601" w14:textId="77777777" w:rsidR="00B33542" w:rsidRPr="005071A1" w:rsidRDefault="00B33542" w:rsidP="009B7AF5">
            <w:pPr>
              <w:pStyle w:val="Tabletext"/>
            </w:pPr>
            <w:r w:rsidRPr="005071A1">
              <w:t>0.63</w:t>
            </w:r>
          </w:p>
        </w:tc>
      </w:tr>
      <w:tr w:rsidR="00B33542" w:rsidRPr="005071A1" w14:paraId="418785C4" w14:textId="77777777" w:rsidTr="009B7AF5">
        <w:tc>
          <w:tcPr>
            <w:tcW w:w="3119" w:type="dxa"/>
            <w:shd w:val="clear" w:color="auto" w:fill="auto"/>
          </w:tcPr>
          <w:p w14:paraId="58DB6393" w14:textId="77777777" w:rsidR="00B33542" w:rsidRPr="005071A1" w:rsidRDefault="00B33542" w:rsidP="009B7AF5">
            <w:pPr>
              <w:pStyle w:val="Tabletext"/>
            </w:pPr>
            <w:r w:rsidRPr="005071A1">
              <w:t>49</w:t>
            </w:r>
          </w:p>
        </w:tc>
        <w:tc>
          <w:tcPr>
            <w:tcW w:w="2693" w:type="dxa"/>
            <w:shd w:val="clear" w:color="auto" w:fill="auto"/>
          </w:tcPr>
          <w:p w14:paraId="7387F323" w14:textId="77777777" w:rsidR="00B33542" w:rsidRPr="005071A1" w:rsidRDefault="00B33542" w:rsidP="009B7AF5">
            <w:pPr>
              <w:pStyle w:val="Tabletext"/>
            </w:pPr>
            <w:r w:rsidRPr="005071A1">
              <w:t>0.68</w:t>
            </w:r>
          </w:p>
        </w:tc>
      </w:tr>
      <w:tr w:rsidR="00B33542" w:rsidRPr="005071A1" w14:paraId="4AD13AAD" w14:textId="77777777" w:rsidTr="009B7AF5">
        <w:tblPrEx>
          <w:tblCellMar>
            <w:left w:w="107" w:type="dxa"/>
            <w:right w:w="107" w:type="dxa"/>
          </w:tblCellMar>
        </w:tblPrEx>
        <w:tc>
          <w:tcPr>
            <w:tcW w:w="3119" w:type="dxa"/>
            <w:shd w:val="clear" w:color="auto" w:fill="auto"/>
          </w:tcPr>
          <w:p w14:paraId="07239A61" w14:textId="77777777" w:rsidR="00B33542" w:rsidRPr="005071A1" w:rsidRDefault="00B33542" w:rsidP="009B7AF5">
            <w:pPr>
              <w:pStyle w:val="Tabletext"/>
            </w:pPr>
            <w:r w:rsidRPr="005071A1">
              <w:t>50</w:t>
            </w:r>
          </w:p>
        </w:tc>
        <w:tc>
          <w:tcPr>
            <w:tcW w:w="2693" w:type="dxa"/>
            <w:shd w:val="clear" w:color="auto" w:fill="auto"/>
          </w:tcPr>
          <w:p w14:paraId="7BE63D79" w14:textId="77777777" w:rsidR="00B33542" w:rsidRPr="005071A1" w:rsidRDefault="00B33542" w:rsidP="009B7AF5">
            <w:pPr>
              <w:pStyle w:val="Tabletext"/>
            </w:pPr>
            <w:r w:rsidRPr="005071A1">
              <w:t>0.73</w:t>
            </w:r>
          </w:p>
        </w:tc>
      </w:tr>
      <w:tr w:rsidR="00B33542" w:rsidRPr="005071A1" w14:paraId="467838AF" w14:textId="77777777" w:rsidTr="009B7AF5">
        <w:tblPrEx>
          <w:tblCellMar>
            <w:left w:w="107" w:type="dxa"/>
            <w:right w:w="107" w:type="dxa"/>
          </w:tblCellMar>
        </w:tblPrEx>
        <w:tc>
          <w:tcPr>
            <w:tcW w:w="3119" w:type="dxa"/>
            <w:shd w:val="clear" w:color="auto" w:fill="auto"/>
          </w:tcPr>
          <w:p w14:paraId="57C4D218" w14:textId="77777777" w:rsidR="00B33542" w:rsidRPr="005071A1" w:rsidRDefault="00B33542" w:rsidP="009B7AF5">
            <w:pPr>
              <w:pStyle w:val="Tabletext"/>
            </w:pPr>
            <w:r w:rsidRPr="005071A1">
              <w:t>51</w:t>
            </w:r>
          </w:p>
        </w:tc>
        <w:tc>
          <w:tcPr>
            <w:tcW w:w="2693" w:type="dxa"/>
            <w:shd w:val="clear" w:color="auto" w:fill="auto"/>
          </w:tcPr>
          <w:p w14:paraId="34BCB4FE" w14:textId="77777777" w:rsidR="00B33542" w:rsidRPr="005071A1" w:rsidRDefault="00B33542" w:rsidP="009B7AF5">
            <w:pPr>
              <w:pStyle w:val="Tabletext"/>
            </w:pPr>
            <w:r w:rsidRPr="005071A1">
              <w:t>0.80</w:t>
            </w:r>
          </w:p>
        </w:tc>
      </w:tr>
      <w:tr w:rsidR="00B33542" w:rsidRPr="005071A1" w14:paraId="4232D02D" w14:textId="77777777" w:rsidTr="009B7AF5">
        <w:tblPrEx>
          <w:tblCellMar>
            <w:left w:w="107" w:type="dxa"/>
            <w:right w:w="107" w:type="dxa"/>
          </w:tblCellMar>
        </w:tblPrEx>
        <w:tc>
          <w:tcPr>
            <w:tcW w:w="3119" w:type="dxa"/>
            <w:shd w:val="clear" w:color="auto" w:fill="auto"/>
          </w:tcPr>
          <w:p w14:paraId="0D236533" w14:textId="77777777" w:rsidR="00B33542" w:rsidRPr="005071A1" w:rsidRDefault="00B33542" w:rsidP="009B7AF5">
            <w:pPr>
              <w:pStyle w:val="Tabletext"/>
            </w:pPr>
            <w:r w:rsidRPr="005071A1">
              <w:t>52</w:t>
            </w:r>
          </w:p>
        </w:tc>
        <w:tc>
          <w:tcPr>
            <w:tcW w:w="2693" w:type="dxa"/>
            <w:shd w:val="clear" w:color="auto" w:fill="auto"/>
          </w:tcPr>
          <w:p w14:paraId="21EDFDEA" w14:textId="77777777" w:rsidR="00B33542" w:rsidRPr="005071A1" w:rsidRDefault="00B33542" w:rsidP="009B7AF5">
            <w:pPr>
              <w:pStyle w:val="Tabletext"/>
            </w:pPr>
            <w:r w:rsidRPr="005071A1">
              <w:t>0.87</w:t>
            </w:r>
          </w:p>
        </w:tc>
      </w:tr>
      <w:tr w:rsidR="00B33542" w:rsidRPr="005071A1" w14:paraId="7CEC8CE6" w14:textId="77777777" w:rsidTr="009B7AF5">
        <w:tblPrEx>
          <w:tblCellMar>
            <w:left w:w="107" w:type="dxa"/>
            <w:right w:w="107" w:type="dxa"/>
          </w:tblCellMar>
        </w:tblPrEx>
        <w:tc>
          <w:tcPr>
            <w:tcW w:w="3119" w:type="dxa"/>
            <w:shd w:val="clear" w:color="auto" w:fill="auto"/>
          </w:tcPr>
          <w:p w14:paraId="326923D8" w14:textId="77777777" w:rsidR="00B33542" w:rsidRPr="005071A1" w:rsidRDefault="00B33542" w:rsidP="009B7AF5">
            <w:pPr>
              <w:pStyle w:val="Tabletext"/>
            </w:pPr>
            <w:r w:rsidRPr="005071A1">
              <w:t>53</w:t>
            </w:r>
          </w:p>
        </w:tc>
        <w:tc>
          <w:tcPr>
            <w:tcW w:w="2693" w:type="dxa"/>
            <w:shd w:val="clear" w:color="auto" w:fill="auto"/>
          </w:tcPr>
          <w:p w14:paraId="0690D29D" w14:textId="77777777" w:rsidR="00B33542" w:rsidRPr="005071A1" w:rsidRDefault="00B33542" w:rsidP="009B7AF5">
            <w:pPr>
              <w:pStyle w:val="Tabletext"/>
            </w:pPr>
            <w:r w:rsidRPr="005071A1">
              <w:t>0.96</w:t>
            </w:r>
          </w:p>
        </w:tc>
      </w:tr>
      <w:tr w:rsidR="00B33542" w:rsidRPr="005071A1" w14:paraId="5BB4009C" w14:textId="77777777" w:rsidTr="009B7AF5">
        <w:tblPrEx>
          <w:tblCellMar>
            <w:left w:w="107" w:type="dxa"/>
            <w:right w:w="107" w:type="dxa"/>
          </w:tblCellMar>
        </w:tblPrEx>
        <w:tc>
          <w:tcPr>
            <w:tcW w:w="3119" w:type="dxa"/>
            <w:shd w:val="clear" w:color="auto" w:fill="auto"/>
          </w:tcPr>
          <w:p w14:paraId="19E658C8" w14:textId="77777777" w:rsidR="00B33542" w:rsidRPr="005071A1" w:rsidRDefault="00B33542" w:rsidP="009B7AF5">
            <w:pPr>
              <w:pStyle w:val="Tabletext"/>
            </w:pPr>
            <w:r w:rsidRPr="005071A1">
              <w:t>54</w:t>
            </w:r>
          </w:p>
        </w:tc>
        <w:tc>
          <w:tcPr>
            <w:tcW w:w="2693" w:type="dxa"/>
            <w:shd w:val="clear" w:color="auto" w:fill="auto"/>
          </w:tcPr>
          <w:p w14:paraId="34E8A2A2" w14:textId="77777777" w:rsidR="00B33542" w:rsidRPr="005071A1" w:rsidRDefault="00B33542" w:rsidP="009B7AF5">
            <w:pPr>
              <w:pStyle w:val="Tabletext"/>
            </w:pPr>
            <w:r w:rsidRPr="005071A1">
              <w:t>1.06</w:t>
            </w:r>
          </w:p>
        </w:tc>
      </w:tr>
      <w:tr w:rsidR="00B33542" w:rsidRPr="005071A1" w14:paraId="2CFB2914" w14:textId="77777777" w:rsidTr="009B7AF5">
        <w:tblPrEx>
          <w:tblCellMar>
            <w:left w:w="107" w:type="dxa"/>
            <w:right w:w="107" w:type="dxa"/>
          </w:tblCellMar>
        </w:tblPrEx>
        <w:tc>
          <w:tcPr>
            <w:tcW w:w="3119" w:type="dxa"/>
            <w:shd w:val="clear" w:color="auto" w:fill="auto"/>
          </w:tcPr>
          <w:p w14:paraId="23883FC2" w14:textId="77777777" w:rsidR="00B33542" w:rsidRPr="005071A1" w:rsidRDefault="00B33542" w:rsidP="009B7AF5">
            <w:pPr>
              <w:pStyle w:val="Tabletext"/>
            </w:pPr>
            <w:r w:rsidRPr="005071A1">
              <w:t>55</w:t>
            </w:r>
          </w:p>
        </w:tc>
        <w:tc>
          <w:tcPr>
            <w:tcW w:w="2693" w:type="dxa"/>
            <w:shd w:val="clear" w:color="auto" w:fill="auto"/>
          </w:tcPr>
          <w:p w14:paraId="3D02BC36" w14:textId="77777777" w:rsidR="00B33542" w:rsidRPr="005071A1" w:rsidRDefault="00B33542" w:rsidP="009B7AF5">
            <w:pPr>
              <w:pStyle w:val="Tabletext"/>
            </w:pPr>
            <w:r w:rsidRPr="005071A1">
              <w:t>1.18</w:t>
            </w:r>
          </w:p>
        </w:tc>
      </w:tr>
      <w:tr w:rsidR="00B33542" w:rsidRPr="005071A1" w14:paraId="21729FBC" w14:textId="77777777" w:rsidTr="009B7AF5">
        <w:tblPrEx>
          <w:tblCellMar>
            <w:left w:w="107" w:type="dxa"/>
            <w:right w:w="107" w:type="dxa"/>
          </w:tblCellMar>
        </w:tblPrEx>
        <w:tc>
          <w:tcPr>
            <w:tcW w:w="3119" w:type="dxa"/>
            <w:shd w:val="clear" w:color="auto" w:fill="auto"/>
          </w:tcPr>
          <w:p w14:paraId="3A63A65A" w14:textId="77777777" w:rsidR="00B33542" w:rsidRPr="005071A1" w:rsidRDefault="00B33542" w:rsidP="009B7AF5">
            <w:pPr>
              <w:pStyle w:val="Tabletext"/>
            </w:pPr>
            <w:r w:rsidRPr="005071A1">
              <w:t>56</w:t>
            </w:r>
          </w:p>
        </w:tc>
        <w:tc>
          <w:tcPr>
            <w:tcW w:w="2693" w:type="dxa"/>
            <w:shd w:val="clear" w:color="auto" w:fill="auto"/>
          </w:tcPr>
          <w:p w14:paraId="1BF1AC7B" w14:textId="77777777" w:rsidR="00B33542" w:rsidRPr="005071A1" w:rsidRDefault="00B33542" w:rsidP="009B7AF5">
            <w:pPr>
              <w:pStyle w:val="Tabletext"/>
            </w:pPr>
            <w:r w:rsidRPr="005071A1">
              <w:t>1.33</w:t>
            </w:r>
          </w:p>
        </w:tc>
      </w:tr>
      <w:tr w:rsidR="00B33542" w:rsidRPr="005071A1" w14:paraId="1607EEA9" w14:textId="77777777" w:rsidTr="009B7AF5">
        <w:tblPrEx>
          <w:tblCellMar>
            <w:left w:w="107" w:type="dxa"/>
            <w:right w:w="107" w:type="dxa"/>
          </w:tblCellMar>
        </w:tblPrEx>
        <w:tc>
          <w:tcPr>
            <w:tcW w:w="3119" w:type="dxa"/>
            <w:shd w:val="clear" w:color="auto" w:fill="auto"/>
          </w:tcPr>
          <w:p w14:paraId="4566B9DA" w14:textId="77777777" w:rsidR="00B33542" w:rsidRPr="005071A1" w:rsidRDefault="00B33542" w:rsidP="009B7AF5">
            <w:pPr>
              <w:pStyle w:val="Tabletext"/>
            </w:pPr>
            <w:r w:rsidRPr="005071A1">
              <w:t>57</w:t>
            </w:r>
          </w:p>
        </w:tc>
        <w:tc>
          <w:tcPr>
            <w:tcW w:w="2693" w:type="dxa"/>
            <w:shd w:val="clear" w:color="auto" w:fill="auto"/>
          </w:tcPr>
          <w:p w14:paraId="10F4AFC6" w14:textId="77777777" w:rsidR="00B33542" w:rsidRPr="005071A1" w:rsidRDefault="00B33542" w:rsidP="009B7AF5">
            <w:pPr>
              <w:pStyle w:val="Tabletext"/>
            </w:pPr>
            <w:r w:rsidRPr="005071A1">
              <w:t>1.51</w:t>
            </w:r>
          </w:p>
        </w:tc>
      </w:tr>
      <w:tr w:rsidR="00B33542" w:rsidRPr="005071A1" w14:paraId="00868D7F" w14:textId="77777777" w:rsidTr="009B7AF5">
        <w:tblPrEx>
          <w:tblCellMar>
            <w:left w:w="107" w:type="dxa"/>
            <w:right w:w="107" w:type="dxa"/>
          </w:tblCellMar>
        </w:tblPrEx>
        <w:tc>
          <w:tcPr>
            <w:tcW w:w="3119" w:type="dxa"/>
            <w:shd w:val="clear" w:color="auto" w:fill="auto"/>
          </w:tcPr>
          <w:p w14:paraId="495B97EB" w14:textId="77777777" w:rsidR="00B33542" w:rsidRPr="005071A1" w:rsidRDefault="00B33542" w:rsidP="009B7AF5">
            <w:pPr>
              <w:pStyle w:val="Tabletext"/>
            </w:pPr>
            <w:r w:rsidRPr="005071A1">
              <w:lastRenderedPageBreak/>
              <w:t>58</w:t>
            </w:r>
          </w:p>
        </w:tc>
        <w:tc>
          <w:tcPr>
            <w:tcW w:w="2693" w:type="dxa"/>
            <w:shd w:val="clear" w:color="auto" w:fill="auto"/>
          </w:tcPr>
          <w:p w14:paraId="59DFF9FF" w14:textId="77777777" w:rsidR="00B33542" w:rsidRPr="005071A1" w:rsidRDefault="00B33542" w:rsidP="009B7AF5">
            <w:pPr>
              <w:pStyle w:val="Tabletext"/>
            </w:pPr>
            <w:r w:rsidRPr="005071A1">
              <w:t>1.74</w:t>
            </w:r>
          </w:p>
        </w:tc>
      </w:tr>
      <w:tr w:rsidR="00B33542" w:rsidRPr="005071A1" w14:paraId="0D88B825" w14:textId="77777777" w:rsidTr="009B7AF5">
        <w:tblPrEx>
          <w:tblCellMar>
            <w:left w:w="107" w:type="dxa"/>
            <w:right w:w="107" w:type="dxa"/>
          </w:tblCellMar>
        </w:tblPrEx>
        <w:tc>
          <w:tcPr>
            <w:tcW w:w="3119" w:type="dxa"/>
            <w:shd w:val="clear" w:color="auto" w:fill="auto"/>
          </w:tcPr>
          <w:p w14:paraId="44EEFD28" w14:textId="77777777" w:rsidR="00B33542" w:rsidRPr="005071A1" w:rsidRDefault="00B33542" w:rsidP="009B7AF5">
            <w:pPr>
              <w:pStyle w:val="Tabletext"/>
            </w:pPr>
            <w:r w:rsidRPr="005071A1">
              <w:t>59</w:t>
            </w:r>
          </w:p>
        </w:tc>
        <w:tc>
          <w:tcPr>
            <w:tcW w:w="2693" w:type="dxa"/>
            <w:shd w:val="clear" w:color="auto" w:fill="auto"/>
          </w:tcPr>
          <w:p w14:paraId="1F72ADF8" w14:textId="77777777" w:rsidR="00B33542" w:rsidRPr="005071A1" w:rsidRDefault="00B33542" w:rsidP="009B7AF5">
            <w:pPr>
              <w:pStyle w:val="Tabletext"/>
            </w:pPr>
            <w:r w:rsidRPr="005071A1">
              <w:t>2.04</w:t>
            </w:r>
          </w:p>
        </w:tc>
      </w:tr>
      <w:tr w:rsidR="00B33542" w:rsidRPr="005071A1" w14:paraId="001370B7" w14:textId="77777777" w:rsidTr="009B7AF5">
        <w:tblPrEx>
          <w:tblCellMar>
            <w:left w:w="107" w:type="dxa"/>
            <w:right w:w="107" w:type="dxa"/>
          </w:tblCellMar>
        </w:tblPrEx>
        <w:tc>
          <w:tcPr>
            <w:tcW w:w="3119" w:type="dxa"/>
            <w:shd w:val="clear" w:color="auto" w:fill="auto"/>
          </w:tcPr>
          <w:p w14:paraId="510D2DFF" w14:textId="77777777" w:rsidR="00B33542" w:rsidRPr="005071A1" w:rsidRDefault="00B33542" w:rsidP="009B7AF5">
            <w:pPr>
              <w:pStyle w:val="Tabletext"/>
            </w:pPr>
            <w:r w:rsidRPr="005071A1">
              <w:t>60</w:t>
            </w:r>
          </w:p>
        </w:tc>
        <w:tc>
          <w:tcPr>
            <w:tcW w:w="2693" w:type="dxa"/>
            <w:shd w:val="clear" w:color="auto" w:fill="auto"/>
          </w:tcPr>
          <w:p w14:paraId="01AA5F37" w14:textId="77777777" w:rsidR="00B33542" w:rsidRPr="005071A1" w:rsidRDefault="00B33542" w:rsidP="009B7AF5">
            <w:pPr>
              <w:pStyle w:val="Tabletext"/>
            </w:pPr>
            <w:r w:rsidRPr="005071A1">
              <w:t>2.46</w:t>
            </w:r>
          </w:p>
        </w:tc>
      </w:tr>
      <w:tr w:rsidR="00B33542" w:rsidRPr="005071A1" w14:paraId="608380B5" w14:textId="77777777" w:rsidTr="009B7AF5">
        <w:tblPrEx>
          <w:tblCellMar>
            <w:left w:w="107" w:type="dxa"/>
            <w:right w:w="107" w:type="dxa"/>
          </w:tblCellMar>
        </w:tblPrEx>
        <w:tc>
          <w:tcPr>
            <w:tcW w:w="3119" w:type="dxa"/>
            <w:shd w:val="clear" w:color="auto" w:fill="auto"/>
          </w:tcPr>
          <w:p w14:paraId="04D7C4A6" w14:textId="77777777" w:rsidR="00B33542" w:rsidRPr="005071A1" w:rsidRDefault="00B33542" w:rsidP="009B7AF5">
            <w:pPr>
              <w:pStyle w:val="Tabletext"/>
            </w:pPr>
            <w:r w:rsidRPr="005071A1">
              <w:t>61</w:t>
            </w:r>
          </w:p>
        </w:tc>
        <w:tc>
          <w:tcPr>
            <w:tcW w:w="2693" w:type="dxa"/>
            <w:shd w:val="clear" w:color="auto" w:fill="auto"/>
          </w:tcPr>
          <w:p w14:paraId="649FC633" w14:textId="77777777" w:rsidR="00B33542" w:rsidRPr="005071A1" w:rsidRDefault="00B33542" w:rsidP="009B7AF5">
            <w:pPr>
              <w:pStyle w:val="Tabletext"/>
            </w:pPr>
            <w:r w:rsidRPr="005071A1">
              <w:t>3.09</w:t>
            </w:r>
          </w:p>
        </w:tc>
      </w:tr>
      <w:tr w:rsidR="00B33542" w:rsidRPr="005071A1" w14:paraId="15740D6F" w14:textId="77777777" w:rsidTr="00D57394">
        <w:tblPrEx>
          <w:tblCellMar>
            <w:left w:w="107" w:type="dxa"/>
            <w:right w:w="107" w:type="dxa"/>
          </w:tblCellMar>
        </w:tblPrEx>
        <w:tc>
          <w:tcPr>
            <w:tcW w:w="3119" w:type="dxa"/>
            <w:tcBorders>
              <w:bottom w:val="single" w:sz="4" w:space="0" w:color="auto"/>
            </w:tcBorders>
            <w:shd w:val="clear" w:color="auto" w:fill="auto"/>
          </w:tcPr>
          <w:p w14:paraId="2FED90BF" w14:textId="77777777" w:rsidR="00B33542" w:rsidRPr="005071A1" w:rsidRDefault="00B33542" w:rsidP="009B7AF5">
            <w:pPr>
              <w:pStyle w:val="Tabletext"/>
            </w:pPr>
            <w:r w:rsidRPr="005071A1">
              <w:t>62</w:t>
            </w:r>
          </w:p>
        </w:tc>
        <w:tc>
          <w:tcPr>
            <w:tcW w:w="2693" w:type="dxa"/>
            <w:tcBorders>
              <w:bottom w:val="single" w:sz="4" w:space="0" w:color="auto"/>
            </w:tcBorders>
            <w:shd w:val="clear" w:color="auto" w:fill="auto"/>
          </w:tcPr>
          <w:p w14:paraId="47D6C5EE" w14:textId="77777777" w:rsidR="00B33542" w:rsidRPr="005071A1" w:rsidRDefault="00B33542" w:rsidP="009B7AF5">
            <w:pPr>
              <w:pStyle w:val="Tabletext"/>
            </w:pPr>
            <w:r w:rsidRPr="005071A1">
              <w:t>4.13</w:t>
            </w:r>
          </w:p>
        </w:tc>
      </w:tr>
      <w:tr w:rsidR="00B33542" w:rsidRPr="005071A1" w14:paraId="423FE8D0" w14:textId="77777777" w:rsidTr="00D57394">
        <w:tblPrEx>
          <w:tblCellMar>
            <w:left w:w="107" w:type="dxa"/>
            <w:right w:w="107" w:type="dxa"/>
          </w:tblCellMar>
        </w:tblPrEx>
        <w:tc>
          <w:tcPr>
            <w:tcW w:w="3119" w:type="dxa"/>
            <w:tcBorders>
              <w:bottom w:val="single" w:sz="4" w:space="0" w:color="auto"/>
            </w:tcBorders>
            <w:shd w:val="clear" w:color="auto" w:fill="auto"/>
          </w:tcPr>
          <w:p w14:paraId="20342A3A" w14:textId="77777777" w:rsidR="00B33542" w:rsidRPr="005071A1" w:rsidRDefault="00B33542" w:rsidP="009B7AF5">
            <w:pPr>
              <w:pStyle w:val="Tabletext"/>
            </w:pPr>
            <w:r w:rsidRPr="005071A1">
              <w:t>63</w:t>
            </w:r>
          </w:p>
        </w:tc>
        <w:tc>
          <w:tcPr>
            <w:tcW w:w="2693" w:type="dxa"/>
            <w:tcBorders>
              <w:bottom w:val="single" w:sz="4" w:space="0" w:color="auto"/>
            </w:tcBorders>
            <w:shd w:val="clear" w:color="auto" w:fill="auto"/>
          </w:tcPr>
          <w:p w14:paraId="0C44B0D1" w14:textId="77777777" w:rsidR="00B33542" w:rsidRPr="005071A1" w:rsidRDefault="00B33542" w:rsidP="009B7AF5">
            <w:pPr>
              <w:pStyle w:val="Tabletext"/>
            </w:pPr>
            <w:r w:rsidRPr="005071A1">
              <w:t>6.19</w:t>
            </w:r>
          </w:p>
        </w:tc>
      </w:tr>
      <w:tr w:rsidR="00B33542" w:rsidRPr="005071A1" w14:paraId="06F5DC8D" w14:textId="77777777" w:rsidTr="00D57394">
        <w:tblPrEx>
          <w:tblCellMar>
            <w:left w:w="107" w:type="dxa"/>
            <w:right w:w="107" w:type="dxa"/>
          </w:tblCellMar>
        </w:tblPrEx>
        <w:tc>
          <w:tcPr>
            <w:tcW w:w="3119" w:type="dxa"/>
            <w:tcBorders>
              <w:top w:val="single" w:sz="4" w:space="0" w:color="auto"/>
              <w:bottom w:val="single" w:sz="4" w:space="0" w:color="auto"/>
            </w:tcBorders>
            <w:shd w:val="clear" w:color="auto" w:fill="auto"/>
          </w:tcPr>
          <w:p w14:paraId="28D357D1" w14:textId="77777777" w:rsidR="00B33542" w:rsidRPr="005071A1" w:rsidRDefault="00B33542" w:rsidP="009B7AF5">
            <w:pPr>
              <w:pStyle w:val="Tabletext"/>
            </w:pPr>
            <w:r w:rsidRPr="005071A1">
              <w:t>64</w:t>
            </w:r>
          </w:p>
        </w:tc>
        <w:tc>
          <w:tcPr>
            <w:tcW w:w="2693" w:type="dxa"/>
            <w:tcBorders>
              <w:top w:val="single" w:sz="4" w:space="0" w:color="auto"/>
              <w:bottom w:val="single" w:sz="4" w:space="0" w:color="auto"/>
            </w:tcBorders>
            <w:shd w:val="clear" w:color="auto" w:fill="auto"/>
          </w:tcPr>
          <w:p w14:paraId="4EDCC81D" w14:textId="77777777" w:rsidR="00B33542" w:rsidRPr="005071A1" w:rsidRDefault="00B33542" w:rsidP="009B7AF5">
            <w:pPr>
              <w:pStyle w:val="Tabletext"/>
            </w:pPr>
            <w:r w:rsidRPr="005071A1">
              <w:t>12.30</w:t>
            </w:r>
          </w:p>
        </w:tc>
      </w:tr>
      <w:tr w:rsidR="00B33542" w:rsidRPr="005071A1" w14:paraId="685A955A" w14:textId="77777777" w:rsidTr="009B7AF5">
        <w:tblPrEx>
          <w:tblCellMar>
            <w:left w:w="107" w:type="dxa"/>
            <w:right w:w="107" w:type="dxa"/>
          </w:tblCellMar>
        </w:tblPrEx>
        <w:tc>
          <w:tcPr>
            <w:tcW w:w="3119" w:type="dxa"/>
            <w:tcBorders>
              <w:bottom w:val="single" w:sz="12" w:space="0" w:color="auto"/>
            </w:tcBorders>
            <w:shd w:val="clear" w:color="auto" w:fill="auto"/>
          </w:tcPr>
          <w:p w14:paraId="211AC2CC" w14:textId="77777777" w:rsidR="00B33542" w:rsidRPr="005071A1" w:rsidRDefault="00B33542" w:rsidP="009B7AF5">
            <w:pPr>
              <w:pStyle w:val="Tabletext"/>
            </w:pPr>
            <w:r w:rsidRPr="005071A1">
              <w:t>65</w:t>
            </w:r>
          </w:p>
        </w:tc>
        <w:tc>
          <w:tcPr>
            <w:tcW w:w="2693" w:type="dxa"/>
            <w:tcBorders>
              <w:bottom w:val="single" w:sz="12" w:space="0" w:color="auto"/>
            </w:tcBorders>
            <w:shd w:val="clear" w:color="auto" w:fill="auto"/>
          </w:tcPr>
          <w:p w14:paraId="1AAFE115" w14:textId="77777777" w:rsidR="00B33542" w:rsidRPr="005071A1" w:rsidRDefault="00B33542" w:rsidP="009B7AF5">
            <w:pPr>
              <w:pStyle w:val="Tabletext"/>
            </w:pPr>
            <w:r w:rsidRPr="005071A1">
              <w:t>12.82</w:t>
            </w:r>
          </w:p>
        </w:tc>
      </w:tr>
    </w:tbl>
    <w:p w14:paraId="76209CC5" w14:textId="77777777" w:rsidR="00B33542" w:rsidRPr="005071A1" w:rsidRDefault="00B33542" w:rsidP="00674A0D">
      <w:pPr>
        <w:pStyle w:val="ActHead5"/>
        <w:pageBreakBefore/>
      </w:pPr>
      <w:bookmarkStart w:id="297" w:name="_Toc185577679"/>
      <w:r w:rsidRPr="005071A1">
        <w:lastRenderedPageBreak/>
        <w:t>Table X</w:t>
      </w:r>
      <w:bookmarkEnd w:id="297"/>
    </w:p>
    <w:p w14:paraId="5C2B342A" w14:textId="77777777" w:rsidR="00B33542" w:rsidRPr="005071A1" w:rsidRDefault="00B33542" w:rsidP="00B33542">
      <w:pPr>
        <w:spacing w:before="120"/>
      </w:pPr>
      <w:r w:rsidRPr="005071A1">
        <w:t>Rates of contribution to be paid fortnightly by female contributors for units of pension where the obligation to contribute for those units came into existence on or after 14th December, 1959, and before 1st July, 1962, based on a retiring age of 65 years and the age next birthday of the contributor when that obligation came into existence</w:t>
      </w:r>
    </w:p>
    <w:p w14:paraId="007D202E"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19"/>
        <w:gridCol w:w="2693"/>
      </w:tblGrid>
      <w:tr w:rsidR="00B33542" w:rsidRPr="005071A1" w14:paraId="2B257B02" w14:textId="77777777" w:rsidTr="00B20CE6">
        <w:trPr>
          <w:tblHeader/>
        </w:trPr>
        <w:tc>
          <w:tcPr>
            <w:tcW w:w="3119" w:type="dxa"/>
            <w:tcBorders>
              <w:top w:val="single" w:sz="12" w:space="0" w:color="auto"/>
              <w:bottom w:val="single" w:sz="6" w:space="0" w:color="auto"/>
            </w:tcBorders>
            <w:shd w:val="clear" w:color="auto" w:fill="auto"/>
          </w:tcPr>
          <w:p w14:paraId="5B482DEC" w14:textId="77777777" w:rsidR="00B33542" w:rsidRPr="005071A1" w:rsidRDefault="00B33542" w:rsidP="009B7AF5">
            <w:pPr>
              <w:pStyle w:val="TableHeading"/>
            </w:pPr>
            <w:r w:rsidRPr="005071A1">
              <w:t>Column 1</w:t>
            </w:r>
          </w:p>
        </w:tc>
        <w:tc>
          <w:tcPr>
            <w:tcW w:w="2693" w:type="dxa"/>
            <w:tcBorders>
              <w:top w:val="single" w:sz="12" w:space="0" w:color="auto"/>
              <w:bottom w:val="single" w:sz="6" w:space="0" w:color="auto"/>
            </w:tcBorders>
            <w:shd w:val="clear" w:color="auto" w:fill="auto"/>
          </w:tcPr>
          <w:p w14:paraId="7B168CD3" w14:textId="77777777" w:rsidR="00B33542" w:rsidRPr="005071A1" w:rsidRDefault="00B33542" w:rsidP="009B7AF5">
            <w:pPr>
              <w:pStyle w:val="TableHeading"/>
            </w:pPr>
            <w:r w:rsidRPr="005071A1">
              <w:t>Column 2</w:t>
            </w:r>
          </w:p>
        </w:tc>
      </w:tr>
      <w:tr w:rsidR="00B33542" w:rsidRPr="005071A1" w14:paraId="7143C42C" w14:textId="77777777" w:rsidTr="00B20CE6">
        <w:trPr>
          <w:tblHeader/>
        </w:trPr>
        <w:tc>
          <w:tcPr>
            <w:tcW w:w="3119" w:type="dxa"/>
            <w:tcBorders>
              <w:top w:val="single" w:sz="6" w:space="0" w:color="auto"/>
              <w:bottom w:val="single" w:sz="4" w:space="0" w:color="auto"/>
            </w:tcBorders>
            <w:shd w:val="clear" w:color="auto" w:fill="auto"/>
          </w:tcPr>
          <w:p w14:paraId="57ECB50C"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93" w:type="dxa"/>
            <w:tcBorders>
              <w:top w:val="single" w:sz="6" w:space="0" w:color="auto"/>
              <w:bottom w:val="single" w:sz="4" w:space="0" w:color="auto"/>
            </w:tcBorders>
            <w:shd w:val="clear" w:color="auto" w:fill="auto"/>
          </w:tcPr>
          <w:p w14:paraId="2EEA657A"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6CAA7A96" w14:textId="77777777" w:rsidTr="00B20CE6">
        <w:trPr>
          <w:tblHeader/>
        </w:trPr>
        <w:tc>
          <w:tcPr>
            <w:tcW w:w="3119" w:type="dxa"/>
            <w:tcBorders>
              <w:top w:val="single" w:sz="4" w:space="0" w:color="auto"/>
              <w:bottom w:val="single" w:sz="12" w:space="0" w:color="auto"/>
            </w:tcBorders>
            <w:shd w:val="clear" w:color="auto" w:fill="auto"/>
          </w:tcPr>
          <w:p w14:paraId="4FC9B76E" w14:textId="77777777" w:rsidR="00B33542" w:rsidRPr="005071A1" w:rsidRDefault="00B33542" w:rsidP="00F07EE2">
            <w:pPr>
              <w:pStyle w:val="TableHeading"/>
            </w:pPr>
          </w:p>
        </w:tc>
        <w:tc>
          <w:tcPr>
            <w:tcW w:w="2693" w:type="dxa"/>
            <w:tcBorders>
              <w:top w:val="single" w:sz="4" w:space="0" w:color="auto"/>
              <w:bottom w:val="single" w:sz="12" w:space="0" w:color="auto"/>
            </w:tcBorders>
            <w:shd w:val="clear" w:color="auto" w:fill="auto"/>
          </w:tcPr>
          <w:p w14:paraId="088EE316" w14:textId="77777777" w:rsidR="00B33542" w:rsidRPr="005071A1" w:rsidRDefault="00B33542" w:rsidP="00F07EE2">
            <w:pPr>
              <w:pStyle w:val="TableHeading"/>
            </w:pPr>
            <w:r w:rsidRPr="005071A1">
              <w:t>$</w:t>
            </w:r>
          </w:p>
        </w:tc>
      </w:tr>
      <w:tr w:rsidR="00B33542" w:rsidRPr="005071A1" w14:paraId="1C5F66F8" w14:textId="77777777" w:rsidTr="00F07EE2">
        <w:tc>
          <w:tcPr>
            <w:tcW w:w="3119" w:type="dxa"/>
            <w:tcBorders>
              <w:top w:val="single" w:sz="12" w:space="0" w:color="auto"/>
            </w:tcBorders>
            <w:shd w:val="clear" w:color="auto" w:fill="auto"/>
          </w:tcPr>
          <w:p w14:paraId="632DC427" w14:textId="77777777" w:rsidR="00B33542" w:rsidRPr="005071A1" w:rsidRDefault="00B33542" w:rsidP="009B7AF5">
            <w:pPr>
              <w:pStyle w:val="Tabletext"/>
            </w:pPr>
            <w:r w:rsidRPr="005071A1">
              <w:t>15</w:t>
            </w:r>
          </w:p>
        </w:tc>
        <w:tc>
          <w:tcPr>
            <w:tcW w:w="2693" w:type="dxa"/>
            <w:tcBorders>
              <w:top w:val="single" w:sz="12" w:space="0" w:color="auto"/>
            </w:tcBorders>
            <w:shd w:val="clear" w:color="auto" w:fill="auto"/>
          </w:tcPr>
          <w:p w14:paraId="6DCAE927" w14:textId="77777777" w:rsidR="00B33542" w:rsidRPr="005071A1" w:rsidRDefault="00B33542" w:rsidP="009B7AF5">
            <w:pPr>
              <w:pStyle w:val="Tabletext"/>
            </w:pPr>
            <w:r w:rsidRPr="005071A1">
              <w:t>0.08</w:t>
            </w:r>
          </w:p>
        </w:tc>
      </w:tr>
      <w:tr w:rsidR="00B33542" w:rsidRPr="005071A1" w14:paraId="6D2839D3" w14:textId="77777777" w:rsidTr="009B7AF5">
        <w:tc>
          <w:tcPr>
            <w:tcW w:w="3119" w:type="dxa"/>
            <w:shd w:val="clear" w:color="auto" w:fill="auto"/>
          </w:tcPr>
          <w:p w14:paraId="12FDFDDB" w14:textId="77777777" w:rsidR="00B33542" w:rsidRPr="005071A1" w:rsidRDefault="00B33542" w:rsidP="009B7AF5">
            <w:pPr>
              <w:pStyle w:val="Tabletext"/>
            </w:pPr>
            <w:r w:rsidRPr="005071A1">
              <w:t>16</w:t>
            </w:r>
          </w:p>
        </w:tc>
        <w:tc>
          <w:tcPr>
            <w:tcW w:w="2693" w:type="dxa"/>
            <w:shd w:val="clear" w:color="auto" w:fill="auto"/>
          </w:tcPr>
          <w:p w14:paraId="35007228" w14:textId="77777777" w:rsidR="00B33542" w:rsidRPr="005071A1" w:rsidRDefault="00B33542" w:rsidP="009B7AF5">
            <w:pPr>
              <w:pStyle w:val="Tabletext"/>
            </w:pPr>
            <w:r w:rsidRPr="005071A1">
              <w:t>0.08</w:t>
            </w:r>
          </w:p>
        </w:tc>
      </w:tr>
      <w:tr w:rsidR="00B33542" w:rsidRPr="005071A1" w14:paraId="1C220858" w14:textId="77777777" w:rsidTr="009B7AF5">
        <w:tc>
          <w:tcPr>
            <w:tcW w:w="3119" w:type="dxa"/>
            <w:shd w:val="clear" w:color="auto" w:fill="auto"/>
          </w:tcPr>
          <w:p w14:paraId="3B3F56ED" w14:textId="77777777" w:rsidR="00B33542" w:rsidRPr="005071A1" w:rsidRDefault="00B33542" w:rsidP="009B7AF5">
            <w:pPr>
              <w:pStyle w:val="Tabletext"/>
            </w:pPr>
            <w:r w:rsidRPr="005071A1">
              <w:t>17</w:t>
            </w:r>
          </w:p>
        </w:tc>
        <w:tc>
          <w:tcPr>
            <w:tcW w:w="2693" w:type="dxa"/>
            <w:shd w:val="clear" w:color="auto" w:fill="auto"/>
          </w:tcPr>
          <w:p w14:paraId="07F6A4EF" w14:textId="77777777" w:rsidR="00B33542" w:rsidRPr="005071A1" w:rsidRDefault="00B33542" w:rsidP="009B7AF5">
            <w:pPr>
              <w:pStyle w:val="Tabletext"/>
            </w:pPr>
            <w:r w:rsidRPr="005071A1">
              <w:t>0.09</w:t>
            </w:r>
          </w:p>
        </w:tc>
      </w:tr>
      <w:tr w:rsidR="00B33542" w:rsidRPr="005071A1" w14:paraId="6ACC21EA" w14:textId="77777777" w:rsidTr="009B7AF5">
        <w:tc>
          <w:tcPr>
            <w:tcW w:w="3119" w:type="dxa"/>
            <w:shd w:val="clear" w:color="auto" w:fill="auto"/>
          </w:tcPr>
          <w:p w14:paraId="60A6CF30" w14:textId="77777777" w:rsidR="00B33542" w:rsidRPr="005071A1" w:rsidRDefault="00B33542" w:rsidP="009B7AF5">
            <w:pPr>
              <w:pStyle w:val="Tabletext"/>
            </w:pPr>
            <w:r w:rsidRPr="005071A1">
              <w:t>18</w:t>
            </w:r>
          </w:p>
        </w:tc>
        <w:tc>
          <w:tcPr>
            <w:tcW w:w="2693" w:type="dxa"/>
            <w:shd w:val="clear" w:color="auto" w:fill="auto"/>
          </w:tcPr>
          <w:p w14:paraId="7A675F9E" w14:textId="77777777" w:rsidR="00B33542" w:rsidRPr="005071A1" w:rsidRDefault="00B33542" w:rsidP="009B7AF5">
            <w:pPr>
              <w:pStyle w:val="Tabletext"/>
            </w:pPr>
            <w:r w:rsidRPr="005071A1">
              <w:t>0.10</w:t>
            </w:r>
          </w:p>
        </w:tc>
      </w:tr>
      <w:tr w:rsidR="00B33542" w:rsidRPr="005071A1" w14:paraId="20EC60A1" w14:textId="77777777" w:rsidTr="009B7AF5">
        <w:tc>
          <w:tcPr>
            <w:tcW w:w="3119" w:type="dxa"/>
            <w:shd w:val="clear" w:color="auto" w:fill="auto"/>
          </w:tcPr>
          <w:p w14:paraId="343DEF0A" w14:textId="77777777" w:rsidR="00B33542" w:rsidRPr="005071A1" w:rsidRDefault="00B33542" w:rsidP="009B7AF5">
            <w:pPr>
              <w:pStyle w:val="Tabletext"/>
            </w:pPr>
            <w:r w:rsidRPr="005071A1">
              <w:t>19</w:t>
            </w:r>
          </w:p>
        </w:tc>
        <w:tc>
          <w:tcPr>
            <w:tcW w:w="2693" w:type="dxa"/>
            <w:shd w:val="clear" w:color="auto" w:fill="auto"/>
          </w:tcPr>
          <w:p w14:paraId="4708352A" w14:textId="77777777" w:rsidR="00B33542" w:rsidRPr="005071A1" w:rsidRDefault="00B33542" w:rsidP="009B7AF5">
            <w:pPr>
              <w:pStyle w:val="Tabletext"/>
            </w:pPr>
            <w:r w:rsidRPr="005071A1">
              <w:t>0.11</w:t>
            </w:r>
          </w:p>
        </w:tc>
      </w:tr>
      <w:tr w:rsidR="00B33542" w:rsidRPr="005071A1" w14:paraId="0C66E34A" w14:textId="77777777" w:rsidTr="009B7AF5">
        <w:tc>
          <w:tcPr>
            <w:tcW w:w="3119" w:type="dxa"/>
            <w:shd w:val="clear" w:color="auto" w:fill="auto"/>
          </w:tcPr>
          <w:p w14:paraId="2743C832" w14:textId="77777777" w:rsidR="00B33542" w:rsidRPr="005071A1" w:rsidRDefault="00B33542" w:rsidP="009B7AF5">
            <w:pPr>
              <w:pStyle w:val="Tabletext"/>
            </w:pPr>
            <w:r w:rsidRPr="005071A1">
              <w:t>20</w:t>
            </w:r>
          </w:p>
        </w:tc>
        <w:tc>
          <w:tcPr>
            <w:tcW w:w="2693" w:type="dxa"/>
            <w:shd w:val="clear" w:color="auto" w:fill="auto"/>
          </w:tcPr>
          <w:p w14:paraId="6E63F97B" w14:textId="77777777" w:rsidR="00B33542" w:rsidRPr="005071A1" w:rsidRDefault="00B33542" w:rsidP="009B7AF5">
            <w:pPr>
              <w:pStyle w:val="Tabletext"/>
            </w:pPr>
            <w:r w:rsidRPr="005071A1">
              <w:t>0.12</w:t>
            </w:r>
          </w:p>
        </w:tc>
      </w:tr>
      <w:tr w:rsidR="00B33542" w:rsidRPr="005071A1" w14:paraId="4235EF4D" w14:textId="77777777" w:rsidTr="009B7AF5">
        <w:tc>
          <w:tcPr>
            <w:tcW w:w="3119" w:type="dxa"/>
            <w:shd w:val="clear" w:color="auto" w:fill="auto"/>
          </w:tcPr>
          <w:p w14:paraId="622A4E3F" w14:textId="77777777" w:rsidR="00B33542" w:rsidRPr="005071A1" w:rsidRDefault="00B33542" w:rsidP="009B7AF5">
            <w:pPr>
              <w:pStyle w:val="Tabletext"/>
            </w:pPr>
            <w:r w:rsidRPr="005071A1">
              <w:t>21</w:t>
            </w:r>
          </w:p>
        </w:tc>
        <w:tc>
          <w:tcPr>
            <w:tcW w:w="2693" w:type="dxa"/>
            <w:shd w:val="clear" w:color="auto" w:fill="auto"/>
          </w:tcPr>
          <w:p w14:paraId="0C08A1DA" w14:textId="77777777" w:rsidR="00B33542" w:rsidRPr="005071A1" w:rsidRDefault="00B33542" w:rsidP="009B7AF5">
            <w:pPr>
              <w:pStyle w:val="Tabletext"/>
            </w:pPr>
            <w:r w:rsidRPr="005071A1">
              <w:t>0.13</w:t>
            </w:r>
          </w:p>
        </w:tc>
      </w:tr>
      <w:tr w:rsidR="00B33542" w:rsidRPr="005071A1" w14:paraId="33B6FB16" w14:textId="77777777" w:rsidTr="009B7AF5">
        <w:tc>
          <w:tcPr>
            <w:tcW w:w="3119" w:type="dxa"/>
            <w:shd w:val="clear" w:color="auto" w:fill="auto"/>
          </w:tcPr>
          <w:p w14:paraId="2A2A4546" w14:textId="77777777" w:rsidR="00B33542" w:rsidRPr="005071A1" w:rsidRDefault="00B33542" w:rsidP="009B7AF5">
            <w:pPr>
              <w:pStyle w:val="Tabletext"/>
            </w:pPr>
            <w:r w:rsidRPr="005071A1">
              <w:t>22</w:t>
            </w:r>
          </w:p>
        </w:tc>
        <w:tc>
          <w:tcPr>
            <w:tcW w:w="2693" w:type="dxa"/>
            <w:shd w:val="clear" w:color="auto" w:fill="auto"/>
          </w:tcPr>
          <w:p w14:paraId="32B06247" w14:textId="77777777" w:rsidR="00B33542" w:rsidRPr="005071A1" w:rsidRDefault="00B33542" w:rsidP="009B7AF5">
            <w:pPr>
              <w:pStyle w:val="Tabletext"/>
            </w:pPr>
            <w:r w:rsidRPr="005071A1">
              <w:t>0.14</w:t>
            </w:r>
          </w:p>
        </w:tc>
      </w:tr>
      <w:tr w:rsidR="00B33542" w:rsidRPr="005071A1" w14:paraId="0D29E483" w14:textId="77777777" w:rsidTr="009B7AF5">
        <w:tc>
          <w:tcPr>
            <w:tcW w:w="3119" w:type="dxa"/>
            <w:shd w:val="clear" w:color="auto" w:fill="auto"/>
          </w:tcPr>
          <w:p w14:paraId="0DCB44CD" w14:textId="77777777" w:rsidR="00B33542" w:rsidRPr="005071A1" w:rsidRDefault="00B33542" w:rsidP="009B7AF5">
            <w:pPr>
              <w:pStyle w:val="Tabletext"/>
            </w:pPr>
            <w:r w:rsidRPr="005071A1">
              <w:t>23</w:t>
            </w:r>
          </w:p>
        </w:tc>
        <w:tc>
          <w:tcPr>
            <w:tcW w:w="2693" w:type="dxa"/>
            <w:shd w:val="clear" w:color="auto" w:fill="auto"/>
          </w:tcPr>
          <w:p w14:paraId="4A1B1CBA" w14:textId="77777777" w:rsidR="00B33542" w:rsidRPr="005071A1" w:rsidRDefault="00B33542" w:rsidP="009B7AF5">
            <w:pPr>
              <w:pStyle w:val="Tabletext"/>
            </w:pPr>
            <w:r w:rsidRPr="005071A1">
              <w:t>0.15</w:t>
            </w:r>
          </w:p>
        </w:tc>
      </w:tr>
      <w:tr w:rsidR="00B33542" w:rsidRPr="005071A1" w14:paraId="2D2FFC38" w14:textId="77777777" w:rsidTr="009B7AF5">
        <w:tc>
          <w:tcPr>
            <w:tcW w:w="3119" w:type="dxa"/>
            <w:shd w:val="clear" w:color="auto" w:fill="auto"/>
          </w:tcPr>
          <w:p w14:paraId="1B30405F" w14:textId="77777777" w:rsidR="00B33542" w:rsidRPr="005071A1" w:rsidRDefault="00B33542" w:rsidP="009B7AF5">
            <w:pPr>
              <w:pStyle w:val="Tabletext"/>
            </w:pPr>
            <w:r w:rsidRPr="005071A1">
              <w:t>24</w:t>
            </w:r>
          </w:p>
        </w:tc>
        <w:tc>
          <w:tcPr>
            <w:tcW w:w="2693" w:type="dxa"/>
            <w:shd w:val="clear" w:color="auto" w:fill="auto"/>
          </w:tcPr>
          <w:p w14:paraId="25223AA1" w14:textId="77777777" w:rsidR="00B33542" w:rsidRPr="005071A1" w:rsidRDefault="00B33542" w:rsidP="009B7AF5">
            <w:pPr>
              <w:pStyle w:val="Tabletext"/>
            </w:pPr>
            <w:r w:rsidRPr="005071A1">
              <w:t>0.16</w:t>
            </w:r>
          </w:p>
        </w:tc>
      </w:tr>
      <w:tr w:rsidR="00B33542" w:rsidRPr="005071A1" w14:paraId="15E3BDA6" w14:textId="77777777" w:rsidTr="009B7AF5">
        <w:tc>
          <w:tcPr>
            <w:tcW w:w="3119" w:type="dxa"/>
            <w:shd w:val="clear" w:color="auto" w:fill="auto"/>
          </w:tcPr>
          <w:p w14:paraId="24EBBFFF" w14:textId="77777777" w:rsidR="00B33542" w:rsidRPr="005071A1" w:rsidRDefault="00B33542" w:rsidP="009B7AF5">
            <w:pPr>
              <w:pStyle w:val="Tabletext"/>
            </w:pPr>
            <w:r w:rsidRPr="005071A1">
              <w:t>25</w:t>
            </w:r>
          </w:p>
        </w:tc>
        <w:tc>
          <w:tcPr>
            <w:tcW w:w="2693" w:type="dxa"/>
            <w:shd w:val="clear" w:color="auto" w:fill="auto"/>
          </w:tcPr>
          <w:p w14:paraId="03315057" w14:textId="77777777" w:rsidR="00B33542" w:rsidRPr="005071A1" w:rsidRDefault="00B33542" w:rsidP="009B7AF5">
            <w:pPr>
              <w:pStyle w:val="Tabletext"/>
            </w:pPr>
            <w:r w:rsidRPr="005071A1">
              <w:t>0.17</w:t>
            </w:r>
          </w:p>
        </w:tc>
      </w:tr>
      <w:tr w:rsidR="00B33542" w:rsidRPr="005071A1" w14:paraId="1C31938A" w14:textId="77777777" w:rsidTr="009B7AF5">
        <w:tc>
          <w:tcPr>
            <w:tcW w:w="3119" w:type="dxa"/>
            <w:shd w:val="clear" w:color="auto" w:fill="auto"/>
          </w:tcPr>
          <w:p w14:paraId="5CEF4AF1" w14:textId="77777777" w:rsidR="00B33542" w:rsidRPr="005071A1" w:rsidRDefault="00B33542" w:rsidP="009B7AF5">
            <w:pPr>
              <w:pStyle w:val="Tabletext"/>
            </w:pPr>
            <w:r w:rsidRPr="005071A1">
              <w:t>26</w:t>
            </w:r>
          </w:p>
        </w:tc>
        <w:tc>
          <w:tcPr>
            <w:tcW w:w="2693" w:type="dxa"/>
            <w:shd w:val="clear" w:color="auto" w:fill="auto"/>
          </w:tcPr>
          <w:p w14:paraId="631AF4E3" w14:textId="77777777" w:rsidR="00B33542" w:rsidRPr="005071A1" w:rsidRDefault="00B33542" w:rsidP="009B7AF5">
            <w:pPr>
              <w:pStyle w:val="Tabletext"/>
            </w:pPr>
            <w:r w:rsidRPr="005071A1">
              <w:t>0.18</w:t>
            </w:r>
          </w:p>
        </w:tc>
      </w:tr>
      <w:tr w:rsidR="00B33542" w:rsidRPr="005071A1" w14:paraId="15CBC5C3" w14:textId="77777777" w:rsidTr="009B7AF5">
        <w:tc>
          <w:tcPr>
            <w:tcW w:w="3119" w:type="dxa"/>
            <w:shd w:val="clear" w:color="auto" w:fill="auto"/>
          </w:tcPr>
          <w:p w14:paraId="34F5DE44" w14:textId="77777777" w:rsidR="00B33542" w:rsidRPr="005071A1" w:rsidRDefault="00B33542" w:rsidP="009B7AF5">
            <w:pPr>
              <w:pStyle w:val="Tabletext"/>
            </w:pPr>
            <w:r w:rsidRPr="005071A1">
              <w:t>27</w:t>
            </w:r>
          </w:p>
        </w:tc>
        <w:tc>
          <w:tcPr>
            <w:tcW w:w="2693" w:type="dxa"/>
            <w:shd w:val="clear" w:color="auto" w:fill="auto"/>
          </w:tcPr>
          <w:p w14:paraId="575C94F8" w14:textId="77777777" w:rsidR="00B33542" w:rsidRPr="005071A1" w:rsidRDefault="00B33542" w:rsidP="009B7AF5">
            <w:pPr>
              <w:pStyle w:val="Tabletext"/>
            </w:pPr>
            <w:r w:rsidRPr="005071A1">
              <w:t>0.19</w:t>
            </w:r>
          </w:p>
        </w:tc>
      </w:tr>
      <w:tr w:rsidR="00B33542" w:rsidRPr="005071A1" w14:paraId="15B2C564" w14:textId="77777777" w:rsidTr="009B7AF5">
        <w:tc>
          <w:tcPr>
            <w:tcW w:w="3119" w:type="dxa"/>
            <w:shd w:val="clear" w:color="auto" w:fill="auto"/>
          </w:tcPr>
          <w:p w14:paraId="456E913F" w14:textId="77777777" w:rsidR="00B33542" w:rsidRPr="005071A1" w:rsidRDefault="00B33542" w:rsidP="009B7AF5">
            <w:pPr>
              <w:pStyle w:val="Tabletext"/>
            </w:pPr>
            <w:r w:rsidRPr="005071A1">
              <w:t>28</w:t>
            </w:r>
          </w:p>
        </w:tc>
        <w:tc>
          <w:tcPr>
            <w:tcW w:w="2693" w:type="dxa"/>
            <w:shd w:val="clear" w:color="auto" w:fill="auto"/>
          </w:tcPr>
          <w:p w14:paraId="3DC6FBB3" w14:textId="77777777" w:rsidR="00B33542" w:rsidRPr="005071A1" w:rsidRDefault="00B33542" w:rsidP="009B7AF5">
            <w:pPr>
              <w:pStyle w:val="Tabletext"/>
            </w:pPr>
            <w:r w:rsidRPr="005071A1">
              <w:t>0.20</w:t>
            </w:r>
          </w:p>
        </w:tc>
      </w:tr>
      <w:tr w:rsidR="00B33542" w:rsidRPr="005071A1" w14:paraId="40FCFA1B" w14:textId="77777777" w:rsidTr="009B7AF5">
        <w:tc>
          <w:tcPr>
            <w:tcW w:w="3119" w:type="dxa"/>
            <w:shd w:val="clear" w:color="auto" w:fill="auto"/>
          </w:tcPr>
          <w:p w14:paraId="064B4C1F" w14:textId="77777777" w:rsidR="00B33542" w:rsidRPr="005071A1" w:rsidRDefault="00B33542" w:rsidP="009B7AF5">
            <w:pPr>
              <w:pStyle w:val="Tabletext"/>
            </w:pPr>
            <w:r w:rsidRPr="005071A1">
              <w:t>29</w:t>
            </w:r>
          </w:p>
        </w:tc>
        <w:tc>
          <w:tcPr>
            <w:tcW w:w="2693" w:type="dxa"/>
            <w:shd w:val="clear" w:color="auto" w:fill="auto"/>
          </w:tcPr>
          <w:p w14:paraId="11B3FCFC" w14:textId="77777777" w:rsidR="00B33542" w:rsidRPr="005071A1" w:rsidRDefault="00B33542" w:rsidP="009B7AF5">
            <w:pPr>
              <w:pStyle w:val="Tabletext"/>
            </w:pPr>
            <w:r w:rsidRPr="005071A1">
              <w:t>0.21</w:t>
            </w:r>
          </w:p>
        </w:tc>
      </w:tr>
      <w:tr w:rsidR="00B33542" w:rsidRPr="005071A1" w14:paraId="02F3B298" w14:textId="77777777" w:rsidTr="009B7AF5">
        <w:tc>
          <w:tcPr>
            <w:tcW w:w="3119" w:type="dxa"/>
            <w:shd w:val="clear" w:color="auto" w:fill="auto"/>
          </w:tcPr>
          <w:p w14:paraId="4413BE3E" w14:textId="77777777" w:rsidR="00B33542" w:rsidRPr="005071A1" w:rsidRDefault="00B33542" w:rsidP="009B7AF5">
            <w:pPr>
              <w:pStyle w:val="Tabletext"/>
            </w:pPr>
            <w:r w:rsidRPr="005071A1">
              <w:t>30</w:t>
            </w:r>
          </w:p>
        </w:tc>
        <w:tc>
          <w:tcPr>
            <w:tcW w:w="2693" w:type="dxa"/>
            <w:shd w:val="clear" w:color="auto" w:fill="auto"/>
          </w:tcPr>
          <w:p w14:paraId="44762199" w14:textId="77777777" w:rsidR="00B33542" w:rsidRPr="005071A1" w:rsidRDefault="00B33542" w:rsidP="009B7AF5">
            <w:pPr>
              <w:pStyle w:val="Tabletext"/>
            </w:pPr>
            <w:r w:rsidRPr="005071A1">
              <w:t>0.22</w:t>
            </w:r>
          </w:p>
        </w:tc>
      </w:tr>
      <w:tr w:rsidR="00B33542" w:rsidRPr="005071A1" w14:paraId="3A75F874" w14:textId="77777777" w:rsidTr="009B7AF5">
        <w:tc>
          <w:tcPr>
            <w:tcW w:w="3119" w:type="dxa"/>
            <w:shd w:val="clear" w:color="auto" w:fill="auto"/>
          </w:tcPr>
          <w:p w14:paraId="5A1713AF" w14:textId="77777777" w:rsidR="00B33542" w:rsidRPr="005071A1" w:rsidRDefault="00B33542" w:rsidP="009B7AF5">
            <w:pPr>
              <w:pStyle w:val="Tabletext"/>
            </w:pPr>
            <w:r w:rsidRPr="005071A1">
              <w:t>31</w:t>
            </w:r>
          </w:p>
        </w:tc>
        <w:tc>
          <w:tcPr>
            <w:tcW w:w="2693" w:type="dxa"/>
            <w:shd w:val="clear" w:color="auto" w:fill="auto"/>
          </w:tcPr>
          <w:p w14:paraId="425B0FB2" w14:textId="77777777" w:rsidR="00B33542" w:rsidRPr="005071A1" w:rsidRDefault="00B33542" w:rsidP="009B7AF5">
            <w:pPr>
              <w:pStyle w:val="Tabletext"/>
            </w:pPr>
            <w:r w:rsidRPr="005071A1">
              <w:t>0.23</w:t>
            </w:r>
          </w:p>
        </w:tc>
      </w:tr>
      <w:tr w:rsidR="00B33542" w:rsidRPr="005071A1" w14:paraId="288E8048" w14:textId="77777777" w:rsidTr="009B7AF5">
        <w:tc>
          <w:tcPr>
            <w:tcW w:w="3119" w:type="dxa"/>
            <w:shd w:val="clear" w:color="auto" w:fill="auto"/>
          </w:tcPr>
          <w:p w14:paraId="5AC95D58" w14:textId="77777777" w:rsidR="00B33542" w:rsidRPr="005071A1" w:rsidRDefault="00B33542" w:rsidP="009B7AF5">
            <w:pPr>
              <w:pStyle w:val="Tabletext"/>
            </w:pPr>
            <w:r w:rsidRPr="005071A1">
              <w:t>32</w:t>
            </w:r>
          </w:p>
        </w:tc>
        <w:tc>
          <w:tcPr>
            <w:tcW w:w="2693" w:type="dxa"/>
            <w:shd w:val="clear" w:color="auto" w:fill="auto"/>
          </w:tcPr>
          <w:p w14:paraId="7A0EE5B0" w14:textId="77777777" w:rsidR="00B33542" w:rsidRPr="005071A1" w:rsidRDefault="00B33542" w:rsidP="009B7AF5">
            <w:pPr>
              <w:pStyle w:val="Tabletext"/>
            </w:pPr>
            <w:r w:rsidRPr="005071A1">
              <w:t>0.24</w:t>
            </w:r>
          </w:p>
        </w:tc>
      </w:tr>
      <w:tr w:rsidR="00B33542" w:rsidRPr="005071A1" w14:paraId="4980879D" w14:textId="77777777" w:rsidTr="009B7AF5">
        <w:tc>
          <w:tcPr>
            <w:tcW w:w="3119" w:type="dxa"/>
            <w:shd w:val="clear" w:color="auto" w:fill="auto"/>
          </w:tcPr>
          <w:p w14:paraId="7DDC20FF" w14:textId="77777777" w:rsidR="00B33542" w:rsidRPr="005071A1" w:rsidRDefault="00B33542" w:rsidP="009B7AF5">
            <w:pPr>
              <w:pStyle w:val="Tabletext"/>
            </w:pPr>
            <w:r w:rsidRPr="005071A1">
              <w:t>33</w:t>
            </w:r>
          </w:p>
        </w:tc>
        <w:tc>
          <w:tcPr>
            <w:tcW w:w="2693" w:type="dxa"/>
            <w:shd w:val="clear" w:color="auto" w:fill="auto"/>
          </w:tcPr>
          <w:p w14:paraId="00EAC47C" w14:textId="77777777" w:rsidR="00B33542" w:rsidRPr="005071A1" w:rsidRDefault="00B33542" w:rsidP="009B7AF5">
            <w:pPr>
              <w:pStyle w:val="Tabletext"/>
            </w:pPr>
            <w:r w:rsidRPr="005071A1">
              <w:t>0.25</w:t>
            </w:r>
          </w:p>
        </w:tc>
      </w:tr>
      <w:tr w:rsidR="00B33542" w:rsidRPr="005071A1" w14:paraId="7B408470" w14:textId="77777777" w:rsidTr="009B7AF5">
        <w:tc>
          <w:tcPr>
            <w:tcW w:w="3119" w:type="dxa"/>
            <w:shd w:val="clear" w:color="auto" w:fill="auto"/>
          </w:tcPr>
          <w:p w14:paraId="62DF5F36" w14:textId="77777777" w:rsidR="00B33542" w:rsidRPr="005071A1" w:rsidRDefault="00B33542" w:rsidP="009B7AF5">
            <w:pPr>
              <w:pStyle w:val="Tabletext"/>
            </w:pPr>
            <w:r w:rsidRPr="005071A1">
              <w:lastRenderedPageBreak/>
              <w:t>34</w:t>
            </w:r>
          </w:p>
        </w:tc>
        <w:tc>
          <w:tcPr>
            <w:tcW w:w="2693" w:type="dxa"/>
            <w:shd w:val="clear" w:color="auto" w:fill="auto"/>
          </w:tcPr>
          <w:p w14:paraId="2E54835E" w14:textId="77777777" w:rsidR="00B33542" w:rsidRPr="005071A1" w:rsidRDefault="00B33542" w:rsidP="009B7AF5">
            <w:pPr>
              <w:pStyle w:val="Tabletext"/>
            </w:pPr>
            <w:r w:rsidRPr="005071A1">
              <w:t>0.27</w:t>
            </w:r>
          </w:p>
        </w:tc>
      </w:tr>
      <w:tr w:rsidR="00B33542" w:rsidRPr="005071A1" w14:paraId="5649DFB9" w14:textId="77777777" w:rsidTr="009B7AF5">
        <w:tc>
          <w:tcPr>
            <w:tcW w:w="3119" w:type="dxa"/>
            <w:shd w:val="clear" w:color="auto" w:fill="auto"/>
          </w:tcPr>
          <w:p w14:paraId="7525ADFA" w14:textId="77777777" w:rsidR="00B33542" w:rsidRPr="005071A1" w:rsidRDefault="00B33542" w:rsidP="009B7AF5">
            <w:pPr>
              <w:pStyle w:val="Tabletext"/>
            </w:pPr>
            <w:r w:rsidRPr="005071A1">
              <w:t>35</w:t>
            </w:r>
          </w:p>
        </w:tc>
        <w:tc>
          <w:tcPr>
            <w:tcW w:w="2693" w:type="dxa"/>
            <w:shd w:val="clear" w:color="auto" w:fill="auto"/>
          </w:tcPr>
          <w:p w14:paraId="4190423C" w14:textId="77777777" w:rsidR="00B33542" w:rsidRPr="005071A1" w:rsidRDefault="00B33542" w:rsidP="009B7AF5">
            <w:pPr>
              <w:pStyle w:val="Tabletext"/>
            </w:pPr>
            <w:r w:rsidRPr="005071A1">
              <w:t>0.28</w:t>
            </w:r>
          </w:p>
        </w:tc>
      </w:tr>
      <w:tr w:rsidR="00B33542" w:rsidRPr="005071A1" w14:paraId="0AC991FB" w14:textId="77777777" w:rsidTr="009B7AF5">
        <w:tc>
          <w:tcPr>
            <w:tcW w:w="3119" w:type="dxa"/>
            <w:shd w:val="clear" w:color="auto" w:fill="auto"/>
          </w:tcPr>
          <w:p w14:paraId="6B189392" w14:textId="77777777" w:rsidR="00B33542" w:rsidRPr="005071A1" w:rsidRDefault="00B33542" w:rsidP="009B7AF5">
            <w:pPr>
              <w:pStyle w:val="Tabletext"/>
            </w:pPr>
            <w:r w:rsidRPr="005071A1">
              <w:t>36</w:t>
            </w:r>
          </w:p>
        </w:tc>
        <w:tc>
          <w:tcPr>
            <w:tcW w:w="2693" w:type="dxa"/>
            <w:shd w:val="clear" w:color="auto" w:fill="auto"/>
          </w:tcPr>
          <w:p w14:paraId="28E2404D" w14:textId="77777777" w:rsidR="00B33542" w:rsidRPr="005071A1" w:rsidRDefault="00B33542" w:rsidP="009B7AF5">
            <w:pPr>
              <w:pStyle w:val="Tabletext"/>
            </w:pPr>
            <w:r w:rsidRPr="005071A1">
              <w:t>0.30</w:t>
            </w:r>
          </w:p>
        </w:tc>
      </w:tr>
      <w:tr w:rsidR="00B33542" w:rsidRPr="005071A1" w14:paraId="47955E7B" w14:textId="77777777" w:rsidTr="009B7AF5">
        <w:tc>
          <w:tcPr>
            <w:tcW w:w="3119" w:type="dxa"/>
            <w:shd w:val="clear" w:color="auto" w:fill="auto"/>
          </w:tcPr>
          <w:p w14:paraId="71F21303" w14:textId="77777777" w:rsidR="00B33542" w:rsidRPr="005071A1" w:rsidRDefault="00B33542" w:rsidP="009B7AF5">
            <w:pPr>
              <w:pStyle w:val="Tabletext"/>
            </w:pPr>
            <w:r w:rsidRPr="005071A1">
              <w:t>37</w:t>
            </w:r>
          </w:p>
        </w:tc>
        <w:tc>
          <w:tcPr>
            <w:tcW w:w="2693" w:type="dxa"/>
            <w:shd w:val="clear" w:color="auto" w:fill="auto"/>
          </w:tcPr>
          <w:p w14:paraId="6ED04935" w14:textId="77777777" w:rsidR="00B33542" w:rsidRPr="005071A1" w:rsidRDefault="00B33542" w:rsidP="009B7AF5">
            <w:pPr>
              <w:pStyle w:val="Tabletext"/>
            </w:pPr>
            <w:r w:rsidRPr="005071A1">
              <w:t>0.31</w:t>
            </w:r>
          </w:p>
        </w:tc>
      </w:tr>
      <w:tr w:rsidR="00B33542" w:rsidRPr="005071A1" w14:paraId="6DF51CE3" w14:textId="77777777" w:rsidTr="009B7AF5">
        <w:tc>
          <w:tcPr>
            <w:tcW w:w="3119" w:type="dxa"/>
            <w:shd w:val="clear" w:color="auto" w:fill="auto"/>
          </w:tcPr>
          <w:p w14:paraId="485661A3" w14:textId="77777777" w:rsidR="00B33542" w:rsidRPr="005071A1" w:rsidRDefault="00B33542" w:rsidP="009B7AF5">
            <w:pPr>
              <w:pStyle w:val="Tabletext"/>
            </w:pPr>
            <w:r w:rsidRPr="005071A1">
              <w:t>38</w:t>
            </w:r>
          </w:p>
        </w:tc>
        <w:tc>
          <w:tcPr>
            <w:tcW w:w="2693" w:type="dxa"/>
            <w:shd w:val="clear" w:color="auto" w:fill="auto"/>
          </w:tcPr>
          <w:p w14:paraId="34EC7299" w14:textId="77777777" w:rsidR="00B33542" w:rsidRPr="005071A1" w:rsidRDefault="00B33542" w:rsidP="009B7AF5">
            <w:pPr>
              <w:pStyle w:val="Tabletext"/>
            </w:pPr>
            <w:r w:rsidRPr="005071A1">
              <w:t>0.33</w:t>
            </w:r>
          </w:p>
        </w:tc>
      </w:tr>
      <w:tr w:rsidR="00B33542" w:rsidRPr="005071A1" w14:paraId="4EE9BB3A" w14:textId="77777777" w:rsidTr="009B7AF5">
        <w:tc>
          <w:tcPr>
            <w:tcW w:w="3119" w:type="dxa"/>
            <w:shd w:val="clear" w:color="auto" w:fill="auto"/>
          </w:tcPr>
          <w:p w14:paraId="6F623157" w14:textId="77777777" w:rsidR="00B33542" w:rsidRPr="005071A1" w:rsidRDefault="00B33542" w:rsidP="009B7AF5">
            <w:pPr>
              <w:pStyle w:val="Tabletext"/>
            </w:pPr>
            <w:r w:rsidRPr="005071A1">
              <w:t>39</w:t>
            </w:r>
          </w:p>
        </w:tc>
        <w:tc>
          <w:tcPr>
            <w:tcW w:w="2693" w:type="dxa"/>
            <w:shd w:val="clear" w:color="auto" w:fill="auto"/>
          </w:tcPr>
          <w:p w14:paraId="250BC0A2" w14:textId="77777777" w:rsidR="00B33542" w:rsidRPr="005071A1" w:rsidRDefault="00B33542" w:rsidP="009B7AF5">
            <w:pPr>
              <w:pStyle w:val="Tabletext"/>
            </w:pPr>
            <w:r w:rsidRPr="005071A1">
              <w:t>0.35</w:t>
            </w:r>
          </w:p>
        </w:tc>
      </w:tr>
      <w:tr w:rsidR="00B33542" w:rsidRPr="005071A1" w14:paraId="251F41C0" w14:textId="77777777" w:rsidTr="009B7AF5">
        <w:tc>
          <w:tcPr>
            <w:tcW w:w="3119" w:type="dxa"/>
            <w:shd w:val="clear" w:color="auto" w:fill="auto"/>
          </w:tcPr>
          <w:p w14:paraId="77C078A2" w14:textId="77777777" w:rsidR="00B33542" w:rsidRPr="005071A1" w:rsidRDefault="00B33542" w:rsidP="009B7AF5">
            <w:pPr>
              <w:pStyle w:val="Tabletext"/>
            </w:pPr>
            <w:r w:rsidRPr="005071A1">
              <w:t>40</w:t>
            </w:r>
          </w:p>
        </w:tc>
        <w:tc>
          <w:tcPr>
            <w:tcW w:w="2693" w:type="dxa"/>
            <w:shd w:val="clear" w:color="auto" w:fill="auto"/>
          </w:tcPr>
          <w:p w14:paraId="2DE0D384" w14:textId="77777777" w:rsidR="00B33542" w:rsidRPr="005071A1" w:rsidRDefault="00B33542" w:rsidP="009B7AF5">
            <w:pPr>
              <w:pStyle w:val="Tabletext"/>
            </w:pPr>
            <w:r w:rsidRPr="005071A1">
              <w:t>0.37</w:t>
            </w:r>
          </w:p>
        </w:tc>
      </w:tr>
      <w:tr w:rsidR="00B33542" w:rsidRPr="005071A1" w14:paraId="4DF3CC81" w14:textId="77777777" w:rsidTr="009B7AF5">
        <w:tc>
          <w:tcPr>
            <w:tcW w:w="3119" w:type="dxa"/>
            <w:shd w:val="clear" w:color="auto" w:fill="auto"/>
          </w:tcPr>
          <w:p w14:paraId="3B2A3193" w14:textId="77777777" w:rsidR="00B33542" w:rsidRPr="005071A1" w:rsidRDefault="00B33542" w:rsidP="009B7AF5">
            <w:pPr>
              <w:pStyle w:val="Tabletext"/>
            </w:pPr>
            <w:r w:rsidRPr="005071A1">
              <w:t>41</w:t>
            </w:r>
          </w:p>
        </w:tc>
        <w:tc>
          <w:tcPr>
            <w:tcW w:w="2693" w:type="dxa"/>
            <w:shd w:val="clear" w:color="auto" w:fill="auto"/>
          </w:tcPr>
          <w:p w14:paraId="5CBCB189" w14:textId="77777777" w:rsidR="00B33542" w:rsidRPr="005071A1" w:rsidRDefault="00B33542" w:rsidP="009B7AF5">
            <w:pPr>
              <w:pStyle w:val="Tabletext"/>
            </w:pPr>
            <w:r w:rsidRPr="005071A1">
              <w:t>0.39</w:t>
            </w:r>
          </w:p>
        </w:tc>
      </w:tr>
      <w:tr w:rsidR="00B33542" w:rsidRPr="005071A1" w14:paraId="1ADE858E" w14:textId="77777777" w:rsidTr="009B7AF5">
        <w:tc>
          <w:tcPr>
            <w:tcW w:w="3119" w:type="dxa"/>
            <w:shd w:val="clear" w:color="auto" w:fill="auto"/>
          </w:tcPr>
          <w:p w14:paraId="1CF954BF" w14:textId="77777777" w:rsidR="00B33542" w:rsidRPr="005071A1" w:rsidRDefault="00B33542" w:rsidP="009B7AF5">
            <w:pPr>
              <w:pStyle w:val="Tabletext"/>
            </w:pPr>
            <w:r w:rsidRPr="005071A1">
              <w:t>42</w:t>
            </w:r>
          </w:p>
        </w:tc>
        <w:tc>
          <w:tcPr>
            <w:tcW w:w="2693" w:type="dxa"/>
            <w:shd w:val="clear" w:color="auto" w:fill="auto"/>
          </w:tcPr>
          <w:p w14:paraId="2434DBBC" w14:textId="77777777" w:rsidR="00B33542" w:rsidRPr="005071A1" w:rsidRDefault="00B33542" w:rsidP="009B7AF5">
            <w:pPr>
              <w:pStyle w:val="Tabletext"/>
            </w:pPr>
            <w:r w:rsidRPr="005071A1">
              <w:t>0.42</w:t>
            </w:r>
          </w:p>
        </w:tc>
      </w:tr>
      <w:tr w:rsidR="00B33542" w:rsidRPr="005071A1" w14:paraId="22E1531C" w14:textId="77777777" w:rsidTr="009B7AF5">
        <w:tc>
          <w:tcPr>
            <w:tcW w:w="3119" w:type="dxa"/>
            <w:shd w:val="clear" w:color="auto" w:fill="auto"/>
          </w:tcPr>
          <w:p w14:paraId="65B64C49" w14:textId="77777777" w:rsidR="00B33542" w:rsidRPr="005071A1" w:rsidRDefault="00B33542" w:rsidP="009B7AF5">
            <w:pPr>
              <w:pStyle w:val="Tabletext"/>
            </w:pPr>
            <w:r w:rsidRPr="005071A1">
              <w:t>43</w:t>
            </w:r>
          </w:p>
        </w:tc>
        <w:tc>
          <w:tcPr>
            <w:tcW w:w="2693" w:type="dxa"/>
            <w:shd w:val="clear" w:color="auto" w:fill="auto"/>
          </w:tcPr>
          <w:p w14:paraId="1D997319" w14:textId="77777777" w:rsidR="00B33542" w:rsidRPr="005071A1" w:rsidRDefault="00B33542" w:rsidP="009B7AF5">
            <w:pPr>
              <w:pStyle w:val="Tabletext"/>
            </w:pPr>
            <w:r w:rsidRPr="005071A1">
              <w:t>0.44</w:t>
            </w:r>
          </w:p>
        </w:tc>
      </w:tr>
      <w:tr w:rsidR="00B33542" w:rsidRPr="005071A1" w14:paraId="030EE88A" w14:textId="77777777" w:rsidTr="009B7AF5">
        <w:tc>
          <w:tcPr>
            <w:tcW w:w="3119" w:type="dxa"/>
            <w:shd w:val="clear" w:color="auto" w:fill="auto"/>
          </w:tcPr>
          <w:p w14:paraId="393E2886" w14:textId="77777777" w:rsidR="00B33542" w:rsidRPr="005071A1" w:rsidRDefault="00B33542" w:rsidP="009B7AF5">
            <w:pPr>
              <w:pStyle w:val="Tabletext"/>
            </w:pPr>
            <w:r w:rsidRPr="005071A1">
              <w:t>44</w:t>
            </w:r>
          </w:p>
        </w:tc>
        <w:tc>
          <w:tcPr>
            <w:tcW w:w="2693" w:type="dxa"/>
            <w:shd w:val="clear" w:color="auto" w:fill="auto"/>
          </w:tcPr>
          <w:p w14:paraId="20A55DDF" w14:textId="77777777" w:rsidR="00B33542" w:rsidRPr="005071A1" w:rsidRDefault="00B33542" w:rsidP="009B7AF5">
            <w:pPr>
              <w:pStyle w:val="Tabletext"/>
            </w:pPr>
            <w:r w:rsidRPr="005071A1">
              <w:t>0.47</w:t>
            </w:r>
          </w:p>
        </w:tc>
      </w:tr>
      <w:tr w:rsidR="00B33542" w:rsidRPr="005071A1" w14:paraId="6084E2E2" w14:textId="77777777" w:rsidTr="009B7AF5">
        <w:tc>
          <w:tcPr>
            <w:tcW w:w="3119" w:type="dxa"/>
            <w:shd w:val="clear" w:color="auto" w:fill="auto"/>
          </w:tcPr>
          <w:p w14:paraId="6DFBB645" w14:textId="77777777" w:rsidR="00B33542" w:rsidRPr="005071A1" w:rsidRDefault="00B33542" w:rsidP="009B7AF5">
            <w:pPr>
              <w:pStyle w:val="Tabletext"/>
            </w:pPr>
            <w:r w:rsidRPr="005071A1">
              <w:t>45</w:t>
            </w:r>
          </w:p>
        </w:tc>
        <w:tc>
          <w:tcPr>
            <w:tcW w:w="2693" w:type="dxa"/>
            <w:shd w:val="clear" w:color="auto" w:fill="auto"/>
          </w:tcPr>
          <w:p w14:paraId="6C8C617D" w14:textId="77777777" w:rsidR="00B33542" w:rsidRPr="005071A1" w:rsidRDefault="00B33542" w:rsidP="009B7AF5">
            <w:pPr>
              <w:pStyle w:val="Tabletext"/>
            </w:pPr>
            <w:r w:rsidRPr="005071A1">
              <w:t>0.50</w:t>
            </w:r>
          </w:p>
        </w:tc>
      </w:tr>
      <w:tr w:rsidR="00B33542" w:rsidRPr="005071A1" w14:paraId="123B4DC2" w14:textId="77777777" w:rsidTr="009B7AF5">
        <w:tc>
          <w:tcPr>
            <w:tcW w:w="3119" w:type="dxa"/>
            <w:shd w:val="clear" w:color="auto" w:fill="auto"/>
          </w:tcPr>
          <w:p w14:paraId="6500D649" w14:textId="77777777" w:rsidR="00B33542" w:rsidRPr="005071A1" w:rsidRDefault="00B33542" w:rsidP="009B7AF5">
            <w:pPr>
              <w:pStyle w:val="Tabletext"/>
            </w:pPr>
            <w:r w:rsidRPr="005071A1">
              <w:t>46</w:t>
            </w:r>
          </w:p>
        </w:tc>
        <w:tc>
          <w:tcPr>
            <w:tcW w:w="2693" w:type="dxa"/>
            <w:shd w:val="clear" w:color="auto" w:fill="auto"/>
          </w:tcPr>
          <w:p w14:paraId="6C2994B8" w14:textId="77777777" w:rsidR="00B33542" w:rsidRPr="005071A1" w:rsidRDefault="00B33542" w:rsidP="009B7AF5">
            <w:pPr>
              <w:pStyle w:val="Tabletext"/>
            </w:pPr>
            <w:r w:rsidRPr="005071A1">
              <w:t>0.54</w:t>
            </w:r>
          </w:p>
        </w:tc>
      </w:tr>
      <w:tr w:rsidR="00B33542" w:rsidRPr="005071A1" w14:paraId="318ADF95" w14:textId="77777777" w:rsidTr="009B7AF5">
        <w:tc>
          <w:tcPr>
            <w:tcW w:w="3119" w:type="dxa"/>
            <w:shd w:val="clear" w:color="auto" w:fill="auto"/>
          </w:tcPr>
          <w:p w14:paraId="0822C925" w14:textId="77777777" w:rsidR="00B33542" w:rsidRPr="005071A1" w:rsidRDefault="00B33542" w:rsidP="009B7AF5">
            <w:pPr>
              <w:pStyle w:val="Tabletext"/>
            </w:pPr>
            <w:r w:rsidRPr="005071A1">
              <w:t>47</w:t>
            </w:r>
          </w:p>
        </w:tc>
        <w:tc>
          <w:tcPr>
            <w:tcW w:w="2693" w:type="dxa"/>
            <w:shd w:val="clear" w:color="auto" w:fill="auto"/>
          </w:tcPr>
          <w:p w14:paraId="398B56BA" w14:textId="77777777" w:rsidR="00B33542" w:rsidRPr="005071A1" w:rsidRDefault="00B33542" w:rsidP="009B7AF5">
            <w:pPr>
              <w:pStyle w:val="Tabletext"/>
            </w:pPr>
            <w:r w:rsidRPr="005071A1">
              <w:t>0.58</w:t>
            </w:r>
          </w:p>
        </w:tc>
      </w:tr>
      <w:tr w:rsidR="00B33542" w:rsidRPr="005071A1" w14:paraId="1DED782C" w14:textId="77777777" w:rsidTr="009B7AF5">
        <w:tc>
          <w:tcPr>
            <w:tcW w:w="3119" w:type="dxa"/>
            <w:shd w:val="clear" w:color="auto" w:fill="auto"/>
          </w:tcPr>
          <w:p w14:paraId="37B031F1" w14:textId="77777777" w:rsidR="00B33542" w:rsidRPr="005071A1" w:rsidRDefault="00B33542" w:rsidP="009B7AF5">
            <w:pPr>
              <w:pStyle w:val="Tabletext"/>
            </w:pPr>
            <w:r w:rsidRPr="005071A1">
              <w:t>48</w:t>
            </w:r>
          </w:p>
        </w:tc>
        <w:tc>
          <w:tcPr>
            <w:tcW w:w="2693" w:type="dxa"/>
            <w:shd w:val="clear" w:color="auto" w:fill="auto"/>
          </w:tcPr>
          <w:p w14:paraId="7D78CA15" w14:textId="77777777" w:rsidR="00B33542" w:rsidRPr="005071A1" w:rsidRDefault="00B33542" w:rsidP="009B7AF5">
            <w:pPr>
              <w:pStyle w:val="Tabletext"/>
            </w:pPr>
            <w:r w:rsidRPr="005071A1">
              <w:t>0.62</w:t>
            </w:r>
          </w:p>
        </w:tc>
      </w:tr>
      <w:tr w:rsidR="00B33542" w:rsidRPr="005071A1" w14:paraId="19BDA42B" w14:textId="77777777" w:rsidTr="009B7AF5">
        <w:tc>
          <w:tcPr>
            <w:tcW w:w="3119" w:type="dxa"/>
            <w:shd w:val="clear" w:color="auto" w:fill="auto"/>
          </w:tcPr>
          <w:p w14:paraId="3A28033B" w14:textId="77777777" w:rsidR="00B33542" w:rsidRPr="005071A1" w:rsidRDefault="00B33542" w:rsidP="009B7AF5">
            <w:pPr>
              <w:pStyle w:val="Tabletext"/>
            </w:pPr>
            <w:r w:rsidRPr="005071A1">
              <w:t>49</w:t>
            </w:r>
          </w:p>
        </w:tc>
        <w:tc>
          <w:tcPr>
            <w:tcW w:w="2693" w:type="dxa"/>
            <w:shd w:val="clear" w:color="auto" w:fill="auto"/>
          </w:tcPr>
          <w:p w14:paraId="2C10C0B5" w14:textId="77777777" w:rsidR="00B33542" w:rsidRPr="005071A1" w:rsidRDefault="00B33542" w:rsidP="009B7AF5">
            <w:pPr>
              <w:pStyle w:val="Tabletext"/>
            </w:pPr>
            <w:r w:rsidRPr="005071A1">
              <w:t>0.67</w:t>
            </w:r>
          </w:p>
        </w:tc>
      </w:tr>
      <w:tr w:rsidR="00B33542" w:rsidRPr="005071A1" w14:paraId="78E70193" w14:textId="77777777" w:rsidTr="009B7AF5">
        <w:tc>
          <w:tcPr>
            <w:tcW w:w="3119" w:type="dxa"/>
            <w:shd w:val="clear" w:color="auto" w:fill="auto"/>
          </w:tcPr>
          <w:p w14:paraId="1B4FB2E1" w14:textId="77777777" w:rsidR="00B33542" w:rsidRPr="005071A1" w:rsidRDefault="00B33542" w:rsidP="009B7AF5">
            <w:pPr>
              <w:pStyle w:val="Tabletext"/>
            </w:pPr>
            <w:r w:rsidRPr="005071A1">
              <w:t>50</w:t>
            </w:r>
          </w:p>
        </w:tc>
        <w:tc>
          <w:tcPr>
            <w:tcW w:w="2693" w:type="dxa"/>
            <w:shd w:val="clear" w:color="auto" w:fill="auto"/>
          </w:tcPr>
          <w:p w14:paraId="5B8E307D" w14:textId="77777777" w:rsidR="00B33542" w:rsidRPr="005071A1" w:rsidRDefault="00B33542" w:rsidP="009B7AF5">
            <w:pPr>
              <w:pStyle w:val="Tabletext"/>
            </w:pPr>
            <w:r w:rsidRPr="005071A1">
              <w:t>0.72</w:t>
            </w:r>
          </w:p>
        </w:tc>
      </w:tr>
      <w:tr w:rsidR="00B33542" w:rsidRPr="005071A1" w14:paraId="60F1DBC9" w14:textId="77777777" w:rsidTr="009B7AF5">
        <w:tc>
          <w:tcPr>
            <w:tcW w:w="3119" w:type="dxa"/>
            <w:shd w:val="clear" w:color="auto" w:fill="auto"/>
          </w:tcPr>
          <w:p w14:paraId="51346042" w14:textId="77777777" w:rsidR="00B33542" w:rsidRPr="005071A1" w:rsidRDefault="00B33542" w:rsidP="009B7AF5">
            <w:pPr>
              <w:pStyle w:val="Tabletext"/>
            </w:pPr>
            <w:r w:rsidRPr="005071A1">
              <w:t>51</w:t>
            </w:r>
          </w:p>
        </w:tc>
        <w:tc>
          <w:tcPr>
            <w:tcW w:w="2693" w:type="dxa"/>
            <w:shd w:val="clear" w:color="auto" w:fill="auto"/>
          </w:tcPr>
          <w:p w14:paraId="615DA78E" w14:textId="77777777" w:rsidR="00B33542" w:rsidRPr="005071A1" w:rsidRDefault="00B33542" w:rsidP="009B7AF5">
            <w:pPr>
              <w:pStyle w:val="Tabletext"/>
            </w:pPr>
            <w:r w:rsidRPr="005071A1">
              <w:t>0.78</w:t>
            </w:r>
          </w:p>
        </w:tc>
      </w:tr>
      <w:tr w:rsidR="00B33542" w:rsidRPr="005071A1" w14:paraId="608E9B4B" w14:textId="77777777" w:rsidTr="009B7AF5">
        <w:tc>
          <w:tcPr>
            <w:tcW w:w="3119" w:type="dxa"/>
            <w:shd w:val="clear" w:color="auto" w:fill="auto"/>
          </w:tcPr>
          <w:p w14:paraId="398988C2" w14:textId="77777777" w:rsidR="00B33542" w:rsidRPr="005071A1" w:rsidRDefault="00B33542" w:rsidP="009B7AF5">
            <w:pPr>
              <w:pStyle w:val="Tabletext"/>
            </w:pPr>
            <w:r w:rsidRPr="005071A1">
              <w:t>52</w:t>
            </w:r>
          </w:p>
        </w:tc>
        <w:tc>
          <w:tcPr>
            <w:tcW w:w="2693" w:type="dxa"/>
            <w:shd w:val="clear" w:color="auto" w:fill="auto"/>
          </w:tcPr>
          <w:p w14:paraId="6C50530A" w14:textId="77777777" w:rsidR="00B33542" w:rsidRPr="005071A1" w:rsidRDefault="00B33542" w:rsidP="009B7AF5">
            <w:pPr>
              <w:pStyle w:val="Tabletext"/>
            </w:pPr>
            <w:r w:rsidRPr="005071A1">
              <w:t>0.85</w:t>
            </w:r>
          </w:p>
        </w:tc>
      </w:tr>
      <w:tr w:rsidR="00B33542" w:rsidRPr="005071A1" w14:paraId="280DD872" w14:textId="77777777" w:rsidTr="009B7AF5">
        <w:tc>
          <w:tcPr>
            <w:tcW w:w="3119" w:type="dxa"/>
            <w:shd w:val="clear" w:color="auto" w:fill="auto"/>
          </w:tcPr>
          <w:p w14:paraId="59E88567" w14:textId="77777777" w:rsidR="00B33542" w:rsidRPr="005071A1" w:rsidRDefault="00B33542" w:rsidP="009B7AF5">
            <w:pPr>
              <w:pStyle w:val="Tabletext"/>
            </w:pPr>
            <w:r w:rsidRPr="005071A1">
              <w:t>53</w:t>
            </w:r>
          </w:p>
        </w:tc>
        <w:tc>
          <w:tcPr>
            <w:tcW w:w="2693" w:type="dxa"/>
            <w:shd w:val="clear" w:color="auto" w:fill="auto"/>
          </w:tcPr>
          <w:p w14:paraId="4852B59B" w14:textId="77777777" w:rsidR="00B33542" w:rsidRPr="005071A1" w:rsidRDefault="00B33542" w:rsidP="009B7AF5">
            <w:pPr>
              <w:pStyle w:val="Tabletext"/>
            </w:pPr>
            <w:r w:rsidRPr="005071A1">
              <w:t>0.94</w:t>
            </w:r>
          </w:p>
        </w:tc>
      </w:tr>
      <w:tr w:rsidR="00B33542" w:rsidRPr="005071A1" w14:paraId="7467DE43" w14:textId="77777777" w:rsidTr="009B7AF5">
        <w:tc>
          <w:tcPr>
            <w:tcW w:w="3119" w:type="dxa"/>
            <w:shd w:val="clear" w:color="auto" w:fill="auto"/>
          </w:tcPr>
          <w:p w14:paraId="36355ECA" w14:textId="77777777" w:rsidR="00B33542" w:rsidRPr="005071A1" w:rsidRDefault="00B33542" w:rsidP="009B7AF5">
            <w:pPr>
              <w:pStyle w:val="Tabletext"/>
            </w:pPr>
            <w:r w:rsidRPr="005071A1">
              <w:t>54</w:t>
            </w:r>
          </w:p>
        </w:tc>
        <w:tc>
          <w:tcPr>
            <w:tcW w:w="2693" w:type="dxa"/>
            <w:shd w:val="clear" w:color="auto" w:fill="auto"/>
          </w:tcPr>
          <w:p w14:paraId="388228E6" w14:textId="77777777" w:rsidR="00B33542" w:rsidRPr="005071A1" w:rsidRDefault="00B33542" w:rsidP="009B7AF5">
            <w:pPr>
              <w:pStyle w:val="Tabletext"/>
            </w:pPr>
            <w:r w:rsidRPr="005071A1">
              <w:t>1.03</w:t>
            </w:r>
          </w:p>
        </w:tc>
      </w:tr>
      <w:tr w:rsidR="00B33542" w:rsidRPr="005071A1" w14:paraId="7EAD9F9F" w14:textId="77777777" w:rsidTr="009B7AF5">
        <w:tc>
          <w:tcPr>
            <w:tcW w:w="3119" w:type="dxa"/>
            <w:shd w:val="clear" w:color="auto" w:fill="auto"/>
          </w:tcPr>
          <w:p w14:paraId="4FC6A0F5" w14:textId="77777777" w:rsidR="00B33542" w:rsidRPr="005071A1" w:rsidRDefault="00B33542" w:rsidP="009B7AF5">
            <w:pPr>
              <w:pStyle w:val="Tabletext"/>
            </w:pPr>
            <w:r w:rsidRPr="005071A1">
              <w:t>55</w:t>
            </w:r>
          </w:p>
        </w:tc>
        <w:tc>
          <w:tcPr>
            <w:tcW w:w="2693" w:type="dxa"/>
            <w:shd w:val="clear" w:color="auto" w:fill="auto"/>
          </w:tcPr>
          <w:p w14:paraId="1219B125" w14:textId="77777777" w:rsidR="00B33542" w:rsidRPr="005071A1" w:rsidRDefault="00B33542" w:rsidP="009B7AF5">
            <w:pPr>
              <w:pStyle w:val="Tabletext"/>
            </w:pPr>
            <w:r w:rsidRPr="005071A1">
              <w:t>1.15</w:t>
            </w:r>
          </w:p>
        </w:tc>
      </w:tr>
      <w:tr w:rsidR="00B33542" w:rsidRPr="005071A1" w14:paraId="1EFAD464" w14:textId="77777777" w:rsidTr="009B7AF5">
        <w:tc>
          <w:tcPr>
            <w:tcW w:w="3119" w:type="dxa"/>
            <w:shd w:val="clear" w:color="auto" w:fill="auto"/>
          </w:tcPr>
          <w:p w14:paraId="65D18607" w14:textId="77777777" w:rsidR="00B33542" w:rsidRPr="005071A1" w:rsidRDefault="00B33542" w:rsidP="009B7AF5">
            <w:pPr>
              <w:pStyle w:val="Tabletext"/>
            </w:pPr>
            <w:r w:rsidRPr="005071A1">
              <w:t>56</w:t>
            </w:r>
          </w:p>
        </w:tc>
        <w:tc>
          <w:tcPr>
            <w:tcW w:w="2693" w:type="dxa"/>
            <w:shd w:val="clear" w:color="auto" w:fill="auto"/>
          </w:tcPr>
          <w:p w14:paraId="320FB0B5" w14:textId="77777777" w:rsidR="00B33542" w:rsidRPr="005071A1" w:rsidRDefault="00B33542" w:rsidP="009B7AF5">
            <w:pPr>
              <w:pStyle w:val="Tabletext"/>
            </w:pPr>
            <w:r w:rsidRPr="005071A1">
              <w:t>1.29</w:t>
            </w:r>
          </w:p>
        </w:tc>
      </w:tr>
      <w:tr w:rsidR="00B33542" w:rsidRPr="005071A1" w14:paraId="7A7DE22F" w14:textId="77777777" w:rsidTr="009B7AF5">
        <w:tc>
          <w:tcPr>
            <w:tcW w:w="3119" w:type="dxa"/>
            <w:shd w:val="clear" w:color="auto" w:fill="auto"/>
          </w:tcPr>
          <w:p w14:paraId="17B2C27E" w14:textId="77777777" w:rsidR="00B33542" w:rsidRPr="005071A1" w:rsidRDefault="00B33542" w:rsidP="009B7AF5">
            <w:pPr>
              <w:pStyle w:val="Tabletext"/>
            </w:pPr>
            <w:r w:rsidRPr="005071A1">
              <w:t>57</w:t>
            </w:r>
          </w:p>
        </w:tc>
        <w:tc>
          <w:tcPr>
            <w:tcW w:w="2693" w:type="dxa"/>
            <w:shd w:val="clear" w:color="auto" w:fill="auto"/>
          </w:tcPr>
          <w:p w14:paraId="3FDC1E29" w14:textId="77777777" w:rsidR="00B33542" w:rsidRPr="005071A1" w:rsidRDefault="00B33542" w:rsidP="009B7AF5">
            <w:pPr>
              <w:pStyle w:val="Tabletext"/>
            </w:pPr>
            <w:r w:rsidRPr="005071A1">
              <w:t>1.47</w:t>
            </w:r>
          </w:p>
        </w:tc>
      </w:tr>
      <w:tr w:rsidR="00B33542" w:rsidRPr="005071A1" w14:paraId="7C26EC60" w14:textId="77777777" w:rsidTr="009B7AF5">
        <w:tc>
          <w:tcPr>
            <w:tcW w:w="3119" w:type="dxa"/>
            <w:shd w:val="clear" w:color="auto" w:fill="auto"/>
          </w:tcPr>
          <w:p w14:paraId="4A5B165E" w14:textId="77777777" w:rsidR="00B33542" w:rsidRPr="005071A1" w:rsidRDefault="00B33542" w:rsidP="009B7AF5">
            <w:pPr>
              <w:pStyle w:val="Tabletext"/>
            </w:pPr>
            <w:r w:rsidRPr="005071A1">
              <w:t>58</w:t>
            </w:r>
          </w:p>
        </w:tc>
        <w:tc>
          <w:tcPr>
            <w:tcW w:w="2693" w:type="dxa"/>
            <w:shd w:val="clear" w:color="auto" w:fill="auto"/>
          </w:tcPr>
          <w:p w14:paraId="2375E034" w14:textId="77777777" w:rsidR="00B33542" w:rsidRPr="005071A1" w:rsidRDefault="00B33542" w:rsidP="009B7AF5">
            <w:pPr>
              <w:pStyle w:val="Tabletext"/>
            </w:pPr>
            <w:r w:rsidRPr="005071A1">
              <w:t>1.70</w:t>
            </w:r>
          </w:p>
        </w:tc>
      </w:tr>
      <w:tr w:rsidR="00B33542" w:rsidRPr="005071A1" w14:paraId="38E4794D" w14:textId="77777777" w:rsidTr="009B7AF5">
        <w:tc>
          <w:tcPr>
            <w:tcW w:w="3119" w:type="dxa"/>
            <w:shd w:val="clear" w:color="auto" w:fill="auto"/>
          </w:tcPr>
          <w:p w14:paraId="7C4715A2" w14:textId="77777777" w:rsidR="00B33542" w:rsidRPr="005071A1" w:rsidRDefault="00B33542" w:rsidP="009B7AF5">
            <w:pPr>
              <w:pStyle w:val="Tabletext"/>
            </w:pPr>
            <w:r w:rsidRPr="005071A1">
              <w:lastRenderedPageBreak/>
              <w:t>59</w:t>
            </w:r>
          </w:p>
        </w:tc>
        <w:tc>
          <w:tcPr>
            <w:tcW w:w="2693" w:type="dxa"/>
            <w:shd w:val="clear" w:color="auto" w:fill="auto"/>
          </w:tcPr>
          <w:p w14:paraId="4E15E44F" w14:textId="77777777" w:rsidR="00B33542" w:rsidRPr="005071A1" w:rsidRDefault="00B33542" w:rsidP="009B7AF5">
            <w:pPr>
              <w:pStyle w:val="Tabletext"/>
            </w:pPr>
            <w:r w:rsidRPr="005071A1">
              <w:t>2.00</w:t>
            </w:r>
          </w:p>
        </w:tc>
      </w:tr>
      <w:tr w:rsidR="00B33542" w:rsidRPr="005071A1" w14:paraId="4136A3E1" w14:textId="77777777" w:rsidTr="009B7AF5">
        <w:tc>
          <w:tcPr>
            <w:tcW w:w="3119" w:type="dxa"/>
            <w:shd w:val="clear" w:color="auto" w:fill="auto"/>
          </w:tcPr>
          <w:p w14:paraId="300E4734" w14:textId="77777777" w:rsidR="00B33542" w:rsidRPr="005071A1" w:rsidRDefault="00B33542" w:rsidP="009B7AF5">
            <w:pPr>
              <w:pStyle w:val="Tabletext"/>
            </w:pPr>
            <w:r w:rsidRPr="005071A1">
              <w:t>60</w:t>
            </w:r>
          </w:p>
        </w:tc>
        <w:tc>
          <w:tcPr>
            <w:tcW w:w="2693" w:type="dxa"/>
            <w:shd w:val="clear" w:color="auto" w:fill="auto"/>
          </w:tcPr>
          <w:p w14:paraId="2ECE73A1" w14:textId="77777777" w:rsidR="00B33542" w:rsidRPr="005071A1" w:rsidRDefault="00B33542" w:rsidP="009B7AF5">
            <w:pPr>
              <w:pStyle w:val="Tabletext"/>
            </w:pPr>
            <w:r w:rsidRPr="005071A1">
              <w:t>2.41</w:t>
            </w:r>
          </w:p>
        </w:tc>
      </w:tr>
      <w:tr w:rsidR="00B33542" w:rsidRPr="005071A1" w14:paraId="1B5D828E" w14:textId="77777777" w:rsidTr="009B7AF5">
        <w:tc>
          <w:tcPr>
            <w:tcW w:w="3119" w:type="dxa"/>
            <w:shd w:val="clear" w:color="auto" w:fill="auto"/>
          </w:tcPr>
          <w:p w14:paraId="6839D803" w14:textId="77777777" w:rsidR="00B33542" w:rsidRPr="005071A1" w:rsidRDefault="00B33542" w:rsidP="009B7AF5">
            <w:pPr>
              <w:pStyle w:val="Tabletext"/>
            </w:pPr>
            <w:r w:rsidRPr="005071A1">
              <w:t>61</w:t>
            </w:r>
          </w:p>
        </w:tc>
        <w:tc>
          <w:tcPr>
            <w:tcW w:w="2693" w:type="dxa"/>
            <w:shd w:val="clear" w:color="auto" w:fill="auto"/>
          </w:tcPr>
          <w:p w14:paraId="0E20CCCD" w14:textId="77777777" w:rsidR="00B33542" w:rsidRPr="005071A1" w:rsidRDefault="00B33542" w:rsidP="009B7AF5">
            <w:pPr>
              <w:pStyle w:val="Tabletext"/>
            </w:pPr>
            <w:r w:rsidRPr="005071A1">
              <w:t>3.03</w:t>
            </w:r>
          </w:p>
        </w:tc>
      </w:tr>
      <w:tr w:rsidR="00B33542" w:rsidRPr="005071A1" w14:paraId="75092CD2" w14:textId="77777777" w:rsidTr="009B7AF5">
        <w:tc>
          <w:tcPr>
            <w:tcW w:w="3119" w:type="dxa"/>
            <w:shd w:val="clear" w:color="auto" w:fill="auto"/>
          </w:tcPr>
          <w:p w14:paraId="6D665042" w14:textId="77777777" w:rsidR="00B33542" w:rsidRPr="005071A1" w:rsidRDefault="00B33542" w:rsidP="009B7AF5">
            <w:pPr>
              <w:pStyle w:val="Tabletext"/>
            </w:pPr>
            <w:r w:rsidRPr="005071A1">
              <w:t>62</w:t>
            </w:r>
          </w:p>
        </w:tc>
        <w:tc>
          <w:tcPr>
            <w:tcW w:w="2693" w:type="dxa"/>
            <w:shd w:val="clear" w:color="auto" w:fill="auto"/>
          </w:tcPr>
          <w:p w14:paraId="0921E98B" w14:textId="77777777" w:rsidR="00B33542" w:rsidRPr="005071A1" w:rsidRDefault="00B33542" w:rsidP="009B7AF5">
            <w:pPr>
              <w:pStyle w:val="Tabletext"/>
            </w:pPr>
            <w:r w:rsidRPr="005071A1">
              <w:t>4.05</w:t>
            </w:r>
          </w:p>
        </w:tc>
      </w:tr>
      <w:tr w:rsidR="00B33542" w:rsidRPr="005071A1" w14:paraId="01200423" w14:textId="77777777" w:rsidTr="009B7AF5">
        <w:tc>
          <w:tcPr>
            <w:tcW w:w="3119" w:type="dxa"/>
            <w:shd w:val="clear" w:color="auto" w:fill="auto"/>
          </w:tcPr>
          <w:p w14:paraId="7C095E62" w14:textId="77777777" w:rsidR="00B33542" w:rsidRPr="005071A1" w:rsidRDefault="00B33542" w:rsidP="009B7AF5">
            <w:pPr>
              <w:pStyle w:val="Tabletext"/>
            </w:pPr>
            <w:r w:rsidRPr="005071A1">
              <w:t>63</w:t>
            </w:r>
          </w:p>
        </w:tc>
        <w:tc>
          <w:tcPr>
            <w:tcW w:w="2693" w:type="dxa"/>
            <w:shd w:val="clear" w:color="auto" w:fill="auto"/>
          </w:tcPr>
          <w:p w14:paraId="0E76DD9A" w14:textId="77777777" w:rsidR="00B33542" w:rsidRPr="005071A1" w:rsidRDefault="00B33542" w:rsidP="009B7AF5">
            <w:pPr>
              <w:pStyle w:val="Tabletext"/>
            </w:pPr>
            <w:r w:rsidRPr="005071A1">
              <w:t>4.06</w:t>
            </w:r>
          </w:p>
        </w:tc>
      </w:tr>
      <w:tr w:rsidR="00B33542" w:rsidRPr="005071A1" w14:paraId="64C297EB" w14:textId="77777777" w:rsidTr="009B7AF5">
        <w:tc>
          <w:tcPr>
            <w:tcW w:w="3119" w:type="dxa"/>
            <w:tcBorders>
              <w:bottom w:val="single" w:sz="4" w:space="0" w:color="auto"/>
            </w:tcBorders>
            <w:shd w:val="clear" w:color="auto" w:fill="auto"/>
          </w:tcPr>
          <w:p w14:paraId="444B661E" w14:textId="77777777" w:rsidR="00B33542" w:rsidRPr="005071A1" w:rsidRDefault="00B33542" w:rsidP="009B7AF5">
            <w:pPr>
              <w:pStyle w:val="Tabletext"/>
            </w:pPr>
            <w:r w:rsidRPr="005071A1">
              <w:t>64</w:t>
            </w:r>
          </w:p>
        </w:tc>
        <w:tc>
          <w:tcPr>
            <w:tcW w:w="2693" w:type="dxa"/>
            <w:tcBorders>
              <w:bottom w:val="single" w:sz="4" w:space="0" w:color="auto"/>
            </w:tcBorders>
            <w:shd w:val="clear" w:color="auto" w:fill="auto"/>
          </w:tcPr>
          <w:p w14:paraId="1B99579B" w14:textId="77777777" w:rsidR="00B33542" w:rsidRPr="005071A1" w:rsidRDefault="00B33542" w:rsidP="009B7AF5">
            <w:pPr>
              <w:pStyle w:val="Tabletext"/>
            </w:pPr>
            <w:r w:rsidRPr="005071A1">
              <w:t>11.99</w:t>
            </w:r>
          </w:p>
        </w:tc>
      </w:tr>
      <w:tr w:rsidR="00B33542" w:rsidRPr="005071A1" w14:paraId="0CB9387D" w14:textId="77777777" w:rsidTr="009B7AF5">
        <w:tc>
          <w:tcPr>
            <w:tcW w:w="3119" w:type="dxa"/>
            <w:tcBorders>
              <w:bottom w:val="single" w:sz="12" w:space="0" w:color="auto"/>
            </w:tcBorders>
            <w:shd w:val="clear" w:color="auto" w:fill="auto"/>
          </w:tcPr>
          <w:p w14:paraId="184AFE92" w14:textId="77777777" w:rsidR="00B33542" w:rsidRPr="005071A1" w:rsidRDefault="00B33542" w:rsidP="009B7AF5">
            <w:pPr>
              <w:pStyle w:val="Tabletext"/>
            </w:pPr>
            <w:r w:rsidRPr="005071A1">
              <w:t>65</w:t>
            </w:r>
          </w:p>
        </w:tc>
        <w:tc>
          <w:tcPr>
            <w:tcW w:w="2693" w:type="dxa"/>
            <w:tcBorders>
              <w:bottom w:val="single" w:sz="12" w:space="0" w:color="auto"/>
            </w:tcBorders>
            <w:shd w:val="clear" w:color="auto" w:fill="auto"/>
          </w:tcPr>
          <w:p w14:paraId="1014E59C" w14:textId="77777777" w:rsidR="00B33542" w:rsidRPr="005071A1" w:rsidRDefault="00B33542" w:rsidP="009B7AF5">
            <w:pPr>
              <w:pStyle w:val="Tabletext"/>
            </w:pPr>
            <w:r w:rsidRPr="005071A1">
              <w:t>12.13</w:t>
            </w:r>
          </w:p>
        </w:tc>
      </w:tr>
    </w:tbl>
    <w:p w14:paraId="38B8CA55" w14:textId="77777777" w:rsidR="00B33542" w:rsidRPr="005071A1" w:rsidRDefault="00B33542" w:rsidP="00674A0D">
      <w:pPr>
        <w:pStyle w:val="ActHead5"/>
        <w:pageBreakBefore/>
      </w:pPr>
      <w:bookmarkStart w:id="298" w:name="_Toc185577680"/>
      <w:r w:rsidRPr="005071A1">
        <w:lastRenderedPageBreak/>
        <w:t>Table XI</w:t>
      </w:r>
      <w:bookmarkEnd w:id="298"/>
    </w:p>
    <w:p w14:paraId="2436FE31" w14:textId="77777777" w:rsidR="00B33542" w:rsidRPr="005071A1" w:rsidRDefault="00B33542" w:rsidP="00B33542">
      <w:pPr>
        <w:spacing w:before="120"/>
      </w:pPr>
      <w:r w:rsidRPr="005071A1">
        <w:t xml:space="preserve">Rates of contribution to be paid fortnightly by male contributors for units of pension (other than units of pension to which </w:t>
      </w:r>
      <w:r w:rsidR="008B2950" w:rsidRPr="005071A1">
        <w:t>paragraph (</w:t>
      </w:r>
      <w:r w:rsidRPr="005071A1">
        <w:t xml:space="preserve">a) of </w:t>
      </w:r>
      <w:r w:rsidR="008B2950" w:rsidRPr="005071A1">
        <w:t>subsection (</w:t>
      </w:r>
      <w:r w:rsidRPr="005071A1">
        <w:t>3) of section</w:t>
      </w:r>
      <w:r w:rsidR="008B2950" w:rsidRPr="005071A1">
        <w:t> </w:t>
      </w:r>
      <w:r w:rsidRPr="005071A1">
        <w:t>23 applies</w:t>
      </w:r>
      <w:r w:rsidR="00922533" w:rsidRPr="005071A1">
        <w:t>)</w:t>
      </w:r>
      <w:r w:rsidRPr="005071A1">
        <w:t>, where the obligation to contribute for those units came into existence on or after 14th December, 1959, and before 1st July 1962, based on a retiring age of 60 years and the age next birthday of the contributor when that obligation came into existence</w:t>
      </w:r>
    </w:p>
    <w:p w14:paraId="6CC25313"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45"/>
        <w:gridCol w:w="2667"/>
      </w:tblGrid>
      <w:tr w:rsidR="00B33542" w:rsidRPr="005071A1" w14:paraId="662A8EAB" w14:textId="77777777" w:rsidTr="009B7AF5">
        <w:trPr>
          <w:tblHeader/>
        </w:trPr>
        <w:tc>
          <w:tcPr>
            <w:tcW w:w="3145" w:type="dxa"/>
            <w:tcBorders>
              <w:top w:val="single" w:sz="12" w:space="0" w:color="auto"/>
              <w:bottom w:val="single" w:sz="6" w:space="0" w:color="auto"/>
            </w:tcBorders>
            <w:shd w:val="clear" w:color="auto" w:fill="auto"/>
          </w:tcPr>
          <w:p w14:paraId="75F9DF5C" w14:textId="77777777" w:rsidR="00B33542" w:rsidRPr="005071A1" w:rsidRDefault="00B33542" w:rsidP="009B7AF5">
            <w:pPr>
              <w:pStyle w:val="TableHeading"/>
            </w:pPr>
            <w:r w:rsidRPr="005071A1">
              <w:t>Column 1</w:t>
            </w:r>
          </w:p>
        </w:tc>
        <w:tc>
          <w:tcPr>
            <w:tcW w:w="2667" w:type="dxa"/>
            <w:tcBorders>
              <w:top w:val="single" w:sz="12" w:space="0" w:color="auto"/>
              <w:bottom w:val="single" w:sz="6" w:space="0" w:color="auto"/>
            </w:tcBorders>
            <w:shd w:val="clear" w:color="auto" w:fill="auto"/>
          </w:tcPr>
          <w:p w14:paraId="0DFAB626" w14:textId="77777777" w:rsidR="00B33542" w:rsidRPr="005071A1" w:rsidRDefault="00B33542" w:rsidP="009B7AF5">
            <w:pPr>
              <w:pStyle w:val="TableHeading"/>
            </w:pPr>
            <w:r w:rsidRPr="005071A1">
              <w:t>Column 2</w:t>
            </w:r>
          </w:p>
        </w:tc>
      </w:tr>
      <w:tr w:rsidR="00B33542" w:rsidRPr="005071A1" w14:paraId="1539AAD4" w14:textId="77777777" w:rsidTr="009B7AF5">
        <w:trPr>
          <w:tblHeader/>
        </w:trPr>
        <w:tc>
          <w:tcPr>
            <w:tcW w:w="3145" w:type="dxa"/>
            <w:tcBorders>
              <w:top w:val="single" w:sz="6" w:space="0" w:color="auto"/>
              <w:bottom w:val="single" w:sz="6" w:space="0" w:color="auto"/>
            </w:tcBorders>
            <w:shd w:val="clear" w:color="auto" w:fill="auto"/>
          </w:tcPr>
          <w:p w14:paraId="09B01F2D"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67" w:type="dxa"/>
            <w:tcBorders>
              <w:top w:val="single" w:sz="6" w:space="0" w:color="auto"/>
              <w:bottom w:val="single" w:sz="6" w:space="0" w:color="auto"/>
            </w:tcBorders>
            <w:shd w:val="clear" w:color="auto" w:fill="auto"/>
          </w:tcPr>
          <w:p w14:paraId="44A8A7C9"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595E71C1" w14:textId="77777777" w:rsidTr="009B7AF5">
        <w:trPr>
          <w:tblHeader/>
        </w:trPr>
        <w:tc>
          <w:tcPr>
            <w:tcW w:w="3145" w:type="dxa"/>
            <w:tcBorders>
              <w:top w:val="single" w:sz="6" w:space="0" w:color="auto"/>
              <w:bottom w:val="single" w:sz="12" w:space="0" w:color="auto"/>
            </w:tcBorders>
            <w:shd w:val="clear" w:color="auto" w:fill="auto"/>
          </w:tcPr>
          <w:p w14:paraId="605B5491" w14:textId="77777777" w:rsidR="00B33542" w:rsidRPr="005071A1" w:rsidRDefault="00B33542" w:rsidP="00A516E3">
            <w:pPr>
              <w:pStyle w:val="TableHeading"/>
            </w:pPr>
          </w:p>
        </w:tc>
        <w:tc>
          <w:tcPr>
            <w:tcW w:w="2667" w:type="dxa"/>
            <w:tcBorders>
              <w:top w:val="single" w:sz="6" w:space="0" w:color="auto"/>
              <w:bottom w:val="single" w:sz="12" w:space="0" w:color="auto"/>
            </w:tcBorders>
            <w:shd w:val="clear" w:color="auto" w:fill="auto"/>
          </w:tcPr>
          <w:p w14:paraId="2AC81871" w14:textId="77777777" w:rsidR="00B33542" w:rsidRPr="005071A1" w:rsidRDefault="00B33542" w:rsidP="00A516E3">
            <w:pPr>
              <w:pStyle w:val="TableHeading"/>
            </w:pPr>
            <w:r w:rsidRPr="005071A1">
              <w:t>$</w:t>
            </w:r>
          </w:p>
        </w:tc>
      </w:tr>
      <w:tr w:rsidR="00B33542" w:rsidRPr="005071A1" w14:paraId="3B6C9718" w14:textId="77777777" w:rsidTr="009B7AF5">
        <w:tc>
          <w:tcPr>
            <w:tcW w:w="3145" w:type="dxa"/>
            <w:tcBorders>
              <w:top w:val="single" w:sz="12" w:space="0" w:color="auto"/>
            </w:tcBorders>
            <w:shd w:val="clear" w:color="auto" w:fill="auto"/>
          </w:tcPr>
          <w:p w14:paraId="173ED6A0" w14:textId="77777777" w:rsidR="00B33542" w:rsidRPr="005071A1" w:rsidRDefault="00B33542" w:rsidP="009B7AF5">
            <w:pPr>
              <w:pStyle w:val="Tabletext"/>
            </w:pPr>
            <w:r w:rsidRPr="005071A1">
              <w:t>15</w:t>
            </w:r>
          </w:p>
        </w:tc>
        <w:tc>
          <w:tcPr>
            <w:tcW w:w="2667" w:type="dxa"/>
            <w:tcBorders>
              <w:top w:val="single" w:sz="12" w:space="0" w:color="auto"/>
            </w:tcBorders>
            <w:shd w:val="clear" w:color="auto" w:fill="auto"/>
          </w:tcPr>
          <w:p w14:paraId="60BC85F9" w14:textId="77777777" w:rsidR="00B33542" w:rsidRPr="005071A1" w:rsidRDefault="00B33542" w:rsidP="009B7AF5">
            <w:pPr>
              <w:pStyle w:val="Tabletext"/>
            </w:pPr>
            <w:r w:rsidRPr="005071A1">
              <w:t>0.14</w:t>
            </w:r>
          </w:p>
        </w:tc>
      </w:tr>
      <w:tr w:rsidR="00B33542" w:rsidRPr="005071A1" w14:paraId="36DB3F50" w14:textId="77777777" w:rsidTr="009B7AF5">
        <w:tc>
          <w:tcPr>
            <w:tcW w:w="3145" w:type="dxa"/>
            <w:shd w:val="clear" w:color="auto" w:fill="auto"/>
          </w:tcPr>
          <w:p w14:paraId="4FED544D" w14:textId="77777777" w:rsidR="00B33542" w:rsidRPr="005071A1" w:rsidRDefault="00B33542" w:rsidP="009B7AF5">
            <w:pPr>
              <w:pStyle w:val="Tabletext"/>
            </w:pPr>
            <w:r w:rsidRPr="005071A1">
              <w:t>16</w:t>
            </w:r>
          </w:p>
        </w:tc>
        <w:tc>
          <w:tcPr>
            <w:tcW w:w="2667" w:type="dxa"/>
            <w:shd w:val="clear" w:color="auto" w:fill="auto"/>
          </w:tcPr>
          <w:p w14:paraId="5EC7ECFB" w14:textId="77777777" w:rsidR="00B33542" w:rsidRPr="005071A1" w:rsidRDefault="00B33542" w:rsidP="009B7AF5">
            <w:pPr>
              <w:pStyle w:val="Tabletext"/>
            </w:pPr>
            <w:r w:rsidRPr="005071A1">
              <w:t>0.14</w:t>
            </w:r>
          </w:p>
        </w:tc>
      </w:tr>
      <w:tr w:rsidR="00B33542" w:rsidRPr="005071A1" w14:paraId="1B274BF9" w14:textId="77777777" w:rsidTr="009B7AF5">
        <w:tc>
          <w:tcPr>
            <w:tcW w:w="3145" w:type="dxa"/>
            <w:shd w:val="clear" w:color="auto" w:fill="auto"/>
          </w:tcPr>
          <w:p w14:paraId="1418A9A5" w14:textId="77777777" w:rsidR="00B33542" w:rsidRPr="005071A1" w:rsidRDefault="00B33542" w:rsidP="009B7AF5">
            <w:pPr>
              <w:pStyle w:val="Tabletext"/>
            </w:pPr>
            <w:r w:rsidRPr="005071A1">
              <w:t>17</w:t>
            </w:r>
          </w:p>
        </w:tc>
        <w:tc>
          <w:tcPr>
            <w:tcW w:w="2667" w:type="dxa"/>
            <w:shd w:val="clear" w:color="auto" w:fill="auto"/>
          </w:tcPr>
          <w:p w14:paraId="1130E0A8" w14:textId="77777777" w:rsidR="00B33542" w:rsidRPr="005071A1" w:rsidRDefault="00B33542" w:rsidP="009B7AF5">
            <w:pPr>
              <w:pStyle w:val="Tabletext"/>
            </w:pPr>
            <w:r w:rsidRPr="005071A1">
              <w:t>0.14</w:t>
            </w:r>
          </w:p>
        </w:tc>
      </w:tr>
      <w:tr w:rsidR="00B33542" w:rsidRPr="005071A1" w14:paraId="4418FD2A" w14:textId="77777777" w:rsidTr="009B7AF5">
        <w:tc>
          <w:tcPr>
            <w:tcW w:w="3145" w:type="dxa"/>
            <w:shd w:val="clear" w:color="auto" w:fill="auto"/>
          </w:tcPr>
          <w:p w14:paraId="4D9A591C" w14:textId="77777777" w:rsidR="00B33542" w:rsidRPr="005071A1" w:rsidRDefault="00B33542" w:rsidP="009B7AF5">
            <w:pPr>
              <w:pStyle w:val="Tabletext"/>
            </w:pPr>
            <w:r w:rsidRPr="005071A1">
              <w:t>18</w:t>
            </w:r>
          </w:p>
        </w:tc>
        <w:tc>
          <w:tcPr>
            <w:tcW w:w="2667" w:type="dxa"/>
            <w:shd w:val="clear" w:color="auto" w:fill="auto"/>
          </w:tcPr>
          <w:p w14:paraId="35597637" w14:textId="77777777" w:rsidR="00B33542" w:rsidRPr="005071A1" w:rsidRDefault="00B33542" w:rsidP="009B7AF5">
            <w:pPr>
              <w:pStyle w:val="Tabletext"/>
            </w:pPr>
            <w:r w:rsidRPr="005071A1">
              <w:t>0.15</w:t>
            </w:r>
          </w:p>
        </w:tc>
      </w:tr>
      <w:tr w:rsidR="00B33542" w:rsidRPr="005071A1" w14:paraId="6202CC92" w14:textId="77777777" w:rsidTr="009B7AF5">
        <w:tc>
          <w:tcPr>
            <w:tcW w:w="3145" w:type="dxa"/>
            <w:shd w:val="clear" w:color="auto" w:fill="auto"/>
          </w:tcPr>
          <w:p w14:paraId="0DB4FE4A" w14:textId="77777777" w:rsidR="00B33542" w:rsidRPr="005071A1" w:rsidRDefault="00B33542" w:rsidP="009B7AF5">
            <w:pPr>
              <w:pStyle w:val="Tabletext"/>
            </w:pPr>
            <w:r w:rsidRPr="005071A1">
              <w:t>19</w:t>
            </w:r>
          </w:p>
        </w:tc>
        <w:tc>
          <w:tcPr>
            <w:tcW w:w="2667" w:type="dxa"/>
            <w:shd w:val="clear" w:color="auto" w:fill="auto"/>
          </w:tcPr>
          <w:p w14:paraId="738C220A" w14:textId="77777777" w:rsidR="00B33542" w:rsidRPr="005071A1" w:rsidRDefault="00B33542" w:rsidP="009B7AF5">
            <w:pPr>
              <w:pStyle w:val="Tabletext"/>
            </w:pPr>
            <w:r w:rsidRPr="005071A1">
              <w:t>0.16</w:t>
            </w:r>
          </w:p>
        </w:tc>
      </w:tr>
      <w:tr w:rsidR="00B33542" w:rsidRPr="005071A1" w14:paraId="22960CAC" w14:textId="77777777" w:rsidTr="009B7AF5">
        <w:tc>
          <w:tcPr>
            <w:tcW w:w="3145" w:type="dxa"/>
            <w:shd w:val="clear" w:color="auto" w:fill="auto"/>
          </w:tcPr>
          <w:p w14:paraId="206EEF75" w14:textId="77777777" w:rsidR="00B33542" w:rsidRPr="005071A1" w:rsidRDefault="00B33542" w:rsidP="009B7AF5">
            <w:pPr>
              <w:pStyle w:val="Tabletext"/>
            </w:pPr>
            <w:r w:rsidRPr="005071A1">
              <w:t>20</w:t>
            </w:r>
          </w:p>
        </w:tc>
        <w:tc>
          <w:tcPr>
            <w:tcW w:w="2667" w:type="dxa"/>
            <w:shd w:val="clear" w:color="auto" w:fill="auto"/>
          </w:tcPr>
          <w:p w14:paraId="5AE51CFD" w14:textId="77777777" w:rsidR="00B33542" w:rsidRPr="005071A1" w:rsidRDefault="00B33542" w:rsidP="009B7AF5">
            <w:pPr>
              <w:pStyle w:val="Tabletext"/>
            </w:pPr>
            <w:r w:rsidRPr="005071A1">
              <w:t>0.17</w:t>
            </w:r>
          </w:p>
        </w:tc>
      </w:tr>
      <w:tr w:rsidR="00B33542" w:rsidRPr="005071A1" w14:paraId="3AB9D8B2" w14:textId="77777777" w:rsidTr="009B7AF5">
        <w:tc>
          <w:tcPr>
            <w:tcW w:w="3145" w:type="dxa"/>
            <w:shd w:val="clear" w:color="auto" w:fill="auto"/>
          </w:tcPr>
          <w:p w14:paraId="7170F880" w14:textId="77777777" w:rsidR="00B33542" w:rsidRPr="005071A1" w:rsidRDefault="00B33542" w:rsidP="009B7AF5">
            <w:pPr>
              <w:pStyle w:val="Tabletext"/>
            </w:pPr>
            <w:r w:rsidRPr="005071A1">
              <w:t>21</w:t>
            </w:r>
          </w:p>
        </w:tc>
        <w:tc>
          <w:tcPr>
            <w:tcW w:w="2667" w:type="dxa"/>
            <w:shd w:val="clear" w:color="auto" w:fill="auto"/>
          </w:tcPr>
          <w:p w14:paraId="15FA346C" w14:textId="77777777" w:rsidR="00B33542" w:rsidRPr="005071A1" w:rsidRDefault="00B33542" w:rsidP="009B7AF5">
            <w:pPr>
              <w:pStyle w:val="Tabletext"/>
            </w:pPr>
            <w:r w:rsidRPr="005071A1">
              <w:t>0.18</w:t>
            </w:r>
          </w:p>
        </w:tc>
      </w:tr>
      <w:tr w:rsidR="00B33542" w:rsidRPr="005071A1" w14:paraId="06997DD3" w14:textId="77777777" w:rsidTr="009B7AF5">
        <w:tc>
          <w:tcPr>
            <w:tcW w:w="3145" w:type="dxa"/>
            <w:shd w:val="clear" w:color="auto" w:fill="auto"/>
          </w:tcPr>
          <w:p w14:paraId="06BAE6C1" w14:textId="77777777" w:rsidR="00B33542" w:rsidRPr="005071A1" w:rsidRDefault="00B33542" w:rsidP="009B7AF5">
            <w:pPr>
              <w:pStyle w:val="Tabletext"/>
            </w:pPr>
            <w:r w:rsidRPr="005071A1">
              <w:t>22</w:t>
            </w:r>
          </w:p>
        </w:tc>
        <w:tc>
          <w:tcPr>
            <w:tcW w:w="2667" w:type="dxa"/>
            <w:shd w:val="clear" w:color="auto" w:fill="auto"/>
          </w:tcPr>
          <w:p w14:paraId="4B333588" w14:textId="77777777" w:rsidR="00B33542" w:rsidRPr="005071A1" w:rsidRDefault="00B33542" w:rsidP="009B7AF5">
            <w:pPr>
              <w:pStyle w:val="Tabletext"/>
            </w:pPr>
            <w:r w:rsidRPr="005071A1">
              <w:t>0.19</w:t>
            </w:r>
          </w:p>
        </w:tc>
      </w:tr>
      <w:tr w:rsidR="00B33542" w:rsidRPr="005071A1" w14:paraId="016D7518" w14:textId="77777777" w:rsidTr="009B7AF5">
        <w:tc>
          <w:tcPr>
            <w:tcW w:w="3145" w:type="dxa"/>
            <w:shd w:val="clear" w:color="auto" w:fill="auto"/>
          </w:tcPr>
          <w:p w14:paraId="497CABD8" w14:textId="77777777" w:rsidR="00B33542" w:rsidRPr="005071A1" w:rsidRDefault="00B33542" w:rsidP="009B7AF5">
            <w:pPr>
              <w:pStyle w:val="Tabletext"/>
            </w:pPr>
            <w:r w:rsidRPr="005071A1">
              <w:t>23</w:t>
            </w:r>
          </w:p>
        </w:tc>
        <w:tc>
          <w:tcPr>
            <w:tcW w:w="2667" w:type="dxa"/>
            <w:shd w:val="clear" w:color="auto" w:fill="auto"/>
          </w:tcPr>
          <w:p w14:paraId="4ED94D0B" w14:textId="77777777" w:rsidR="00B33542" w:rsidRPr="005071A1" w:rsidRDefault="00B33542" w:rsidP="009B7AF5">
            <w:pPr>
              <w:pStyle w:val="Tabletext"/>
            </w:pPr>
            <w:r w:rsidRPr="005071A1">
              <w:t>0.20</w:t>
            </w:r>
          </w:p>
        </w:tc>
      </w:tr>
      <w:tr w:rsidR="00B33542" w:rsidRPr="005071A1" w14:paraId="5F32291B" w14:textId="77777777" w:rsidTr="009B7AF5">
        <w:tc>
          <w:tcPr>
            <w:tcW w:w="3145" w:type="dxa"/>
            <w:shd w:val="clear" w:color="auto" w:fill="auto"/>
          </w:tcPr>
          <w:p w14:paraId="5F31C1E1" w14:textId="77777777" w:rsidR="00B33542" w:rsidRPr="005071A1" w:rsidRDefault="00B33542" w:rsidP="009B7AF5">
            <w:pPr>
              <w:pStyle w:val="Tabletext"/>
            </w:pPr>
            <w:r w:rsidRPr="005071A1">
              <w:t>24</w:t>
            </w:r>
          </w:p>
        </w:tc>
        <w:tc>
          <w:tcPr>
            <w:tcW w:w="2667" w:type="dxa"/>
            <w:shd w:val="clear" w:color="auto" w:fill="auto"/>
          </w:tcPr>
          <w:p w14:paraId="12E7BC5E" w14:textId="77777777" w:rsidR="00B33542" w:rsidRPr="005071A1" w:rsidRDefault="00B33542" w:rsidP="009B7AF5">
            <w:pPr>
              <w:pStyle w:val="Tabletext"/>
            </w:pPr>
            <w:r w:rsidRPr="005071A1">
              <w:t>0.21</w:t>
            </w:r>
          </w:p>
        </w:tc>
      </w:tr>
      <w:tr w:rsidR="00B33542" w:rsidRPr="005071A1" w14:paraId="7F6E1C71" w14:textId="77777777" w:rsidTr="009B7AF5">
        <w:tc>
          <w:tcPr>
            <w:tcW w:w="3145" w:type="dxa"/>
            <w:shd w:val="clear" w:color="auto" w:fill="auto"/>
          </w:tcPr>
          <w:p w14:paraId="225FCB2D" w14:textId="77777777" w:rsidR="00B33542" w:rsidRPr="005071A1" w:rsidRDefault="00B33542" w:rsidP="009B7AF5">
            <w:pPr>
              <w:pStyle w:val="Tabletext"/>
            </w:pPr>
            <w:r w:rsidRPr="005071A1">
              <w:t>25</w:t>
            </w:r>
          </w:p>
        </w:tc>
        <w:tc>
          <w:tcPr>
            <w:tcW w:w="2667" w:type="dxa"/>
            <w:shd w:val="clear" w:color="auto" w:fill="auto"/>
          </w:tcPr>
          <w:p w14:paraId="50023312" w14:textId="77777777" w:rsidR="00B33542" w:rsidRPr="005071A1" w:rsidRDefault="00B33542" w:rsidP="009B7AF5">
            <w:pPr>
              <w:pStyle w:val="Tabletext"/>
            </w:pPr>
            <w:r w:rsidRPr="005071A1">
              <w:t>0.22</w:t>
            </w:r>
          </w:p>
        </w:tc>
      </w:tr>
      <w:tr w:rsidR="00B33542" w:rsidRPr="005071A1" w14:paraId="667F2CE6" w14:textId="77777777" w:rsidTr="009B7AF5">
        <w:tc>
          <w:tcPr>
            <w:tcW w:w="3145" w:type="dxa"/>
            <w:shd w:val="clear" w:color="auto" w:fill="auto"/>
          </w:tcPr>
          <w:p w14:paraId="3E461243" w14:textId="77777777" w:rsidR="00B33542" w:rsidRPr="005071A1" w:rsidRDefault="00B33542" w:rsidP="009B7AF5">
            <w:pPr>
              <w:pStyle w:val="Tabletext"/>
            </w:pPr>
            <w:r w:rsidRPr="005071A1">
              <w:t>26</w:t>
            </w:r>
          </w:p>
        </w:tc>
        <w:tc>
          <w:tcPr>
            <w:tcW w:w="2667" w:type="dxa"/>
            <w:shd w:val="clear" w:color="auto" w:fill="auto"/>
          </w:tcPr>
          <w:p w14:paraId="21376DE2" w14:textId="77777777" w:rsidR="00B33542" w:rsidRPr="005071A1" w:rsidRDefault="00B33542" w:rsidP="009B7AF5">
            <w:pPr>
              <w:pStyle w:val="Tabletext"/>
            </w:pPr>
            <w:r w:rsidRPr="005071A1">
              <w:t>0.23</w:t>
            </w:r>
          </w:p>
        </w:tc>
      </w:tr>
      <w:tr w:rsidR="00B33542" w:rsidRPr="005071A1" w14:paraId="1E2666C7" w14:textId="77777777" w:rsidTr="009B7AF5">
        <w:tc>
          <w:tcPr>
            <w:tcW w:w="3145" w:type="dxa"/>
            <w:shd w:val="clear" w:color="auto" w:fill="auto"/>
          </w:tcPr>
          <w:p w14:paraId="37EA5D6E" w14:textId="77777777" w:rsidR="00B33542" w:rsidRPr="005071A1" w:rsidRDefault="00B33542" w:rsidP="009B7AF5">
            <w:pPr>
              <w:pStyle w:val="Tabletext"/>
            </w:pPr>
            <w:r w:rsidRPr="005071A1">
              <w:t>27</w:t>
            </w:r>
          </w:p>
        </w:tc>
        <w:tc>
          <w:tcPr>
            <w:tcW w:w="2667" w:type="dxa"/>
            <w:shd w:val="clear" w:color="auto" w:fill="auto"/>
          </w:tcPr>
          <w:p w14:paraId="350F11B0" w14:textId="77777777" w:rsidR="00B33542" w:rsidRPr="005071A1" w:rsidRDefault="00B33542" w:rsidP="009B7AF5">
            <w:pPr>
              <w:pStyle w:val="Tabletext"/>
            </w:pPr>
            <w:r w:rsidRPr="005071A1">
              <w:t>0.24</w:t>
            </w:r>
          </w:p>
        </w:tc>
      </w:tr>
      <w:tr w:rsidR="00B33542" w:rsidRPr="005071A1" w14:paraId="773DB57C" w14:textId="77777777" w:rsidTr="009B7AF5">
        <w:tc>
          <w:tcPr>
            <w:tcW w:w="3145" w:type="dxa"/>
            <w:shd w:val="clear" w:color="auto" w:fill="auto"/>
          </w:tcPr>
          <w:p w14:paraId="4241B1F7" w14:textId="77777777" w:rsidR="00B33542" w:rsidRPr="005071A1" w:rsidRDefault="00B33542" w:rsidP="009B7AF5">
            <w:pPr>
              <w:pStyle w:val="Tabletext"/>
            </w:pPr>
            <w:r w:rsidRPr="005071A1">
              <w:t>28</w:t>
            </w:r>
          </w:p>
        </w:tc>
        <w:tc>
          <w:tcPr>
            <w:tcW w:w="2667" w:type="dxa"/>
            <w:shd w:val="clear" w:color="auto" w:fill="auto"/>
          </w:tcPr>
          <w:p w14:paraId="6D552A1E" w14:textId="77777777" w:rsidR="00B33542" w:rsidRPr="005071A1" w:rsidRDefault="00B33542" w:rsidP="009B7AF5">
            <w:pPr>
              <w:pStyle w:val="Tabletext"/>
            </w:pPr>
            <w:r w:rsidRPr="005071A1">
              <w:t>0.26</w:t>
            </w:r>
          </w:p>
        </w:tc>
      </w:tr>
      <w:tr w:rsidR="00B33542" w:rsidRPr="005071A1" w14:paraId="4A7AA18D" w14:textId="77777777" w:rsidTr="009B7AF5">
        <w:tc>
          <w:tcPr>
            <w:tcW w:w="3145" w:type="dxa"/>
            <w:shd w:val="clear" w:color="auto" w:fill="auto"/>
          </w:tcPr>
          <w:p w14:paraId="1568482A" w14:textId="77777777" w:rsidR="00B33542" w:rsidRPr="005071A1" w:rsidRDefault="00B33542" w:rsidP="009B7AF5">
            <w:pPr>
              <w:pStyle w:val="Tabletext"/>
            </w:pPr>
            <w:r w:rsidRPr="005071A1">
              <w:t>29</w:t>
            </w:r>
          </w:p>
        </w:tc>
        <w:tc>
          <w:tcPr>
            <w:tcW w:w="2667" w:type="dxa"/>
            <w:shd w:val="clear" w:color="auto" w:fill="auto"/>
          </w:tcPr>
          <w:p w14:paraId="5CA53F4F" w14:textId="77777777" w:rsidR="00B33542" w:rsidRPr="005071A1" w:rsidRDefault="00B33542" w:rsidP="009B7AF5">
            <w:pPr>
              <w:pStyle w:val="Tabletext"/>
            </w:pPr>
            <w:r w:rsidRPr="005071A1">
              <w:t>0.27</w:t>
            </w:r>
          </w:p>
        </w:tc>
      </w:tr>
      <w:tr w:rsidR="00B33542" w:rsidRPr="005071A1" w14:paraId="09528337" w14:textId="77777777" w:rsidTr="009B7AF5">
        <w:tc>
          <w:tcPr>
            <w:tcW w:w="3145" w:type="dxa"/>
            <w:shd w:val="clear" w:color="auto" w:fill="auto"/>
          </w:tcPr>
          <w:p w14:paraId="5D946E9F" w14:textId="77777777" w:rsidR="00B33542" w:rsidRPr="005071A1" w:rsidRDefault="00B33542" w:rsidP="009B7AF5">
            <w:pPr>
              <w:pStyle w:val="Tabletext"/>
            </w:pPr>
            <w:r w:rsidRPr="005071A1">
              <w:t>30</w:t>
            </w:r>
          </w:p>
        </w:tc>
        <w:tc>
          <w:tcPr>
            <w:tcW w:w="2667" w:type="dxa"/>
            <w:shd w:val="clear" w:color="auto" w:fill="auto"/>
          </w:tcPr>
          <w:p w14:paraId="22649FC8" w14:textId="77777777" w:rsidR="00B33542" w:rsidRPr="005071A1" w:rsidRDefault="00B33542" w:rsidP="009B7AF5">
            <w:pPr>
              <w:pStyle w:val="Tabletext"/>
            </w:pPr>
            <w:r w:rsidRPr="005071A1">
              <w:t>0.29</w:t>
            </w:r>
          </w:p>
        </w:tc>
      </w:tr>
      <w:tr w:rsidR="00B33542" w:rsidRPr="005071A1" w14:paraId="1085ED9C" w14:textId="77777777" w:rsidTr="009B7AF5">
        <w:tc>
          <w:tcPr>
            <w:tcW w:w="3145" w:type="dxa"/>
            <w:shd w:val="clear" w:color="auto" w:fill="auto"/>
          </w:tcPr>
          <w:p w14:paraId="3D809A5D" w14:textId="77777777" w:rsidR="00B33542" w:rsidRPr="005071A1" w:rsidRDefault="00B33542" w:rsidP="009B7AF5">
            <w:pPr>
              <w:pStyle w:val="Tabletext"/>
            </w:pPr>
            <w:r w:rsidRPr="005071A1">
              <w:t>31</w:t>
            </w:r>
          </w:p>
        </w:tc>
        <w:tc>
          <w:tcPr>
            <w:tcW w:w="2667" w:type="dxa"/>
            <w:shd w:val="clear" w:color="auto" w:fill="auto"/>
          </w:tcPr>
          <w:p w14:paraId="09AEC345" w14:textId="77777777" w:rsidR="00B33542" w:rsidRPr="005071A1" w:rsidRDefault="00B33542" w:rsidP="009B7AF5">
            <w:pPr>
              <w:pStyle w:val="Tabletext"/>
            </w:pPr>
            <w:r w:rsidRPr="005071A1">
              <w:t>0.30</w:t>
            </w:r>
          </w:p>
        </w:tc>
      </w:tr>
      <w:tr w:rsidR="00B33542" w:rsidRPr="005071A1" w14:paraId="3D8EAC1C" w14:textId="77777777" w:rsidTr="009B7AF5">
        <w:tc>
          <w:tcPr>
            <w:tcW w:w="3145" w:type="dxa"/>
            <w:shd w:val="clear" w:color="auto" w:fill="auto"/>
          </w:tcPr>
          <w:p w14:paraId="7CF92E58" w14:textId="77777777" w:rsidR="00B33542" w:rsidRPr="005071A1" w:rsidRDefault="00B33542" w:rsidP="009B7AF5">
            <w:pPr>
              <w:pStyle w:val="Tabletext"/>
            </w:pPr>
            <w:r w:rsidRPr="005071A1">
              <w:lastRenderedPageBreak/>
              <w:t>32</w:t>
            </w:r>
          </w:p>
        </w:tc>
        <w:tc>
          <w:tcPr>
            <w:tcW w:w="2667" w:type="dxa"/>
            <w:shd w:val="clear" w:color="auto" w:fill="auto"/>
          </w:tcPr>
          <w:p w14:paraId="7E73DA67" w14:textId="77777777" w:rsidR="00B33542" w:rsidRPr="005071A1" w:rsidRDefault="00B33542" w:rsidP="009B7AF5">
            <w:pPr>
              <w:pStyle w:val="Tabletext"/>
            </w:pPr>
            <w:r w:rsidRPr="005071A1">
              <w:t>0.32</w:t>
            </w:r>
          </w:p>
        </w:tc>
      </w:tr>
      <w:tr w:rsidR="00B33542" w:rsidRPr="005071A1" w14:paraId="5E49E1FB" w14:textId="77777777" w:rsidTr="009B7AF5">
        <w:tc>
          <w:tcPr>
            <w:tcW w:w="3145" w:type="dxa"/>
            <w:shd w:val="clear" w:color="auto" w:fill="auto"/>
          </w:tcPr>
          <w:p w14:paraId="256D9068" w14:textId="77777777" w:rsidR="00B33542" w:rsidRPr="005071A1" w:rsidRDefault="00B33542" w:rsidP="009B7AF5">
            <w:pPr>
              <w:pStyle w:val="Tabletext"/>
            </w:pPr>
            <w:r w:rsidRPr="005071A1">
              <w:t>33</w:t>
            </w:r>
          </w:p>
        </w:tc>
        <w:tc>
          <w:tcPr>
            <w:tcW w:w="2667" w:type="dxa"/>
            <w:shd w:val="clear" w:color="auto" w:fill="auto"/>
          </w:tcPr>
          <w:p w14:paraId="77499E46" w14:textId="77777777" w:rsidR="00B33542" w:rsidRPr="005071A1" w:rsidRDefault="00B33542" w:rsidP="009B7AF5">
            <w:pPr>
              <w:pStyle w:val="Tabletext"/>
            </w:pPr>
            <w:r w:rsidRPr="005071A1">
              <w:t>0.34</w:t>
            </w:r>
          </w:p>
        </w:tc>
      </w:tr>
      <w:tr w:rsidR="00B33542" w:rsidRPr="005071A1" w14:paraId="43B2C332" w14:textId="77777777" w:rsidTr="009B7AF5">
        <w:tc>
          <w:tcPr>
            <w:tcW w:w="3145" w:type="dxa"/>
            <w:shd w:val="clear" w:color="auto" w:fill="auto"/>
          </w:tcPr>
          <w:p w14:paraId="536F5271" w14:textId="77777777" w:rsidR="00B33542" w:rsidRPr="005071A1" w:rsidRDefault="00B33542" w:rsidP="009B7AF5">
            <w:pPr>
              <w:pStyle w:val="Tabletext"/>
            </w:pPr>
            <w:r w:rsidRPr="005071A1">
              <w:t>34</w:t>
            </w:r>
          </w:p>
        </w:tc>
        <w:tc>
          <w:tcPr>
            <w:tcW w:w="2667" w:type="dxa"/>
            <w:shd w:val="clear" w:color="auto" w:fill="auto"/>
          </w:tcPr>
          <w:p w14:paraId="70BAA758" w14:textId="77777777" w:rsidR="00B33542" w:rsidRPr="005071A1" w:rsidRDefault="00B33542" w:rsidP="009B7AF5">
            <w:pPr>
              <w:pStyle w:val="Tabletext"/>
            </w:pPr>
            <w:r w:rsidRPr="005071A1">
              <w:t>0.36</w:t>
            </w:r>
          </w:p>
        </w:tc>
      </w:tr>
      <w:tr w:rsidR="00B33542" w:rsidRPr="005071A1" w14:paraId="680C0C76" w14:textId="77777777" w:rsidTr="009B7AF5">
        <w:tc>
          <w:tcPr>
            <w:tcW w:w="3145" w:type="dxa"/>
            <w:shd w:val="clear" w:color="auto" w:fill="auto"/>
          </w:tcPr>
          <w:p w14:paraId="3BF7221E" w14:textId="77777777" w:rsidR="00B33542" w:rsidRPr="005071A1" w:rsidRDefault="00B33542" w:rsidP="009B7AF5">
            <w:pPr>
              <w:pStyle w:val="Tabletext"/>
            </w:pPr>
            <w:r w:rsidRPr="005071A1">
              <w:t>35</w:t>
            </w:r>
          </w:p>
        </w:tc>
        <w:tc>
          <w:tcPr>
            <w:tcW w:w="2667" w:type="dxa"/>
            <w:shd w:val="clear" w:color="auto" w:fill="auto"/>
          </w:tcPr>
          <w:p w14:paraId="12E4A148" w14:textId="77777777" w:rsidR="00B33542" w:rsidRPr="005071A1" w:rsidRDefault="00B33542" w:rsidP="009B7AF5">
            <w:pPr>
              <w:pStyle w:val="Tabletext"/>
            </w:pPr>
            <w:r w:rsidRPr="005071A1">
              <w:t>0.38</w:t>
            </w:r>
          </w:p>
        </w:tc>
      </w:tr>
      <w:tr w:rsidR="00B33542" w:rsidRPr="005071A1" w14:paraId="76B04105" w14:textId="77777777" w:rsidTr="009B7AF5">
        <w:tc>
          <w:tcPr>
            <w:tcW w:w="3145" w:type="dxa"/>
            <w:shd w:val="clear" w:color="auto" w:fill="auto"/>
          </w:tcPr>
          <w:p w14:paraId="31470BBF" w14:textId="77777777" w:rsidR="00B33542" w:rsidRPr="005071A1" w:rsidRDefault="00B33542" w:rsidP="009B7AF5">
            <w:pPr>
              <w:pStyle w:val="Tabletext"/>
            </w:pPr>
            <w:r w:rsidRPr="005071A1">
              <w:t>36</w:t>
            </w:r>
          </w:p>
        </w:tc>
        <w:tc>
          <w:tcPr>
            <w:tcW w:w="2667" w:type="dxa"/>
            <w:shd w:val="clear" w:color="auto" w:fill="auto"/>
          </w:tcPr>
          <w:p w14:paraId="0D9A620D" w14:textId="77777777" w:rsidR="00B33542" w:rsidRPr="005071A1" w:rsidRDefault="00B33542" w:rsidP="009B7AF5">
            <w:pPr>
              <w:pStyle w:val="Tabletext"/>
            </w:pPr>
            <w:r w:rsidRPr="005071A1">
              <w:t>0.40</w:t>
            </w:r>
          </w:p>
        </w:tc>
      </w:tr>
      <w:tr w:rsidR="00B33542" w:rsidRPr="005071A1" w14:paraId="4C19A6B2" w14:textId="77777777" w:rsidTr="009B7AF5">
        <w:tc>
          <w:tcPr>
            <w:tcW w:w="3145" w:type="dxa"/>
            <w:shd w:val="clear" w:color="auto" w:fill="auto"/>
          </w:tcPr>
          <w:p w14:paraId="62BB54C6" w14:textId="77777777" w:rsidR="00B33542" w:rsidRPr="005071A1" w:rsidRDefault="00B33542" w:rsidP="009B7AF5">
            <w:pPr>
              <w:pStyle w:val="Tabletext"/>
            </w:pPr>
            <w:r w:rsidRPr="005071A1">
              <w:t>37</w:t>
            </w:r>
          </w:p>
        </w:tc>
        <w:tc>
          <w:tcPr>
            <w:tcW w:w="2667" w:type="dxa"/>
            <w:shd w:val="clear" w:color="auto" w:fill="auto"/>
          </w:tcPr>
          <w:p w14:paraId="47B028CA" w14:textId="77777777" w:rsidR="00B33542" w:rsidRPr="005071A1" w:rsidRDefault="00B33542" w:rsidP="009B7AF5">
            <w:pPr>
              <w:pStyle w:val="Tabletext"/>
            </w:pPr>
            <w:r w:rsidRPr="005071A1">
              <w:t>0.43</w:t>
            </w:r>
          </w:p>
        </w:tc>
      </w:tr>
      <w:tr w:rsidR="00B33542" w:rsidRPr="005071A1" w14:paraId="4636D64B" w14:textId="77777777" w:rsidTr="009B7AF5">
        <w:tc>
          <w:tcPr>
            <w:tcW w:w="3145" w:type="dxa"/>
            <w:shd w:val="clear" w:color="auto" w:fill="auto"/>
          </w:tcPr>
          <w:p w14:paraId="0F1CE84A" w14:textId="77777777" w:rsidR="00B33542" w:rsidRPr="005071A1" w:rsidRDefault="00B33542" w:rsidP="009B7AF5">
            <w:pPr>
              <w:pStyle w:val="Tabletext"/>
            </w:pPr>
            <w:r w:rsidRPr="005071A1">
              <w:t>38</w:t>
            </w:r>
          </w:p>
        </w:tc>
        <w:tc>
          <w:tcPr>
            <w:tcW w:w="2667" w:type="dxa"/>
            <w:shd w:val="clear" w:color="auto" w:fill="auto"/>
          </w:tcPr>
          <w:p w14:paraId="63080864" w14:textId="77777777" w:rsidR="00B33542" w:rsidRPr="005071A1" w:rsidRDefault="00B33542" w:rsidP="009B7AF5">
            <w:pPr>
              <w:pStyle w:val="Tabletext"/>
            </w:pPr>
            <w:r w:rsidRPr="005071A1">
              <w:t>0.46</w:t>
            </w:r>
          </w:p>
        </w:tc>
      </w:tr>
      <w:tr w:rsidR="00B33542" w:rsidRPr="005071A1" w14:paraId="613E6BBB" w14:textId="77777777" w:rsidTr="009B7AF5">
        <w:tc>
          <w:tcPr>
            <w:tcW w:w="3145" w:type="dxa"/>
            <w:shd w:val="clear" w:color="auto" w:fill="auto"/>
          </w:tcPr>
          <w:p w14:paraId="40C7DFA6" w14:textId="77777777" w:rsidR="00B33542" w:rsidRPr="005071A1" w:rsidRDefault="00B33542" w:rsidP="009B7AF5">
            <w:pPr>
              <w:pStyle w:val="Tabletext"/>
            </w:pPr>
            <w:r w:rsidRPr="005071A1">
              <w:t>39</w:t>
            </w:r>
          </w:p>
        </w:tc>
        <w:tc>
          <w:tcPr>
            <w:tcW w:w="2667" w:type="dxa"/>
            <w:shd w:val="clear" w:color="auto" w:fill="auto"/>
          </w:tcPr>
          <w:p w14:paraId="4EDBCC6E" w14:textId="77777777" w:rsidR="00B33542" w:rsidRPr="005071A1" w:rsidRDefault="00B33542" w:rsidP="009B7AF5">
            <w:pPr>
              <w:pStyle w:val="Tabletext"/>
            </w:pPr>
            <w:r w:rsidRPr="005071A1">
              <w:t>0.49</w:t>
            </w:r>
          </w:p>
        </w:tc>
      </w:tr>
      <w:tr w:rsidR="00B33542" w:rsidRPr="005071A1" w14:paraId="621F3C2E" w14:textId="77777777" w:rsidTr="009B7AF5">
        <w:tc>
          <w:tcPr>
            <w:tcW w:w="3145" w:type="dxa"/>
            <w:shd w:val="clear" w:color="auto" w:fill="auto"/>
          </w:tcPr>
          <w:p w14:paraId="32B7C19F" w14:textId="77777777" w:rsidR="00B33542" w:rsidRPr="005071A1" w:rsidRDefault="00B33542" w:rsidP="009B7AF5">
            <w:pPr>
              <w:pStyle w:val="Tabletext"/>
            </w:pPr>
            <w:r w:rsidRPr="005071A1">
              <w:t>40</w:t>
            </w:r>
          </w:p>
        </w:tc>
        <w:tc>
          <w:tcPr>
            <w:tcW w:w="2667" w:type="dxa"/>
            <w:shd w:val="clear" w:color="auto" w:fill="auto"/>
          </w:tcPr>
          <w:p w14:paraId="4E8BBEB0" w14:textId="77777777" w:rsidR="00B33542" w:rsidRPr="005071A1" w:rsidRDefault="00B33542" w:rsidP="009B7AF5">
            <w:pPr>
              <w:pStyle w:val="Tabletext"/>
            </w:pPr>
            <w:r w:rsidRPr="005071A1">
              <w:t>0.52</w:t>
            </w:r>
          </w:p>
        </w:tc>
      </w:tr>
      <w:tr w:rsidR="00B33542" w:rsidRPr="005071A1" w14:paraId="7152E8C0" w14:textId="77777777" w:rsidTr="009B7AF5">
        <w:tc>
          <w:tcPr>
            <w:tcW w:w="3145" w:type="dxa"/>
            <w:shd w:val="clear" w:color="auto" w:fill="auto"/>
          </w:tcPr>
          <w:p w14:paraId="63548D2C" w14:textId="77777777" w:rsidR="00B33542" w:rsidRPr="005071A1" w:rsidRDefault="00B33542" w:rsidP="009B7AF5">
            <w:pPr>
              <w:pStyle w:val="Tabletext"/>
            </w:pPr>
            <w:r w:rsidRPr="005071A1">
              <w:t>41</w:t>
            </w:r>
          </w:p>
        </w:tc>
        <w:tc>
          <w:tcPr>
            <w:tcW w:w="2667" w:type="dxa"/>
            <w:shd w:val="clear" w:color="auto" w:fill="auto"/>
          </w:tcPr>
          <w:p w14:paraId="3DB8B05E" w14:textId="77777777" w:rsidR="00B33542" w:rsidRPr="005071A1" w:rsidRDefault="00B33542" w:rsidP="009B7AF5">
            <w:pPr>
              <w:pStyle w:val="Tabletext"/>
            </w:pPr>
            <w:r w:rsidRPr="005071A1">
              <w:t>0.56</w:t>
            </w:r>
          </w:p>
        </w:tc>
      </w:tr>
      <w:tr w:rsidR="00B33542" w:rsidRPr="005071A1" w14:paraId="4733CB23" w14:textId="77777777" w:rsidTr="009B7AF5">
        <w:tc>
          <w:tcPr>
            <w:tcW w:w="3145" w:type="dxa"/>
            <w:shd w:val="clear" w:color="auto" w:fill="auto"/>
          </w:tcPr>
          <w:p w14:paraId="14B80F74" w14:textId="77777777" w:rsidR="00B33542" w:rsidRPr="005071A1" w:rsidRDefault="00B33542" w:rsidP="009B7AF5">
            <w:pPr>
              <w:pStyle w:val="Tabletext"/>
            </w:pPr>
            <w:r w:rsidRPr="005071A1">
              <w:t>42</w:t>
            </w:r>
          </w:p>
        </w:tc>
        <w:tc>
          <w:tcPr>
            <w:tcW w:w="2667" w:type="dxa"/>
            <w:shd w:val="clear" w:color="auto" w:fill="auto"/>
          </w:tcPr>
          <w:p w14:paraId="743598CC" w14:textId="77777777" w:rsidR="00B33542" w:rsidRPr="005071A1" w:rsidRDefault="00B33542" w:rsidP="009B7AF5">
            <w:pPr>
              <w:pStyle w:val="Tabletext"/>
            </w:pPr>
            <w:r w:rsidRPr="005071A1">
              <w:t>0.60</w:t>
            </w:r>
          </w:p>
        </w:tc>
      </w:tr>
      <w:tr w:rsidR="00B33542" w:rsidRPr="005071A1" w14:paraId="3102F52D" w14:textId="77777777" w:rsidTr="009B7AF5">
        <w:tc>
          <w:tcPr>
            <w:tcW w:w="3145" w:type="dxa"/>
            <w:shd w:val="clear" w:color="auto" w:fill="auto"/>
          </w:tcPr>
          <w:p w14:paraId="2904CF77" w14:textId="77777777" w:rsidR="00B33542" w:rsidRPr="005071A1" w:rsidRDefault="00B33542" w:rsidP="009B7AF5">
            <w:pPr>
              <w:pStyle w:val="Tabletext"/>
            </w:pPr>
            <w:r w:rsidRPr="005071A1">
              <w:t>43</w:t>
            </w:r>
          </w:p>
        </w:tc>
        <w:tc>
          <w:tcPr>
            <w:tcW w:w="2667" w:type="dxa"/>
            <w:shd w:val="clear" w:color="auto" w:fill="auto"/>
          </w:tcPr>
          <w:p w14:paraId="3897C23A" w14:textId="77777777" w:rsidR="00B33542" w:rsidRPr="005071A1" w:rsidRDefault="00B33542" w:rsidP="009B7AF5">
            <w:pPr>
              <w:pStyle w:val="Tabletext"/>
            </w:pPr>
            <w:r w:rsidRPr="005071A1">
              <w:t>0.65</w:t>
            </w:r>
          </w:p>
        </w:tc>
      </w:tr>
      <w:tr w:rsidR="00B33542" w:rsidRPr="005071A1" w14:paraId="6A839191" w14:textId="77777777" w:rsidTr="009B7AF5">
        <w:tc>
          <w:tcPr>
            <w:tcW w:w="3145" w:type="dxa"/>
            <w:shd w:val="clear" w:color="auto" w:fill="auto"/>
          </w:tcPr>
          <w:p w14:paraId="59848B79" w14:textId="77777777" w:rsidR="00B33542" w:rsidRPr="005071A1" w:rsidRDefault="00B33542" w:rsidP="009B7AF5">
            <w:pPr>
              <w:pStyle w:val="Tabletext"/>
            </w:pPr>
            <w:r w:rsidRPr="005071A1">
              <w:t>44</w:t>
            </w:r>
          </w:p>
        </w:tc>
        <w:tc>
          <w:tcPr>
            <w:tcW w:w="2667" w:type="dxa"/>
            <w:shd w:val="clear" w:color="auto" w:fill="auto"/>
          </w:tcPr>
          <w:p w14:paraId="4CE78FC7" w14:textId="77777777" w:rsidR="00B33542" w:rsidRPr="005071A1" w:rsidRDefault="00B33542" w:rsidP="009B7AF5">
            <w:pPr>
              <w:pStyle w:val="Tabletext"/>
            </w:pPr>
            <w:r w:rsidRPr="005071A1">
              <w:t>0.70</w:t>
            </w:r>
          </w:p>
        </w:tc>
      </w:tr>
      <w:tr w:rsidR="00B33542" w:rsidRPr="005071A1" w14:paraId="2B233291" w14:textId="77777777" w:rsidTr="009B7AF5">
        <w:tc>
          <w:tcPr>
            <w:tcW w:w="3145" w:type="dxa"/>
            <w:shd w:val="clear" w:color="auto" w:fill="auto"/>
          </w:tcPr>
          <w:p w14:paraId="5474646E" w14:textId="77777777" w:rsidR="00B33542" w:rsidRPr="005071A1" w:rsidRDefault="00B33542" w:rsidP="009B7AF5">
            <w:pPr>
              <w:pStyle w:val="Tabletext"/>
            </w:pPr>
            <w:r w:rsidRPr="005071A1">
              <w:t>45</w:t>
            </w:r>
          </w:p>
        </w:tc>
        <w:tc>
          <w:tcPr>
            <w:tcW w:w="2667" w:type="dxa"/>
            <w:shd w:val="clear" w:color="auto" w:fill="auto"/>
          </w:tcPr>
          <w:p w14:paraId="103DBA5D" w14:textId="77777777" w:rsidR="00B33542" w:rsidRPr="005071A1" w:rsidRDefault="00B33542" w:rsidP="009B7AF5">
            <w:pPr>
              <w:pStyle w:val="Tabletext"/>
            </w:pPr>
            <w:r w:rsidRPr="005071A1">
              <w:t>0.76</w:t>
            </w:r>
          </w:p>
        </w:tc>
      </w:tr>
      <w:tr w:rsidR="00B33542" w:rsidRPr="005071A1" w14:paraId="42F7569C" w14:textId="77777777" w:rsidTr="009B7AF5">
        <w:tc>
          <w:tcPr>
            <w:tcW w:w="3145" w:type="dxa"/>
            <w:shd w:val="clear" w:color="auto" w:fill="auto"/>
          </w:tcPr>
          <w:p w14:paraId="0057A1AC" w14:textId="77777777" w:rsidR="00B33542" w:rsidRPr="005071A1" w:rsidRDefault="00B33542" w:rsidP="009B7AF5">
            <w:pPr>
              <w:pStyle w:val="Tabletext"/>
            </w:pPr>
            <w:r w:rsidRPr="005071A1">
              <w:t>46</w:t>
            </w:r>
          </w:p>
        </w:tc>
        <w:tc>
          <w:tcPr>
            <w:tcW w:w="2667" w:type="dxa"/>
            <w:shd w:val="clear" w:color="auto" w:fill="auto"/>
          </w:tcPr>
          <w:p w14:paraId="3CE1F16A" w14:textId="77777777" w:rsidR="00B33542" w:rsidRPr="005071A1" w:rsidRDefault="00B33542" w:rsidP="009B7AF5">
            <w:pPr>
              <w:pStyle w:val="Tabletext"/>
            </w:pPr>
            <w:r w:rsidRPr="005071A1">
              <w:t>0.83</w:t>
            </w:r>
          </w:p>
        </w:tc>
      </w:tr>
      <w:tr w:rsidR="00B33542" w:rsidRPr="005071A1" w14:paraId="733D113C" w14:textId="77777777" w:rsidTr="009B7AF5">
        <w:tc>
          <w:tcPr>
            <w:tcW w:w="3145" w:type="dxa"/>
            <w:shd w:val="clear" w:color="auto" w:fill="auto"/>
          </w:tcPr>
          <w:p w14:paraId="25C28480" w14:textId="77777777" w:rsidR="00B33542" w:rsidRPr="005071A1" w:rsidRDefault="00B33542" w:rsidP="009B7AF5">
            <w:pPr>
              <w:pStyle w:val="Tabletext"/>
            </w:pPr>
            <w:r w:rsidRPr="005071A1">
              <w:t>47</w:t>
            </w:r>
          </w:p>
        </w:tc>
        <w:tc>
          <w:tcPr>
            <w:tcW w:w="2667" w:type="dxa"/>
            <w:shd w:val="clear" w:color="auto" w:fill="auto"/>
          </w:tcPr>
          <w:p w14:paraId="3261F692" w14:textId="77777777" w:rsidR="00B33542" w:rsidRPr="005071A1" w:rsidRDefault="00B33542" w:rsidP="009B7AF5">
            <w:pPr>
              <w:pStyle w:val="Tabletext"/>
            </w:pPr>
            <w:r w:rsidRPr="005071A1">
              <w:t>0.91</w:t>
            </w:r>
          </w:p>
        </w:tc>
      </w:tr>
      <w:tr w:rsidR="00B33542" w:rsidRPr="005071A1" w14:paraId="0ED98B51" w14:textId="77777777" w:rsidTr="009B7AF5">
        <w:tc>
          <w:tcPr>
            <w:tcW w:w="3145" w:type="dxa"/>
            <w:shd w:val="clear" w:color="auto" w:fill="auto"/>
          </w:tcPr>
          <w:p w14:paraId="08CB0E9B" w14:textId="77777777" w:rsidR="00B33542" w:rsidRPr="005071A1" w:rsidRDefault="00B33542" w:rsidP="009B7AF5">
            <w:pPr>
              <w:pStyle w:val="Tabletext"/>
            </w:pPr>
            <w:r w:rsidRPr="005071A1">
              <w:t>48</w:t>
            </w:r>
          </w:p>
        </w:tc>
        <w:tc>
          <w:tcPr>
            <w:tcW w:w="2667" w:type="dxa"/>
            <w:shd w:val="clear" w:color="auto" w:fill="auto"/>
          </w:tcPr>
          <w:p w14:paraId="70FC01AF" w14:textId="77777777" w:rsidR="00B33542" w:rsidRPr="005071A1" w:rsidRDefault="00B33542" w:rsidP="009B7AF5">
            <w:pPr>
              <w:pStyle w:val="Tabletext"/>
            </w:pPr>
            <w:r w:rsidRPr="005071A1">
              <w:t>1.00</w:t>
            </w:r>
          </w:p>
        </w:tc>
      </w:tr>
      <w:tr w:rsidR="00B33542" w:rsidRPr="005071A1" w14:paraId="1C2E8A3F" w14:textId="77777777" w:rsidTr="009B7AF5">
        <w:tc>
          <w:tcPr>
            <w:tcW w:w="3145" w:type="dxa"/>
            <w:shd w:val="clear" w:color="auto" w:fill="auto"/>
          </w:tcPr>
          <w:p w14:paraId="4AC255E7" w14:textId="77777777" w:rsidR="00B33542" w:rsidRPr="005071A1" w:rsidRDefault="00B33542" w:rsidP="009B7AF5">
            <w:pPr>
              <w:pStyle w:val="Tabletext"/>
            </w:pPr>
            <w:r w:rsidRPr="005071A1">
              <w:t>49</w:t>
            </w:r>
          </w:p>
        </w:tc>
        <w:tc>
          <w:tcPr>
            <w:tcW w:w="2667" w:type="dxa"/>
            <w:shd w:val="clear" w:color="auto" w:fill="auto"/>
          </w:tcPr>
          <w:p w14:paraId="1C665098" w14:textId="77777777" w:rsidR="00B33542" w:rsidRPr="005071A1" w:rsidRDefault="00B33542" w:rsidP="009B7AF5">
            <w:pPr>
              <w:pStyle w:val="Tabletext"/>
            </w:pPr>
            <w:r w:rsidRPr="005071A1">
              <w:t>1.11</w:t>
            </w:r>
          </w:p>
        </w:tc>
      </w:tr>
      <w:tr w:rsidR="00B33542" w:rsidRPr="005071A1" w14:paraId="545D1FDC" w14:textId="77777777" w:rsidTr="009B7AF5">
        <w:tc>
          <w:tcPr>
            <w:tcW w:w="3145" w:type="dxa"/>
            <w:shd w:val="clear" w:color="auto" w:fill="auto"/>
          </w:tcPr>
          <w:p w14:paraId="407A611D" w14:textId="77777777" w:rsidR="00B33542" w:rsidRPr="005071A1" w:rsidRDefault="00B33542" w:rsidP="009B7AF5">
            <w:pPr>
              <w:pStyle w:val="Tabletext"/>
            </w:pPr>
            <w:r w:rsidRPr="005071A1">
              <w:t>50</w:t>
            </w:r>
          </w:p>
        </w:tc>
        <w:tc>
          <w:tcPr>
            <w:tcW w:w="2667" w:type="dxa"/>
            <w:shd w:val="clear" w:color="auto" w:fill="auto"/>
          </w:tcPr>
          <w:p w14:paraId="31EC614A" w14:textId="77777777" w:rsidR="00B33542" w:rsidRPr="005071A1" w:rsidRDefault="00B33542" w:rsidP="009B7AF5">
            <w:pPr>
              <w:pStyle w:val="Tabletext"/>
            </w:pPr>
            <w:r w:rsidRPr="005071A1">
              <w:t>1.24</w:t>
            </w:r>
          </w:p>
        </w:tc>
      </w:tr>
      <w:tr w:rsidR="00B33542" w:rsidRPr="005071A1" w14:paraId="410CB2B4" w14:textId="77777777" w:rsidTr="009B7AF5">
        <w:tc>
          <w:tcPr>
            <w:tcW w:w="3145" w:type="dxa"/>
            <w:shd w:val="clear" w:color="auto" w:fill="auto"/>
          </w:tcPr>
          <w:p w14:paraId="139C1BCF" w14:textId="77777777" w:rsidR="00B33542" w:rsidRPr="005071A1" w:rsidRDefault="00B33542" w:rsidP="009B7AF5">
            <w:pPr>
              <w:pStyle w:val="Tabletext"/>
            </w:pPr>
            <w:r w:rsidRPr="005071A1">
              <w:t>51</w:t>
            </w:r>
          </w:p>
        </w:tc>
        <w:tc>
          <w:tcPr>
            <w:tcW w:w="2667" w:type="dxa"/>
            <w:shd w:val="clear" w:color="auto" w:fill="auto"/>
          </w:tcPr>
          <w:p w14:paraId="66E3825A" w14:textId="77777777" w:rsidR="00B33542" w:rsidRPr="005071A1" w:rsidRDefault="00B33542" w:rsidP="009B7AF5">
            <w:pPr>
              <w:pStyle w:val="Tabletext"/>
            </w:pPr>
            <w:r w:rsidRPr="005071A1">
              <w:t>1.40</w:t>
            </w:r>
          </w:p>
        </w:tc>
      </w:tr>
      <w:tr w:rsidR="00B33542" w:rsidRPr="005071A1" w14:paraId="5930F2BC" w14:textId="77777777" w:rsidTr="009B7AF5">
        <w:tc>
          <w:tcPr>
            <w:tcW w:w="3145" w:type="dxa"/>
            <w:shd w:val="clear" w:color="auto" w:fill="auto"/>
          </w:tcPr>
          <w:p w14:paraId="1F306E79" w14:textId="77777777" w:rsidR="00B33542" w:rsidRPr="005071A1" w:rsidRDefault="00B33542" w:rsidP="009B7AF5">
            <w:pPr>
              <w:pStyle w:val="Tabletext"/>
            </w:pPr>
            <w:r w:rsidRPr="005071A1">
              <w:t>52</w:t>
            </w:r>
          </w:p>
        </w:tc>
        <w:tc>
          <w:tcPr>
            <w:tcW w:w="2667" w:type="dxa"/>
            <w:shd w:val="clear" w:color="auto" w:fill="auto"/>
          </w:tcPr>
          <w:p w14:paraId="200ACB96" w14:textId="77777777" w:rsidR="00B33542" w:rsidRPr="005071A1" w:rsidRDefault="00B33542" w:rsidP="009B7AF5">
            <w:pPr>
              <w:pStyle w:val="Tabletext"/>
            </w:pPr>
            <w:r w:rsidRPr="005071A1">
              <w:t>1.60</w:t>
            </w:r>
          </w:p>
        </w:tc>
      </w:tr>
      <w:tr w:rsidR="00B33542" w:rsidRPr="005071A1" w14:paraId="3B9FBC0F" w14:textId="77777777" w:rsidTr="009B7AF5">
        <w:tc>
          <w:tcPr>
            <w:tcW w:w="3145" w:type="dxa"/>
            <w:shd w:val="clear" w:color="auto" w:fill="auto"/>
          </w:tcPr>
          <w:p w14:paraId="45DD0DCF" w14:textId="77777777" w:rsidR="00B33542" w:rsidRPr="005071A1" w:rsidRDefault="00B33542" w:rsidP="009B7AF5">
            <w:pPr>
              <w:pStyle w:val="Tabletext"/>
            </w:pPr>
            <w:r w:rsidRPr="005071A1">
              <w:t>53</w:t>
            </w:r>
          </w:p>
        </w:tc>
        <w:tc>
          <w:tcPr>
            <w:tcW w:w="2667" w:type="dxa"/>
            <w:shd w:val="clear" w:color="auto" w:fill="auto"/>
          </w:tcPr>
          <w:p w14:paraId="4C678D2C" w14:textId="77777777" w:rsidR="00B33542" w:rsidRPr="005071A1" w:rsidRDefault="00B33542" w:rsidP="009B7AF5">
            <w:pPr>
              <w:pStyle w:val="Tabletext"/>
            </w:pPr>
            <w:r w:rsidRPr="005071A1">
              <w:t>1.85</w:t>
            </w:r>
          </w:p>
        </w:tc>
      </w:tr>
      <w:tr w:rsidR="00B33542" w:rsidRPr="005071A1" w14:paraId="6439786E" w14:textId="77777777" w:rsidTr="009B7AF5">
        <w:tc>
          <w:tcPr>
            <w:tcW w:w="3145" w:type="dxa"/>
            <w:shd w:val="clear" w:color="auto" w:fill="auto"/>
          </w:tcPr>
          <w:p w14:paraId="79FE5493" w14:textId="77777777" w:rsidR="00B33542" w:rsidRPr="005071A1" w:rsidRDefault="00B33542" w:rsidP="009B7AF5">
            <w:pPr>
              <w:pStyle w:val="Tabletext"/>
            </w:pPr>
            <w:r w:rsidRPr="005071A1">
              <w:t>54</w:t>
            </w:r>
          </w:p>
        </w:tc>
        <w:tc>
          <w:tcPr>
            <w:tcW w:w="2667" w:type="dxa"/>
            <w:shd w:val="clear" w:color="auto" w:fill="auto"/>
          </w:tcPr>
          <w:p w14:paraId="2CFF9665" w14:textId="77777777" w:rsidR="00B33542" w:rsidRPr="005071A1" w:rsidRDefault="00B33542" w:rsidP="009B7AF5">
            <w:pPr>
              <w:pStyle w:val="Tabletext"/>
            </w:pPr>
            <w:r w:rsidRPr="005071A1">
              <w:t>2.19</w:t>
            </w:r>
          </w:p>
        </w:tc>
      </w:tr>
      <w:tr w:rsidR="00B33542" w:rsidRPr="005071A1" w14:paraId="34C61A94" w14:textId="77777777" w:rsidTr="009B7AF5">
        <w:tc>
          <w:tcPr>
            <w:tcW w:w="3145" w:type="dxa"/>
            <w:shd w:val="clear" w:color="auto" w:fill="auto"/>
          </w:tcPr>
          <w:p w14:paraId="0BCE08B4" w14:textId="77777777" w:rsidR="00B33542" w:rsidRPr="005071A1" w:rsidRDefault="00B33542" w:rsidP="009B7AF5">
            <w:pPr>
              <w:pStyle w:val="Tabletext"/>
            </w:pPr>
            <w:r w:rsidRPr="005071A1">
              <w:t>55</w:t>
            </w:r>
          </w:p>
        </w:tc>
        <w:tc>
          <w:tcPr>
            <w:tcW w:w="2667" w:type="dxa"/>
            <w:shd w:val="clear" w:color="auto" w:fill="auto"/>
          </w:tcPr>
          <w:p w14:paraId="7A3094B7" w14:textId="77777777" w:rsidR="00B33542" w:rsidRPr="005071A1" w:rsidRDefault="00B33542" w:rsidP="009B7AF5">
            <w:pPr>
              <w:pStyle w:val="Tabletext"/>
            </w:pPr>
            <w:r w:rsidRPr="005071A1">
              <w:t>2.66</w:t>
            </w:r>
          </w:p>
        </w:tc>
      </w:tr>
      <w:tr w:rsidR="00B33542" w:rsidRPr="005071A1" w14:paraId="3B617B34" w14:textId="77777777" w:rsidTr="009B7AF5">
        <w:tc>
          <w:tcPr>
            <w:tcW w:w="3145" w:type="dxa"/>
            <w:shd w:val="clear" w:color="auto" w:fill="auto"/>
          </w:tcPr>
          <w:p w14:paraId="2EF68166" w14:textId="77777777" w:rsidR="00B33542" w:rsidRPr="005071A1" w:rsidRDefault="00B33542" w:rsidP="009B7AF5">
            <w:pPr>
              <w:pStyle w:val="Tabletext"/>
            </w:pPr>
            <w:r w:rsidRPr="005071A1">
              <w:t>56</w:t>
            </w:r>
          </w:p>
        </w:tc>
        <w:tc>
          <w:tcPr>
            <w:tcW w:w="2667" w:type="dxa"/>
            <w:shd w:val="clear" w:color="auto" w:fill="auto"/>
          </w:tcPr>
          <w:p w14:paraId="41CEF388" w14:textId="77777777" w:rsidR="00B33542" w:rsidRPr="005071A1" w:rsidRDefault="00B33542" w:rsidP="009B7AF5">
            <w:pPr>
              <w:pStyle w:val="Tabletext"/>
            </w:pPr>
            <w:r w:rsidRPr="005071A1">
              <w:t>3.37</w:t>
            </w:r>
          </w:p>
        </w:tc>
      </w:tr>
      <w:tr w:rsidR="00B33542" w:rsidRPr="005071A1" w14:paraId="44BD8BC5" w14:textId="77777777" w:rsidTr="009B7AF5">
        <w:tc>
          <w:tcPr>
            <w:tcW w:w="3145" w:type="dxa"/>
            <w:shd w:val="clear" w:color="auto" w:fill="auto"/>
          </w:tcPr>
          <w:p w14:paraId="25C048B8" w14:textId="77777777" w:rsidR="00B33542" w:rsidRPr="005071A1" w:rsidRDefault="00B33542" w:rsidP="009B7AF5">
            <w:pPr>
              <w:pStyle w:val="Tabletext"/>
            </w:pPr>
            <w:r w:rsidRPr="005071A1">
              <w:t>57</w:t>
            </w:r>
          </w:p>
        </w:tc>
        <w:tc>
          <w:tcPr>
            <w:tcW w:w="2667" w:type="dxa"/>
            <w:shd w:val="clear" w:color="auto" w:fill="auto"/>
          </w:tcPr>
          <w:p w14:paraId="5CB2719D" w14:textId="77777777" w:rsidR="00B33542" w:rsidRPr="005071A1" w:rsidRDefault="00B33542" w:rsidP="009B7AF5">
            <w:pPr>
              <w:pStyle w:val="Tabletext"/>
            </w:pPr>
            <w:r w:rsidRPr="005071A1">
              <w:t>4.53</w:t>
            </w:r>
          </w:p>
        </w:tc>
      </w:tr>
      <w:tr w:rsidR="00B33542" w:rsidRPr="005071A1" w14:paraId="5F4861E1" w14:textId="77777777" w:rsidTr="009B7AF5">
        <w:tc>
          <w:tcPr>
            <w:tcW w:w="3145" w:type="dxa"/>
            <w:shd w:val="clear" w:color="auto" w:fill="auto"/>
          </w:tcPr>
          <w:p w14:paraId="36A7E872" w14:textId="77777777" w:rsidR="00B33542" w:rsidRPr="005071A1" w:rsidRDefault="00B33542" w:rsidP="009B7AF5">
            <w:pPr>
              <w:pStyle w:val="Tabletext"/>
            </w:pPr>
            <w:r w:rsidRPr="005071A1">
              <w:lastRenderedPageBreak/>
              <w:t>58</w:t>
            </w:r>
          </w:p>
        </w:tc>
        <w:tc>
          <w:tcPr>
            <w:tcW w:w="2667" w:type="dxa"/>
            <w:shd w:val="clear" w:color="auto" w:fill="auto"/>
          </w:tcPr>
          <w:p w14:paraId="628D3C1F" w14:textId="77777777" w:rsidR="00B33542" w:rsidRPr="005071A1" w:rsidRDefault="00B33542" w:rsidP="009B7AF5">
            <w:pPr>
              <w:pStyle w:val="Tabletext"/>
            </w:pPr>
            <w:r w:rsidRPr="005071A1">
              <w:t>6.85</w:t>
            </w:r>
          </w:p>
        </w:tc>
      </w:tr>
      <w:tr w:rsidR="00B33542" w:rsidRPr="005071A1" w14:paraId="365040D3" w14:textId="77777777" w:rsidTr="009B7AF5">
        <w:tc>
          <w:tcPr>
            <w:tcW w:w="3145" w:type="dxa"/>
            <w:tcBorders>
              <w:bottom w:val="single" w:sz="4" w:space="0" w:color="auto"/>
            </w:tcBorders>
            <w:shd w:val="clear" w:color="auto" w:fill="auto"/>
          </w:tcPr>
          <w:p w14:paraId="76DFCECD" w14:textId="77777777" w:rsidR="00B33542" w:rsidRPr="005071A1" w:rsidRDefault="00B33542" w:rsidP="009B7AF5">
            <w:pPr>
              <w:pStyle w:val="Tabletext"/>
            </w:pPr>
            <w:r w:rsidRPr="005071A1">
              <w:t>59</w:t>
            </w:r>
          </w:p>
        </w:tc>
        <w:tc>
          <w:tcPr>
            <w:tcW w:w="2667" w:type="dxa"/>
            <w:tcBorders>
              <w:bottom w:val="single" w:sz="4" w:space="0" w:color="auto"/>
            </w:tcBorders>
            <w:shd w:val="clear" w:color="auto" w:fill="auto"/>
          </w:tcPr>
          <w:p w14:paraId="030D750E" w14:textId="77777777" w:rsidR="00B33542" w:rsidRPr="005071A1" w:rsidRDefault="00B33542" w:rsidP="009B7AF5">
            <w:pPr>
              <w:pStyle w:val="Tabletext"/>
            </w:pPr>
            <w:r w:rsidRPr="005071A1">
              <w:t>13.68</w:t>
            </w:r>
          </w:p>
        </w:tc>
      </w:tr>
      <w:tr w:rsidR="00B33542" w:rsidRPr="005071A1" w14:paraId="22CC753E" w14:textId="77777777" w:rsidTr="009B7AF5">
        <w:tc>
          <w:tcPr>
            <w:tcW w:w="3145" w:type="dxa"/>
            <w:tcBorders>
              <w:bottom w:val="single" w:sz="12" w:space="0" w:color="auto"/>
            </w:tcBorders>
            <w:shd w:val="clear" w:color="auto" w:fill="auto"/>
          </w:tcPr>
          <w:p w14:paraId="3FD3B4F9" w14:textId="77777777" w:rsidR="00B33542" w:rsidRPr="005071A1" w:rsidRDefault="00B33542" w:rsidP="009B7AF5">
            <w:pPr>
              <w:pStyle w:val="Tabletext"/>
            </w:pPr>
            <w:r w:rsidRPr="005071A1">
              <w:t>60</w:t>
            </w:r>
          </w:p>
        </w:tc>
        <w:tc>
          <w:tcPr>
            <w:tcW w:w="2667" w:type="dxa"/>
            <w:tcBorders>
              <w:bottom w:val="single" w:sz="12" w:space="0" w:color="auto"/>
            </w:tcBorders>
            <w:shd w:val="clear" w:color="auto" w:fill="auto"/>
          </w:tcPr>
          <w:p w14:paraId="37D28887" w14:textId="77777777" w:rsidR="00B33542" w:rsidRPr="005071A1" w:rsidRDefault="00B33542" w:rsidP="009B7AF5">
            <w:pPr>
              <w:pStyle w:val="Tabletext"/>
            </w:pPr>
            <w:r w:rsidRPr="005071A1">
              <w:t>14.44</w:t>
            </w:r>
          </w:p>
        </w:tc>
      </w:tr>
    </w:tbl>
    <w:p w14:paraId="18BA88F8" w14:textId="77777777" w:rsidR="00B33542" w:rsidRPr="005071A1" w:rsidRDefault="00B33542" w:rsidP="00674A0D">
      <w:pPr>
        <w:pStyle w:val="ActHead5"/>
        <w:pageBreakBefore/>
      </w:pPr>
      <w:bookmarkStart w:id="299" w:name="_Toc185577681"/>
      <w:r w:rsidRPr="005071A1">
        <w:lastRenderedPageBreak/>
        <w:t>Table XII</w:t>
      </w:r>
      <w:bookmarkEnd w:id="299"/>
    </w:p>
    <w:p w14:paraId="47254379" w14:textId="77777777" w:rsidR="00B33542" w:rsidRPr="005071A1" w:rsidRDefault="00B33542" w:rsidP="00B33542">
      <w:pPr>
        <w:spacing w:before="120"/>
      </w:pPr>
      <w:r w:rsidRPr="005071A1">
        <w:t>Rates of contribution to be paid fortnightly by female contributors for units of pension where the obligation to contribute for those units came into existence on or after 14th December, 1959, and before 1st July 1962, based on a retiring age of 60 years and the age next birthday of the contributor when that obligation came into existence</w:t>
      </w:r>
    </w:p>
    <w:p w14:paraId="7B9A4754"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19"/>
        <w:gridCol w:w="2693"/>
      </w:tblGrid>
      <w:tr w:rsidR="00B33542" w:rsidRPr="005071A1" w14:paraId="266B2A6F" w14:textId="77777777" w:rsidTr="009B7AF5">
        <w:trPr>
          <w:tblHeader/>
        </w:trPr>
        <w:tc>
          <w:tcPr>
            <w:tcW w:w="3119" w:type="dxa"/>
            <w:tcBorders>
              <w:top w:val="single" w:sz="12" w:space="0" w:color="auto"/>
              <w:bottom w:val="single" w:sz="6" w:space="0" w:color="auto"/>
            </w:tcBorders>
            <w:shd w:val="clear" w:color="auto" w:fill="auto"/>
          </w:tcPr>
          <w:p w14:paraId="68AF6191" w14:textId="77777777" w:rsidR="00B33542" w:rsidRPr="005071A1" w:rsidRDefault="00B33542" w:rsidP="009B7AF5">
            <w:pPr>
              <w:pStyle w:val="TableHeading"/>
            </w:pPr>
            <w:r w:rsidRPr="005071A1">
              <w:t>Column 1</w:t>
            </w:r>
          </w:p>
        </w:tc>
        <w:tc>
          <w:tcPr>
            <w:tcW w:w="2693" w:type="dxa"/>
            <w:tcBorders>
              <w:top w:val="single" w:sz="12" w:space="0" w:color="auto"/>
              <w:bottom w:val="single" w:sz="6" w:space="0" w:color="auto"/>
            </w:tcBorders>
            <w:shd w:val="clear" w:color="auto" w:fill="auto"/>
          </w:tcPr>
          <w:p w14:paraId="2B3EE1DA" w14:textId="77777777" w:rsidR="00B33542" w:rsidRPr="005071A1" w:rsidRDefault="00B33542" w:rsidP="009B7AF5">
            <w:pPr>
              <w:pStyle w:val="TableHeading"/>
            </w:pPr>
            <w:r w:rsidRPr="005071A1">
              <w:t>Column 2</w:t>
            </w:r>
          </w:p>
        </w:tc>
      </w:tr>
      <w:tr w:rsidR="00B33542" w:rsidRPr="005071A1" w14:paraId="2C60DE0E" w14:textId="77777777" w:rsidTr="009B7AF5">
        <w:trPr>
          <w:tblHeader/>
        </w:trPr>
        <w:tc>
          <w:tcPr>
            <w:tcW w:w="3119" w:type="dxa"/>
            <w:tcBorders>
              <w:top w:val="single" w:sz="6" w:space="0" w:color="auto"/>
              <w:bottom w:val="single" w:sz="6" w:space="0" w:color="auto"/>
            </w:tcBorders>
            <w:shd w:val="clear" w:color="auto" w:fill="auto"/>
          </w:tcPr>
          <w:p w14:paraId="7847ADAD"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93" w:type="dxa"/>
            <w:tcBorders>
              <w:top w:val="single" w:sz="6" w:space="0" w:color="auto"/>
              <w:bottom w:val="single" w:sz="6" w:space="0" w:color="auto"/>
            </w:tcBorders>
            <w:shd w:val="clear" w:color="auto" w:fill="auto"/>
          </w:tcPr>
          <w:p w14:paraId="70DEBF61"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0EF764C5" w14:textId="77777777" w:rsidTr="009B7AF5">
        <w:trPr>
          <w:tblHeader/>
        </w:trPr>
        <w:tc>
          <w:tcPr>
            <w:tcW w:w="3119" w:type="dxa"/>
            <w:tcBorders>
              <w:top w:val="single" w:sz="6" w:space="0" w:color="auto"/>
              <w:bottom w:val="single" w:sz="12" w:space="0" w:color="auto"/>
            </w:tcBorders>
            <w:shd w:val="clear" w:color="auto" w:fill="auto"/>
          </w:tcPr>
          <w:p w14:paraId="1B3395A1" w14:textId="77777777" w:rsidR="00B33542" w:rsidRPr="005071A1" w:rsidRDefault="00B33542" w:rsidP="00A516E3">
            <w:pPr>
              <w:pStyle w:val="TableHeading"/>
            </w:pPr>
          </w:p>
        </w:tc>
        <w:tc>
          <w:tcPr>
            <w:tcW w:w="2693" w:type="dxa"/>
            <w:tcBorders>
              <w:top w:val="single" w:sz="6" w:space="0" w:color="auto"/>
              <w:bottom w:val="single" w:sz="12" w:space="0" w:color="auto"/>
            </w:tcBorders>
            <w:shd w:val="clear" w:color="auto" w:fill="auto"/>
          </w:tcPr>
          <w:p w14:paraId="25001376" w14:textId="77777777" w:rsidR="00B33542" w:rsidRPr="005071A1" w:rsidRDefault="00B33542" w:rsidP="00A516E3">
            <w:pPr>
              <w:pStyle w:val="TableHeading"/>
            </w:pPr>
            <w:r w:rsidRPr="005071A1">
              <w:t>$</w:t>
            </w:r>
          </w:p>
        </w:tc>
      </w:tr>
      <w:tr w:rsidR="00B33542" w:rsidRPr="005071A1" w14:paraId="1CF11489" w14:textId="77777777" w:rsidTr="009B7AF5">
        <w:tc>
          <w:tcPr>
            <w:tcW w:w="3119" w:type="dxa"/>
            <w:tcBorders>
              <w:top w:val="single" w:sz="12" w:space="0" w:color="auto"/>
            </w:tcBorders>
            <w:shd w:val="clear" w:color="auto" w:fill="auto"/>
          </w:tcPr>
          <w:p w14:paraId="43E1974F" w14:textId="77777777" w:rsidR="00B33542" w:rsidRPr="005071A1" w:rsidRDefault="00B33542" w:rsidP="009B7AF5">
            <w:pPr>
              <w:pStyle w:val="Tabletext"/>
            </w:pPr>
            <w:r w:rsidRPr="005071A1">
              <w:t>15</w:t>
            </w:r>
          </w:p>
        </w:tc>
        <w:tc>
          <w:tcPr>
            <w:tcW w:w="2693" w:type="dxa"/>
            <w:tcBorders>
              <w:top w:val="single" w:sz="12" w:space="0" w:color="auto"/>
            </w:tcBorders>
            <w:shd w:val="clear" w:color="auto" w:fill="auto"/>
          </w:tcPr>
          <w:p w14:paraId="40767EF3" w14:textId="77777777" w:rsidR="00B33542" w:rsidRPr="005071A1" w:rsidRDefault="00B33542" w:rsidP="009B7AF5">
            <w:pPr>
              <w:pStyle w:val="Tabletext"/>
            </w:pPr>
            <w:r w:rsidRPr="005071A1">
              <w:t>0.09</w:t>
            </w:r>
          </w:p>
        </w:tc>
      </w:tr>
      <w:tr w:rsidR="00B33542" w:rsidRPr="005071A1" w14:paraId="3FF36A5F" w14:textId="77777777" w:rsidTr="009B7AF5">
        <w:tc>
          <w:tcPr>
            <w:tcW w:w="3119" w:type="dxa"/>
            <w:shd w:val="clear" w:color="auto" w:fill="auto"/>
          </w:tcPr>
          <w:p w14:paraId="67AD8098" w14:textId="77777777" w:rsidR="00B33542" w:rsidRPr="005071A1" w:rsidRDefault="00B33542" w:rsidP="009B7AF5">
            <w:pPr>
              <w:pStyle w:val="Tabletext"/>
            </w:pPr>
            <w:r w:rsidRPr="005071A1">
              <w:t>16</w:t>
            </w:r>
          </w:p>
        </w:tc>
        <w:tc>
          <w:tcPr>
            <w:tcW w:w="2693" w:type="dxa"/>
            <w:shd w:val="clear" w:color="auto" w:fill="auto"/>
          </w:tcPr>
          <w:p w14:paraId="062B233C" w14:textId="77777777" w:rsidR="00B33542" w:rsidRPr="005071A1" w:rsidRDefault="00B33542" w:rsidP="009B7AF5">
            <w:pPr>
              <w:pStyle w:val="Tabletext"/>
            </w:pPr>
            <w:r w:rsidRPr="005071A1">
              <w:t>0.09</w:t>
            </w:r>
          </w:p>
        </w:tc>
      </w:tr>
      <w:tr w:rsidR="00B33542" w:rsidRPr="005071A1" w14:paraId="556FBAB8" w14:textId="77777777" w:rsidTr="009B7AF5">
        <w:tc>
          <w:tcPr>
            <w:tcW w:w="3119" w:type="dxa"/>
            <w:shd w:val="clear" w:color="auto" w:fill="auto"/>
          </w:tcPr>
          <w:p w14:paraId="7844937A" w14:textId="77777777" w:rsidR="00B33542" w:rsidRPr="005071A1" w:rsidRDefault="00B33542" w:rsidP="009B7AF5">
            <w:pPr>
              <w:pStyle w:val="Tabletext"/>
            </w:pPr>
            <w:r w:rsidRPr="005071A1">
              <w:t>17</w:t>
            </w:r>
          </w:p>
        </w:tc>
        <w:tc>
          <w:tcPr>
            <w:tcW w:w="2693" w:type="dxa"/>
            <w:shd w:val="clear" w:color="auto" w:fill="auto"/>
          </w:tcPr>
          <w:p w14:paraId="79DAAEC5" w14:textId="77777777" w:rsidR="00B33542" w:rsidRPr="005071A1" w:rsidRDefault="00B33542" w:rsidP="009B7AF5">
            <w:pPr>
              <w:pStyle w:val="Tabletext"/>
            </w:pPr>
            <w:r w:rsidRPr="005071A1">
              <w:t>0.11</w:t>
            </w:r>
          </w:p>
        </w:tc>
      </w:tr>
      <w:tr w:rsidR="00B33542" w:rsidRPr="005071A1" w14:paraId="0B86D581" w14:textId="77777777" w:rsidTr="009B7AF5">
        <w:tc>
          <w:tcPr>
            <w:tcW w:w="3119" w:type="dxa"/>
            <w:shd w:val="clear" w:color="auto" w:fill="auto"/>
          </w:tcPr>
          <w:p w14:paraId="3A5B0820" w14:textId="77777777" w:rsidR="00B33542" w:rsidRPr="005071A1" w:rsidRDefault="00B33542" w:rsidP="009B7AF5">
            <w:pPr>
              <w:pStyle w:val="Tabletext"/>
            </w:pPr>
            <w:r w:rsidRPr="005071A1">
              <w:t>18</w:t>
            </w:r>
          </w:p>
        </w:tc>
        <w:tc>
          <w:tcPr>
            <w:tcW w:w="2693" w:type="dxa"/>
            <w:shd w:val="clear" w:color="auto" w:fill="auto"/>
          </w:tcPr>
          <w:p w14:paraId="515380F3" w14:textId="77777777" w:rsidR="00B33542" w:rsidRPr="005071A1" w:rsidRDefault="00B33542" w:rsidP="009B7AF5">
            <w:pPr>
              <w:pStyle w:val="Tabletext"/>
            </w:pPr>
            <w:r w:rsidRPr="005071A1">
              <w:t>0.12</w:t>
            </w:r>
          </w:p>
        </w:tc>
      </w:tr>
      <w:tr w:rsidR="00B33542" w:rsidRPr="005071A1" w14:paraId="62E92F3A" w14:textId="77777777" w:rsidTr="009B7AF5">
        <w:tc>
          <w:tcPr>
            <w:tcW w:w="3119" w:type="dxa"/>
            <w:shd w:val="clear" w:color="auto" w:fill="auto"/>
          </w:tcPr>
          <w:p w14:paraId="4EB96691" w14:textId="77777777" w:rsidR="00B33542" w:rsidRPr="005071A1" w:rsidRDefault="00B33542" w:rsidP="009B7AF5">
            <w:pPr>
              <w:pStyle w:val="Tabletext"/>
            </w:pPr>
            <w:r w:rsidRPr="005071A1">
              <w:t>19</w:t>
            </w:r>
          </w:p>
        </w:tc>
        <w:tc>
          <w:tcPr>
            <w:tcW w:w="2693" w:type="dxa"/>
            <w:shd w:val="clear" w:color="auto" w:fill="auto"/>
          </w:tcPr>
          <w:p w14:paraId="39A0A510" w14:textId="77777777" w:rsidR="00B33542" w:rsidRPr="005071A1" w:rsidRDefault="00B33542" w:rsidP="009B7AF5">
            <w:pPr>
              <w:pStyle w:val="Tabletext"/>
            </w:pPr>
            <w:r w:rsidRPr="005071A1">
              <w:t>0.14</w:t>
            </w:r>
          </w:p>
        </w:tc>
      </w:tr>
      <w:tr w:rsidR="00B33542" w:rsidRPr="005071A1" w14:paraId="21B8B303" w14:textId="77777777" w:rsidTr="009B7AF5">
        <w:tc>
          <w:tcPr>
            <w:tcW w:w="3119" w:type="dxa"/>
            <w:shd w:val="clear" w:color="auto" w:fill="auto"/>
          </w:tcPr>
          <w:p w14:paraId="26C5AACD" w14:textId="77777777" w:rsidR="00B33542" w:rsidRPr="005071A1" w:rsidRDefault="00B33542" w:rsidP="009B7AF5">
            <w:pPr>
              <w:pStyle w:val="Tabletext"/>
            </w:pPr>
            <w:r w:rsidRPr="005071A1">
              <w:t>20</w:t>
            </w:r>
          </w:p>
        </w:tc>
        <w:tc>
          <w:tcPr>
            <w:tcW w:w="2693" w:type="dxa"/>
            <w:shd w:val="clear" w:color="auto" w:fill="auto"/>
          </w:tcPr>
          <w:p w14:paraId="08362F13" w14:textId="77777777" w:rsidR="00B33542" w:rsidRPr="005071A1" w:rsidRDefault="00B33542" w:rsidP="009B7AF5">
            <w:pPr>
              <w:pStyle w:val="Tabletext"/>
            </w:pPr>
            <w:r w:rsidRPr="005071A1">
              <w:t>0.15</w:t>
            </w:r>
          </w:p>
        </w:tc>
      </w:tr>
      <w:tr w:rsidR="00B33542" w:rsidRPr="005071A1" w14:paraId="045935A0" w14:textId="77777777" w:rsidTr="009B7AF5">
        <w:tc>
          <w:tcPr>
            <w:tcW w:w="3119" w:type="dxa"/>
            <w:shd w:val="clear" w:color="auto" w:fill="auto"/>
          </w:tcPr>
          <w:p w14:paraId="45B83C07" w14:textId="77777777" w:rsidR="00B33542" w:rsidRPr="005071A1" w:rsidRDefault="00B33542" w:rsidP="009B7AF5">
            <w:pPr>
              <w:pStyle w:val="Tabletext"/>
            </w:pPr>
            <w:r w:rsidRPr="005071A1">
              <w:t>21</w:t>
            </w:r>
          </w:p>
        </w:tc>
        <w:tc>
          <w:tcPr>
            <w:tcW w:w="2693" w:type="dxa"/>
            <w:shd w:val="clear" w:color="auto" w:fill="auto"/>
          </w:tcPr>
          <w:p w14:paraId="47E3AC63" w14:textId="77777777" w:rsidR="00B33542" w:rsidRPr="005071A1" w:rsidRDefault="00B33542" w:rsidP="009B7AF5">
            <w:pPr>
              <w:pStyle w:val="Tabletext"/>
            </w:pPr>
            <w:r w:rsidRPr="005071A1">
              <w:t>0.16</w:t>
            </w:r>
          </w:p>
        </w:tc>
      </w:tr>
      <w:tr w:rsidR="00B33542" w:rsidRPr="005071A1" w14:paraId="08FB1131" w14:textId="77777777" w:rsidTr="009B7AF5">
        <w:tc>
          <w:tcPr>
            <w:tcW w:w="3119" w:type="dxa"/>
            <w:shd w:val="clear" w:color="auto" w:fill="auto"/>
          </w:tcPr>
          <w:p w14:paraId="6D6ADE90" w14:textId="77777777" w:rsidR="00B33542" w:rsidRPr="005071A1" w:rsidRDefault="00B33542" w:rsidP="009B7AF5">
            <w:pPr>
              <w:pStyle w:val="Tabletext"/>
            </w:pPr>
            <w:r w:rsidRPr="005071A1">
              <w:t>22</w:t>
            </w:r>
          </w:p>
        </w:tc>
        <w:tc>
          <w:tcPr>
            <w:tcW w:w="2693" w:type="dxa"/>
            <w:shd w:val="clear" w:color="auto" w:fill="auto"/>
          </w:tcPr>
          <w:p w14:paraId="37E9374B" w14:textId="77777777" w:rsidR="00B33542" w:rsidRPr="005071A1" w:rsidRDefault="00B33542" w:rsidP="009B7AF5">
            <w:pPr>
              <w:pStyle w:val="Tabletext"/>
            </w:pPr>
            <w:r w:rsidRPr="005071A1">
              <w:t>0.17</w:t>
            </w:r>
          </w:p>
        </w:tc>
      </w:tr>
      <w:tr w:rsidR="00B33542" w:rsidRPr="005071A1" w14:paraId="71C40398" w14:textId="77777777" w:rsidTr="009B7AF5">
        <w:tc>
          <w:tcPr>
            <w:tcW w:w="3119" w:type="dxa"/>
            <w:shd w:val="clear" w:color="auto" w:fill="auto"/>
          </w:tcPr>
          <w:p w14:paraId="22CF2938" w14:textId="77777777" w:rsidR="00B33542" w:rsidRPr="005071A1" w:rsidRDefault="00B33542" w:rsidP="009B7AF5">
            <w:pPr>
              <w:pStyle w:val="Tabletext"/>
            </w:pPr>
            <w:r w:rsidRPr="005071A1">
              <w:t>23</w:t>
            </w:r>
          </w:p>
        </w:tc>
        <w:tc>
          <w:tcPr>
            <w:tcW w:w="2693" w:type="dxa"/>
            <w:shd w:val="clear" w:color="auto" w:fill="auto"/>
          </w:tcPr>
          <w:p w14:paraId="006D0777" w14:textId="77777777" w:rsidR="00B33542" w:rsidRPr="005071A1" w:rsidRDefault="00B33542" w:rsidP="009B7AF5">
            <w:pPr>
              <w:pStyle w:val="Tabletext"/>
            </w:pPr>
            <w:r w:rsidRPr="005071A1">
              <w:t>0.18</w:t>
            </w:r>
          </w:p>
        </w:tc>
      </w:tr>
      <w:tr w:rsidR="00B33542" w:rsidRPr="005071A1" w14:paraId="353C367F" w14:textId="77777777" w:rsidTr="009B7AF5">
        <w:tc>
          <w:tcPr>
            <w:tcW w:w="3119" w:type="dxa"/>
            <w:shd w:val="clear" w:color="auto" w:fill="auto"/>
          </w:tcPr>
          <w:p w14:paraId="07CAD43C" w14:textId="77777777" w:rsidR="00B33542" w:rsidRPr="005071A1" w:rsidRDefault="00B33542" w:rsidP="009B7AF5">
            <w:pPr>
              <w:pStyle w:val="Tabletext"/>
            </w:pPr>
            <w:r w:rsidRPr="005071A1">
              <w:t>24</w:t>
            </w:r>
          </w:p>
        </w:tc>
        <w:tc>
          <w:tcPr>
            <w:tcW w:w="2693" w:type="dxa"/>
            <w:shd w:val="clear" w:color="auto" w:fill="auto"/>
          </w:tcPr>
          <w:p w14:paraId="0B3CC41D" w14:textId="77777777" w:rsidR="00B33542" w:rsidRPr="005071A1" w:rsidRDefault="00B33542" w:rsidP="009B7AF5">
            <w:pPr>
              <w:pStyle w:val="Tabletext"/>
            </w:pPr>
            <w:r w:rsidRPr="005071A1">
              <w:t>0.20</w:t>
            </w:r>
          </w:p>
        </w:tc>
      </w:tr>
      <w:tr w:rsidR="00B33542" w:rsidRPr="005071A1" w14:paraId="35FA09E9" w14:textId="77777777" w:rsidTr="009B7AF5">
        <w:tc>
          <w:tcPr>
            <w:tcW w:w="3119" w:type="dxa"/>
            <w:shd w:val="clear" w:color="auto" w:fill="auto"/>
          </w:tcPr>
          <w:p w14:paraId="6203752F" w14:textId="77777777" w:rsidR="00B33542" w:rsidRPr="005071A1" w:rsidRDefault="00B33542" w:rsidP="009B7AF5">
            <w:pPr>
              <w:pStyle w:val="Tabletext"/>
            </w:pPr>
            <w:r w:rsidRPr="005071A1">
              <w:t>25</w:t>
            </w:r>
          </w:p>
        </w:tc>
        <w:tc>
          <w:tcPr>
            <w:tcW w:w="2693" w:type="dxa"/>
            <w:shd w:val="clear" w:color="auto" w:fill="auto"/>
          </w:tcPr>
          <w:p w14:paraId="39B37E1E" w14:textId="77777777" w:rsidR="00B33542" w:rsidRPr="005071A1" w:rsidRDefault="00B33542" w:rsidP="009B7AF5">
            <w:pPr>
              <w:pStyle w:val="Tabletext"/>
            </w:pPr>
            <w:r w:rsidRPr="005071A1">
              <w:t>0.21</w:t>
            </w:r>
          </w:p>
        </w:tc>
      </w:tr>
      <w:tr w:rsidR="00B33542" w:rsidRPr="005071A1" w14:paraId="68FB64EC" w14:textId="77777777" w:rsidTr="009B7AF5">
        <w:tc>
          <w:tcPr>
            <w:tcW w:w="3119" w:type="dxa"/>
            <w:shd w:val="clear" w:color="auto" w:fill="auto"/>
          </w:tcPr>
          <w:p w14:paraId="545AEE49" w14:textId="77777777" w:rsidR="00B33542" w:rsidRPr="005071A1" w:rsidRDefault="00B33542" w:rsidP="009B7AF5">
            <w:pPr>
              <w:pStyle w:val="Tabletext"/>
            </w:pPr>
            <w:r w:rsidRPr="005071A1">
              <w:t>26</w:t>
            </w:r>
          </w:p>
        </w:tc>
        <w:tc>
          <w:tcPr>
            <w:tcW w:w="2693" w:type="dxa"/>
            <w:shd w:val="clear" w:color="auto" w:fill="auto"/>
          </w:tcPr>
          <w:p w14:paraId="3F743AAA" w14:textId="77777777" w:rsidR="00B33542" w:rsidRPr="005071A1" w:rsidRDefault="00B33542" w:rsidP="009B7AF5">
            <w:pPr>
              <w:pStyle w:val="Tabletext"/>
            </w:pPr>
            <w:r w:rsidRPr="005071A1">
              <w:t>0.22</w:t>
            </w:r>
          </w:p>
        </w:tc>
      </w:tr>
      <w:tr w:rsidR="00B33542" w:rsidRPr="005071A1" w14:paraId="15E1EDC4" w14:textId="77777777" w:rsidTr="009B7AF5">
        <w:tc>
          <w:tcPr>
            <w:tcW w:w="3119" w:type="dxa"/>
            <w:shd w:val="clear" w:color="auto" w:fill="auto"/>
          </w:tcPr>
          <w:p w14:paraId="0F5B916C" w14:textId="77777777" w:rsidR="00B33542" w:rsidRPr="005071A1" w:rsidRDefault="00B33542" w:rsidP="009B7AF5">
            <w:pPr>
              <w:pStyle w:val="Tabletext"/>
            </w:pPr>
            <w:r w:rsidRPr="005071A1">
              <w:t>27</w:t>
            </w:r>
          </w:p>
        </w:tc>
        <w:tc>
          <w:tcPr>
            <w:tcW w:w="2693" w:type="dxa"/>
            <w:shd w:val="clear" w:color="auto" w:fill="auto"/>
          </w:tcPr>
          <w:p w14:paraId="46E68DFD" w14:textId="77777777" w:rsidR="00B33542" w:rsidRPr="005071A1" w:rsidRDefault="00B33542" w:rsidP="009B7AF5">
            <w:pPr>
              <w:pStyle w:val="Tabletext"/>
            </w:pPr>
            <w:r w:rsidRPr="005071A1">
              <w:t>0.24</w:t>
            </w:r>
          </w:p>
        </w:tc>
      </w:tr>
      <w:tr w:rsidR="00B33542" w:rsidRPr="005071A1" w14:paraId="0FAE82CD" w14:textId="77777777" w:rsidTr="009B7AF5">
        <w:tc>
          <w:tcPr>
            <w:tcW w:w="3119" w:type="dxa"/>
            <w:shd w:val="clear" w:color="auto" w:fill="auto"/>
          </w:tcPr>
          <w:p w14:paraId="176B3D4A" w14:textId="77777777" w:rsidR="00B33542" w:rsidRPr="005071A1" w:rsidRDefault="00B33542" w:rsidP="009B7AF5">
            <w:pPr>
              <w:pStyle w:val="Tabletext"/>
            </w:pPr>
            <w:r w:rsidRPr="005071A1">
              <w:t>28</w:t>
            </w:r>
          </w:p>
        </w:tc>
        <w:tc>
          <w:tcPr>
            <w:tcW w:w="2693" w:type="dxa"/>
            <w:shd w:val="clear" w:color="auto" w:fill="auto"/>
          </w:tcPr>
          <w:p w14:paraId="081B057F" w14:textId="77777777" w:rsidR="00B33542" w:rsidRPr="005071A1" w:rsidRDefault="00B33542" w:rsidP="009B7AF5">
            <w:pPr>
              <w:pStyle w:val="Tabletext"/>
            </w:pPr>
            <w:r w:rsidRPr="005071A1">
              <w:t>0.25</w:t>
            </w:r>
          </w:p>
        </w:tc>
      </w:tr>
      <w:tr w:rsidR="00B33542" w:rsidRPr="005071A1" w14:paraId="13CA981B" w14:textId="77777777" w:rsidTr="009B7AF5">
        <w:tc>
          <w:tcPr>
            <w:tcW w:w="3119" w:type="dxa"/>
            <w:shd w:val="clear" w:color="auto" w:fill="auto"/>
          </w:tcPr>
          <w:p w14:paraId="34DCA5A6" w14:textId="77777777" w:rsidR="00B33542" w:rsidRPr="005071A1" w:rsidRDefault="00B33542" w:rsidP="009B7AF5">
            <w:pPr>
              <w:pStyle w:val="Tabletext"/>
            </w:pPr>
            <w:r w:rsidRPr="005071A1">
              <w:t>29</w:t>
            </w:r>
          </w:p>
        </w:tc>
        <w:tc>
          <w:tcPr>
            <w:tcW w:w="2693" w:type="dxa"/>
            <w:shd w:val="clear" w:color="auto" w:fill="auto"/>
          </w:tcPr>
          <w:p w14:paraId="0FCBAD78" w14:textId="77777777" w:rsidR="00B33542" w:rsidRPr="005071A1" w:rsidRDefault="00B33542" w:rsidP="009B7AF5">
            <w:pPr>
              <w:pStyle w:val="Tabletext"/>
            </w:pPr>
            <w:r w:rsidRPr="005071A1">
              <w:t>0.26</w:t>
            </w:r>
          </w:p>
        </w:tc>
      </w:tr>
      <w:tr w:rsidR="00B33542" w:rsidRPr="005071A1" w14:paraId="3410FF58" w14:textId="77777777" w:rsidTr="009B7AF5">
        <w:tc>
          <w:tcPr>
            <w:tcW w:w="3119" w:type="dxa"/>
            <w:shd w:val="clear" w:color="auto" w:fill="auto"/>
          </w:tcPr>
          <w:p w14:paraId="5E3A1089" w14:textId="77777777" w:rsidR="00B33542" w:rsidRPr="005071A1" w:rsidRDefault="00B33542" w:rsidP="009B7AF5">
            <w:pPr>
              <w:pStyle w:val="Tabletext"/>
            </w:pPr>
            <w:r w:rsidRPr="005071A1">
              <w:t>30</w:t>
            </w:r>
          </w:p>
        </w:tc>
        <w:tc>
          <w:tcPr>
            <w:tcW w:w="2693" w:type="dxa"/>
            <w:shd w:val="clear" w:color="auto" w:fill="auto"/>
          </w:tcPr>
          <w:p w14:paraId="7499319B" w14:textId="77777777" w:rsidR="00B33542" w:rsidRPr="005071A1" w:rsidRDefault="00B33542" w:rsidP="009B7AF5">
            <w:pPr>
              <w:pStyle w:val="Tabletext"/>
            </w:pPr>
            <w:r w:rsidRPr="005071A1">
              <w:t>0.28</w:t>
            </w:r>
          </w:p>
        </w:tc>
      </w:tr>
      <w:tr w:rsidR="00B33542" w:rsidRPr="005071A1" w14:paraId="726866D6" w14:textId="77777777" w:rsidTr="009B7AF5">
        <w:tc>
          <w:tcPr>
            <w:tcW w:w="3119" w:type="dxa"/>
            <w:shd w:val="clear" w:color="auto" w:fill="auto"/>
          </w:tcPr>
          <w:p w14:paraId="0B20AC83" w14:textId="77777777" w:rsidR="00B33542" w:rsidRPr="005071A1" w:rsidRDefault="00B33542" w:rsidP="009B7AF5">
            <w:pPr>
              <w:pStyle w:val="Tabletext"/>
            </w:pPr>
            <w:r w:rsidRPr="005071A1">
              <w:t>31</w:t>
            </w:r>
          </w:p>
        </w:tc>
        <w:tc>
          <w:tcPr>
            <w:tcW w:w="2693" w:type="dxa"/>
            <w:shd w:val="clear" w:color="auto" w:fill="auto"/>
          </w:tcPr>
          <w:p w14:paraId="7F86D363" w14:textId="77777777" w:rsidR="00B33542" w:rsidRPr="005071A1" w:rsidRDefault="00B33542" w:rsidP="009B7AF5">
            <w:pPr>
              <w:pStyle w:val="Tabletext"/>
            </w:pPr>
            <w:r w:rsidRPr="005071A1">
              <w:t>0.30</w:t>
            </w:r>
          </w:p>
        </w:tc>
      </w:tr>
      <w:tr w:rsidR="00B33542" w:rsidRPr="005071A1" w14:paraId="79E632C6" w14:textId="77777777" w:rsidTr="009B7AF5">
        <w:tc>
          <w:tcPr>
            <w:tcW w:w="3119" w:type="dxa"/>
            <w:shd w:val="clear" w:color="auto" w:fill="auto"/>
          </w:tcPr>
          <w:p w14:paraId="2A3E12E9" w14:textId="77777777" w:rsidR="00B33542" w:rsidRPr="005071A1" w:rsidRDefault="00B33542" w:rsidP="009B7AF5">
            <w:pPr>
              <w:pStyle w:val="Tabletext"/>
            </w:pPr>
            <w:r w:rsidRPr="005071A1">
              <w:t>32</w:t>
            </w:r>
          </w:p>
        </w:tc>
        <w:tc>
          <w:tcPr>
            <w:tcW w:w="2693" w:type="dxa"/>
            <w:shd w:val="clear" w:color="auto" w:fill="auto"/>
          </w:tcPr>
          <w:p w14:paraId="2A682F2A" w14:textId="77777777" w:rsidR="00B33542" w:rsidRPr="005071A1" w:rsidRDefault="00B33542" w:rsidP="009B7AF5">
            <w:pPr>
              <w:pStyle w:val="Tabletext"/>
            </w:pPr>
            <w:r w:rsidRPr="005071A1">
              <w:t>0.32</w:t>
            </w:r>
          </w:p>
        </w:tc>
      </w:tr>
      <w:tr w:rsidR="00B33542" w:rsidRPr="005071A1" w14:paraId="11F37D91" w14:textId="77777777" w:rsidTr="009B7AF5">
        <w:tc>
          <w:tcPr>
            <w:tcW w:w="3119" w:type="dxa"/>
            <w:shd w:val="clear" w:color="auto" w:fill="auto"/>
          </w:tcPr>
          <w:p w14:paraId="0F36D1F0" w14:textId="77777777" w:rsidR="00B33542" w:rsidRPr="005071A1" w:rsidRDefault="00B33542" w:rsidP="009B7AF5">
            <w:pPr>
              <w:pStyle w:val="Tabletext"/>
            </w:pPr>
            <w:r w:rsidRPr="005071A1">
              <w:t>33</w:t>
            </w:r>
          </w:p>
        </w:tc>
        <w:tc>
          <w:tcPr>
            <w:tcW w:w="2693" w:type="dxa"/>
            <w:shd w:val="clear" w:color="auto" w:fill="auto"/>
          </w:tcPr>
          <w:p w14:paraId="4520AF57" w14:textId="77777777" w:rsidR="00B33542" w:rsidRPr="005071A1" w:rsidRDefault="00B33542" w:rsidP="009B7AF5">
            <w:pPr>
              <w:pStyle w:val="Tabletext"/>
            </w:pPr>
            <w:r w:rsidRPr="005071A1">
              <w:t>0.34</w:t>
            </w:r>
          </w:p>
        </w:tc>
      </w:tr>
      <w:tr w:rsidR="00B33542" w:rsidRPr="005071A1" w14:paraId="15BF5F18" w14:textId="77777777" w:rsidTr="009B7AF5">
        <w:tc>
          <w:tcPr>
            <w:tcW w:w="3119" w:type="dxa"/>
            <w:shd w:val="clear" w:color="auto" w:fill="auto"/>
          </w:tcPr>
          <w:p w14:paraId="4524D8CD" w14:textId="77777777" w:rsidR="00B33542" w:rsidRPr="005071A1" w:rsidRDefault="00B33542" w:rsidP="009B7AF5">
            <w:pPr>
              <w:pStyle w:val="Tabletext"/>
            </w:pPr>
            <w:r w:rsidRPr="005071A1">
              <w:lastRenderedPageBreak/>
              <w:t>34</w:t>
            </w:r>
          </w:p>
        </w:tc>
        <w:tc>
          <w:tcPr>
            <w:tcW w:w="2693" w:type="dxa"/>
            <w:shd w:val="clear" w:color="auto" w:fill="auto"/>
          </w:tcPr>
          <w:p w14:paraId="319E01FF" w14:textId="77777777" w:rsidR="00B33542" w:rsidRPr="005071A1" w:rsidRDefault="00B33542" w:rsidP="009B7AF5">
            <w:pPr>
              <w:pStyle w:val="Tabletext"/>
            </w:pPr>
            <w:r w:rsidRPr="005071A1">
              <w:t>0.36</w:t>
            </w:r>
          </w:p>
        </w:tc>
      </w:tr>
      <w:tr w:rsidR="00B33542" w:rsidRPr="005071A1" w14:paraId="4AC3880D" w14:textId="77777777" w:rsidTr="009B7AF5">
        <w:tc>
          <w:tcPr>
            <w:tcW w:w="3119" w:type="dxa"/>
            <w:shd w:val="clear" w:color="auto" w:fill="auto"/>
          </w:tcPr>
          <w:p w14:paraId="69AFCBD2" w14:textId="77777777" w:rsidR="00B33542" w:rsidRPr="005071A1" w:rsidRDefault="00B33542" w:rsidP="009B7AF5">
            <w:pPr>
              <w:pStyle w:val="Tabletext"/>
            </w:pPr>
            <w:r w:rsidRPr="005071A1">
              <w:t>35</w:t>
            </w:r>
          </w:p>
        </w:tc>
        <w:tc>
          <w:tcPr>
            <w:tcW w:w="2693" w:type="dxa"/>
            <w:shd w:val="clear" w:color="auto" w:fill="auto"/>
          </w:tcPr>
          <w:p w14:paraId="182B28A9" w14:textId="77777777" w:rsidR="00B33542" w:rsidRPr="005071A1" w:rsidRDefault="00B33542" w:rsidP="009B7AF5">
            <w:pPr>
              <w:pStyle w:val="Tabletext"/>
            </w:pPr>
            <w:r w:rsidRPr="005071A1">
              <w:t>0.38</w:t>
            </w:r>
          </w:p>
        </w:tc>
      </w:tr>
      <w:tr w:rsidR="00B33542" w:rsidRPr="005071A1" w14:paraId="1D49BB82" w14:textId="77777777" w:rsidTr="009B7AF5">
        <w:tc>
          <w:tcPr>
            <w:tcW w:w="3119" w:type="dxa"/>
            <w:shd w:val="clear" w:color="auto" w:fill="auto"/>
          </w:tcPr>
          <w:p w14:paraId="4A473E74" w14:textId="77777777" w:rsidR="00B33542" w:rsidRPr="005071A1" w:rsidRDefault="00B33542" w:rsidP="009B7AF5">
            <w:pPr>
              <w:pStyle w:val="Tabletext"/>
            </w:pPr>
            <w:r w:rsidRPr="005071A1">
              <w:t>36</w:t>
            </w:r>
          </w:p>
        </w:tc>
        <w:tc>
          <w:tcPr>
            <w:tcW w:w="2693" w:type="dxa"/>
            <w:shd w:val="clear" w:color="auto" w:fill="auto"/>
          </w:tcPr>
          <w:p w14:paraId="2A33B8EA" w14:textId="77777777" w:rsidR="00B33542" w:rsidRPr="005071A1" w:rsidRDefault="00B33542" w:rsidP="009B7AF5">
            <w:pPr>
              <w:pStyle w:val="Tabletext"/>
            </w:pPr>
            <w:r w:rsidRPr="005071A1">
              <w:t>0.40</w:t>
            </w:r>
          </w:p>
        </w:tc>
      </w:tr>
      <w:tr w:rsidR="00B33542" w:rsidRPr="005071A1" w14:paraId="0A7BDDF9" w14:textId="77777777" w:rsidTr="009B7AF5">
        <w:tc>
          <w:tcPr>
            <w:tcW w:w="3119" w:type="dxa"/>
            <w:shd w:val="clear" w:color="auto" w:fill="auto"/>
          </w:tcPr>
          <w:p w14:paraId="30AB1D2E" w14:textId="77777777" w:rsidR="00B33542" w:rsidRPr="005071A1" w:rsidRDefault="00B33542" w:rsidP="009B7AF5">
            <w:pPr>
              <w:pStyle w:val="Tabletext"/>
            </w:pPr>
            <w:r w:rsidRPr="005071A1">
              <w:t>37</w:t>
            </w:r>
          </w:p>
        </w:tc>
        <w:tc>
          <w:tcPr>
            <w:tcW w:w="2693" w:type="dxa"/>
            <w:shd w:val="clear" w:color="auto" w:fill="auto"/>
          </w:tcPr>
          <w:p w14:paraId="2F8B34F8" w14:textId="77777777" w:rsidR="00B33542" w:rsidRPr="005071A1" w:rsidRDefault="00B33542" w:rsidP="009B7AF5">
            <w:pPr>
              <w:pStyle w:val="Tabletext"/>
            </w:pPr>
            <w:r w:rsidRPr="005071A1">
              <w:t>0.43</w:t>
            </w:r>
          </w:p>
        </w:tc>
      </w:tr>
      <w:tr w:rsidR="00B33542" w:rsidRPr="005071A1" w14:paraId="7F22D04C" w14:textId="77777777" w:rsidTr="009B7AF5">
        <w:tc>
          <w:tcPr>
            <w:tcW w:w="3119" w:type="dxa"/>
            <w:shd w:val="clear" w:color="auto" w:fill="auto"/>
          </w:tcPr>
          <w:p w14:paraId="4CFF3EB2" w14:textId="77777777" w:rsidR="00B33542" w:rsidRPr="005071A1" w:rsidRDefault="00B33542" w:rsidP="009B7AF5">
            <w:pPr>
              <w:pStyle w:val="Tabletext"/>
            </w:pPr>
            <w:r w:rsidRPr="005071A1">
              <w:t>38</w:t>
            </w:r>
          </w:p>
        </w:tc>
        <w:tc>
          <w:tcPr>
            <w:tcW w:w="2693" w:type="dxa"/>
            <w:shd w:val="clear" w:color="auto" w:fill="auto"/>
          </w:tcPr>
          <w:p w14:paraId="77151711" w14:textId="77777777" w:rsidR="00B33542" w:rsidRPr="005071A1" w:rsidRDefault="00B33542" w:rsidP="009B7AF5">
            <w:pPr>
              <w:pStyle w:val="Tabletext"/>
            </w:pPr>
            <w:r w:rsidRPr="005071A1">
              <w:t>0.46</w:t>
            </w:r>
          </w:p>
        </w:tc>
      </w:tr>
      <w:tr w:rsidR="00B33542" w:rsidRPr="005071A1" w14:paraId="4E0B53E1" w14:textId="77777777" w:rsidTr="009B7AF5">
        <w:tc>
          <w:tcPr>
            <w:tcW w:w="3119" w:type="dxa"/>
            <w:shd w:val="clear" w:color="auto" w:fill="auto"/>
          </w:tcPr>
          <w:p w14:paraId="759DEDD1" w14:textId="77777777" w:rsidR="00B33542" w:rsidRPr="005071A1" w:rsidRDefault="00B33542" w:rsidP="009B7AF5">
            <w:pPr>
              <w:pStyle w:val="Tabletext"/>
            </w:pPr>
            <w:r w:rsidRPr="005071A1">
              <w:t>39</w:t>
            </w:r>
          </w:p>
        </w:tc>
        <w:tc>
          <w:tcPr>
            <w:tcW w:w="2693" w:type="dxa"/>
            <w:shd w:val="clear" w:color="auto" w:fill="auto"/>
          </w:tcPr>
          <w:p w14:paraId="46B94EA8" w14:textId="77777777" w:rsidR="00B33542" w:rsidRPr="005071A1" w:rsidRDefault="00B33542" w:rsidP="009B7AF5">
            <w:pPr>
              <w:pStyle w:val="Tabletext"/>
            </w:pPr>
            <w:r w:rsidRPr="005071A1">
              <w:t>0.49</w:t>
            </w:r>
          </w:p>
        </w:tc>
      </w:tr>
      <w:tr w:rsidR="00B33542" w:rsidRPr="005071A1" w14:paraId="30FBABA0" w14:textId="77777777" w:rsidTr="009B7AF5">
        <w:tc>
          <w:tcPr>
            <w:tcW w:w="3119" w:type="dxa"/>
            <w:shd w:val="clear" w:color="auto" w:fill="auto"/>
          </w:tcPr>
          <w:p w14:paraId="239DB834" w14:textId="77777777" w:rsidR="00B33542" w:rsidRPr="005071A1" w:rsidRDefault="00B33542" w:rsidP="009B7AF5">
            <w:pPr>
              <w:pStyle w:val="Tabletext"/>
            </w:pPr>
            <w:r w:rsidRPr="005071A1">
              <w:t>40</w:t>
            </w:r>
          </w:p>
        </w:tc>
        <w:tc>
          <w:tcPr>
            <w:tcW w:w="2693" w:type="dxa"/>
            <w:shd w:val="clear" w:color="auto" w:fill="auto"/>
          </w:tcPr>
          <w:p w14:paraId="74B07815" w14:textId="77777777" w:rsidR="00B33542" w:rsidRPr="005071A1" w:rsidRDefault="00B33542" w:rsidP="009B7AF5">
            <w:pPr>
              <w:pStyle w:val="Tabletext"/>
            </w:pPr>
            <w:r w:rsidRPr="005071A1">
              <w:t>0.52</w:t>
            </w:r>
          </w:p>
        </w:tc>
      </w:tr>
      <w:tr w:rsidR="00B33542" w:rsidRPr="005071A1" w14:paraId="4885377D" w14:textId="77777777" w:rsidTr="009B7AF5">
        <w:tc>
          <w:tcPr>
            <w:tcW w:w="3119" w:type="dxa"/>
            <w:shd w:val="clear" w:color="auto" w:fill="auto"/>
          </w:tcPr>
          <w:p w14:paraId="41F3E57A" w14:textId="77777777" w:rsidR="00B33542" w:rsidRPr="005071A1" w:rsidRDefault="00B33542" w:rsidP="009B7AF5">
            <w:pPr>
              <w:pStyle w:val="Tabletext"/>
            </w:pPr>
            <w:r w:rsidRPr="005071A1">
              <w:t>41</w:t>
            </w:r>
          </w:p>
        </w:tc>
        <w:tc>
          <w:tcPr>
            <w:tcW w:w="2693" w:type="dxa"/>
            <w:shd w:val="clear" w:color="auto" w:fill="auto"/>
          </w:tcPr>
          <w:p w14:paraId="44B756AE" w14:textId="77777777" w:rsidR="00B33542" w:rsidRPr="005071A1" w:rsidRDefault="00B33542" w:rsidP="009B7AF5">
            <w:pPr>
              <w:pStyle w:val="Tabletext"/>
            </w:pPr>
            <w:r w:rsidRPr="005071A1">
              <w:t>0.56</w:t>
            </w:r>
          </w:p>
        </w:tc>
      </w:tr>
      <w:tr w:rsidR="00B33542" w:rsidRPr="005071A1" w14:paraId="059C3C84" w14:textId="77777777" w:rsidTr="009B7AF5">
        <w:tc>
          <w:tcPr>
            <w:tcW w:w="3119" w:type="dxa"/>
            <w:shd w:val="clear" w:color="auto" w:fill="auto"/>
          </w:tcPr>
          <w:p w14:paraId="39AE8DED" w14:textId="77777777" w:rsidR="00B33542" w:rsidRPr="005071A1" w:rsidRDefault="00B33542" w:rsidP="009B7AF5">
            <w:pPr>
              <w:pStyle w:val="Tabletext"/>
            </w:pPr>
            <w:r w:rsidRPr="005071A1">
              <w:t>42</w:t>
            </w:r>
          </w:p>
        </w:tc>
        <w:tc>
          <w:tcPr>
            <w:tcW w:w="2693" w:type="dxa"/>
            <w:shd w:val="clear" w:color="auto" w:fill="auto"/>
          </w:tcPr>
          <w:p w14:paraId="78879CEE" w14:textId="77777777" w:rsidR="00B33542" w:rsidRPr="005071A1" w:rsidRDefault="00B33542" w:rsidP="009B7AF5">
            <w:pPr>
              <w:pStyle w:val="Tabletext"/>
            </w:pPr>
            <w:r w:rsidRPr="005071A1">
              <w:t>0.60</w:t>
            </w:r>
          </w:p>
        </w:tc>
      </w:tr>
      <w:tr w:rsidR="00B33542" w:rsidRPr="005071A1" w14:paraId="599139EF" w14:textId="77777777" w:rsidTr="009B7AF5">
        <w:tc>
          <w:tcPr>
            <w:tcW w:w="3119" w:type="dxa"/>
            <w:shd w:val="clear" w:color="auto" w:fill="auto"/>
          </w:tcPr>
          <w:p w14:paraId="55CA56B7" w14:textId="77777777" w:rsidR="00B33542" w:rsidRPr="005071A1" w:rsidRDefault="00B33542" w:rsidP="009B7AF5">
            <w:pPr>
              <w:pStyle w:val="Tabletext"/>
            </w:pPr>
            <w:r w:rsidRPr="005071A1">
              <w:t>43</w:t>
            </w:r>
          </w:p>
        </w:tc>
        <w:tc>
          <w:tcPr>
            <w:tcW w:w="2693" w:type="dxa"/>
            <w:shd w:val="clear" w:color="auto" w:fill="auto"/>
          </w:tcPr>
          <w:p w14:paraId="4E6D7E40" w14:textId="77777777" w:rsidR="00B33542" w:rsidRPr="005071A1" w:rsidRDefault="00B33542" w:rsidP="009B7AF5">
            <w:pPr>
              <w:pStyle w:val="Tabletext"/>
            </w:pPr>
            <w:r w:rsidRPr="005071A1">
              <w:t>0.65</w:t>
            </w:r>
          </w:p>
        </w:tc>
      </w:tr>
      <w:tr w:rsidR="00B33542" w:rsidRPr="005071A1" w14:paraId="02562EC2" w14:textId="77777777" w:rsidTr="009B7AF5">
        <w:tc>
          <w:tcPr>
            <w:tcW w:w="3119" w:type="dxa"/>
            <w:shd w:val="clear" w:color="auto" w:fill="auto"/>
          </w:tcPr>
          <w:p w14:paraId="33687A1D" w14:textId="77777777" w:rsidR="00B33542" w:rsidRPr="005071A1" w:rsidRDefault="00B33542" w:rsidP="009B7AF5">
            <w:pPr>
              <w:pStyle w:val="Tabletext"/>
            </w:pPr>
            <w:r w:rsidRPr="005071A1">
              <w:t>44</w:t>
            </w:r>
          </w:p>
        </w:tc>
        <w:tc>
          <w:tcPr>
            <w:tcW w:w="2693" w:type="dxa"/>
            <w:shd w:val="clear" w:color="auto" w:fill="auto"/>
          </w:tcPr>
          <w:p w14:paraId="4A2180C7" w14:textId="77777777" w:rsidR="00B33542" w:rsidRPr="005071A1" w:rsidRDefault="00B33542" w:rsidP="009B7AF5">
            <w:pPr>
              <w:pStyle w:val="Tabletext"/>
            </w:pPr>
            <w:r w:rsidRPr="005071A1">
              <w:t>0.70</w:t>
            </w:r>
          </w:p>
        </w:tc>
      </w:tr>
      <w:tr w:rsidR="00B33542" w:rsidRPr="005071A1" w14:paraId="1FCBB65E" w14:textId="77777777" w:rsidTr="009B7AF5">
        <w:tc>
          <w:tcPr>
            <w:tcW w:w="3119" w:type="dxa"/>
            <w:shd w:val="clear" w:color="auto" w:fill="auto"/>
          </w:tcPr>
          <w:p w14:paraId="3F4C817F" w14:textId="77777777" w:rsidR="00B33542" w:rsidRPr="005071A1" w:rsidRDefault="00B33542" w:rsidP="009B7AF5">
            <w:pPr>
              <w:pStyle w:val="Tabletext"/>
            </w:pPr>
            <w:r w:rsidRPr="005071A1">
              <w:t>45</w:t>
            </w:r>
          </w:p>
        </w:tc>
        <w:tc>
          <w:tcPr>
            <w:tcW w:w="2693" w:type="dxa"/>
            <w:shd w:val="clear" w:color="auto" w:fill="auto"/>
          </w:tcPr>
          <w:p w14:paraId="7510C7BE" w14:textId="77777777" w:rsidR="00B33542" w:rsidRPr="005071A1" w:rsidRDefault="00B33542" w:rsidP="009B7AF5">
            <w:pPr>
              <w:pStyle w:val="Tabletext"/>
            </w:pPr>
            <w:r w:rsidRPr="005071A1">
              <w:t>0.76</w:t>
            </w:r>
          </w:p>
        </w:tc>
      </w:tr>
      <w:tr w:rsidR="00B33542" w:rsidRPr="005071A1" w14:paraId="14AA3F01" w14:textId="77777777" w:rsidTr="009B7AF5">
        <w:tc>
          <w:tcPr>
            <w:tcW w:w="3119" w:type="dxa"/>
            <w:shd w:val="clear" w:color="auto" w:fill="auto"/>
          </w:tcPr>
          <w:p w14:paraId="651FEED1" w14:textId="77777777" w:rsidR="00B33542" w:rsidRPr="005071A1" w:rsidRDefault="00B33542" w:rsidP="009B7AF5">
            <w:pPr>
              <w:pStyle w:val="Tabletext"/>
            </w:pPr>
            <w:r w:rsidRPr="005071A1">
              <w:t>46</w:t>
            </w:r>
          </w:p>
        </w:tc>
        <w:tc>
          <w:tcPr>
            <w:tcW w:w="2693" w:type="dxa"/>
            <w:shd w:val="clear" w:color="auto" w:fill="auto"/>
          </w:tcPr>
          <w:p w14:paraId="1519AA62" w14:textId="77777777" w:rsidR="00B33542" w:rsidRPr="005071A1" w:rsidRDefault="00B33542" w:rsidP="009B7AF5">
            <w:pPr>
              <w:pStyle w:val="Tabletext"/>
            </w:pPr>
            <w:r w:rsidRPr="005071A1">
              <w:t>0.82</w:t>
            </w:r>
          </w:p>
        </w:tc>
      </w:tr>
      <w:tr w:rsidR="00B33542" w:rsidRPr="005071A1" w14:paraId="1F17FB26" w14:textId="77777777" w:rsidTr="009B7AF5">
        <w:tc>
          <w:tcPr>
            <w:tcW w:w="3119" w:type="dxa"/>
            <w:shd w:val="clear" w:color="auto" w:fill="auto"/>
          </w:tcPr>
          <w:p w14:paraId="623FD530" w14:textId="77777777" w:rsidR="00B33542" w:rsidRPr="005071A1" w:rsidRDefault="00B33542" w:rsidP="009B7AF5">
            <w:pPr>
              <w:pStyle w:val="Tabletext"/>
            </w:pPr>
            <w:r w:rsidRPr="005071A1">
              <w:t>47</w:t>
            </w:r>
          </w:p>
        </w:tc>
        <w:tc>
          <w:tcPr>
            <w:tcW w:w="2693" w:type="dxa"/>
            <w:shd w:val="clear" w:color="auto" w:fill="auto"/>
          </w:tcPr>
          <w:p w14:paraId="45E28BBF" w14:textId="77777777" w:rsidR="00B33542" w:rsidRPr="005071A1" w:rsidRDefault="00B33542" w:rsidP="009B7AF5">
            <w:pPr>
              <w:pStyle w:val="Tabletext"/>
            </w:pPr>
            <w:r w:rsidRPr="005071A1">
              <w:t>0.90</w:t>
            </w:r>
          </w:p>
        </w:tc>
      </w:tr>
      <w:tr w:rsidR="00B33542" w:rsidRPr="005071A1" w14:paraId="7C009CA3" w14:textId="77777777" w:rsidTr="009B7AF5">
        <w:tc>
          <w:tcPr>
            <w:tcW w:w="3119" w:type="dxa"/>
            <w:shd w:val="clear" w:color="auto" w:fill="auto"/>
          </w:tcPr>
          <w:p w14:paraId="760AB5B2" w14:textId="77777777" w:rsidR="00B33542" w:rsidRPr="005071A1" w:rsidRDefault="00B33542" w:rsidP="009B7AF5">
            <w:pPr>
              <w:pStyle w:val="Tabletext"/>
            </w:pPr>
            <w:r w:rsidRPr="005071A1">
              <w:t>48</w:t>
            </w:r>
          </w:p>
        </w:tc>
        <w:tc>
          <w:tcPr>
            <w:tcW w:w="2693" w:type="dxa"/>
            <w:shd w:val="clear" w:color="auto" w:fill="auto"/>
          </w:tcPr>
          <w:p w14:paraId="13E96627" w14:textId="77777777" w:rsidR="00B33542" w:rsidRPr="005071A1" w:rsidRDefault="00B33542" w:rsidP="009B7AF5">
            <w:pPr>
              <w:pStyle w:val="Tabletext"/>
            </w:pPr>
            <w:r w:rsidRPr="005071A1">
              <w:t>0.99</w:t>
            </w:r>
          </w:p>
        </w:tc>
      </w:tr>
      <w:tr w:rsidR="00B33542" w:rsidRPr="005071A1" w14:paraId="1D2A6BAD" w14:textId="77777777" w:rsidTr="009B7AF5">
        <w:tc>
          <w:tcPr>
            <w:tcW w:w="3119" w:type="dxa"/>
            <w:shd w:val="clear" w:color="auto" w:fill="auto"/>
          </w:tcPr>
          <w:p w14:paraId="3E861B71" w14:textId="77777777" w:rsidR="00B33542" w:rsidRPr="005071A1" w:rsidRDefault="00B33542" w:rsidP="009B7AF5">
            <w:pPr>
              <w:pStyle w:val="Tabletext"/>
            </w:pPr>
            <w:r w:rsidRPr="005071A1">
              <w:t>49</w:t>
            </w:r>
          </w:p>
        </w:tc>
        <w:tc>
          <w:tcPr>
            <w:tcW w:w="2693" w:type="dxa"/>
            <w:shd w:val="clear" w:color="auto" w:fill="auto"/>
          </w:tcPr>
          <w:p w14:paraId="39D78C34" w14:textId="77777777" w:rsidR="00B33542" w:rsidRPr="005071A1" w:rsidRDefault="00B33542" w:rsidP="009B7AF5">
            <w:pPr>
              <w:pStyle w:val="Tabletext"/>
            </w:pPr>
            <w:r w:rsidRPr="005071A1">
              <w:t>1.10</w:t>
            </w:r>
          </w:p>
        </w:tc>
      </w:tr>
      <w:tr w:rsidR="00B33542" w:rsidRPr="005071A1" w14:paraId="5BF0CE46" w14:textId="77777777" w:rsidTr="009B7AF5">
        <w:tc>
          <w:tcPr>
            <w:tcW w:w="3119" w:type="dxa"/>
            <w:shd w:val="clear" w:color="auto" w:fill="auto"/>
          </w:tcPr>
          <w:p w14:paraId="7F719BF1" w14:textId="77777777" w:rsidR="00B33542" w:rsidRPr="005071A1" w:rsidRDefault="00B33542" w:rsidP="009B7AF5">
            <w:pPr>
              <w:pStyle w:val="Tabletext"/>
            </w:pPr>
            <w:r w:rsidRPr="005071A1">
              <w:t>50</w:t>
            </w:r>
          </w:p>
        </w:tc>
        <w:tc>
          <w:tcPr>
            <w:tcW w:w="2693" w:type="dxa"/>
            <w:shd w:val="clear" w:color="auto" w:fill="auto"/>
          </w:tcPr>
          <w:p w14:paraId="4478736C" w14:textId="77777777" w:rsidR="00B33542" w:rsidRPr="005071A1" w:rsidRDefault="00B33542" w:rsidP="009B7AF5">
            <w:pPr>
              <w:pStyle w:val="Tabletext"/>
            </w:pPr>
            <w:r w:rsidRPr="005071A1">
              <w:t>1.22</w:t>
            </w:r>
          </w:p>
        </w:tc>
      </w:tr>
      <w:tr w:rsidR="00B33542" w:rsidRPr="005071A1" w14:paraId="58F19F1B" w14:textId="77777777" w:rsidTr="009B7AF5">
        <w:tc>
          <w:tcPr>
            <w:tcW w:w="3119" w:type="dxa"/>
            <w:shd w:val="clear" w:color="auto" w:fill="auto"/>
          </w:tcPr>
          <w:p w14:paraId="40263DAE" w14:textId="77777777" w:rsidR="00B33542" w:rsidRPr="005071A1" w:rsidRDefault="00B33542" w:rsidP="009B7AF5">
            <w:pPr>
              <w:pStyle w:val="Tabletext"/>
            </w:pPr>
            <w:r w:rsidRPr="005071A1">
              <w:t>51</w:t>
            </w:r>
          </w:p>
        </w:tc>
        <w:tc>
          <w:tcPr>
            <w:tcW w:w="2693" w:type="dxa"/>
            <w:shd w:val="clear" w:color="auto" w:fill="auto"/>
          </w:tcPr>
          <w:p w14:paraId="1619056B" w14:textId="77777777" w:rsidR="00B33542" w:rsidRPr="005071A1" w:rsidRDefault="00B33542" w:rsidP="009B7AF5">
            <w:pPr>
              <w:pStyle w:val="Tabletext"/>
            </w:pPr>
            <w:r w:rsidRPr="005071A1">
              <w:t>1.38</w:t>
            </w:r>
          </w:p>
        </w:tc>
      </w:tr>
      <w:tr w:rsidR="00B33542" w:rsidRPr="005071A1" w14:paraId="0353C666" w14:textId="77777777" w:rsidTr="009B7AF5">
        <w:tc>
          <w:tcPr>
            <w:tcW w:w="3119" w:type="dxa"/>
            <w:shd w:val="clear" w:color="auto" w:fill="auto"/>
          </w:tcPr>
          <w:p w14:paraId="4871A25A" w14:textId="77777777" w:rsidR="00B33542" w:rsidRPr="005071A1" w:rsidRDefault="00B33542" w:rsidP="009B7AF5">
            <w:pPr>
              <w:pStyle w:val="Tabletext"/>
            </w:pPr>
            <w:r w:rsidRPr="005071A1">
              <w:t>52</w:t>
            </w:r>
          </w:p>
        </w:tc>
        <w:tc>
          <w:tcPr>
            <w:tcW w:w="2693" w:type="dxa"/>
            <w:shd w:val="clear" w:color="auto" w:fill="auto"/>
          </w:tcPr>
          <w:p w14:paraId="4A6E44D7" w14:textId="77777777" w:rsidR="00B33542" w:rsidRPr="005071A1" w:rsidRDefault="00B33542" w:rsidP="009B7AF5">
            <w:pPr>
              <w:pStyle w:val="Tabletext"/>
            </w:pPr>
            <w:r w:rsidRPr="005071A1">
              <w:t>1.57</w:t>
            </w:r>
          </w:p>
        </w:tc>
      </w:tr>
      <w:tr w:rsidR="00B33542" w:rsidRPr="005071A1" w14:paraId="6BB5218B" w14:textId="77777777" w:rsidTr="009B7AF5">
        <w:tc>
          <w:tcPr>
            <w:tcW w:w="3119" w:type="dxa"/>
            <w:shd w:val="clear" w:color="auto" w:fill="auto"/>
          </w:tcPr>
          <w:p w14:paraId="3FEEE5CF" w14:textId="77777777" w:rsidR="00B33542" w:rsidRPr="005071A1" w:rsidRDefault="00B33542" w:rsidP="009B7AF5">
            <w:pPr>
              <w:pStyle w:val="Tabletext"/>
            </w:pPr>
            <w:r w:rsidRPr="005071A1">
              <w:t>53</w:t>
            </w:r>
          </w:p>
        </w:tc>
        <w:tc>
          <w:tcPr>
            <w:tcW w:w="2693" w:type="dxa"/>
            <w:shd w:val="clear" w:color="auto" w:fill="auto"/>
          </w:tcPr>
          <w:p w14:paraId="4AF31D3A" w14:textId="77777777" w:rsidR="00B33542" w:rsidRPr="005071A1" w:rsidRDefault="00B33542" w:rsidP="009B7AF5">
            <w:pPr>
              <w:pStyle w:val="Tabletext"/>
            </w:pPr>
            <w:r w:rsidRPr="005071A1">
              <w:t>1.81</w:t>
            </w:r>
          </w:p>
        </w:tc>
      </w:tr>
      <w:tr w:rsidR="00B33542" w:rsidRPr="005071A1" w14:paraId="1590AC0F" w14:textId="77777777" w:rsidTr="009B7AF5">
        <w:tc>
          <w:tcPr>
            <w:tcW w:w="3119" w:type="dxa"/>
            <w:shd w:val="clear" w:color="auto" w:fill="auto"/>
          </w:tcPr>
          <w:p w14:paraId="1ED4CBC8" w14:textId="77777777" w:rsidR="00B33542" w:rsidRPr="005071A1" w:rsidRDefault="00B33542" w:rsidP="009B7AF5">
            <w:pPr>
              <w:pStyle w:val="Tabletext"/>
            </w:pPr>
            <w:r w:rsidRPr="005071A1">
              <w:t>54</w:t>
            </w:r>
          </w:p>
        </w:tc>
        <w:tc>
          <w:tcPr>
            <w:tcW w:w="2693" w:type="dxa"/>
            <w:shd w:val="clear" w:color="auto" w:fill="auto"/>
          </w:tcPr>
          <w:p w14:paraId="649A7BEA" w14:textId="77777777" w:rsidR="00B33542" w:rsidRPr="005071A1" w:rsidRDefault="00B33542" w:rsidP="009B7AF5">
            <w:pPr>
              <w:pStyle w:val="Tabletext"/>
            </w:pPr>
            <w:r w:rsidRPr="005071A1">
              <w:t>2.14</w:t>
            </w:r>
          </w:p>
        </w:tc>
      </w:tr>
      <w:tr w:rsidR="00B33542" w:rsidRPr="005071A1" w14:paraId="557CE61C" w14:textId="77777777" w:rsidTr="009B7AF5">
        <w:tc>
          <w:tcPr>
            <w:tcW w:w="3119" w:type="dxa"/>
            <w:shd w:val="clear" w:color="auto" w:fill="auto"/>
          </w:tcPr>
          <w:p w14:paraId="6A256C13" w14:textId="77777777" w:rsidR="00B33542" w:rsidRPr="005071A1" w:rsidRDefault="00B33542" w:rsidP="009B7AF5">
            <w:pPr>
              <w:pStyle w:val="Tabletext"/>
            </w:pPr>
            <w:r w:rsidRPr="005071A1">
              <w:t>55</w:t>
            </w:r>
          </w:p>
        </w:tc>
        <w:tc>
          <w:tcPr>
            <w:tcW w:w="2693" w:type="dxa"/>
            <w:shd w:val="clear" w:color="auto" w:fill="auto"/>
          </w:tcPr>
          <w:p w14:paraId="38B010AF" w14:textId="77777777" w:rsidR="00B33542" w:rsidRPr="005071A1" w:rsidRDefault="00B33542" w:rsidP="009B7AF5">
            <w:pPr>
              <w:pStyle w:val="Tabletext"/>
            </w:pPr>
            <w:r w:rsidRPr="005071A1">
              <w:t>2.60</w:t>
            </w:r>
          </w:p>
        </w:tc>
      </w:tr>
      <w:tr w:rsidR="00B33542" w:rsidRPr="005071A1" w14:paraId="7261C3F8" w14:textId="77777777" w:rsidTr="009B7AF5">
        <w:tc>
          <w:tcPr>
            <w:tcW w:w="3119" w:type="dxa"/>
            <w:shd w:val="clear" w:color="auto" w:fill="auto"/>
          </w:tcPr>
          <w:p w14:paraId="3394A686" w14:textId="77777777" w:rsidR="00B33542" w:rsidRPr="005071A1" w:rsidRDefault="00B33542" w:rsidP="009B7AF5">
            <w:pPr>
              <w:pStyle w:val="Tabletext"/>
            </w:pPr>
            <w:r w:rsidRPr="005071A1">
              <w:t>56</w:t>
            </w:r>
          </w:p>
        </w:tc>
        <w:tc>
          <w:tcPr>
            <w:tcW w:w="2693" w:type="dxa"/>
            <w:shd w:val="clear" w:color="auto" w:fill="auto"/>
          </w:tcPr>
          <w:p w14:paraId="68C54129" w14:textId="77777777" w:rsidR="00B33542" w:rsidRPr="005071A1" w:rsidRDefault="00B33542" w:rsidP="009B7AF5">
            <w:pPr>
              <w:pStyle w:val="Tabletext"/>
            </w:pPr>
            <w:r w:rsidRPr="005071A1">
              <w:t>3.28</w:t>
            </w:r>
          </w:p>
        </w:tc>
      </w:tr>
      <w:tr w:rsidR="00B33542" w:rsidRPr="005071A1" w14:paraId="6ACB4307" w14:textId="77777777" w:rsidTr="009B7AF5">
        <w:tc>
          <w:tcPr>
            <w:tcW w:w="3119" w:type="dxa"/>
            <w:shd w:val="clear" w:color="auto" w:fill="auto"/>
          </w:tcPr>
          <w:p w14:paraId="2BA7E786" w14:textId="77777777" w:rsidR="00B33542" w:rsidRPr="005071A1" w:rsidRDefault="00B33542" w:rsidP="009B7AF5">
            <w:pPr>
              <w:pStyle w:val="Tabletext"/>
            </w:pPr>
            <w:r w:rsidRPr="005071A1">
              <w:t>57</w:t>
            </w:r>
          </w:p>
        </w:tc>
        <w:tc>
          <w:tcPr>
            <w:tcW w:w="2693" w:type="dxa"/>
            <w:shd w:val="clear" w:color="auto" w:fill="auto"/>
          </w:tcPr>
          <w:p w14:paraId="6369BED8" w14:textId="77777777" w:rsidR="00B33542" w:rsidRPr="005071A1" w:rsidRDefault="00B33542" w:rsidP="009B7AF5">
            <w:pPr>
              <w:pStyle w:val="Tabletext"/>
            </w:pPr>
            <w:r w:rsidRPr="005071A1">
              <w:t>4.41</w:t>
            </w:r>
          </w:p>
        </w:tc>
      </w:tr>
      <w:tr w:rsidR="00B33542" w:rsidRPr="005071A1" w14:paraId="13BAC7CB" w14:textId="77777777" w:rsidTr="009B7AF5">
        <w:tc>
          <w:tcPr>
            <w:tcW w:w="3119" w:type="dxa"/>
            <w:shd w:val="clear" w:color="auto" w:fill="auto"/>
          </w:tcPr>
          <w:p w14:paraId="12D7463A" w14:textId="77777777" w:rsidR="00B33542" w:rsidRPr="005071A1" w:rsidRDefault="00B33542" w:rsidP="009B7AF5">
            <w:pPr>
              <w:pStyle w:val="Tabletext"/>
            </w:pPr>
            <w:r w:rsidRPr="005071A1">
              <w:t>58</w:t>
            </w:r>
          </w:p>
        </w:tc>
        <w:tc>
          <w:tcPr>
            <w:tcW w:w="2693" w:type="dxa"/>
            <w:shd w:val="clear" w:color="auto" w:fill="auto"/>
          </w:tcPr>
          <w:p w14:paraId="67ADDB16" w14:textId="77777777" w:rsidR="00B33542" w:rsidRPr="005071A1" w:rsidRDefault="00B33542" w:rsidP="009B7AF5">
            <w:pPr>
              <w:pStyle w:val="Tabletext"/>
            </w:pPr>
            <w:r w:rsidRPr="005071A1">
              <w:t>6.66</w:t>
            </w:r>
          </w:p>
        </w:tc>
      </w:tr>
      <w:tr w:rsidR="00B33542" w:rsidRPr="005071A1" w14:paraId="60136F35" w14:textId="77777777" w:rsidTr="009B7AF5">
        <w:tc>
          <w:tcPr>
            <w:tcW w:w="3119" w:type="dxa"/>
            <w:tcBorders>
              <w:bottom w:val="single" w:sz="4" w:space="0" w:color="auto"/>
            </w:tcBorders>
            <w:shd w:val="clear" w:color="auto" w:fill="auto"/>
          </w:tcPr>
          <w:p w14:paraId="7F8F6054" w14:textId="77777777" w:rsidR="00B33542" w:rsidRPr="005071A1" w:rsidRDefault="00B33542" w:rsidP="009B7AF5">
            <w:pPr>
              <w:pStyle w:val="Tabletext"/>
            </w:pPr>
            <w:r w:rsidRPr="005071A1">
              <w:lastRenderedPageBreak/>
              <w:t>59</w:t>
            </w:r>
          </w:p>
        </w:tc>
        <w:tc>
          <w:tcPr>
            <w:tcW w:w="2693" w:type="dxa"/>
            <w:tcBorders>
              <w:bottom w:val="single" w:sz="4" w:space="0" w:color="auto"/>
            </w:tcBorders>
            <w:shd w:val="clear" w:color="auto" w:fill="auto"/>
          </w:tcPr>
          <w:p w14:paraId="3A6F6F73" w14:textId="77777777" w:rsidR="00B33542" w:rsidRPr="005071A1" w:rsidRDefault="00B33542" w:rsidP="009B7AF5">
            <w:pPr>
              <w:pStyle w:val="Tabletext"/>
            </w:pPr>
            <w:r w:rsidRPr="005071A1">
              <w:t>13.28</w:t>
            </w:r>
          </w:p>
        </w:tc>
      </w:tr>
      <w:tr w:rsidR="00B33542" w:rsidRPr="005071A1" w14:paraId="24BF4888" w14:textId="77777777" w:rsidTr="009B7AF5">
        <w:tc>
          <w:tcPr>
            <w:tcW w:w="3119" w:type="dxa"/>
            <w:tcBorders>
              <w:bottom w:val="single" w:sz="12" w:space="0" w:color="auto"/>
            </w:tcBorders>
            <w:shd w:val="clear" w:color="auto" w:fill="auto"/>
          </w:tcPr>
          <w:p w14:paraId="649E3BB0" w14:textId="77777777" w:rsidR="00B33542" w:rsidRPr="005071A1" w:rsidRDefault="00B33542" w:rsidP="009B7AF5">
            <w:pPr>
              <w:pStyle w:val="Tabletext"/>
            </w:pPr>
            <w:r w:rsidRPr="005071A1">
              <w:t>60</w:t>
            </w:r>
          </w:p>
        </w:tc>
        <w:tc>
          <w:tcPr>
            <w:tcW w:w="2693" w:type="dxa"/>
            <w:tcBorders>
              <w:bottom w:val="single" w:sz="12" w:space="0" w:color="auto"/>
            </w:tcBorders>
            <w:shd w:val="clear" w:color="auto" w:fill="auto"/>
          </w:tcPr>
          <w:p w14:paraId="2564BD4F" w14:textId="77777777" w:rsidR="00B33542" w:rsidRPr="005071A1" w:rsidRDefault="00B33542" w:rsidP="009B7AF5">
            <w:pPr>
              <w:pStyle w:val="Tabletext"/>
            </w:pPr>
            <w:r w:rsidRPr="005071A1">
              <w:t>13.97</w:t>
            </w:r>
          </w:p>
        </w:tc>
      </w:tr>
    </w:tbl>
    <w:p w14:paraId="594E5229" w14:textId="77777777" w:rsidR="00B33542" w:rsidRPr="005071A1" w:rsidRDefault="00B33542" w:rsidP="00674A0D">
      <w:pPr>
        <w:pStyle w:val="ActHead5"/>
        <w:pageBreakBefore/>
      </w:pPr>
      <w:bookmarkStart w:id="300" w:name="_Toc185577682"/>
      <w:r w:rsidRPr="005071A1">
        <w:lastRenderedPageBreak/>
        <w:t>Table XIII</w:t>
      </w:r>
      <w:bookmarkEnd w:id="300"/>
    </w:p>
    <w:p w14:paraId="2CB2D70C" w14:textId="77777777" w:rsidR="00B33542" w:rsidRPr="005071A1" w:rsidRDefault="00B33542" w:rsidP="00B33542">
      <w:pPr>
        <w:spacing w:before="120"/>
      </w:pPr>
      <w:r w:rsidRPr="005071A1">
        <w:t xml:space="preserve">Rates of contribution to be paid fortnightly by male contributors for units of pension (other than units of pension to which </w:t>
      </w:r>
      <w:r w:rsidR="008B2950" w:rsidRPr="005071A1">
        <w:t>paragraph (</w:t>
      </w:r>
      <w:r w:rsidRPr="005071A1">
        <w:t xml:space="preserve">b) of </w:t>
      </w:r>
      <w:r w:rsidR="008B2950" w:rsidRPr="005071A1">
        <w:t>subsection (</w:t>
      </w:r>
      <w:r w:rsidRPr="005071A1">
        <w:t>3) of section</w:t>
      </w:r>
      <w:r w:rsidR="008B2950" w:rsidRPr="005071A1">
        <w:t> </w:t>
      </w:r>
      <w:r w:rsidRPr="005071A1">
        <w:t>23 applies) where the obligation to contribute to the fund came into existence before 14th December, 1959, but the obligation to contribute for those units had not come into existence before 1st July, 1962, based on a retiring age of 65 years and the age next birthday of the contributor when the obligation to contribute for those units came or comes into existence</w:t>
      </w:r>
    </w:p>
    <w:p w14:paraId="63F0AD44"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19"/>
        <w:gridCol w:w="2693"/>
      </w:tblGrid>
      <w:tr w:rsidR="00B33542" w:rsidRPr="005071A1" w14:paraId="148E83AA" w14:textId="77777777" w:rsidTr="009B7AF5">
        <w:trPr>
          <w:tblHeader/>
        </w:trPr>
        <w:tc>
          <w:tcPr>
            <w:tcW w:w="3119" w:type="dxa"/>
            <w:tcBorders>
              <w:top w:val="single" w:sz="12" w:space="0" w:color="auto"/>
              <w:bottom w:val="single" w:sz="6" w:space="0" w:color="auto"/>
            </w:tcBorders>
            <w:shd w:val="clear" w:color="auto" w:fill="auto"/>
          </w:tcPr>
          <w:p w14:paraId="2333F59A" w14:textId="77777777" w:rsidR="00B33542" w:rsidRPr="005071A1" w:rsidRDefault="00B33542" w:rsidP="009B7AF5">
            <w:pPr>
              <w:pStyle w:val="TableHeading"/>
            </w:pPr>
            <w:r w:rsidRPr="005071A1">
              <w:t>Column 1</w:t>
            </w:r>
          </w:p>
        </w:tc>
        <w:tc>
          <w:tcPr>
            <w:tcW w:w="2693" w:type="dxa"/>
            <w:tcBorders>
              <w:top w:val="single" w:sz="12" w:space="0" w:color="auto"/>
              <w:bottom w:val="single" w:sz="6" w:space="0" w:color="auto"/>
            </w:tcBorders>
            <w:shd w:val="clear" w:color="auto" w:fill="auto"/>
          </w:tcPr>
          <w:p w14:paraId="1B61DE01" w14:textId="77777777" w:rsidR="00B33542" w:rsidRPr="005071A1" w:rsidRDefault="00B33542" w:rsidP="009B7AF5">
            <w:pPr>
              <w:pStyle w:val="TableHeading"/>
            </w:pPr>
            <w:r w:rsidRPr="005071A1">
              <w:t>Column 2</w:t>
            </w:r>
          </w:p>
        </w:tc>
      </w:tr>
      <w:tr w:rsidR="00B33542" w:rsidRPr="005071A1" w14:paraId="2B3EAD24" w14:textId="77777777" w:rsidTr="009B7AF5">
        <w:trPr>
          <w:tblHeader/>
        </w:trPr>
        <w:tc>
          <w:tcPr>
            <w:tcW w:w="3119" w:type="dxa"/>
            <w:tcBorders>
              <w:top w:val="single" w:sz="6" w:space="0" w:color="auto"/>
              <w:bottom w:val="single" w:sz="6" w:space="0" w:color="auto"/>
            </w:tcBorders>
            <w:shd w:val="clear" w:color="auto" w:fill="auto"/>
          </w:tcPr>
          <w:p w14:paraId="3A5DC62F"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93" w:type="dxa"/>
            <w:tcBorders>
              <w:top w:val="single" w:sz="6" w:space="0" w:color="auto"/>
              <w:bottom w:val="single" w:sz="6" w:space="0" w:color="auto"/>
            </w:tcBorders>
            <w:shd w:val="clear" w:color="auto" w:fill="auto"/>
          </w:tcPr>
          <w:p w14:paraId="3A88C01B"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39717C1F" w14:textId="77777777" w:rsidTr="009B7AF5">
        <w:trPr>
          <w:tblHeader/>
        </w:trPr>
        <w:tc>
          <w:tcPr>
            <w:tcW w:w="3119" w:type="dxa"/>
            <w:tcBorders>
              <w:top w:val="single" w:sz="6" w:space="0" w:color="auto"/>
              <w:bottom w:val="single" w:sz="12" w:space="0" w:color="auto"/>
            </w:tcBorders>
            <w:shd w:val="clear" w:color="auto" w:fill="auto"/>
          </w:tcPr>
          <w:p w14:paraId="1E85160C" w14:textId="77777777" w:rsidR="00B33542" w:rsidRPr="005071A1" w:rsidRDefault="00B33542" w:rsidP="00A516E3">
            <w:pPr>
              <w:pStyle w:val="TableHeading"/>
            </w:pPr>
          </w:p>
        </w:tc>
        <w:tc>
          <w:tcPr>
            <w:tcW w:w="2693" w:type="dxa"/>
            <w:tcBorders>
              <w:top w:val="single" w:sz="6" w:space="0" w:color="auto"/>
              <w:bottom w:val="single" w:sz="12" w:space="0" w:color="auto"/>
            </w:tcBorders>
            <w:shd w:val="clear" w:color="auto" w:fill="auto"/>
          </w:tcPr>
          <w:p w14:paraId="72AB8746" w14:textId="77777777" w:rsidR="00B33542" w:rsidRPr="005071A1" w:rsidRDefault="00B33542" w:rsidP="00A516E3">
            <w:pPr>
              <w:pStyle w:val="TableHeading"/>
            </w:pPr>
            <w:r w:rsidRPr="005071A1">
              <w:t>$</w:t>
            </w:r>
          </w:p>
        </w:tc>
      </w:tr>
      <w:tr w:rsidR="00B33542" w:rsidRPr="005071A1" w14:paraId="36E124E7" w14:textId="77777777" w:rsidTr="009B7AF5">
        <w:tc>
          <w:tcPr>
            <w:tcW w:w="3119" w:type="dxa"/>
            <w:tcBorders>
              <w:top w:val="single" w:sz="12" w:space="0" w:color="auto"/>
            </w:tcBorders>
            <w:shd w:val="clear" w:color="auto" w:fill="auto"/>
          </w:tcPr>
          <w:p w14:paraId="51B3761F" w14:textId="77777777" w:rsidR="00B33542" w:rsidRPr="005071A1" w:rsidRDefault="00B33542" w:rsidP="009B7AF5">
            <w:pPr>
              <w:pStyle w:val="Tabletext"/>
            </w:pPr>
            <w:r w:rsidRPr="005071A1">
              <w:t>15</w:t>
            </w:r>
          </w:p>
        </w:tc>
        <w:tc>
          <w:tcPr>
            <w:tcW w:w="2693" w:type="dxa"/>
            <w:tcBorders>
              <w:top w:val="single" w:sz="12" w:space="0" w:color="auto"/>
            </w:tcBorders>
            <w:shd w:val="clear" w:color="auto" w:fill="auto"/>
          </w:tcPr>
          <w:p w14:paraId="6CC75A53" w14:textId="77777777" w:rsidR="00B33542" w:rsidRPr="005071A1" w:rsidRDefault="00B33542" w:rsidP="009B7AF5">
            <w:pPr>
              <w:pStyle w:val="Tabletext"/>
            </w:pPr>
            <w:r w:rsidRPr="005071A1">
              <w:t>0.08</w:t>
            </w:r>
          </w:p>
        </w:tc>
      </w:tr>
      <w:tr w:rsidR="00B33542" w:rsidRPr="005071A1" w14:paraId="3ED4102A" w14:textId="77777777" w:rsidTr="009B7AF5">
        <w:tc>
          <w:tcPr>
            <w:tcW w:w="3119" w:type="dxa"/>
            <w:shd w:val="clear" w:color="auto" w:fill="auto"/>
          </w:tcPr>
          <w:p w14:paraId="76518A68" w14:textId="77777777" w:rsidR="00B33542" w:rsidRPr="005071A1" w:rsidRDefault="00B33542" w:rsidP="009B7AF5">
            <w:pPr>
              <w:pStyle w:val="Tabletext"/>
            </w:pPr>
            <w:r w:rsidRPr="005071A1">
              <w:t>16</w:t>
            </w:r>
          </w:p>
        </w:tc>
        <w:tc>
          <w:tcPr>
            <w:tcW w:w="2693" w:type="dxa"/>
            <w:shd w:val="clear" w:color="auto" w:fill="auto"/>
          </w:tcPr>
          <w:p w14:paraId="3137A57A" w14:textId="77777777" w:rsidR="00B33542" w:rsidRPr="005071A1" w:rsidRDefault="00B33542" w:rsidP="009B7AF5">
            <w:pPr>
              <w:pStyle w:val="Tabletext"/>
            </w:pPr>
            <w:r w:rsidRPr="005071A1">
              <w:t>0.08</w:t>
            </w:r>
          </w:p>
        </w:tc>
      </w:tr>
      <w:tr w:rsidR="00B33542" w:rsidRPr="005071A1" w14:paraId="72281B4A" w14:textId="77777777" w:rsidTr="009B7AF5">
        <w:tc>
          <w:tcPr>
            <w:tcW w:w="3119" w:type="dxa"/>
            <w:shd w:val="clear" w:color="auto" w:fill="auto"/>
          </w:tcPr>
          <w:p w14:paraId="687CE2BD" w14:textId="77777777" w:rsidR="00B33542" w:rsidRPr="005071A1" w:rsidRDefault="00B33542" w:rsidP="009B7AF5">
            <w:pPr>
              <w:pStyle w:val="Tabletext"/>
            </w:pPr>
            <w:r w:rsidRPr="005071A1">
              <w:t>17</w:t>
            </w:r>
          </w:p>
        </w:tc>
        <w:tc>
          <w:tcPr>
            <w:tcW w:w="2693" w:type="dxa"/>
            <w:shd w:val="clear" w:color="auto" w:fill="auto"/>
          </w:tcPr>
          <w:p w14:paraId="1A135171" w14:textId="77777777" w:rsidR="00B33542" w:rsidRPr="005071A1" w:rsidRDefault="00B33542" w:rsidP="009B7AF5">
            <w:pPr>
              <w:pStyle w:val="Tabletext"/>
            </w:pPr>
            <w:r w:rsidRPr="005071A1">
              <w:t>0.08</w:t>
            </w:r>
          </w:p>
        </w:tc>
      </w:tr>
      <w:tr w:rsidR="00B33542" w:rsidRPr="005071A1" w14:paraId="032C10F2" w14:textId="77777777" w:rsidTr="009B7AF5">
        <w:tc>
          <w:tcPr>
            <w:tcW w:w="3119" w:type="dxa"/>
            <w:shd w:val="clear" w:color="auto" w:fill="auto"/>
          </w:tcPr>
          <w:p w14:paraId="07ABCB6A" w14:textId="77777777" w:rsidR="00B33542" w:rsidRPr="005071A1" w:rsidRDefault="00B33542" w:rsidP="009B7AF5">
            <w:pPr>
              <w:pStyle w:val="Tabletext"/>
            </w:pPr>
            <w:r w:rsidRPr="005071A1">
              <w:t>18</w:t>
            </w:r>
          </w:p>
        </w:tc>
        <w:tc>
          <w:tcPr>
            <w:tcW w:w="2693" w:type="dxa"/>
            <w:shd w:val="clear" w:color="auto" w:fill="auto"/>
          </w:tcPr>
          <w:p w14:paraId="64A759C7" w14:textId="77777777" w:rsidR="00B33542" w:rsidRPr="005071A1" w:rsidRDefault="00B33542" w:rsidP="009B7AF5">
            <w:pPr>
              <w:pStyle w:val="Tabletext"/>
            </w:pPr>
            <w:r w:rsidRPr="005071A1">
              <w:t>0.09</w:t>
            </w:r>
          </w:p>
        </w:tc>
      </w:tr>
      <w:tr w:rsidR="00B33542" w:rsidRPr="005071A1" w14:paraId="05D8030E" w14:textId="77777777" w:rsidTr="009B7AF5">
        <w:tc>
          <w:tcPr>
            <w:tcW w:w="3119" w:type="dxa"/>
            <w:shd w:val="clear" w:color="auto" w:fill="auto"/>
          </w:tcPr>
          <w:p w14:paraId="4C92CBBC" w14:textId="77777777" w:rsidR="00B33542" w:rsidRPr="005071A1" w:rsidRDefault="00B33542" w:rsidP="009B7AF5">
            <w:pPr>
              <w:pStyle w:val="Tabletext"/>
            </w:pPr>
            <w:r w:rsidRPr="005071A1">
              <w:t>19</w:t>
            </w:r>
          </w:p>
        </w:tc>
        <w:tc>
          <w:tcPr>
            <w:tcW w:w="2693" w:type="dxa"/>
            <w:shd w:val="clear" w:color="auto" w:fill="auto"/>
          </w:tcPr>
          <w:p w14:paraId="369ED181" w14:textId="77777777" w:rsidR="00B33542" w:rsidRPr="005071A1" w:rsidRDefault="00B33542" w:rsidP="009B7AF5">
            <w:pPr>
              <w:pStyle w:val="Tabletext"/>
            </w:pPr>
            <w:r w:rsidRPr="005071A1">
              <w:t>0.10</w:t>
            </w:r>
          </w:p>
        </w:tc>
      </w:tr>
      <w:tr w:rsidR="00B33542" w:rsidRPr="005071A1" w14:paraId="51535368" w14:textId="77777777" w:rsidTr="009B7AF5">
        <w:tc>
          <w:tcPr>
            <w:tcW w:w="3119" w:type="dxa"/>
            <w:shd w:val="clear" w:color="auto" w:fill="auto"/>
          </w:tcPr>
          <w:p w14:paraId="4AF9E49C" w14:textId="77777777" w:rsidR="00B33542" w:rsidRPr="005071A1" w:rsidRDefault="00B33542" w:rsidP="009B7AF5">
            <w:pPr>
              <w:pStyle w:val="Tabletext"/>
            </w:pPr>
            <w:r w:rsidRPr="005071A1">
              <w:t>20</w:t>
            </w:r>
          </w:p>
        </w:tc>
        <w:tc>
          <w:tcPr>
            <w:tcW w:w="2693" w:type="dxa"/>
            <w:shd w:val="clear" w:color="auto" w:fill="auto"/>
          </w:tcPr>
          <w:p w14:paraId="6FC41B2C" w14:textId="77777777" w:rsidR="00B33542" w:rsidRPr="005071A1" w:rsidRDefault="00B33542" w:rsidP="009B7AF5">
            <w:pPr>
              <w:pStyle w:val="Tabletext"/>
            </w:pPr>
            <w:r w:rsidRPr="005071A1">
              <w:t>0.10</w:t>
            </w:r>
          </w:p>
        </w:tc>
      </w:tr>
      <w:tr w:rsidR="00B33542" w:rsidRPr="005071A1" w14:paraId="698F73E5" w14:textId="77777777" w:rsidTr="009B7AF5">
        <w:tc>
          <w:tcPr>
            <w:tcW w:w="3119" w:type="dxa"/>
            <w:shd w:val="clear" w:color="auto" w:fill="auto"/>
          </w:tcPr>
          <w:p w14:paraId="04B39055" w14:textId="77777777" w:rsidR="00B33542" w:rsidRPr="005071A1" w:rsidRDefault="00B33542" w:rsidP="009B7AF5">
            <w:pPr>
              <w:pStyle w:val="Tabletext"/>
            </w:pPr>
            <w:r w:rsidRPr="005071A1">
              <w:t>21</w:t>
            </w:r>
          </w:p>
        </w:tc>
        <w:tc>
          <w:tcPr>
            <w:tcW w:w="2693" w:type="dxa"/>
            <w:shd w:val="clear" w:color="auto" w:fill="auto"/>
          </w:tcPr>
          <w:p w14:paraId="77B4AE4B" w14:textId="77777777" w:rsidR="00B33542" w:rsidRPr="005071A1" w:rsidRDefault="00B33542" w:rsidP="009B7AF5">
            <w:pPr>
              <w:pStyle w:val="Tabletext"/>
            </w:pPr>
            <w:r w:rsidRPr="005071A1">
              <w:t>0.11</w:t>
            </w:r>
          </w:p>
        </w:tc>
      </w:tr>
      <w:tr w:rsidR="00B33542" w:rsidRPr="005071A1" w14:paraId="06059FF5" w14:textId="77777777" w:rsidTr="009B7AF5">
        <w:tc>
          <w:tcPr>
            <w:tcW w:w="3119" w:type="dxa"/>
            <w:shd w:val="clear" w:color="auto" w:fill="auto"/>
          </w:tcPr>
          <w:p w14:paraId="3F5E13C0" w14:textId="77777777" w:rsidR="00B33542" w:rsidRPr="005071A1" w:rsidRDefault="00B33542" w:rsidP="009B7AF5">
            <w:pPr>
              <w:pStyle w:val="Tabletext"/>
            </w:pPr>
            <w:r w:rsidRPr="005071A1">
              <w:t>22</w:t>
            </w:r>
          </w:p>
        </w:tc>
        <w:tc>
          <w:tcPr>
            <w:tcW w:w="2693" w:type="dxa"/>
            <w:shd w:val="clear" w:color="auto" w:fill="auto"/>
          </w:tcPr>
          <w:p w14:paraId="17287462" w14:textId="77777777" w:rsidR="00B33542" w:rsidRPr="005071A1" w:rsidRDefault="00B33542" w:rsidP="009B7AF5">
            <w:pPr>
              <w:pStyle w:val="Tabletext"/>
            </w:pPr>
            <w:r w:rsidRPr="005071A1">
              <w:t>0.11</w:t>
            </w:r>
          </w:p>
        </w:tc>
      </w:tr>
      <w:tr w:rsidR="00B33542" w:rsidRPr="005071A1" w14:paraId="5244824F" w14:textId="77777777" w:rsidTr="009B7AF5">
        <w:tc>
          <w:tcPr>
            <w:tcW w:w="3119" w:type="dxa"/>
            <w:shd w:val="clear" w:color="auto" w:fill="auto"/>
          </w:tcPr>
          <w:p w14:paraId="20D63101" w14:textId="77777777" w:rsidR="00B33542" w:rsidRPr="005071A1" w:rsidRDefault="00B33542" w:rsidP="009B7AF5">
            <w:pPr>
              <w:pStyle w:val="Tabletext"/>
            </w:pPr>
            <w:r w:rsidRPr="005071A1">
              <w:t>23</w:t>
            </w:r>
          </w:p>
        </w:tc>
        <w:tc>
          <w:tcPr>
            <w:tcW w:w="2693" w:type="dxa"/>
            <w:shd w:val="clear" w:color="auto" w:fill="auto"/>
          </w:tcPr>
          <w:p w14:paraId="5422B347" w14:textId="77777777" w:rsidR="00B33542" w:rsidRPr="005071A1" w:rsidRDefault="00B33542" w:rsidP="009B7AF5">
            <w:pPr>
              <w:pStyle w:val="Tabletext"/>
            </w:pPr>
            <w:r w:rsidRPr="005071A1">
              <w:t>0.12</w:t>
            </w:r>
          </w:p>
        </w:tc>
      </w:tr>
      <w:tr w:rsidR="00B33542" w:rsidRPr="005071A1" w14:paraId="7C6AAC7A" w14:textId="77777777" w:rsidTr="009B7AF5">
        <w:tc>
          <w:tcPr>
            <w:tcW w:w="3119" w:type="dxa"/>
            <w:shd w:val="clear" w:color="auto" w:fill="auto"/>
          </w:tcPr>
          <w:p w14:paraId="2947F089" w14:textId="77777777" w:rsidR="00B33542" w:rsidRPr="005071A1" w:rsidRDefault="00B33542" w:rsidP="009B7AF5">
            <w:pPr>
              <w:pStyle w:val="Tabletext"/>
            </w:pPr>
            <w:r w:rsidRPr="005071A1">
              <w:t>24</w:t>
            </w:r>
          </w:p>
        </w:tc>
        <w:tc>
          <w:tcPr>
            <w:tcW w:w="2693" w:type="dxa"/>
            <w:shd w:val="clear" w:color="auto" w:fill="auto"/>
          </w:tcPr>
          <w:p w14:paraId="47E37775" w14:textId="77777777" w:rsidR="00B33542" w:rsidRPr="005071A1" w:rsidRDefault="00B33542" w:rsidP="009B7AF5">
            <w:pPr>
              <w:pStyle w:val="Tabletext"/>
            </w:pPr>
            <w:r w:rsidRPr="005071A1">
              <w:t>0.13</w:t>
            </w:r>
          </w:p>
        </w:tc>
      </w:tr>
      <w:tr w:rsidR="00B33542" w:rsidRPr="005071A1" w14:paraId="78EE5746" w14:textId="77777777" w:rsidTr="009B7AF5">
        <w:tc>
          <w:tcPr>
            <w:tcW w:w="3119" w:type="dxa"/>
            <w:shd w:val="clear" w:color="auto" w:fill="auto"/>
          </w:tcPr>
          <w:p w14:paraId="2367B085" w14:textId="77777777" w:rsidR="00B33542" w:rsidRPr="005071A1" w:rsidRDefault="00B33542" w:rsidP="009B7AF5">
            <w:pPr>
              <w:pStyle w:val="Tabletext"/>
            </w:pPr>
            <w:r w:rsidRPr="005071A1">
              <w:t>25</w:t>
            </w:r>
          </w:p>
        </w:tc>
        <w:tc>
          <w:tcPr>
            <w:tcW w:w="2693" w:type="dxa"/>
            <w:shd w:val="clear" w:color="auto" w:fill="auto"/>
          </w:tcPr>
          <w:p w14:paraId="5BEB9CE1" w14:textId="77777777" w:rsidR="00B33542" w:rsidRPr="005071A1" w:rsidRDefault="00B33542" w:rsidP="009B7AF5">
            <w:pPr>
              <w:pStyle w:val="Tabletext"/>
            </w:pPr>
            <w:r w:rsidRPr="005071A1">
              <w:t>0.14</w:t>
            </w:r>
          </w:p>
        </w:tc>
      </w:tr>
      <w:tr w:rsidR="00B33542" w:rsidRPr="005071A1" w14:paraId="6F2E64E8" w14:textId="77777777" w:rsidTr="009B7AF5">
        <w:tc>
          <w:tcPr>
            <w:tcW w:w="3119" w:type="dxa"/>
            <w:shd w:val="clear" w:color="auto" w:fill="auto"/>
          </w:tcPr>
          <w:p w14:paraId="6A971C14" w14:textId="77777777" w:rsidR="00B33542" w:rsidRPr="005071A1" w:rsidRDefault="00B33542" w:rsidP="009B7AF5">
            <w:pPr>
              <w:pStyle w:val="Tabletext"/>
            </w:pPr>
            <w:r w:rsidRPr="005071A1">
              <w:t>26</w:t>
            </w:r>
          </w:p>
        </w:tc>
        <w:tc>
          <w:tcPr>
            <w:tcW w:w="2693" w:type="dxa"/>
            <w:shd w:val="clear" w:color="auto" w:fill="auto"/>
          </w:tcPr>
          <w:p w14:paraId="421D0AA6" w14:textId="77777777" w:rsidR="00B33542" w:rsidRPr="005071A1" w:rsidRDefault="00B33542" w:rsidP="009B7AF5">
            <w:pPr>
              <w:pStyle w:val="Tabletext"/>
            </w:pPr>
            <w:r w:rsidRPr="005071A1">
              <w:t>0.14</w:t>
            </w:r>
          </w:p>
        </w:tc>
      </w:tr>
      <w:tr w:rsidR="00B33542" w:rsidRPr="005071A1" w14:paraId="6A7477EA" w14:textId="77777777" w:rsidTr="009B7AF5">
        <w:tc>
          <w:tcPr>
            <w:tcW w:w="3119" w:type="dxa"/>
            <w:shd w:val="clear" w:color="auto" w:fill="auto"/>
          </w:tcPr>
          <w:p w14:paraId="61E219FB" w14:textId="77777777" w:rsidR="00B33542" w:rsidRPr="005071A1" w:rsidRDefault="00B33542" w:rsidP="009B7AF5">
            <w:pPr>
              <w:pStyle w:val="Tabletext"/>
            </w:pPr>
            <w:r w:rsidRPr="005071A1">
              <w:t>27</w:t>
            </w:r>
          </w:p>
        </w:tc>
        <w:tc>
          <w:tcPr>
            <w:tcW w:w="2693" w:type="dxa"/>
            <w:shd w:val="clear" w:color="auto" w:fill="auto"/>
          </w:tcPr>
          <w:p w14:paraId="3A0B9C35" w14:textId="77777777" w:rsidR="00B33542" w:rsidRPr="005071A1" w:rsidRDefault="00B33542" w:rsidP="009B7AF5">
            <w:pPr>
              <w:pStyle w:val="Tabletext"/>
            </w:pPr>
            <w:r w:rsidRPr="005071A1">
              <w:t>0.15</w:t>
            </w:r>
          </w:p>
        </w:tc>
      </w:tr>
      <w:tr w:rsidR="00B33542" w:rsidRPr="005071A1" w14:paraId="548DC14C" w14:textId="77777777" w:rsidTr="009B7AF5">
        <w:tc>
          <w:tcPr>
            <w:tcW w:w="3119" w:type="dxa"/>
            <w:shd w:val="clear" w:color="auto" w:fill="auto"/>
          </w:tcPr>
          <w:p w14:paraId="112943F9" w14:textId="77777777" w:rsidR="00B33542" w:rsidRPr="005071A1" w:rsidRDefault="00B33542" w:rsidP="009B7AF5">
            <w:pPr>
              <w:pStyle w:val="Tabletext"/>
            </w:pPr>
            <w:r w:rsidRPr="005071A1">
              <w:t>28</w:t>
            </w:r>
          </w:p>
        </w:tc>
        <w:tc>
          <w:tcPr>
            <w:tcW w:w="2693" w:type="dxa"/>
            <w:shd w:val="clear" w:color="auto" w:fill="auto"/>
          </w:tcPr>
          <w:p w14:paraId="77215383" w14:textId="77777777" w:rsidR="00B33542" w:rsidRPr="005071A1" w:rsidRDefault="00B33542" w:rsidP="009B7AF5">
            <w:pPr>
              <w:pStyle w:val="Tabletext"/>
            </w:pPr>
            <w:r w:rsidRPr="005071A1">
              <w:t>0.16</w:t>
            </w:r>
          </w:p>
        </w:tc>
      </w:tr>
      <w:tr w:rsidR="00B33542" w:rsidRPr="005071A1" w14:paraId="6998D52D" w14:textId="77777777" w:rsidTr="009B7AF5">
        <w:tc>
          <w:tcPr>
            <w:tcW w:w="3119" w:type="dxa"/>
            <w:shd w:val="clear" w:color="auto" w:fill="auto"/>
          </w:tcPr>
          <w:p w14:paraId="5D3D726D" w14:textId="77777777" w:rsidR="00B33542" w:rsidRPr="005071A1" w:rsidRDefault="00B33542" w:rsidP="009B7AF5">
            <w:pPr>
              <w:pStyle w:val="Tabletext"/>
            </w:pPr>
            <w:r w:rsidRPr="005071A1">
              <w:t>29</w:t>
            </w:r>
          </w:p>
        </w:tc>
        <w:tc>
          <w:tcPr>
            <w:tcW w:w="2693" w:type="dxa"/>
            <w:shd w:val="clear" w:color="auto" w:fill="auto"/>
          </w:tcPr>
          <w:p w14:paraId="195B9611" w14:textId="77777777" w:rsidR="00B33542" w:rsidRPr="005071A1" w:rsidRDefault="00B33542" w:rsidP="009B7AF5">
            <w:pPr>
              <w:pStyle w:val="Tabletext"/>
            </w:pPr>
            <w:r w:rsidRPr="005071A1">
              <w:t>0.17</w:t>
            </w:r>
          </w:p>
        </w:tc>
      </w:tr>
      <w:tr w:rsidR="00B33542" w:rsidRPr="005071A1" w14:paraId="6A92C787" w14:textId="77777777" w:rsidTr="009B7AF5">
        <w:tc>
          <w:tcPr>
            <w:tcW w:w="3119" w:type="dxa"/>
            <w:shd w:val="clear" w:color="auto" w:fill="auto"/>
          </w:tcPr>
          <w:p w14:paraId="273718BC" w14:textId="77777777" w:rsidR="00B33542" w:rsidRPr="005071A1" w:rsidRDefault="00B33542" w:rsidP="009B7AF5">
            <w:pPr>
              <w:pStyle w:val="Tabletext"/>
            </w:pPr>
            <w:r w:rsidRPr="005071A1">
              <w:t>30</w:t>
            </w:r>
          </w:p>
        </w:tc>
        <w:tc>
          <w:tcPr>
            <w:tcW w:w="2693" w:type="dxa"/>
            <w:shd w:val="clear" w:color="auto" w:fill="auto"/>
          </w:tcPr>
          <w:p w14:paraId="07BCA1AB" w14:textId="77777777" w:rsidR="00B33542" w:rsidRPr="005071A1" w:rsidRDefault="00B33542" w:rsidP="009B7AF5">
            <w:pPr>
              <w:pStyle w:val="Tabletext"/>
            </w:pPr>
            <w:r w:rsidRPr="005071A1">
              <w:t>0.18</w:t>
            </w:r>
          </w:p>
        </w:tc>
      </w:tr>
      <w:tr w:rsidR="00B33542" w:rsidRPr="005071A1" w14:paraId="290BEE0E" w14:textId="77777777" w:rsidTr="009B7AF5">
        <w:tc>
          <w:tcPr>
            <w:tcW w:w="3119" w:type="dxa"/>
            <w:shd w:val="clear" w:color="auto" w:fill="auto"/>
          </w:tcPr>
          <w:p w14:paraId="1BFD7EE8" w14:textId="77777777" w:rsidR="00B33542" w:rsidRPr="005071A1" w:rsidRDefault="00B33542" w:rsidP="009B7AF5">
            <w:pPr>
              <w:pStyle w:val="Tabletext"/>
            </w:pPr>
            <w:r w:rsidRPr="005071A1">
              <w:lastRenderedPageBreak/>
              <w:t>31</w:t>
            </w:r>
          </w:p>
        </w:tc>
        <w:tc>
          <w:tcPr>
            <w:tcW w:w="2693" w:type="dxa"/>
            <w:shd w:val="clear" w:color="auto" w:fill="auto"/>
          </w:tcPr>
          <w:p w14:paraId="66FA3D3B" w14:textId="77777777" w:rsidR="00B33542" w:rsidRPr="005071A1" w:rsidRDefault="00B33542" w:rsidP="009B7AF5">
            <w:pPr>
              <w:pStyle w:val="Tabletext"/>
            </w:pPr>
            <w:r w:rsidRPr="005071A1">
              <w:t>0.19</w:t>
            </w:r>
          </w:p>
        </w:tc>
      </w:tr>
      <w:tr w:rsidR="00B33542" w:rsidRPr="005071A1" w14:paraId="7C53E47F" w14:textId="77777777" w:rsidTr="00D57394">
        <w:tc>
          <w:tcPr>
            <w:tcW w:w="3119" w:type="dxa"/>
            <w:tcBorders>
              <w:bottom w:val="single" w:sz="4" w:space="0" w:color="auto"/>
            </w:tcBorders>
            <w:shd w:val="clear" w:color="auto" w:fill="auto"/>
          </w:tcPr>
          <w:p w14:paraId="49B85EF6" w14:textId="77777777" w:rsidR="00B33542" w:rsidRPr="005071A1" w:rsidRDefault="00B33542" w:rsidP="009B7AF5">
            <w:pPr>
              <w:pStyle w:val="Tabletext"/>
            </w:pPr>
            <w:r w:rsidRPr="005071A1">
              <w:t>32</w:t>
            </w:r>
          </w:p>
        </w:tc>
        <w:tc>
          <w:tcPr>
            <w:tcW w:w="2693" w:type="dxa"/>
            <w:tcBorders>
              <w:bottom w:val="single" w:sz="4" w:space="0" w:color="auto"/>
            </w:tcBorders>
            <w:shd w:val="clear" w:color="auto" w:fill="auto"/>
          </w:tcPr>
          <w:p w14:paraId="411FCEF8" w14:textId="77777777" w:rsidR="00B33542" w:rsidRPr="005071A1" w:rsidRDefault="00B33542" w:rsidP="009B7AF5">
            <w:pPr>
              <w:pStyle w:val="Tabletext"/>
            </w:pPr>
            <w:r w:rsidRPr="005071A1">
              <w:t>0.20</w:t>
            </w:r>
          </w:p>
        </w:tc>
      </w:tr>
      <w:tr w:rsidR="00B33542" w:rsidRPr="005071A1" w14:paraId="6B1B41BA" w14:textId="77777777" w:rsidTr="00D57394">
        <w:tc>
          <w:tcPr>
            <w:tcW w:w="3119" w:type="dxa"/>
            <w:tcBorders>
              <w:bottom w:val="single" w:sz="4" w:space="0" w:color="auto"/>
            </w:tcBorders>
            <w:shd w:val="clear" w:color="auto" w:fill="auto"/>
          </w:tcPr>
          <w:p w14:paraId="3971C543" w14:textId="77777777" w:rsidR="00B33542" w:rsidRPr="005071A1" w:rsidRDefault="00B33542" w:rsidP="009B7AF5">
            <w:pPr>
              <w:pStyle w:val="Tabletext"/>
            </w:pPr>
            <w:r w:rsidRPr="005071A1">
              <w:t>33</w:t>
            </w:r>
          </w:p>
        </w:tc>
        <w:tc>
          <w:tcPr>
            <w:tcW w:w="2693" w:type="dxa"/>
            <w:tcBorders>
              <w:bottom w:val="single" w:sz="4" w:space="0" w:color="auto"/>
            </w:tcBorders>
            <w:shd w:val="clear" w:color="auto" w:fill="auto"/>
          </w:tcPr>
          <w:p w14:paraId="5CA96F2F" w14:textId="77777777" w:rsidR="00B33542" w:rsidRPr="005071A1" w:rsidRDefault="00B33542" w:rsidP="009B7AF5">
            <w:pPr>
              <w:pStyle w:val="Tabletext"/>
            </w:pPr>
            <w:r w:rsidRPr="005071A1">
              <w:t>0.21</w:t>
            </w:r>
          </w:p>
        </w:tc>
      </w:tr>
      <w:tr w:rsidR="00B33542" w:rsidRPr="005071A1" w14:paraId="6F520D9A" w14:textId="77777777" w:rsidTr="00640BB6">
        <w:tc>
          <w:tcPr>
            <w:tcW w:w="3119" w:type="dxa"/>
            <w:tcBorders>
              <w:top w:val="single" w:sz="4" w:space="0" w:color="auto"/>
              <w:bottom w:val="single" w:sz="4" w:space="0" w:color="auto"/>
            </w:tcBorders>
            <w:shd w:val="clear" w:color="auto" w:fill="auto"/>
          </w:tcPr>
          <w:p w14:paraId="0FB56CBE" w14:textId="77777777" w:rsidR="00B33542" w:rsidRPr="005071A1" w:rsidRDefault="00B33542" w:rsidP="009B7AF5">
            <w:pPr>
              <w:pStyle w:val="Tabletext"/>
            </w:pPr>
            <w:r w:rsidRPr="005071A1">
              <w:t>34</w:t>
            </w:r>
          </w:p>
        </w:tc>
        <w:tc>
          <w:tcPr>
            <w:tcW w:w="2693" w:type="dxa"/>
            <w:tcBorders>
              <w:top w:val="single" w:sz="4" w:space="0" w:color="auto"/>
              <w:bottom w:val="single" w:sz="4" w:space="0" w:color="auto"/>
            </w:tcBorders>
            <w:shd w:val="clear" w:color="auto" w:fill="auto"/>
          </w:tcPr>
          <w:p w14:paraId="3E19655A" w14:textId="77777777" w:rsidR="00B33542" w:rsidRPr="005071A1" w:rsidRDefault="00B33542" w:rsidP="009B7AF5">
            <w:pPr>
              <w:pStyle w:val="Tabletext"/>
            </w:pPr>
            <w:r w:rsidRPr="005071A1">
              <w:t>0.23</w:t>
            </w:r>
          </w:p>
        </w:tc>
      </w:tr>
      <w:tr w:rsidR="00B33542" w:rsidRPr="005071A1" w14:paraId="45BDA992" w14:textId="77777777" w:rsidTr="00640BB6">
        <w:tc>
          <w:tcPr>
            <w:tcW w:w="3119" w:type="dxa"/>
            <w:tcBorders>
              <w:bottom w:val="single" w:sz="4" w:space="0" w:color="auto"/>
            </w:tcBorders>
            <w:shd w:val="clear" w:color="auto" w:fill="auto"/>
          </w:tcPr>
          <w:p w14:paraId="39E0B9F7" w14:textId="77777777" w:rsidR="00B33542" w:rsidRPr="005071A1" w:rsidRDefault="00B33542" w:rsidP="009B7AF5">
            <w:pPr>
              <w:pStyle w:val="Tabletext"/>
            </w:pPr>
            <w:r w:rsidRPr="005071A1">
              <w:t>35</w:t>
            </w:r>
          </w:p>
        </w:tc>
        <w:tc>
          <w:tcPr>
            <w:tcW w:w="2693" w:type="dxa"/>
            <w:tcBorders>
              <w:bottom w:val="single" w:sz="4" w:space="0" w:color="auto"/>
            </w:tcBorders>
            <w:shd w:val="clear" w:color="auto" w:fill="auto"/>
          </w:tcPr>
          <w:p w14:paraId="7D4B1DA8" w14:textId="77777777" w:rsidR="00B33542" w:rsidRPr="005071A1" w:rsidRDefault="00B33542" w:rsidP="009B7AF5">
            <w:pPr>
              <w:pStyle w:val="Tabletext"/>
            </w:pPr>
            <w:r w:rsidRPr="005071A1">
              <w:t>0.25</w:t>
            </w:r>
          </w:p>
        </w:tc>
      </w:tr>
      <w:tr w:rsidR="00B33542" w:rsidRPr="005071A1" w14:paraId="1BE08C4A" w14:textId="77777777" w:rsidTr="00640BB6">
        <w:tc>
          <w:tcPr>
            <w:tcW w:w="3119" w:type="dxa"/>
            <w:tcBorders>
              <w:top w:val="single" w:sz="4" w:space="0" w:color="auto"/>
            </w:tcBorders>
            <w:shd w:val="clear" w:color="auto" w:fill="auto"/>
          </w:tcPr>
          <w:p w14:paraId="181F237A" w14:textId="77777777" w:rsidR="00B33542" w:rsidRPr="005071A1" w:rsidRDefault="00B33542" w:rsidP="009B7AF5">
            <w:pPr>
              <w:pStyle w:val="Tabletext"/>
            </w:pPr>
            <w:r w:rsidRPr="005071A1">
              <w:t>36</w:t>
            </w:r>
          </w:p>
        </w:tc>
        <w:tc>
          <w:tcPr>
            <w:tcW w:w="2693" w:type="dxa"/>
            <w:tcBorders>
              <w:top w:val="single" w:sz="4" w:space="0" w:color="auto"/>
            </w:tcBorders>
            <w:shd w:val="clear" w:color="auto" w:fill="auto"/>
          </w:tcPr>
          <w:p w14:paraId="7DA0C633" w14:textId="77777777" w:rsidR="00B33542" w:rsidRPr="005071A1" w:rsidRDefault="00B33542" w:rsidP="009B7AF5">
            <w:pPr>
              <w:pStyle w:val="Tabletext"/>
            </w:pPr>
            <w:r w:rsidRPr="005071A1">
              <w:t>0.26</w:t>
            </w:r>
          </w:p>
        </w:tc>
      </w:tr>
      <w:tr w:rsidR="00B33542" w:rsidRPr="005071A1" w14:paraId="5AF6A9B4" w14:textId="77777777" w:rsidTr="009B7AF5">
        <w:tc>
          <w:tcPr>
            <w:tcW w:w="3119" w:type="dxa"/>
            <w:shd w:val="clear" w:color="auto" w:fill="auto"/>
          </w:tcPr>
          <w:p w14:paraId="1072ACCE" w14:textId="77777777" w:rsidR="00B33542" w:rsidRPr="005071A1" w:rsidRDefault="00B33542" w:rsidP="009B7AF5">
            <w:pPr>
              <w:pStyle w:val="Tabletext"/>
            </w:pPr>
            <w:r w:rsidRPr="005071A1">
              <w:t>37</w:t>
            </w:r>
          </w:p>
        </w:tc>
        <w:tc>
          <w:tcPr>
            <w:tcW w:w="2693" w:type="dxa"/>
            <w:shd w:val="clear" w:color="auto" w:fill="auto"/>
          </w:tcPr>
          <w:p w14:paraId="1A5C1DF9" w14:textId="77777777" w:rsidR="00B33542" w:rsidRPr="005071A1" w:rsidRDefault="00B33542" w:rsidP="009B7AF5">
            <w:pPr>
              <w:pStyle w:val="Tabletext"/>
            </w:pPr>
            <w:r w:rsidRPr="005071A1">
              <w:t>0.27</w:t>
            </w:r>
          </w:p>
        </w:tc>
      </w:tr>
      <w:tr w:rsidR="00B33542" w:rsidRPr="005071A1" w14:paraId="0A8E0222" w14:textId="77777777" w:rsidTr="009B7AF5">
        <w:tc>
          <w:tcPr>
            <w:tcW w:w="3119" w:type="dxa"/>
            <w:shd w:val="clear" w:color="auto" w:fill="auto"/>
          </w:tcPr>
          <w:p w14:paraId="43D94CD6" w14:textId="77777777" w:rsidR="00B33542" w:rsidRPr="005071A1" w:rsidRDefault="00B33542" w:rsidP="009B7AF5">
            <w:pPr>
              <w:pStyle w:val="Tabletext"/>
            </w:pPr>
            <w:r w:rsidRPr="005071A1">
              <w:t>38</w:t>
            </w:r>
          </w:p>
        </w:tc>
        <w:tc>
          <w:tcPr>
            <w:tcW w:w="2693" w:type="dxa"/>
            <w:shd w:val="clear" w:color="auto" w:fill="auto"/>
          </w:tcPr>
          <w:p w14:paraId="02657D8B" w14:textId="77777777" w:rsidR="00B33542" w:rsidRPr="005071A1" w:rsidRDefault="00B33542" w:rsidP="009B7AF5">
            <w:pPr>
              <w:pStyle w:val="Tabletext"/>
            </w:pPr>
            <w:r w:rsidRPr="005071A1">
              <w:t>0.29</w:t>
            </w:r>
          </w:p>
        </w:tc>
      </w:tr>
      <w:tr w:rsidR="00B33542" w:rsidRPr="005071A1" w14:paraId="2F265336" w14:textId="77777777" w:rsidTr="009B7AF5">
        <w:tc>
          <w:tcPr>
            <w:tcW w:w="3119" w:type="dxa"/>
            <w:shd w:val="clear" w:color="auto" w:fill="auto"/>
          </w:tcPr>
          <w:p w14:paraId="04F49485" w14:textId="77777777" w:rsidR="00B33542" w:rsidRPr="005071A1" w:rsidRDefault="00B33542" w:rsidP="009B7AF5">
            <w:pPr>
              <w:pStyle w:val="Tabletext"/>
            </w:pPr>
            <w:r w:rsidRPr="005071A1">
              <w:t>39</w:t>
            </w:r>
          </w:p>
        </w:tc>
        <w:tc>
          <w:tcPr>
            <w:tcW w:w="2693" w:type="dxa"/>
            <w:shd w:val="clear" w:color="auto" w:fill="auto"/>
          </w:tcPr>
          <w:p w14:paraId="35F26556" w14:textId="77777777" w:rsidR="00B33542" w:rsidRPr="005071A1" w:rsidRDefault="00B33542" w:rsidP="009B7AF5">
            <w:pPr>
              <w:pStyle w:val="Tabletext"/>
            </w:pPr>
            <w:r w:rsidRPr="005071A1">
              <w:t>0.31</w:t>
            </w:r>
          </w:p>
        </w:tc>
      </w:tr>
      <w:tr w:rsidR="00B33542" w:rsidRPr="005071A1" w14:paraId="5E3DBC9A" w14:textId="77777777" w:rsidTr="009B7AF5">
        <w:tc>
          <w:tcPr>
            <w:tcW w:w="3119" w:type="dxa"/>
            <w:shd w:val="clear" w:color="auto" w:fill="auto"/>
          </w:tcPr>
          <w:p w14:paraId="6C530FB0" w14:textId="77777777" w:rsidR="00B33542" w:rsidRPr="005071A1" w:rsidRDefault="00B33542" w:rsidP="009B7AF5">
            <w:pPr>
              <w:pStyle w:val="Tabletext"/>
            </w:pPr>
            <w:r w:rsidRPr="005071A1">
              <w:t>40</w:t>
            </w:r>
          </w:p>
        </w:tc>
        <w:tc>
          <w:tcPr>
            <w:tcW w:w="2693" w:type="dxa"/>
            <w:shd w:val="clear" w:color="auto" w:fill="auto"/>
          </w:tcPr>
          <w:p w14:paraId="498DC14E" w14:textId="77777777" w:rsidR="00B33542" w:rsidRPr="005071A1" w:rsidRDefault="00B33542" w:rsidP="009B7AF5">
            <w:pPr>
              <w:pStyle w:val="Tabletext"/>
            </w:pPr>
            <w:r w:rsidRPr="005071A1">
              <w:t>0.33</w:t>
            </w:r>
          </w:p>
        </w:tc>
      </w:tr>
      <w:tr w:rsidR="00B33542" w:rsidRPr="005071A1" w14:paraId="6D554178" w14:textId="77777777" w:rsidTr="009B7AF5">
        <w:tc>
          <w:tcPr>
            <w:tcW w:w="3119" w:type="dxa"/>
            <w:shd w:val="clear" w:color="auto" w:fill="auto"/>
          </w:tcPr>
          <w:p w14:paraId="01795609" w14:textId="77777777" w:rsidR="00B33542" w:rsidRPr="005071A1" w:rsidRDefault="00B33542" w:rsidP="009B7AF5">
            <w:pPr>
              <w:pStyle w:val="Tabletext"/>
            </w:pPr>
            <w:r w:rsidRPr="005071A1">
              <w:t>41</w:t>
            </w:r>
          </w:p>
        </w:tc>
        <w:tc>
          <w:tcPr>
            <w:tcW w:w="2693" w:type="dxa"/>
            <w:shd w:val="clear" w:color="auto" w:fill="auto"/>
          </w:tcPr>
          <w:p w14:paraId="26E654F0" w14:textId="77777777" w:rsidR="00B33542" w:rsidRPr="005071A1" w:rsidRDefault="00B33542" w:rsidP="009B7AF5">
            <w:pPr>
              <w:pStyle w:val="Tabletext"/>
            </w:pPr>
            <w:r w:rsidRPr="005071A1">
              <w:t>0.35</w:t>
            </w:r>
          </w:p>
        </w:tc>
      </w:tr>
      <w:tr w:rsidR="00B33542" w:rsidRPr="005071A1" w14:paraId="4E7965E9" w14:textId="77777777" w:rsidTr="009B7AF5">
        <w:tc>
          <w:tcPr>
            <w:tcW w:w="3119" w:type="dxa"/>
            <w:shd w:val="clear" w:color="auto" w:fill="auto"/>
          </w:tcPr>
          <w:p w14:paraId="7ABD8C78" w14:textId="77777777" w:rsidR="00B33542" w:rsidRPr="005071A1" w:rsidRDefault="00B33542" w:rsidP="009B7AF5">
            <w:pPr>
              <w:pStyle w:val="Tabletext"/>
            </w:pPr>
            <w:r w:rsidRPr="005071A1">
              <w:t>42</w:t>
            </w:r>
          </w:p>
        </w:tc>
        <w:tc>
          <w:tcPr>
            <w:tcW w:w="2693" w:type="dxa"/>
            <w:shd w:val="clear" w:color="auto" w:fill="auto"/>
          </w:tcPr>
          <w:p w14:paraId="54C2C12B" w14:textId="77777777" w:rsidR="00B33542" w:rsidRPr="005071A1" w:rsidRDefault="00B33542" w:rsidP="009B7AF5">
            <w:pPr>
              <w:pStyle w:val="Tabletext"/>
            </w:pPr>
            <w:r w:rsidRPr="005071A1">
              <w:t>0.37</w:t>
            </w:r>
          </w:p>
        </w:tc>
      </w:tr>
      <w:tr w:rsidR="00B33542" w:rsidRPr="005071A1" w14:paraId="6947CF02" w14:textId="77777777" w:rsidTr="009B7AF5">
        <w:tc>
          <w:tcPr>
            <w:tcW w:w="3119" w:type="dxa"/>
            <w:shd w:val="clear" w:color="auto" w:fill="auto"/>
          </w:tcPr>
          <w:p w14:paraId="22478CF0" w14:textId="77777777" w:rsidR="00B33542" w:rsidRPr="005071A1" w:rsidRDefault="00B33542" w:rsidP="009B7AF5">
            <w:pPr>
              <w:pStyle w:val="Tabletext"/>
            </w:pPr>
            <w:r w:rsidRPr="005071A1">
              <w:t>43</w:t>
            </w:r>
          </w:p>
        </w:tc>
        <w:tc>
          <w:tcPr>
            <w:tcW w:w="2693" w:type="dxa"/>
            <w:shd w:val="clear" w:color="auto" w:fill="auto"/>
          </w:tcPr>
          <w:p w14:paraId="2DF69F3E" w14:textId="77777777" w:rsidR="00B33542" w:rsidRPr="005071A1" w:rsidRDefault="00B33542" w:rsidP="009B7AF5">
            <w:pPr>
              <w:pStyle w:val="Tabletext"/>
            </w:pPr>
            <w:r w:rsidRPr="005071A1">
              <w:t>0.40</w:t>
            </w:r>
          </w:p>
        </w:tc>
      </w:tr>
      <w:tr w:rsidR="00B33542" w:rsidRPr="005071A1" w14:paraId="6F1A9684" w14:textId="77777777" w:rsidTr="009B7AF5">
        <w:tc>
          <w:tcPr>
            <w:tcW w:w="3119" w:type="dxa"/>
            <w:shd w:val="clear" w:color="auto" w:fill="auto"/>
          </w:tcPr>
          <w:p w14:paraId="02DD767E" w14:textId="77777777" w:rsidR="00B33542" w:rsidRPr="005071A1" w:rsidRDefault="00B33542" w:rsidP="009B7AF5">
            <w:pPr>
              <w:pStyle w:val="Tabletext"/>
            </w:pPr>
            <w:r w:rsidRPr="005071A1">
              <w:t>44</w:t>
            </w:r>
          </w:p>
        </w:tc>
        <w:tc>
          <w:tcPr>
            <w:tcW w:w="2693" w:type="dxa"/>
            <w:shd w:val="clear" w:color="auto" w:fill="auto"/>
          </w:tcPr>
          <w:p w14:paraId="05176F6F" w14:textId="77777777" w:rsidR="00B33542" w:rsidRPr="005071A1" w:rsidRDefault="00B33542" w:rsidP="009B7AF5">
            <w:pPr>
              <w:pStyle w:val="Tabletext"/>
            </w:pPr>
            <w:r w:rsidRPr="005071A1">
              <w:t>0.43</w:t>
            </w:r>
          </w:p>
        </w:tc>
      </w:tr>
      <w:tr w:rsidR="00B33542" w:rsidRPr="005071A1" w14:paraId="1E77393F" w14:textId="77777777" w:rsidTr="009B7AF5">
        <w:tc>
          <w:tcPr>
            <w:tcW w:w="3119" w:type="dxa"/>
            <w:shd w:val="clear" w:color="auto" w:fill="auto"/>
          </w:tcPr>
          <w:p w14:paraId="6A0D48B1" w14:textId="77777777" w:rsidR="00B33542" w:rsidRPr="005071A1" w:rsidRDefault="00B33542" w:rsidP="009B7AF5">
            <w:pPr>
              <w:pStyle w:val="Tabletext"/>
            </w:pPr>
            <w:r w:rsidRPr="005071A1">
              <w:t>45</w:t>
            </w:r>
          </w:p>
        </w:tc>
        <w:tc>
          <w:tcPr>
            <w:tcW w:w="2693" w:type="dxa"/>
            <w:shd w:val="clear" w:color="auto" w:fill="auto"/>
          </w:tcPr>
          <w:p w14:paraId="1AAA9DDF" w14:textId="77777777" w:rsidR="00B33542" w:rsidRPr="005071A1" w:rsidRDefault="00B33542" w:rsidP="009B7AF5">
            <w:pPr>
              <w:pStyle w:val="Tabletext"/>
            </w:pPr>
            <w:r w:rsidRPr="005071A1">
              <w:t>0.46</w:t>
            </w:r>
          </w:p>
        </w:tc>
      </w:tr>
      <w:tr w:rsidR="00B33542" w:rsidRPr="005071A1" w14:paraId="7B07E918" w14:textId="77777777" w:rsidTr="009B7AF5">
        <w:tc>
          <w:tcPr>
            <w:tcW w:w="3119" w:type="dxa"/>
            <w:shd w:val="clear" w:color="auto" w:fill="auto"/>
          </w:tcPr>
          <w:p w14:paraId="5EDBF96E" w14:textId="77777777" w:rsidR="00B33542" w:rsidRPr="005071A1" w:rsidRDefault="00B33542" w:rsidP="009B7AF5">
            <w:pPr>
              <w:pStyle w:val="Tabletext"/>
            </w:pPr>
            <w:r w:rsidRPr="005071A1">
              <w:t>46</w:t>
            </w:r>
          </w:p>
        </w:tc>
        <w:tc>
          <w:tcPr>
            <w:tcW w:w="2693" w:type="dxa"/>
            <w:shd w:val="clear" w:color="auto" w:fill="auto"/>
          </w:tcPr>
          <w:p w14:paraId="37FCDF1B" w14:textId="77777777" w:rsidR="00B33542" w:rsidRPr="005071A1" w:rsidRDefault="00B33542" w:rsidP="009B7AF5">
            <w:pPr>
              <w:pStyle w:val="Tabletext"/>
            </w:pPr>
            <w:r w:rsidRPr="005071A1">
              <w:t>0.49</w:t>
            </w:r>
          </w:p>
        </w:tc>
      </w:tr>
      <w:tr w:rsidR="00B33542" w:rsidRPr="005071A1" w14:paraId="07B25823" w14:textId="77777777" w:rsidTr="009B7AF5">
        <w:tc>
          <w:tcPr>
            <w:tcW w:w="3119" w:type="dxa"/>
            <w:shd w:val="clear" w:color="auto" w:fill="auto"/>
          </w:tcPr>
          <w:p w14:paraId="79863933" w14:textId="77777777" w:rsidR="00B33542" w:rsidRPr="005071A1" w:rsidRDefault="00B33542" w:rsidP="009B7AF5">
            <w:pPr>
              <w:pStyle w:val="Tabletext"/>
            </w:pPr>
            <w:r w:rsidRPr="005071A1">
              <w:t>47</w:t>
            </w:r>
          </w:p>
        </w:tc>
        <w:tc>
          <w:tcPr>
            <w:tcW w:w="2693" w:type="dxa"/>
            <w:shd w:val="clear" w:color="auto" w:fill="auto"/>
          </w:tcPr>
          <w:p w14:paraId="2D4D408E" w14:textId="77777777" w:rsidR="00B33542" w:rsidRPr="005071A1" w:rsidRDefault="00B33542" w:rsidP="009B7AF5">
            <w:pPr>
              <w:pStyle w:val="Tabletext"/>
            </w:pPr>
            <w:r w:rsidRPr="005071A1">
              <w:t>0.53</w:t>
            </w:r>
          </w:p>
        </w:tc>
      </w:tr>
      <w:tr w:rsidR="00B33542" w:rsidRPr="005071A1" w14:paraId="28A67196" w14:textId="77777777" w:rsidTr="009B7AF5">
        <w:tc>
          <w:tcPr>
            <w:tcW w:w="3119" w:type="dxa"/>
            <w:shd w:val="clear" w:color="auto" w:fill="auto"/>
          </w:tcPr>
          <w:p w14:paraId="5FEBF44E" w14:textId="77777777" w:rsidR="00B33542" w:rsidRPr="005071A1" w:rsidRDefault="00B33542" w:rsidP="009B7AF5">
            <w:pPr>
              <w:pStyle w:val="Tabletext"/>
            </w:pPr>
            <w:r w:rsidRPr="005071A1">
              <w:t>48</w:t>
            </w:r>
          </w:p>
        </w:tc>
        <w:tc>
          <w:tcPr>
            <w:tcW w:w="2693" w:type="dxa"/>
            <w:shd w:val="clear" w:color="auto" w:fill="auto"/>
          </w:tcPr>
          <w:p w14:paraId="7A083A03" w14:textId="77777777" w:rsidR="00B33542" w:rsidRPr="005071A1" w:rsidRDefault="00B33542" w:rsidP="009B7AF5">
            <w:pPr>
              <w:pStyle w:val="Tabletext"/>
            </w:pPr>
            <w:r w:rsidRPr="005071A1">
              <w:t>0.57</w:t>
            </w:r>
          </w:p>
        </w:tc>
      </w:tr>
      <w:tr w:rsidR="00B33542" w:rsidRPr="005071A1" w14:paraId="36FB08BD" w14:textId="77777777" w:rsidTr="009B7AF5">
        <w:tc>
          <w:tcPr>
            <w:tcW w:w="3119" w:type="dxa"/>
            <w:shd w:val="clear" w:color="auto" w:fill="auto"/>
          </w:tcPr>
          <w:p w14:paraId="146061EF" w14:textId="77777777" w:rsidR="00B33542" w:rsidRPr="005071A1" w:rsidRDefault="00B33542" w:rsidP="009B7AF5">
            <w:pPr>
              <w:pStyle w:val="Tabletext"/>
            </w:pPr>
            <w:r w:rsidRPr="005071A1">
              <w:t>49</w:t>
            </w:r>
          </w:p>
        </w:tc>
        <w:tc>
          <w:tcPr>
            <w:tcW w:w="2693" w:type="dxa"/>
            <w:shd w:val="clear" w:color="auto" w:fill="auto"/>
          </w:tcPr>
          <w:p w14:paraId="5099CA84" w14:textId="77777777" w:rsidR="00B33542" w:rsidRPr="005071A1" w:rsidRDefault="00B33542" w:rsidP="009B7AF5">
            <w:pPr>
              <w:pStyle w:val="Tabletext"/>
            </w:pPr>
            <w:r w:rsidRPr="005071A1">
              <w:t>0.62</w:t>
            </w:r>
          </w:p>
        </w:tc>
      </w:tr>
      <w:tr w:rsidR="00B33542" w:rsidRPr="005071A1" w14:paraId="020893F4" w14:textId="77777777" w:rsidTr="009B7AF5">
        <w:tc>
          <w:tcPr>
            <w:tcW w:w="3119" w:type="dxa"/>
            <w:shd w:val="clear" w:color="auto" w:fill="auto"/>
          </w:tcPr>
          <w:p w14:paraId="578B0BE2" w14:textId="77777777" w:rsidR="00B33542" w:rsidRPr="005071A1" w:rsidRDefault="00B33542" w:rsidP="009B7AF5">
            <w:pPr>
              <w:pStyle w:val="Tabletext"/>
            </w:pPr>
            <w:r w:rsidRPr="005071A1">
              <w:t>50</w:t>
            </w:r>
          </w:p>
        </w:tc>
        <w:tc>
          <w:tcPr>
            <w:tcW w:w="2693" w:type="dxa"/>
            <w:shd w:val="clear" w:color="auto" w:fill="auto"/>
          </w:tcPr>
          <w:p w14:paraId="0C53B30C" w14:textId="77777777" w:rsidR="00B33542" w:rsidRPr="005071A1" w:rsidRDefault="00B33542" w:rsidP="009B7AF5">
            <w:pPr>
              <w:pStyle w:val="Tabletext"/>
            </w:pPr>
            <w:r w:rsidRPr="005071A1">
              <w:t>0.67</w:t>
            </w:r>
          </w:p>
        </w:tc>
      </w:tr>
      <w:tr w:rsidR="00B33542" w:rsidRPr="005071A1" w14:paraId="753BF844" w14:textId="77777777" w:rsidTr="009B7AF5">
        <w:tc>
          <w:tcPr>
            <w:tcW w:w="3119" w:type="dxa"/>
            <w:shd w:val="clear" w:color="auto" w:fill="auto"/>
          </w:tcPr>
          <w:p w14:paraId="1E209AC9" w14:textId="77777777" w:rsidR="00B33542" w:rsidRPr="005071A1" w:rsidRDefault="00B33542" w:rsidP="009B7AF5">
            <w:pPr>
              <w:pStyle w:val="Tabletext"/>
            </w:pPr>
            <w:r w:rsidRPr="005071A1">
              <w:t>51</w:t>
            </w:r>
          </w:p>
        </w:tc>
        <w:tc>
          <w:tcPr>
            <w:tcW w:w="2693" w:type="dxa"/>
            <w:shd w:val="clear" w:color="auto" w:fill="auto"/>
          </w:tcPr>
          <w:p w14:paraId="63DECBC4" w14:textId="77777777" w:rsidR="00B33542" w:rsidRPr="005071A1" w:rsidRDefault="00B33542" w:rsidP="009B7AF5">
            <w:pPr>
              <w:pStyle w:val="Tabletext"/>
            </w:pPr>
            <w:r w:rsidRPr="005071A1">
              <w:t>0.74</w:t>
            </w:r>
          </w:p>
        </w:tc>
      </w:tr>
      <w:tr w:rsidR="00B33542" w:rsidRPr="005071A1" w14:paraId="791A7C4A" w14:textId="77777777" w:rsidTr="009B7AF5">
        <w:tc>
          <w:tcPr>
            <w:tcW w:w="3119" w:type="dxa"/>
            <w:shd w:val="clear" w:color="auto" w:fill="auto"/>
          </w:tcPr>
          <w:p w14:paraId="18B02F48" w14:textId="77777777" w:rsidR="00B33542" w:rsidRPr="005071A1" w:rsidRDefault="00B33542" w:rsidP="009B7AF5">
            <w:pPr>
              <w:pStyle w:val="Tabletext"/>
            </w:pPr>
            <w:r w:rsidRPr="005071A1">
              <w:t>52</w:t>
            </w:r>
          </w:p>
        </w:tc>
        <w:tc>
          <w:tcPr>
            <w:tcW w:w="2693" w:type="dxa"/>
            <w:shd w:val="clear" w:color="auto" w:fill="auto"/>
          </w:tcPr>
          <w:p w14:paraId="3A12AA42" w14:textId="77777777" w:rsidR="00B33542" w:rsidRPr="005071A1" w:rsidRDefault="00B33542" w:rsidP="009B7AF5">
            <w:pPr>
              <w:pStyle w:val="Tabletext"/>
            </w:pPr>
            <w:r w:rsidRPr="005071A1">
              <w:t>0.81</w:t>
            </w:r>
          </w:p>
        </w:tc>
      </w:tr>
      <w:tr w:rsidR="00B33542" w:rsidRPr="005071A1" w14:paraId="71D02905" w14:textId="77777777" w:rsidTr="009B7AF5">
        <w:tc>
          <w:tcPr>
            <w:tcW w:w="3119" w:type="dxa"/>
            <w:shd w:val="clear" w:color="auto" w:fill="auto"/>
          </w:tcPr>
          <w:p w14:paraId="081F2CAE" w14:textId="77777777" w:rsidR="00B33542" w:rsidRPr="005071A1" w:rsidRDefault="00B33542" w:rsidP="009B7AF5">
            <w:pPr>
              <w:pStyle w:val="Tabletext"/>
            </w:pPr>
            <w:r w:rsidRPr="005071A1">
              <w:t>53</w:t>
            </w:r>
          </w:p>
        </w:tc>
        <w:tc>
          <w:tcPr>
            <w:tcW w:w="2693" w:type="dxa"/>
            <w:shd w:val="clear" w:color="auto" w:fill="auto"/>
          </w:tcPr>
          <w:p w14:paraId="2F01C430" w14:textId="77777777" w:rsidR="00B33542" w:rsidRPr="005071A1" w:rsidRDefault="00B33542" w:rsidP="009B7AF5">
            <w:pPr>
              <w:pStyle w:val="Tabletext"/>
            </w:pPr>
            <w:r w:rsidRPr="005071A1">
              <w:t>0.89</w:t>
            </w:r>
          </w:p>
        </w:tc>
      </w:tr>
      <w:tr w:rsidR="00B33542" w:rsidRPr="005071A1" w14:paraId="68ACC3A2" w14:textId="77777777" w:rsidTr="009B7AF5">
        <w:tc>
          <w:tcPr>
            <w:tcW w:w="3119" w:type="dxa"/>
            <w:shd w:val="clear" w:color="auto" w:fill="auto"/>
          </w:tcPr>
          <w:p w14:paraId="59C29EE0" w14:textId="77777777" w:rsidR="00B33542" w:rsidRPr="005071A1" w:rsidRDefault="00B33542" w:rsidP="009B7AF5">
            <w:pPr>
              <w:pStyle w:val="Tabletext"/>
            </w:pPr>
            <w:r w:rsidRPr="005071A1">
              <w:t>54</w:t>
            </w:r>
          </w:p>
        </w:tc>
        <w:tc>
          <w:tcPr>
            <w:tcW w:w="2693" w:type="dxa"/>
            <w:shd w:val="clear" w:color="auto" w:fill="auto"/>
          </w:tcPr>
          <w:p w14:paraId="1A55CD2C" w14:textId="77777777" w:rsidR="00B33542" w:rsidRPr="005071A1" w:rsidRDefault="00B33542" w:rsidP="009B7AF5">
            <w:pPr>
              <w:pStyle w:val="Tabletext"/>
            </w:pPr>
            <w:r w:rsidRPr="005071A1">
              <w:t>0.99</w:t>
            </w:r>
          </w:p>
        </w:tc>
      </w:tr>
      <w:tr w:rsidR="00B33542" w:rsidRPr="005071A1" w14:paraId="2C03CFAD" w14:textId="77777777" w:rsidTr="009B7AF5">
        <w:tc>
          <w:tcPr>
            <w:tcW w:w="3119" w:type="dxa"/>
            <w:shd w:val="clear" w:color="auto" w:fill="auto"/>
          </w:tcPr>
          <w:p w14:paraId="46DA15F6" w14:textId="77777777" w:rsidR="00B33542" w:rsidRPr="005071A1" w:rsidRDefault="00B33542" w:rsidP="009B7AF5">
            <w:pPr>
              <w:pStyle w:val="Tabletext"/>
            </w:pPr>
            <w:r w:rsidRPr="005071A1">
              <w:t>55</w:t>
            </w:r>
          </w:p>
        </w:tc>
        <w:tc>
          <w:tcPr>
            <w:tcW w:w="2693" w:type="dxa"/>
            <w:shd w:val="clear" w:color="auto" w:fill="auto"/>
          </w:tcPr>
          <w:p w14:paraId="37895EBA" w14:textId="77777777" w:rsidR="00B33542" w:rsidRPr="005071A1" w:rsidRDefault="00B33542" w:rsidP="009B7AF5">
            <w:pPr>
              <w:pStyle w:val="Tabletext"/>
            </w:pPr>
            <w:r w:rsidRPr="005071A1">
              <w:t>1.11</w:t>
            </w:r>
          </w:p>
        </w:tc>
      </w:tr>
      <w:tr w:rsidR="00B33542" w:rsidRPr="005071A1" w14:paraId="13BBD613" w14:textId="77777777" w:rsidTr="009B7AF5">
        <w:tc>
          <w:tcPr>
            <w:tcW w:w="3119" w:type="dxa"/>
            <w:shd w:val="clear" w:color="auto" w:fill="auto"/>
          </w:tcPr>
          <w:p w14:paraId="2942EBFA" w14:textId="77777777" w:rsidR="00B33542" w:rsidRPr="005071A1" w:rsidRDefault="00B33542" w:rsidP="009B7AF5">
            <w:pPr>
              <w:pStyle w:val="Tabletext"/>
            </w:pPr>
            <w:r w:rsidRPr="005071A1">
              <w:t>56</w:t>
            </w:r>
          </w:p>
        </w:tc>
        <w:tc>
          <w:tcPr>
            <w:tcW w:w="2693" w:type="dxa"/>
            <w:shd w:val="clear" w:color="auto" w:fill="auto"/>
          </w:tcPr>
          <w:p w14:paraId="07639E48" w14:textId="77777777" w:rsidR="00B33542" w:rsidRPr="005071A1" w:rsidRDefault="00B33542" w:rsidP="009B7AF5">
            <w:pPr>
              <w:pStyle w:val="Tabletext"/>
            </w:pPr>
            <w:r w:rsidRPr="005071A1">
              <w:t>1.25</w:t>
            </w:r>
          </w:p>
        </w:tc>
      </w:tr>
      <w:tr w:rsidR="00B33542" w:rsidRPr="005071A1" w14:paraId="64408910" w14:textId="77777777" w:rsidTr="009B7AF5">
        <w:tc>
          <w:tcPr>
            <w:tcW w:w="3119" w:type="dxa"/>
            <w:shd w:val="clear" w:color="auto" w:fill="auto"/>
          </w:tcPr>
          <w:p w14:paraId="281046EF" w14:textId="77777777" w:rsidR="00B33542" w:rsidRPr="005071A1" w:rsidRDefault="00B33542" w:rsidP="009B7AF5">
            <w:pPr>
              <w:pStyle w:val="Tabletext"/>
            </w:pPr>
            <w:r w:rsidRPr="005071A1">
              <w:lastRenderedPageBreak/>
              <w:t>57</w:t>
            </w:r>
          </w:p>
        </w:tc>
        <w:tc>
          <w:tcPr>
            <w:tcW w:w="2693" w:type="dxa"/>
            <w:shd w:val="clear" w:color="auto" w:fill="auto"/>
          </w:tcPr>
          <w:p w14:paraId="137E02DD" w14:textId="77777777" w:rsidR="00B33542" w:rsidRPr="005071A1" w:rsidRDefault="00B33542" w:rsidP="009B7AF5">
            <w:pPr>
              <w:pStyle w:val="Tabletext"/>
            </w:pPr>
            <w:r w:rsidRPr="005071A1">
              <w:t>1.42</w:t>
            </w:r>
          </w:p>
        </w:tc>
      </w:tr>
      <w:tr w:rsidR="00B33542" w:rsidRPr="005071A1" w14:paraId="179E071D" w14:textId="77777777" w:rsidTr="009B7AF5">
        <w:tc>
          <w:tcPr>
            <w:tcW w:w="3119" w:type="dxa"/>
            <w:shd w:val="clear" w:color="auto" w:fill="auto"/>
          </w:tcPr>
          <w:p w14:paraId="1AD70E2C" w14:textId="77777777" w:rsidR="00B33542" w:rsidRPr="005071A1" w:rsidRDefault="00B33542" w:rsidP="009B7AF5">
            <w:pPr>
              <w:pStyle w:val="Tabletext"/>
            </w:pPr>
            <w:r w:rsidRPr="005071A1">
              <w:t>58</w:t>
            </w:r>
          </w:p>
        </w:tc>
        <w:tc>
          <w:tcPr>
            <w:tcW w:w="2693" w:type="dxa"/>
            <w:shd w:val="clear" w:color="auto" w:fill="auto"/>
          </w:tcPr>
          <w:p w14:paraId="47475BEA" w14:textId="77777777" w:rsidR="00B33542" w:rsidRPr="005071A1" w:rsidRDefault="00B33542" w:rsidP="009B7AF5">
            <w:pPr>
              <w:pStyle w:val="Tabletext"/>
            </w:pPr>
            <w:r w:rsidRPr="005071A1">
              <w:t>1.64</w:t>
            </w:r>
          </w:p>
        </w:tc>
      </w:tr>
      <w:tr w:rsidR="00B33542" w:rsidRPr="005071A1" w14:paraId="191318BB" w14:textId="77777777" w:rsidTr="009B7AF5">
        <w:tc>
          <w:tcPr>
            <w:tcW w:w="3119" w:type="dxa"/>
            <w:shd w:val="clear" w:color="auto" w:fill="auto"/>
          </w:tcPr>
          <w:p w14:paraId="2483949D" w14:textId="77777777" w:rsidR="00B33542" w:rsidRPr="005071A1" w:rsidRDefault="00B33542" w:rsidP="009B7AF5">
            <w:pPr>
              <w:pStyle w:val="Tabletext"/>
            </w:pPr>
            <w:r w:rsidRPr="005071A1">
              <w:t>59</w:t>
            </w:r>
          </w:p>
        </w:tc>
        <w:tc>
          <w:tcPr>
            <w:tcW w:w="2693" w:type="dxa"/>
            <w:shd w:val="clear" w:color="auto" w:fill="auto"/>
          </w:tcPr>
          <w:p w14:paraId="66E923E6" w14:textId="77777777" w:rsidR="00B33542" w:rsidRPr="005071A1" w:rsidRDefault="00B33542" w:rsidP="009B7AF5">
            <w:pPr>
              <w:pStyle w:val="Tabletext"/>
            </w:pPr>
            <w:r w:rsidRPr="005071A1">
              <w:t>1.93</w:t>
            </w:r>
          </w:p>
        </w:tc>
      </w:tr>
      <w:tr w:rsidR="00B33542" w:rsidRPr="005071A1" w14:paraId="285699C7" w14:textId="77777777" w:rsidTr="009B7AF5">
        <w:tc>
          <w:tcPr>
            <w:tcW w:w="3119" w:type="dxa"/>
            <w:shd w:val="clear" w:color="auto" w:fill="auto"/>
          </w:tcPr>
          <w:p w14:paraId="0CA8802C" w14:textId="77777777" w:rsidR="00B33542" w:rsidRPr="005071A1" w:rsidRDefault="00B33542" w:rsidP="009B7AF5">
            <w:pPr>
              <w:pStyle w:val="Tabletext"/>
            </w:pPr>
            <w:r w:rsidRPr="005071A1">
              <w:t>60</w:t>
            </w:r>
          </w:p>
        </w:tc>
        <w:tc>
          <w:tcPr>
            <w:tcW w:w="2693" w:type="dxa"/>
            <w:shd w:val="clear" w:color="auto" w:fill="auto"/>
          </w:tcPr>
          <w:p w14:paraId="3749E157" w14:textId="77777777" w:rsidR="00B33542" w:rsidRPr="005071A1" w:rsidRDefault="00B33542" w:rsidP="009B7AF5">
            <w:pPr>
              <w:pStyle w:val="Tabletext"/>
            </w:pPr>
            <w:r w:rsidRPr="005071A1">
              <w:t>2.33</w:t>
            </w:r>
          </w:p>
        </w:tc>
      </w:tr>
      <w:tr w:rsidR="00B33542" w:rsidRPr="005071A1" w14:paraId="3DA58BC8" w14:textId="77777777" w:rsidTr="00D57394">
        <w:tc>
          <w:tcPr>
            <w:tcW w:w="3119" w:type="dxa"/>
            <w:tcBorders>
              <w:bottom w:val="single" w:sz="4" w:space="0" w:color="auto"/>
            </w:tcBorders>
            <w:shd w:val="clear" w:color="auto" w:fill="auto"/>
          </w:tcPr>
          <w:p w14:paraId="1D563299" w14:textId="77777777" w:rsidR="00B33542" w:rsidRPr="005071A1" w:rsidRDefault="00B33542" w:rsidP="009B7AF5">
            <w:pPr>
              <w:pStyle w:val="Tabletext"/>
            </w:pPr>
            <w:r w:rsidRPr="005071A1">
              <w:t>61</w:t>
            </w:r>
          </w:p>
        </w:tc>
        <w:tc>
          <w:tcPr>
            <w:tcW w:w="2693" w:type="dxa"/>
            <w:tcBorders>
              <w:bottom w:val="single" w:sz="4" w:space="0" w:color="auto"/>
            </w:tcBorders>
            <w:shd w:val="clear" w:color="auto" w:fill="auto"/>
          </w:tcPr>
          <w:p w14:paraId="0EDFE01E" w14:textId="77777777" w:rsidR="00B33542" w:rsidRPr="005071A1" w:rsidRDefault="00B33542" w:rsidP="009B7AF5">
            <w:pPr>
              <w:pStyle w:val="Tabletext"/>
            </w:pPr>
            <w:r w:rsidRPr="005071A1">
              <w:t>2.91</w:t>
            </w:r>
          </w:p>
        </w:tc>
      </w:tr>
      <w:tr w:rsidR="00B33542" w:rsidRPr="005071A1" w14:paraId="67A885A1" w14:textId="77777777" w:rsidTr="00D57394">
        <w:tc>
          <w:tcPr>
            <w:tcW w:w="3119" w:type="dxa"/>
            <w:tcBorders>
              <w:bottom w:val="single" w:sz="4" w:space="0" w:color="auto"/>
            </w:tcBorders>
            <w:shd w:val="clear" w:color="auto" w:fill="auto"/>
          </w:tcPr>
          <w:p w14:paraId="12F049EE" w14:textId="77777777" w:rsidR="00B33542" w:rsidRPr="005071A1" w:rsidRDefault="00B33542" w:rsidP="009B7AF5">
            <w:pPr>
              <w:pStyle w:val="Tabletext"/>
            </w:pPr>
            <w:r w:rsidRPr="005071A1">
              <w:t>62</w:t>
            </w:r>
          </w:p>
        </w:tc>
        <w:tc>
          <w:tcPr>
            <w:tcW w:w="2693" w:type="dxa"/>
            <w:tcBorders>
              <w:bottom w:val="single" w:sz="4" w:space="0" w:color="auto"/>
            </w:tcBorders>
            <w:shd w:val="clear" w:color="auto" w:fill="auto"/>
          </w:tcPr>
          <w:p w14:paraId="2750F3DF" w14:textId="77777777" w:rsidR="00B33542" w:rsidRPr="005071A1" w:rsidRDefault="00B33542" w:rsidP="009B7AF5">
            <w:pPr>
              <w:pStyle w:val="Tabletext"/>
            </w:pPr>
            <w:r w:rsidRPr="005071A1">
              <w:t>3.88</w:t>
            </w:r>
          </w:p>
        </w:tc>
      </w:tr>
      <w:tr w:rsidR="00B33542" w:rsidRPr="005071A1" w14:paraId="74AA4607" w14:textId="77777777" w:rsidTr="00D57394">
        <w:tc>
          <w:tcPr>
            <w:tcW w:w="3119" w:type="dxa"/>
            <w:tcBorders>
              <w:top w:val="single" w:sz="4" w:space="0" w:color="auto"/>
            </w:tcBorders>
            <w:shd w:val="clear" w:color="auto" w:fill="auto"/>
          </w:tcPr>
          <w:p w14:paraId="471B669A" w14:textId="77777777" w:rsidR="00B33542" w:rsidRPr="005071A1" w:rsidRDefault="00B33542" w:rsidP="009B7AF5">
            <w:pPr>
              <w:pStyle w:val="Tabletext"/>
            </w:pPr>
            <w:r w:rsidRPr="005071A1">
              <w:t>63</w:t>
            </w:r>
          </w:p>
        </w:tc>
        <w:tc>
          <w:tcPr>
            <w:tcW w:w="2693" w:type="dxa"/>
            <w:tcBorders>
              <w:top w:val="single" w:sz="4" w:space="0" w:color="auto"/>
            </w:tcBorders>
            <w:shd w:val="clear" w:color="auto" w:fill="auto"/>
          </w:tcPr>
          <w:p w14:paraId="013BF81E" w14:textId="77777777" w:rsidR="00B33542" w:rsidRPr="005071A1" w:rsidRDefault="00B33542" w:rsidP="009B7AF5">
            <w:pPr>
              <w:pStyle w:val="Tabletext"/>
            </w:pPr>
            <w:r w:rsidRPr="005071A1">
              <w:t>5.81</w:t>
            </w:r>
          </w:p>
        </w:tc>
      </w:tr>
      <w:tr w:rsidR="00B33542" w:rsidRPr="005071A1" w14:paraId="372C2FCD" w14:textId="77777777" w:rsidTr="00A516E3">
        <w:tc>
          <w:tcPr>
            <w:tcW w:w="3119" w:type="dxa"/>
            <w:tcBorders>
              <w:bottom w:val="single" w:sz="4" w:space="0" w:color="auto"/>
            </w:tcBorders>
            <w:shd w:val="clear" w:color="auto" w:fill="auto"/>
          </w:tcPr>
          <w:p w14:paraId="434D5E0D" w14:textId="77777777" w:rsidR="00B33542" w:rsidRPr="005071A1" w:rsidRDefault="00B33542" w:rsidP="009B7AF5">
            <w:pPr>
              <w:pStyle w:val="Tabletext"/>
            </w:pPr>
            <w:r w:rsidRPr="005071A1">
              <w:t>64</w:t>
            </w:r>
          </w:p>
        </w:tc>
        <w:tc>
          <w:tcPr>
            <w:tcW w:w="2693" w:type="dxa"/>
            <w:tcBorders>
              <w:bottom w:val="single" w:sz="4" w:space="0" w:color="auto"/>
            </w:tcBorders>
            <w:shd w:val="clear" w:color="auto" w:fill="auto"/>
          </w:tcPr>
          <w:p w14:paraId="0A1DE022" w14:textId="77777777" w:rsidR="00B33542" w:rsidRPr="005071A1" w:rsidRDefault="00B33542" w:rsidP="009B7AF5">
            <w:pPr>
              <w:pStyle w:val="Tabletext"/>
            </w:pPr>
            <w:r w:rsidRPr="005071A1">
              <w:t>11.49</w:t>
            </w:r>
          </w:p>
        </w:tc>
      </w:tr>
      <w:tr w:rsidR="00B33542" w:rsidRPr="005071A1" w14:paraId="2AD0517D" w14:textId="77777777" w:rsidTr="00A516E3">
        <w:tc>
          <w:tcPr>
            <w:tcW w:w="3119" w:type="dxa"/>
            <w:tcBorders>
              <w:bottom w:val="single" w:sz="12" w:space="0" w:color="auto"/>
            </w:tcBorders>
            <w:shd w:val="clear" w:color="auto" w:fill="auto"/>
          </w:tcPr>
          <w:p w14:paraId="35328ED6" w14:textId="77777777" w:rsidR="00B33542" w:rsidRPr="005071A1" w:rsidRDefault="00B33542" w:rsidP="009B7AF5">
            <w:pPr>
              <w:pStyle w:val="Tabletext"/>
            </w:pPr>
            <w:r w:rsidRPr="005071A1">
              <w:t>65</w:t>
            </w:r>
          </w:p>
        </w:tc>
        <w:tc>
          <w:tcPr>
            <w:tcW w:w="2693" w:type="dxa"/>
            <w:tcBorders>
              <w:bottom w:val="single" w:sz="12" w:space="0" w:color="auto"/>
            </w:tcBorders>
            <w:shd w:val="clear" w:color="auto" w:fill="auto"/>
          </w:tcPr>
          <w:p w14:paraId="6F9E6688" w14:textId="77777777" w:rsidR="00B33542" w:rsidRPr="005071A1" w:rsidRDefault="00B33542" w:rsidP="009B7AF5">
            <w:pPr>
              <w:pStyle w:val="Tabletext"/>
            </w:pPr>
            <w:r w:rsidRPr="005071A1">
              <w:t>12.18</w:t>
            </w:r>
          </w:p>
        </w:tc>
      </w:tr>
    </w:tbl>
    <w:p w14:paraId="14D2F969" w14:textId="77777777" w:rsidR="00B33542" w:rsidRPr="005071A1" w:rsidRDefault="00B33542" w:rsidP="00674A0D">
      <w:pPr>
        <w:pStyle w:val="ActHead5"/>
        <w:pageBreakBefore/>
      </w:pPr>
      <w:bookmarkStart w:id="301" w:name="_Toc185577683"/>
      <w:r w:rsidRPr="005071A1">
        <w:lastRenderedPageBreak/>
        <w:t>Table XIV</w:t>
      </w:r>
      <w:bookmarkEnd w:id="301"/>
    </w:p>
    <w:p w14:paraId="7CB6F22E" w14:textId="77777777" w:rsidR="00B33542" w:rsidRPr="005071A1" w:rsidRDefault="00B33542" w:rsidP="00B33542">
      <w:pPr>
        <w:spacing w:before="120"/>
      </w:pPr>
      <w:r w:rsidRPr="005071A1">
        <w:t>Rates of contribution to be paid fortnightly by male contributors for units of pension where the obligation to contribute to the fund came into existence on or after 14th December, 1959, but the obligation to contribute for those units had not come into existence before 1st July, 1962, based on a retiring age of 65 years and the age next birthday of the contributor when the obligation to contribute for those units came or comes into existence</w:t>
      </w:r>
    </w:p>
    <w:p w14:paraId="1175C207"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45"/>
        <w:gridCol w:w="2667"/>
      </w:tblGrid>
      <w:tr w:rsidR="00B33542" w:rsidRPr="005071A1" w14:paraId="70FF9D55" w14:textId="77777777" w:rsidTr="009B7AF5">
        <w:trPr>
          <w:tblHeader/>
        </w:trPr>
        <w:tc>
          <w:tcPr>
            <w:tcW w:w="3145" w:type="dxa"/>
            <w:tcBorders>
              <w:top w:val="single" w:sz="12" w:space="0" w:color="auto"/>
              <w:bottom w:val="single" w:sz="6" w:space="0" w:color="auto"/>
            </w:tcBorders>
            <w:shd w:val="clear" w:color="auto" w:fill="auto"/>
          </w:tcPr>
          <w:p w14:paraId="6DA14EFF" w14:textId="77777777" w:rsidR="00B33542" w:rsidRPr="005071A1" w:rsidRDefault="00B33542" w:rsidP="009B7AF5">
            <w:pPr>
              <w:pStyle w:val="TableHeading"/>
            </w:pPr>
            <w:r w:rsidRPr="005071A1">
              <w:t>Column 1</w:t>
            </w:r>
          </w:p>
        </w:tc>
        <w:tc>
          <w:tcPr>
            <w:tcW w:w="2667" w:type="dxa"/>
            <w:tcBorders>
              <w:top w:val="single" w:sz="12" w:space="0" w:color="auto"/>
              <w:bottom w:val="single" w:sz="6" w:space="0" w:color="auto"/>
            </w:tcBorders>
            <w:shd w:val="clear" w:color="auto" w:fill="auto"/>
          </w:tcPr>
          <w:p w14:paraId="60607F46" w14:textId="77777777" w:rsidR="00B33542" w:rsidRPr="005071A1" w:rsidRDefault="00B33542" w:rsidP="009B7AF5">
            <w:pPr>
              <w:pStyle w:val="TableHeading"/>
            </w:pPr>
            <w:r w:rsidRPr="005071A1">
              <w:t>Column 2</w:t>
            </w:r>
          </w:p>
        </w:tc>
      </w:tr>
      <w:tr w:rsidR="00B33542" w:rsidRPr="005071A1" w14:paraId="2D17E596" w14:textId="77777777" w:rsidTr="009B7AF5">
        <w:trPr>
          <w:tblHeader/>
        </w:trPr>
        <w:tc>
          <w:tcPr>
            <w:tcW w:w="3145" w:type="dxa"/>
            <w:tcBorders>
              <w:top w:val="single" w:sz="6" w:space="0" w:color="auto"/>
              <w:bottom w:val="single" w:sz="6" w:space="0" w:color="auto"/>
            </w:tcBorders>
            <w:shd w:val="clear" w:color="auto" w:fill="auto"/>
          </w:tcPr>
          <w:p w14:paraId="1943BE37"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67" w:type="dxa"/>
            <w:tcBorders>
              <w:top w:val="single" w:sz="6" w:space="0" w:color="auto"/>
              <w:bottom w:val="single" w:sz="6" w:space="0" w:color="auto"/>
            </w:tcBorders>
            <w:shd w:val="clear" w:color="auto" w:fill="auto"/>
          </w:tcPr>
          <w:p w14:paraId="56E51307"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59280002" w14:textId="77777777" w:rsidTr="009B7AF5">
        <w:trPr>
          <w:tblHeader/>
        </w:trPr>
        <w:tc>
          <w:tcPr>
            <w:tcW w:w="3145" w:type="dxa"/>
            <w:tcBorders>
              <w:top w:val="single" w:sz="6" w:space="0" w:color="auto"/>
              <w:bottom w:val="single" w:sz="12" w:space="0" w:color="auto"/>
            </w:tcBorders>
            <w:shd w:val="clear" w:color="auto" w:fill="auto"/>
          </w:tcPr>
          <w:p w14:paraId="08CF7081" w14:textId="77777777" w:rsidR="00B33542" w:rsidRPr="005071A1" w:rsidRDefault="00B33542" w:rsidP="00A516E3">
            <w:pPr>
              <w:pStyle w:val="TableHeading"/>
            </w:pPr>
          </w:p>
        </w:tc>
        <w:tc>
          <w:tcPr>
            <w:tcW w:w="2667" w:type="dxa"/>
            <w:tcBorders>
              <w:top w:val="single" w:sz="6" w:space="0" w:color="auto"/>
              <w:bottom w:val="single" w:sz="12" w:space="0" w:color="auto"/>
            </w:tcBorders>
            <w:shd w:val="clear" w:color="auto" w:fill="auto"/>
          </w:tcPr>
          <w:p w14:paraId="191BC382" w14:textId="77777777" w:rsidR="00B33542" w:rsidRPr="005071A1" w:rsidRDefault="00B33542" w:rsidP="00A516E3">
            <w:pPr>
              <w:pStyle w:val="TableHeading"/>
            </w:pPr>
            <w:r w:rsidRPr="005071A1">
              <w:t>$</w:t>
            </w:r>
          </w:p>
        </w:tc>
      </w:tr>
      <w:tr w:rsidR="00B33542" w:rsidRPr="005071A1" w14:paraId="011E28C9" w14:textId="77777777" w:rsidTr="009B7AF5">
        <w:tc>
          <w:tcPr>
            <w:tcW w:w="3145" w:type="dxa"/>
            <w:tcBorders>
              <w:top w:val="single" w:sz="12" w:space="0" w:color="auto"/>
            </w:tcBorders>
            <w:shd w:val="clear" w:color="auto" w:fill="auto"/>
          </w:tcPr>
          <w:p w14:paraId="6E9525E4" w14:textId="77777777" w:rsidR="00B33542" w:rsidRPr="005071A1" w:rsidRDefault="00B33542" w:rsidP="009B7AF5">
            <w:pPr>
              <w:pStyle w:val="Tabletext"/>
            </w:pPr>
            <w:r w:rsidRPr="005071A1">
              <w:t>15</w:t>
            </w:r>
          </w:p>
        </w:tc>
        <w:tc>
          <w:tcPr>
            <w:tcW w:w="2667" w:type="dxa"/>
            <w:tcBorders>
              <w:top w:val="single" w:sz="12" w:space="0" w:color="auto"/>
            </w:tcBorders>
            <w:shd w:val="clear" w:color="auto" w:fill="auto"/>
          </w:tcPr>
          <w:p w14:paraId="6ADB7B82" w14:textId="77777777" w:rsidR="00B33542" w:rsidRPr="005071A1" w:rsidRDefault="00B33542" w:rsidP="009B7AF5">
            <w:pPr>
              <w:pStyle w:val="Tabletext"/>
            </w:pPr>
            <w:r w:rsidRPr="005071A1">
              <w:t>0.08</w:t>
            </w:r>
          </w:p>
        </w:tc>
      </w:tr>
      <w:tr w:rsidR="00B33542" w:rsidRPr="005071A1" w14:paraId="334B90B8" w14:textId="77777777" w:rsidTr="009B7AF5">
        <w:tc>
          <w:tcPr>
            <w:tcW w:w="3145" w:type="dxa"/>
            <w:shd w:val="clear" w:color="auto" w:fill="auto"/>
          </w:tcPr>
          <w:p w14:paraId="7D0F528D" w14:textId="77777777" w:rsidR="00B33542" w:rsidRPr="005071A1" w:rsidRDefault="00B33542" w:rsidP="009B7AF5">
            <w:pPr>
              <w:pStyle w:val="Tabletext"/>
            </w:pPr>
            <w:r w:rsidRPr="005071A1">
              <w:t>16</w:t>
            </w:r>
          </w:p>
        </w:tc>
        <w:tc>
          <w:tcPr>
            <w:tcW w:w="2667" w:type="dxa"/>
            <w:shd w:val="clear" w:color="auto" w:fill="auto"/>
          </w:tcPr>
          <w:p w14:paraId="4FDED985" w14:textId="77777777" w:rsidR="00B33542" w:rsidRPr="005071A1" w:rsidRDefault="00B33542" w:rsidP="009B7AF5">
            <w:pPr>
              <w:pStyle w:val="Tabletext"/>
            </w:pPr>
            <w:r w:rsidRPr="005071A1">
              <w:t>0.08</w:t>
            </w:r>
          </w:p>
        </w:tc>
      </w:tr>
      <w:tr w:rsidR="00B33542" w:rsidRPr="005071A1" w14:paraId="2DEA8BCC" w14:textId="77777777" w:rsidTr="009B7AF5">
        <w:tc>
          <w:tcPr>
            <w:tcW w:w="3145" w:type="dxa"/>
            <w:shd w:val="clear" w:color="auto" w:fill="auto"/>
          </w:tcPr>
          <w:p w14:paraId="74FBAEAB" w14:textId="77777777" w:rsidR="00B33542" w:rsidRPr="005071A1" w:rsidRDefault="00B33542" w:rsidP="009B7AF5">
            <w:pPr>
              <w:pStyle w:val="Tabletext"/>
            </w:pPr>
            <w:r w:rsidRPr="005071A1">
              <w:t>17</w:t>
            </w:r>
          </w:p>
        </w:tc>
        <w:tc>
          <w:tcPr>
            <w:tcW w:w="2667" w:type="dxa"/>
            <w:shd w:val="clear" w:color="auto" w:fill="auto"/>
          </w:tcPr>
          <w:p w14:paraId="7668CF6D" w14:textId="77777777" w:rsidR="00B33542" w:rsidRPr="005071A1" w:rsidRDefault="00B33542" w:rsidP="009B7AF5">
            <w:pPr>
              <w:pStyle w:val="Tabletext"/>
            </w:pPr>
            <w:r w:rsidRPr="005071A1">
              <w:t>0.08</w:t>
            </w:r>
          </w:p>
        </w:tc>
      </w:tr>
      <w:tr w:rsidR="00B33542" w:rsidRPr="005071A1" w14:paraId="45CC019B" w14:textId="77777777" w:rsidTr="009B7AF5">
        <w:tc>
          <w:tcPr>
            <w:tcW w:w="3145" w:type="dxa"/>
            <w:shd w:val="clear" w:color="auto" w:fill="auto"/>
          </w:tcPr>
          <w:p w14:paraId="1A01ED0D" w14:textId="77777777" w:rsidR="00B33542" w:rsidRPr="005071A1" w:rsidRDefault="00B33542" w:rsidP="009B7AF5">
            <w:pPr>
              <w:pStyle w:val="Tabletext"/>
            </w:pPr>
            <w:r w:rsidRPr="005071A1">
              <w:t>18</w:t>
            </w:r>
          </w:p>
        </w:tc>
        <w:tc>
          <w:tcPr>
            <w:tcW w:w="2667" w:type="dxa"/>
            <w:shd w:val="clear" w:color="auto" w:fill="auto"/>
          </w:tcPr>
          <w:p w14:paraId="56EFBA54" w14:textId="77777777" w:rsidR="00B33542" w:rsidRPr="005071A1" w:rsidRDefault="00B33542" w:rsidP="009B7AF5">
            <w:pPr>
              <w:pStyle w:val="Tabletext"/>
            </w:pPr>
            <w:r w:rsidRPr="005071A1">
              <w:t>0.09</w:t>
            </w:r>
          </w:p>
        </w:tc>
      </w:tr>
      <w:tr w:rsidR="00B33542" w:rsidRPr="005071A1" w14:paraId="29063D5A" w14:textId="77777777" w:rsidTr="009B7AF5">
        <w:tc>
          <w:tcPr>
            <w:tcW w:w="3145" w:type="dxa"/>
            <w:shd w:val="clear" w:color="auto" w:fill="auto"/>
          </w:tcPr>
          <w:p w14:paraId="3E667006" w14:textId="77777777" w:rsidR="00B33542" w:rsidRPr="005071A1" w:rsidRDefault="00B33542" w:rsidP="009B7AF5">
            <w:pPr>
              <w:pStyle w:val="Tabletext"/>
            </w:pPr>
            <w:r w:rsidRPr="005071A1">
              <w:t>19</w:t>
            </w:r>
          </w:p>
        </w:tc>
        <w:tc>
          <w:tcPr>
            <w:tcW w:w="2667" w:type="dxa"/>
            <w:shd w:val="clear" w:color="auto" w:fill="auto"/>
          </w:tcPr>
          <w:p w14:paraId="7AE4726A" w14:textId="77777777" w:rsidR="00B33542" w:rsidRPr="005071A1" w:rsidRDefault="00B33542" w:rsidP="009B7AF5">
            <w:pPr>
              <w:pStyle w:val="Tabletext"/>
            </w:pPr>
            <w:r w:rsidRPr="005071A1">
              <w:t>0.09</w:t>
            </w:r>
          </w:p>
        </w:tc>
      </w:tr>
      <w:tr w:rsidR="00B33542" w:rsidRPr="005071A1" w14:paraId="09AD8586" w14:textId="77777777" w:rsidTr="009B7AF5">
        <w:tc>
          <w:tcPr>
            <w:tcW w:w="3145" w:type="dxa"/>
            <w:shd w:val="clear" w:color="auto" w:fill="auto"/>
          </w:tcPr>
          <w:p w14:paraId="6F6C6E73" w14:textId="77777777" w:rsidR="00B33542" w:rsidRPr="005071A1" w:rsidRDefault="00B33542" w:rsidP="009B7AF5">
            <w:pPr>
              <w:pStyle w:val="Tabletext"/>
            </w:pPr>
            <w:r w:rsidRPr="005071A1">
              <w:t>20</w:t>
            </w:r>
          </w:p>
        </w:tc>
        <w:tc>
          <w:tcPr>
            <w:tcW w:w="2667" w:type="dxa"/>
            <w:shd w:val="clear" w:color="auto" w:fill="auto"/>
          </w:tcPr>
          <w:p w14:paraId="2DD619EE" w14:textId="77777777" w:rsidR="00B33542" w:rsidRPr="005071A1" w:rsidRDefault="00B33542" w:rsidP="009B7AF5">
            <w:pPr>
              <w:pStyle w:val="Tabletext"/>
            </w:pPr>
            <w:r w:rsidRPr="005071A1">
              <w:t>0.10</w:t>
            </w:r>
          </w:p>
        </w:tc>
      </w:tr>
      <w:tr w:rsidR="00B33542" w:rsidRPr="005071A1" w14:paraId="3619AC93" w14:textId="77777777" w:rsidTr="009B7AF5">
        <w:tc>
          <w:tcPr>
            <w:tcW w:w="3145" w:type="dxa"/>
            <w:shd w:val="clear" w:color="auto" w:fill="auto"/>
          </w:tcPr>
          <w:p w14:paraId="60E812C9" w14:textId="77777777" w:rsidR="00B33542" w:rsidRPr="005071A1" w:rsidRDefault="00B33542" w:rsidP="009B7AF5">
            <w:pPr>
              <w:pStyle w:val="Tabletext"/>
            </w:pPr>
            <w:r w:rsidRPr="005071A1">
              <w:t>21</w:t>
            </w:r>
          </w:p>
        </w:tc>
        <w:tc>
          <w:tcPr>
            <w:tcW w:w="2667" w:type="dxa"/>
            <w:shd w:val="clear" w:color="auto" w:fill="auto"/>
          </w:tcPr>
          <w:p w14:paraId="42259032" w14:textId="77777777" w:rsidR="00B33542" w:rsidRPr="005071A1" w:rsidRDefault="00B33542" w:rsidP="009B7AF5">
            <w:pPr>
              <w:pStyle w:val="Tabletext"/>
            </w:pPr>
            <w:r w:rsidRPr="005071A1">
              <w:t>0.11</w:t>
            </w:r>
          </w:p>
        </w:tc>
      </w:tr>
      <w:tr w:rsidR="00B33542" w:rsidRPr="005071A1" w14:paraId="3DF067FD" w14:textId="77777777" w:rsidTr="009B7AF5">
        <w:tc>
          <w:tcPr>
            <w:tcW w:w="3145" w:type="dxa"/>
            <w:shd w:val="clear" w:color="auto" w:fill="auto"/>
          </w:tcPr>
          <w:p w14:paraId="11FE5826" w14:textId="77777777" w:rsidR="00B33542" w:rsidRPr="005071A1" w:rsidRDefault="00B33542" w:rsidP="009B7AF5">
            <w:pPr>
              <w:pStyle w:val="Tabletext"/>
            </w:pPr>
            <w:r w:rsidRPr="005071A1">
              <w:t>22</w:t>
            </w:r>
          </w:p>
        </w:tc>
        <w:tc>
          <w:tcPr>
            <w:tcW w:w="2667" w:type="dxa"/>
            <w:shd w:val="clear" w:color="auto" w:fill="auto"/>
          </w:tcPr>
          <w:p w14:paraId="65886DFD" w14:textId="77777777" w:rsidR="00B33542" w:rsidRPr="005071A1" w:rsidRDefault="00B33542" w:rsidP="009B7AF5">
            <w:pPr>
              <w:pStyle w:val="Tabletext"/>
            </w:pPr>
            <w:r w:rsidRPr="005071A1">
              <w:t>0.11</w:t>
            </w:r>
          </w:p>
        </w:tc>
      </w:tr>
      <w:tr w:rsidR="00B33542" w:rsidRPr="005071A1" w14:paraId="354C09C4" w14:textId="77777777" w:rsidTr="009B7AF5">
        <w:tc>
          <w:tcPr>
            <w:tcW w:w="3145" w:type="dxa"/>
            <w:shd w:val="clear" w:color="auto" w:fill="auto"/>
          </w:tcPr>
          <w:p w14:paraId="4AD23006" w14:textId="77777777" w:rsidR="00B33542" w:rsidRPr="005071A1" w:rsidRDefault="00B33542" w:rsidP="009B7AF5">
            <w:pPr>
              <w:pStyle w:val="Tabletext"/>
            </w:pPr>
            <w:r w:rsidRPr="005071A1">
              <w:t>23</w:t>
            </w:r>
          </w:p>
        </w:tc>
        <w:tc>
          <w:tcPr>
            <w:tcW w:w="2667" w:type="dxa"/>
            <w:shd w:val="clear" w:color="auto" w:fill="auto"/>
          </w:tcPr>
          <w:p w14:paraId="7C892B38" w14:textId="77777777" w:rsidR="00B33542" w:rsidRPr="005071A1" w:rsidRDefault="00B33542" w:rsidP="009B7AF5">
            <w:pPr>
              <w:pStyle w:val="Tabletext"/>
            </w:pPr>
            <w:r w:rsidRPr="005071A1">
              <w:t>0.12</w:t>
            </w:r>
          </w:p>
        </w:tc>
      </w:tr>
      <w:tr w:rsidR="00B33542" w:rsidRPr="005071A1" w14:paraId="2E1D81F2" w14:textId="77777777" w:rsidTr="009B7AF5">
        <w:tc>
          <w:tcPr>
            <w:tcW w:w="3145" w:type="dxa"/>
            <w:shd w:val="clear" w:color="auto" w:fill="auto"/>
          </w:tcPr>
          <w:p w14:paraId="411F78F3" w14:textId="77777777" w:rsidR="00B33542" w:rsidRPr="005071A1" w:rsidRDefault="00B33542" w:rsidP="009B7AF5">
            <w:pPr>
              <w:pStyle w:val="Tabletext"/>
            </w:pPr>
            <w:r w:rsidRPr="005071A1">
              <w:t>24</w:t>
            </w:r>
          </w:p>
        </w:tc>
        <w:tc>
          <w:tcPr>
            <w:tcW w:w="2667" w:type="dxa"/>
            <w:shd w:val="clear" w:color="auto" w:fill="auto"/>
          </w:tcPr>
          <w:p w14:paraId="6F6FC676" w14:textId="77777777" w:rsidR="00B33542" w:rsidRPr="005071A1" w:rsidRDefault="00B33542" w:rsidP="009B7AF5">
            <w:pPr>
              <w:pStyle w:val="Tabletext"/>
            </w:pPr>
            <w:r w:rsidRPr="005071A1">
              <w:t>0.13</w:t>
            </w:r>
          </w:p>
        </w:tc>
      </w:tr>
      <w:tr w:rsidR="00B33542" w:rsidRPr="005071A1" w14:paraId="71AA5D70" w14:textId="77777777" w:rsidTr="009B7AF5">
        <w:tc>
          <w:tcPr>
            <w:tcW w:w="3145" w:type="dxa"/>
            <w:shd w:val="clear" w:color="auto" w:fill="auto"/>
          </w:tcPr>
          <w:p w14:paraId="3D0EFC1A" w14:textId="77777777" w:rsidR="00B33542" w:rsidRPr="005071A1" w:rsidRDefault="00B33542" w:rsidP="009B7AF5">
            <w:pPr>
              <w:pStyle w:val="Tabletext"/>
            </w:pPr>
            <w:r w:rsidRPr="005071A1">
              <w:t>25</w:t>
            </w:r>
          </w:p>
        </w:tc>
        <w:tc>
          <w:tcPr>
            <w:tcW w:w="2667" w:type="dxa"/>
            <w:shd w:val="clear" w:color="auto" w:fill="auto"/>
          </w:tcPr>
          <w:p w14:paraId="02EA4D76" w14:textId="77777777" w:rsidR="00B33542" w:rsidRPr="005071A1" w:rsidRDefault="00B33542" w:rsidP="009B7AF5">
            <w:pPr>
              <w:pStyle w:val="Tabletext"/>
            </w:pPr>
            <w:r w:rsidRPr="005071A1">
              <w:t>0.13</w:t>
            </w:r>
          </w:p>
        </w:tc>
      </w:tr>
      <w:tr w:rsidR="00B33542" w:rsidRPr="005071A1" w14:paraId="6F33E229" w14:textId="77777777" w:rsidTr="009B7AF5">
        <w:tc>
          <w:tcPr>
            <w:tcW w:w="3145" w:type="dxa"/>
            <w:shd w:val="clear" w:color="auto" w:fill="auto"/>
          </w:tcPr>
          <w:p w14:paraId="2FCF8D06" w14:textId="77777777" w:rsidR="00B33542" w:rsidRPr="005071A1" w:rsidRDefault="00B33542" w:rsidP="009B7AF5">
            <w:pPr>
              <w:pStyle w:val="Tabletext"/>
            </w:pPr>
            <w:r w:rsidRPr="005071A1">
              <w:t>26</w:t>
            </w:r>
          </w:p>
        </w:tc>
        <w:tc>
          <w:tcPr>
            <w:tcW w:w="2667" w:type="dxa"/>
            <w:shd w:val="clear" w:color="auto" w:fill="auto"/>
          </w:tcPr>
          <w:p w14:paraId="4861E8FC" w14:textId="77777777" w:rsidR="00B33542" w:rsidRPr="005071A1" w:rsidRDefault="00B33542" w:rsidP="009B7AF5">
            <w:pPr>
              <w:pStyle w:val="Tabletext"/>
            </w:pPr>
            <w:r w:rsidRPr="005071A1">
              <w:t>0.14</w:t>
            </w:r>
          </w:p>
        </w:tc>
      </w:tr>
      <w:tr w:rsidR="00B33542" w:rsidRPr="005071A1" w14:paraId="343075B0" w14:textId="77777777" w:rsidTr="009B7AF5">
        <w:tc>
          <w:tcPr>
            <w:tcW w:w="3145" w:type="dxa"/>
            <w:shd w:val="clear" w:color="auto" w:fill="auto"/>
          </w:tcPr>
          <w:p w14:paraId="34783E33" w14:textId="77777777" w:rsidR="00B33542" w:rsidRPr="005071A1" w:rsidRDefault="00B33542" w:rsidP="009B7AF5">
            <w:pPr>
              <w:pStyle w:val="Tabletext"/>
            </w:pPr>
            <w:r w:rsidRPr="005071A1">
              <w:t>27</w:t>
            </w:r>
          </w:p>
        </w:tc>
        <w:tc>
          <w:tcPr>
            <w:tcW w:w="2667" w:type="dxa"/>
            <w:shd w:val="clear" w:color="auto" w:fill="auto"/>
          </w:tcPr>
          <w:p w14:paraId="03F6F562" w14:textId="77777777" w:rsidR="00B33542" w:rsidRPr="005071A1" w:rsidRDefault="00B33542" w:rsidP="009B7AF5">
            <w:pPr>
              <w:pStyle w:val="Tabletext"/>
            </w:pPr>
            <w:r w:rsidRPr="005071A1">
              <w:t>0.15</w:t>
            </w:r>
          </w:p>
        </w:tc>
      </w:tr>
      <w:tr w:rsidR="00B33542" w:rsidRPr="005071A1" w14:paraId="1CD86FA5" w14:textId="77777777" w:rsidTr="009B7AF5">
        <w:tc>
          <w:tcPr>
            <w:tcW w:w="3145" w:type="dxa"/>
            <w:shd w:val="clear" w:color="auto" w:fill="auto"/>
          </w:tcPr>
          <w:p w14:paraId="421FA68C" w14:textId="77777777" w:rsidR="00B33542" w:rsidRPr="005071A1" w:rsidRDefault="00B33542" w:rsidP="009B7AF5">
            <w:pPr>
              <w:pStyle w:val="Tabletext"/>
            </w:pPr>
            <w:r w:rsidRPr="005071A1">
              <w:t>28</w:t>
            </w:r>
          </w:p>
        </w:tc>
        <w:tc>
          <w:tcPr>
            <w:tcW w:w="2667" w:type="dxa"/>
            <w:shd w:val="clear" w:color="auto" w:fill="auto"/>
          </w:tcPr>
          <w:p w14:paraId="534518E2" w14:textId="77777777" w:rsidR="00B33542" w:rsidRPr="005071A1" w:rsidRDefault="00B33542" w:rsidP="009B7AF5">
            <w:pPr>
              <w:pStyle w:val="Tabletext"/>
            </w:pPr>
            <w:r w:rsidRPr="005071A1">
              <w:t>0.16</w:t>
            </w:r>
          </w:p>
        </w:tc>
      </w:tr>
      <w:tr w:rsidR="00B33542" w:rsidRPr="005071A1" w14:paraId="004D7280" w14:textId="77777777" w:rsidTr="009B7AF5">
        <w:tc>
          <w:tcPr>
            <w:tcW w:w="3145" w:type="dxa"/>
            <w:shd w:val="clear" w:color="auto" w:fill="auto"/>
          </w:tcPr>
          <w:p w14:paraId="363FC2BE" w14:textId="77777777" w:rsidR="00B33542" w:rsidRPr="005071A1" w:rsidRDefault="00B33542" w:rsidP="009B7AF5">
            <w:pPr>
              <w:pStyle w:val="Tabletext"/>
            </w:pPr>
            <w:r w:rsidRPr="005071A1">
              <w:t>29</w:t>
            </w:r>
          </w:p>
        </w:tc>
        <w:tc>
          <w:tcPr>
            <w:tcW w:w="2667" w:type="dxa"/>
            <w:shd w:val="clear" w:color="auto" w:fill="auto"/>
          </w:tcPr>
          <w:p w14:paraId="471EB689" w14:textId="77777777" w:rsidR="00B33542" w:rsidRPr="005071A1" w:rsidRDefault="00B33542" w:rsidP="009B7AF5">
            <w:pPr>
              <w:pStyle w:val="Tabletext"/>
            </w:pPr>
            <w:r w:rsidRPr="005071A1">
              <w:t>0.17</w:t>
            </w:r>
          </w:p>
        </w:tc>
      </w:tr>
      <w:tr w:rsidR="00B33542" w:rsidRPr="005071A1" w14:paraId="1FCBD48D" w14:textId="77777777" w:rsidTr="009B7AF5">
        <w:tc>
          <w:tcPr>
            <w:tcW w:w="3145" w:type="dxa"/>
            <w:shd w:val="clear" w:color="auto" w:fill="auto"/>
          </w:tcPr>
          <w:p w14:paraId="362E4BFA" w14:textId="77777777" w:rsidR="00B33542" w:rsidRPr="005071A1" w:rsidRDefault="00B33542" w:rsidP="009B7AF5">
            <w:pPr>
              <w:pStyle w:val="Tabletext"/>
            </w:pPr>
            <w:r w:rsidRPr="005071A1">
              <w:t>30</w:t>
            </w:r>
          </w:p>
        </w:tc>
        <w:tc>
          <w:tcPr>
            <w:tcW w:w="2667" w:type="dxa"/>
            <w:shd w:val="clear" w:color="auto" w:fill="auto"/>
          </w:tcPr>
          <w:p w14:paraId="2925877F" w14:textId="77777777" w:rsidR="00B33542" w:rsidRPr="005071A1" w:rsidRDefault="00B33542" w:rsidP="009B7AF5">
            <w:pPr>
              <w:pStyle w:val="Tabletext"/>
            </w:pPr>
            <w:r w:rsidRPr="005071A1">
              <w:t>0.18</w:t>
            </w:r>
          </w:p>
        </w:tc>
      </w:tr>
      <w:tr w:rsidR="00B33542" w:rsidRPr="005071A1" w14:paraId="1D2C0A62" w14:textId="77777777" w:rsidTr="009B7AF5">
        <w:tc>
          <w:tcPr>
            <w:tcW w:w="3145" w:type="dxa"/>
            <w:shd w:val="clear" w:color="auto" w:fill="auto"/>
          </w:tcPr>
          <w:p w14:paraId="69A5EEA6" w14:textId="77777777" w:rsidR="00B33542" w:rsidRPr="005071A1" w:rsidRDefault="00B33542" w:rsidP="009B7AF5">
            <w:pPr>
              <w:pStyle w:val="Tabletext"/>
            </w:pPr>
            <w:r w:rsidRPr="005071A1">
              <w:t>31</w:t>
            </w:r>
          </w:p>
        </w:tc>
        <w:tc>
          <w:tcPr>
            <w:tcW w:w="2667" w:type="dxa"/>
            <w:shd w:val="clear" w:color="auto" w:fill="auto"/>
          </w:tcPr>
          <w:p w14:paraId="1DC156CF" w14:textId="77777777" w:rsidR="00B33542" w:rsidRPr="005071A1" w:rsidRDefault="00B33542" w:rsidP="009B7AF5">
            <w:pPr>
              <w:pStyle w:val="Tabletext"/>
            </w:pPr>
            <w:r w:rsidRPr="005071A1">
              <w:t>0.19</w:t>
            </w:r>
          </w:p>
        </w:tc>
      </w:tr>
      <w:tr w:rsidR="00B33542" w:rsidRPr="005071A1" w14:paraId="10BD9A4F" w14:textId="77777777" w:rsidTr="009B7AF5">
        <w:tc>
          <w:tcPr>
            <w:tcW w:w="3145" w:type="dxa"/>
            <w:shd w:val="clear" w:color="auto" w:fill="auto"/>
          </w:tcPr>
          <w:p w14:paraId="3D971A82" w14:textId="77777777" w:rsidR="00B33542" w:rsidRPr="005071A1" w:rsidRDefault="00B33542" w:rsidP="009B7AF5">
            <w:pPr>
              <w:pStyle w:val="Tabletext"/>
            </w:pPr>
            <w:r w:rsidRPr="005071A1">
              <w:t>32</w:t>
            </w:r>
          </w:p>
        </w:tc>
        <w:tc>
          <w:tcPr>
            <w:tcW w:w="2667" w:type="dxa"/>
            <w:shd w:val="clear" w:color="auto" w:fill="auto"/>
          </w:tcPr>
          <w:p w14:paraId="68E0BCF3" w14:textId="77777777" w:rsidR="00B33542" w:rsidRPr="005071A1" w:rsidRDefault="00B33542" w:rsidP="009B7AF5">
            <w:pPr>
              <w:pStyle w:val="Tabletext"/>
            </w:pPr>
            <w:r w:rsidRPr="005071A1">
              <w:t>0.20</w:t>
            </w:r>
          </w:p>
        </w:tc>
      </w:tr>
      <w:tr w:rsidR="00B33542" w:rsidRPr="005071A1" w14:paraId="33BD17C3" w14:textId="77777777" w:rsidTr="00D57394">
        <w:tc>
          <w:tcPr>
            <w:tcW w:w="3145" w:type="dxa"/>
            <w:tcBorders>
              <w:bottom w:val="single" w:sz="4" w:space="0" w:color="auto"/>
            </w:tcBorders>
            <w:shd w:val="clear" w:color="auto" w:fill="auto"/>
          </w:tcPr>
          <w:p w14:paraId="54D58EFB" w14:textId="77777777" w:rsidR="00B33542" w:rsidRPr="005071A1" w:rsidRDefault="00B33542" w:rsidP="009B7AF5">
            <w:pPr>
              <w:pStyle w:val="Tabletext"/>
            </w:pPr>
            <w:r w:rsidRPr="005071A1">
              <w:lastRenderedPageBreak/>
              <w:t>33</w:t>
            </w:r>
          </w:p>
        </w:tc>
        <w:tc>
          <w:tcPr>
            <w:tcW w:w="2667" w:type="dxa"/>
            <w:tcBorders>
              <w:bottom w:val="single" w:sz="4" w:space="0" w:color="auto"/>
            </w:tcBorders>
            <w:shd w:val="clear" w:color="auto" w:fill="auto"/>
          </w:tcPr>
          <w:p w14:paraId="1FDB1B90" w14:textId="77777777" w:rsidR="00B33542" w:rsidRPr="005071A1" w:rsidRDefault="00B33542" w:rsidP="009B7AF5">
            <w:pPr>
              <w:pStyle w:val="Tabletext"/>
            </w:pPr>
            <w:r w:rsidRPr="005071A1">
              <w:t>0.21</w:t>
            </w:r>
          </w:p>
        </w:tc>
      </w:tr>
      <w:tr w:rsidR="00B33542" w:rsidRPr="005071A1" w14:paraId="7E0A9054" w14:textId="77777777" w:rsidTr="00D57394">
        <w:tc>
          <w:tcPr>
            <w:tcW w:w="3145" w:type="dxa"/>
            <w:tcBorders>
              <w:bottom w:val="single" w:sz="4" w:space="0" w:color="auto"/>
            </w:tcBorders>
            <w:shd w:val="clear" w:color="auto" w:fill="auto"/>
          </w:tcPr>
          <w:p w14:paraId="7845735F" w14:textId="77777777" w:rsidR="00B33542" w:rsidRPr="005071A1" w:rsidRDefault="00B33542" w:rsidP="009B7AF5">
            <w:pPr>
              <w:pStyle w:val="Tabletext"/>
            </w:pPr>
            <w:r w:rsidRPr="005071A1">
              <w:t>34</w:t>
            </w:r>
          </w:p>
        </w:tc>
        <w:tc>
          <w:tcPr>
            <w:tcW w:w="2667" w:type="dxa"/>
            <w:tcBorders>
              <w:bottom w:val="single" w:sz="4" w:space="0" w:color="auto"/>
            </w:tcBorders>
            <w:shd w:val="clear" w:color="auto" w:fill="auto"/>
          </w:tcPr>
          <w:p w14:paraId="1B67F40E" w14:textId="77777777" w:rsidR="00B33542" w:rsidRPr="005071A1" w:rsidRDefault="00B33542" w:rsidP="009B7AF5">
            <w:pPr>
              <w:pStyle w:val="Tabletext"/>
            </w:pPr>
            <w:r w:rsidRPr="005071A1">
              <w:t>0.22</w:t>
            </w:r>
          </w:p>
        </w:tc>
      </w:tr>
      <w:tr w:rsidR="00B33542" w:rsidRPr="005071A1" w14:paraId="716C8433" w14:textId="77777777" w:rsidTr="00D57394">
        <w:tc>
          <w:tcPr>
            <w:tcW w:w="3145" w:type="dxa"/>
            <w:tcBorders>
              <w:top w:val="single" w:sz="4" w:space="0" w:color="auto"/>
            </w:tcBorders>
            <w:shd w:val="clear" w:color="auto" w:fill="auto"/>
          </w:tcPr>
          <w:p w14:paraId="764FDF26" w14:textId="77777777" w:rsidR="00B33542" w:rsidRPr="005071A1" w:rsidRDefault="00B33542" w:rsidP="009B7AF5">
            <w:pPr>
              <w:pStyle w:val="Tabletext"/>
            </w:pPr>
            <w:r w:rsidRPr="005071A1">
              <w:t>35</w:t>
            </w:r>
          </w:p>
        </w:tc>
        <w:tc>
          <w:tcPr>
            <w:tcW w:w="2667" w:type="dxa"/>
            <w:tcBorders>
              <w:top w:val="single" w:sz="4" w:space="0" w:color="auto"/>
            </w:tcBorders>
            <w:shd w:val="clear" w:color="auto" w:fill="auto"/>
          </w:tcPr>
          <w:p w14:paraId="71309FBA" w14:textId="77777777" w:rsidR="00B33542" w:rsidRPr="005071A1" w:rsidRDefault="00B33542" w:rsidP="009B7AF5">
            <w:pPr>
              <w:pStyle w:val="Tabletext"/>
            </w:pPr>
            <w:r w:rsidRPr="005071A1">
              <w:t>0.24</w:t>
            </w:r>
          </w:p>
        </w:tc>
      </w:tr>
      <w:tr w:rsidR="00B33542" w:rsidRPr="005071A1" w14:paraId="0A529094" w14:textId="77777777" w:rsidTr="009B7AF5">
        <w:tc>
          <w:tcPr>
            <w:tcW w:w="3145" w:type="dxa"/>
            <w:shd w:val="clear" w:color="auto" w:fill="auto"/>
          </w:tcPr>
          <w:p w14:paraId="6B188C70" w14:textId="77777777" w:rsidR="00B33542" w:rsidRPr="005071A1" w:rsidRDefault="00B33542" w:rsidP="009B7AF5">
            <w:pPr>
              <w:pStyle w:val="Tabletext"/>
            </w:pPr>
            <w:r w:rsidRPr="005071A1">
              <w:t>36</w:t>
            </w:r>
          </w:p>
        </w:tc>
        <w:tc>
          <w:tcPr>
            <w:tcW w:w="2667" w:type="dxa"/>
            <w:shd w:val="clear" w:color="auto" w:fill="auto"/>
          </w:tcPr>
          <w:p w14:paraId="27D0A4E4" w14:textId="77777777" w:rsidR="00B33542" w:rsidRPr="005071A1" w:rsidRDefault="00B33542" w:rsidP="009B7AF5">
            <w:pPr>
              <w:pStyle w:val="Tabletext"/>
            </w:pPr>
            <w:r w:rsidRPr="005071A1">
              <w:t>0.25</w:t>
            </w:r>
          </w:p>
        </w:tc>
      </w:tr>
      <w:tr w:rsidR="00B33542" w:rsidRPr="005071A1" w14:paraId="05CEF90C" w14:textId="77777777" w:rsidTr="009B7AF5">
        <w:tc>
          <w:tcPr>
            <w:tcW w:w="3145" w:type="dxa"/>
            <w:shd w:val="clear" w:color="auto" w:fill="auto"/>
          </w:tcPr>
          <w:p w14:paraId="1C8137C3" w14:textId="77777777" w:rsidR="00B33542" w:rsidRPr="005071A1" w:rsidRDefault="00B33542" w:rsidP="009B7AF5">
            <w:pPr>
              <w:pStyle w:val="Tabletext"/>
            </w:pPr>
            <w:r w:rsidRPr="005071A1">
              <w:t>37</w:t>
            </w:r>
          </w:p>
        </w:tc>
        <w:tc>
          <w:tcPr>
            <w:tcW w:w="2667" w:type="dxa"/>
            <w:shd w:val="clear" w:color="auto" w:fill="auto"/>
          </w:tcPr>
          <w:p w14:paraId="2444FDF2" w14:textId="77777777" w:rsidR="00B33542" w:rsidRPr="005071A1" w:rsidRDefault="00B33542" w:rsidP="009B7AF5">
            <w:pPr>
              <w:pStyle w:val="Tabletext"/>
            </w:pPr>
            <w:r w:rsidRPr="005071A1">
              <w:t>0.27</w:t>
            </w:r>
          </w:p>
        </w:tc>
      </w:tr>
      <w:tr w:rsidR="00B33542" w:rsidRPr="005071A1" w14:paraId="7204D069" w14:textId="77777777" w:rsidTr="009B7AF5">
        <w:tc>
          <w:tcPr>
            <w:tcW w:w="3145" w:type="dxa"/>
            <w:shd w:val="clear" w:color="auto" w:fill="auto"/>
          </w:tcPr>
          <w:p w14:paraId="7034E373" w14:textId="77777777" w:rsidR="00B33542" w:rsidRPr="005071A1" w:rsidRDefault="00B33542" w:rsidP="009B7AF5">
            <w:pPr>
              <w:pStyle w:val="Tabletext"/>
            </w:pPr>
            <w:r w:rsidRPr="005071A1">
              <w:t>38</w:t>
            </w:r>
          </w:p>
        </w:tc>
        <w:tc>
          <w:tcPr>
            <w:tcW w:w="2667" w:type="dxa"/>
            <w:shd w:val="clear" w:color="auto" w:fill="auto"/>
          </w:tcPr>
          <w:p w14:paraId="3806A56B" w14:textId="77777777" w:rsidR="00B33542" w:rsidRPr="005071A1" w:rsidRDefault="00B33542" w:rsidP="009B7AF5">
            <w:pPr>
              <w:pStyle w:val="Tabletext"/>
            </w:pPr>
            <w:r w:rsidRPr="005071A1">
              <w:t>0.28</w:t>
            </w:r>
          </w:p>
        </w:tc>
      </w:tr>
      <w:tr w:rsidR="00B33542" w:rsidRPr="005071A1" w14:paraId="4B9584F9" w14:textId="77777777" w:rsidTr="009B7AF5">
        <w:tc>
          <w:tcPr>
            <w:tcW w:w="3145" w:type="dxa"/>
            <w:shd w:val="clear" w:color="auto" w:fill="auto"/>
          </w:tcPr>
          <w:p w14:paraId="3DBC447B" w14:textId="77777777" w:rsidR="00B33542" w:rsidRPr="005071A1" w:rsidRDefault="00B33542" w:rsidP="009B7AF5">
            <w:pPr>
              <w:pStyle w:val="Tabletext"/>
            </w:pPr>
            <w:r w:rsidRPr="005071A1">
              <w:t>39</w:t>
            </w:r>
          </w:p>
        </w:tc>
        <w:tc>
          <w:tcPr>
            <w:tcW w:w="2667" w:type="dxa"/>
            <w:shd w:val="clear" w:color="auto" w:fill="auto"/>
          </w:tcPr>
          <w:p w14:paraId="7A9BF1BB" w14:textId="77777777" w:rsidR="00B33542" w:rsidRPr="005071A1" w:rsidRDefault="00B33542" w:rsidP="009B7AF5">
            <w:pPr>
              <w:pStyle w:val="Tabletext"/>
            </w:pPr>
            <w:r w:rsidRPr="005071A1">
              <w:t>0.30</w:t>
            </w:r>
          </w:p>
        </w:tc>
      </w:tr>
      <w:tr w:rsidR="00B33542" w:rsidRPr="005071A1" w14:paraId="021B10BF" w14:textId="77777777" w:rsidTr="009B7AF5">
        <w:tc>
          <w:tcPr>
            <w:tcW w:w="3145" w:type="dxa"/>
            <w:shd w:val="clear" w:color="auto" w:fill="auto"/>
          </w:tcPr>
          <w:p w14:paraId="421B2FFB" w14:textId="77777777" w:rsidR="00B33542" w:rsidRPr="005071A1" w:rsidRDefault="00B33542" w:rsidP="009B7AF5">
            <w:pPr>
              <w:pStyle w:val="Tabletext"/>
            </w:pPr>
            <w:r w:rsidRPr="005071A1">
              <w:t>40</w:t>
            </w:r>
          </w:p>
        </w:tc>
        <w:tc>
          <w:tcPr>
            <w:tcW w:w="2667" w:type="dxa"/>
            <w:shd w:val="clear" w:color="auto" w:fill="auto"/>
          </w:tcPr>
          <w:p w14:paraId="280C7CC3" w14:textId="77777777" w:rsidR="00B33542" w:rsidRPr="005071A1" w:rsidRDefault="00B33542" w:rsidP="009B7AF5">
            <w:pPr>
              <w:pStyle w:val="Tabletext"/>
            </w:pPr>
            <w:r w:rsidRPr="005071A1">
              <w:t>0.32</w:t>
            </w:r>
          </w:p>
        </w:tc>
      </w:tr>
      <w:tr w:rsidR="00B33542" w:rsidRPr="005071A1" w14:paraId="1CA4964A" w14:textId="77777777" w:rsidTr="009B7AF5">
        <w:tc>
          <w:tcPr>
            <w:tcW w:w="3145" w:type="dxa"/>
            <w:shd w:val="clear" w:color="auto" w:fill="auto"/>
          </w:tcPr>
          <w:p w14:paraId="635E22F0" w14:textId="77777777" w:rsidR="00B33542" w:rsidRPr="005071A1" w:rsidRDefault="00B33542" w:rsidP="009B7AF5">
            <w:pPr>
              <w:pStyle w:val="Tabletext"/>
            </w:pPr>
            <w:r w:rsidRPr="005071A1">
              <w:t>41</w:t>
            </w:r>
          </w:p>
        </w:tc>
        <w:tc>
          <w:tcPr>
            <w:tcW w:w="2667" w:type="dxa"/>
            <w:shd w:val="clear" w:color="auto" w:fill="auto"/>
          </w:tcPr>
          <w:p w14:paraId="2D6F29D5" w14:textId="77777777" w:rsidR="00B33542" w:rsidRPr="005071A1" w:rsidRDefault="00B33542" w:rsidP="009B7AF5">
            <w:pPr>
              <w:pStyle w:val="Tabletext"/>
            </w:pPr>
            <w:r w:rsidRPr="005071A1">
              <w:t>0.34</w:t>
            </w:r>
          </w:p>
        </w:tc>
      </w:tr>
      <w:tr w:rsidR="00B33542" w:rsidRPr="005071A1" w14:paraId="093CF8D6" w14:textId="77777777" w:rsidTr="009B7AF5">
        <w:tc>
          <w:tcPr>
            <w:tcW w:w="3145" w:type="dxa"/>
            <w:shd w:val="clear" w:color="auto" w:fill="auto"/>
          </w:tcPr>
          <w:p w14:paraId="71265A6A" w14:textId="77777777" w:rsidR="00B33542" w:rsidRPr="005071A1" w:rsidRDefault="00B33542" w:rsidP="009B7AF5">
            <w:pPr>
              <w:pStyle w:val="Tabletext"/>
            </w:pPr>
            <w:r w:rsidRPr="005071A1">
              <w:t>42</w:t>
            </w:r>
          </w:p>
        </w:tc>
        <w:tc>
          <w:tcPr>
            <w:tcW w:w="2667" w:type="dxa"/>
            <w:shd w:val="clear" w:color="auto" w:fill="auto"/>
          </w:tcPr>
          <w:p w14:paraId="676783ED" w14:textId="77777777" w:rsidR="00B33542" w:rsidRPr="005071A1" w:rsidRDefault="00B33542" w:rsidP="009B7AF5">
            <w:pPr>
              <w:pStyle w:val="Tabletext"/>
            </w:pPr>
            <w:r w:rsidRPr="005071A1">
              <w:t>0.37</w:t>
            </w:r>
          </w:p>
        </w:tc>
      </w:tr>
      <w:tr w:rsidR="00B33542" w:rsidRPr="005071A1" w14:paraId="7109CED5" w14:textId="77777777" w:rsidTr="009B7AF5">
        <w:tc>
          <w:tcPr>
            <w:tcW w:w="3145" w:type="dxa"/>
            <w:shd w:val="clear" w:color="auto" w:fill="auto"/>
          </w:tcPr>
          <w:p w14:paraId="0322E623" w14:textId="77777777" w:rsidR="00B33542" w:rsidRPr="005071A1" w:rsidRDefault="00B33542" w:rsidP="009B7AF5">
            <w:pPr>
              <w:pStyle w:val="Tabletext"/>
            </w:pPr>
            <w:r w:rsidRPr="005071A1">
              <w:t>43</w:t>
            </w:r>
          </w:p>
        </w:tc>
        <w:tc>
          <w:tcPr>
            <w:tcW w:w="2667" w:type="dxa"/>
            <w:shd w:val="clear" w:color="auto" w:fill="auto"/>
          </w:tcPr>
          <w:p w14:paraId="6CE38FA0" w14:textId="77777777" w:rsidR="00B33542" w:rsidRPr="005071A1" w:rsidRDefault="00B33542" w:rsidP="009B7AF5">
            <w:pPr>
              <w:pStyle w:val="Tabletext"/>
            </w:pPr>
            <w:r w:rsidRPr="005071A1">
              <w:t>0.40</w:t>
            </w:r>
          </w:p>
        </w:tc>
      </w:tr>
      <w:tr w:rsidR="00B33542" w:rsidRPr="005071A1" w14:paraId="476B41E9" w14:textId="77777777" w:rsidTr="009B7AF5">
        <w:tc>
          <w:tcPr>
            <w:tcW w:w="3145" w:type="dxa"/>
            <w:shd w:val="clear" w:color="auto" w:fill="auto"/>
          </w:tcPr>
          <w:p w14:paraId="2050ACE7" w14:textId="77777777" w:rsidR="00B33542" w:rsidRPr="005071A1" w:rsidRDefault="00B33542" w:rsidP="009B7AF5">
            <w:pPr>
              <w:pStyle w:val="Tabletext"/>
            </w:pPr>
            <w:r w:rsidRPr="005071A1">
              <w:t>44</w:t>
            </w:r>
          </w:p>
        </w:tc>
        <w:tc>
          <w:tcPr>
            <w:tcW w:w="2667" w:type="dxa"/>
            <w:shd w:val="clear" w:color="auto" w:fill="auto"/>
          </w:tcPr>
          <w:p w14:paraId="5205E692" w14:textId="77777777" w:rsidR="00B33542" w:rsidRPr="005071A1" w:rsidRDefault="00B33542" w:rsidP="009B7AF5">
            <w:pPr>
              <w:pStyle w:val="Tabletext"/>
            </w:pPr>
            <w:r w:rsidRPr="005071A1">
              <w:t>0.42</w:t>
            </w:r>
          </w:p>
        </w:tc>
      </w:tr>
      <w:tr w:rsidR="00B33542" w:rsidRPr="005071A1" w14:paraId="76EF4D22" w14:textId="77777777" w:rsidTr="009B7AF5">
        <w:tc>
          <w:tcPr>
            <w:tcW w:w="3145" w:type="dxa"/>
            <w:shd w:val="clear" w:color="auto" w:fill="auto"/>
          </w:tcPr>
          <w:p w14:paraId="78CC5D6F" w14:textId="77777777" w:rsidR="00B33542" w:rsidRPr="005071A1" w:rsidRDefault="00B33542" w:rsidP="009B7AF5">
            <w:pPr>
              <w:pStyle w:val="Tabletext"/>
            </w:pPr>
            <w:r w:rsidRPr="005071A1">
              <w:t>45</w:t>
            </w:r>
          </w:p>
        </w:tc>
        <w:tc>
          <w:tcPr>
            <w:tcW w:w="2667" w:type="dxa"/>
            <w:shd w:val="clear" w:color="auto" w:fill="auto"/>
          </w:tcPr>
          <w:p w14:paraId="53296AB4" w14:textId="77777777" w:rsidR="00B33542" w:rsidRPr="005071A1" w:rsidRDefault="00B33542" w:rsidP="009B7AF5">
            <w:pPr>
              <w:pStyle w:val="Tabletext"/>
            </w:pPr>
            <w:r w:rsidRPr="005071A1">
              <w:t>0.45</w:t>
            </w:r>
          </w:p>
        </w:tc>
      </w:tr>
      <w:tr w:rsidR="00B33542" w:rsidRPr="005071A1" w14:paraId="42E4E798" w14:textId="77777777" w:rsidTr="009B7AF5">
        <w:tc>
          <w:tcPr>
            <w:tcW w:w="3145" w:type="dxa"/>
            <w:shd w:val="clear" w:color="auto" w:fill="auto"/>
          </w:tcPr>
          <w:p w14:paraId="556F1812" w14:textId="77777777" w:rsidR="00B33542" w:rsidRPr="005071A1" w:rsidRDefault="00B33542" w:rsidP="009B7AF5">
            <w:pPr>
              <w:pStyle w:val="Tabletext"/>
            </w:pPr>
            <w:r w:rsidRPr="005071A1">
              <w:t>46</w:t>
            </w:r>
          </w:p>
        </w:tc>
        <w:tc>
          <w:tcPr>
            <w:tcW w:w="2667" w:type="dxa"/>
            <w:shd w:val="clear" w:color="auto" w:fill="auto"/>
          </w:tcPr>
          <w:p w14:paraId="21FB5B29" w14:textId="77777777" w:rsidR="00B33542" w:rsidRPr="005071A1" w:rsidRDefault="00B33542" w:rsidP="009B7AF5">
            <w:pPr>
              <w:pStyle w:val="Tabletext"/>
            </w:pPr>
            <w:r w:rsidRPr="005071A1">
              <w:t>0.48</w:t>
            </w:r>
          </w:p>
        </w:tc>
      </w:tr>
      <w:tr w:rsidR="00B33542" w:rsidRPr="005071A1" w14:paraId="2A99E911" w14:textId="77777777" w:rsidTr="009B7AF5">
        <w:tc>
          <w:tcPr>
            <w:tcW w:w="3145" w:type="dxa"/>
            <w:shd w:val="clear" w:color="auto" w:fill="auto"/>
          </w:tcPr>
          <w:p w14:paraId="629598CB" w14:textId="77777777" w:rsidR="00B33542" w:rsidRPr="005071A1" w:rsidRDefault="00B33542" w:rsidP="009B7AF5">
            <w:pPr>
              <w:pStyle w:val="Tabletext"/>
            </w:pPr>
            <w:r w:rsidRPr="005071A1">
              <w:t>47</w:t>
            </w:r>
          </w:p>
        </w:tc>
        <w:tc>
          <w:tcPr>
            <w:tcW w:w="2667" w:type="dxa"/>
            <w:shd w:val="clear" w:color="auto" w:fill="auto"/>
          </w:tcPr>
          <w:p w14:paraId="20139723" w14:textId="77777777" w:rsidR="00B33542" w:rsidRPr="005071A1" w:rsidRDefault="00B33542" w:rsidP="009B7AF5">
            <w:pPr>
              <w:pStyle w:val="Tabletext"/>
            </w:pPr>
            <w:r w:rsidRPr="005071A1">
              <w:t>0.52</w:t>
            </w:r>
          </w:p>
        </w:tc>
      </w:tr>
      <w:tr w:rsidR="00B33542" w:rsidRPr="005071A1" w14:paraId="09C41111" w14:textId="77777777" w:rsidTr="009B7AF5">
        <w:tc>
          <w:tcPr>
            <w:tcW w:w="3145" w:type="dxa"/>
            <w:shd w:val="clear" w:color="auto" w:fill="auto"/>
          </w:tcPr>
          <w:p w14:paraId="6D8EF25C" w14:textId="77777777" w:rsidR="00B33542" w:rsidRPr="005071A1" w:rsidRDefault="00B33542" w:rsidP="009B7AF5">
            <w:pPr>
              <w:pStyle w:val="Tabletext"/>
            </w:pPr>
            <w:r w:rsidRPr="005071A1">
              <w:t>48</w:t>
            </w:r>
          </w:p>
        </w:tc>
        <w:tc>
          <w:tcPr>
            <w:tcW w:w="2667" w:type="dxa"/>
            <w:shd w:val="clear" w:color="auto" w:fill="auto"/>
          </w:tcPr>
          <w:p w14:paraId="1FF4B4AD" w14:textId="77777777" w:rsidR="00B33542" w:rsidRPr="005071A1" w:rsidRDefault="00B33542" w:rsidP="009B7AF5">
            <w:pPr>
              <w:pStyle w:val="Tabletext"/>
            </w:pPr>
            <w:r w:rsidRPr="005071A1">
              <w:t>0.56</w:t>
            </w:r>
          </w:p>
        </w:tc>
      </w:tr>
      <w:tr w:rsidR="00B33542" w:rsidRPr="005071A1" w14:paraId="4F786BB1" w14:textId="77777777" w:rsidTr="009B7AF5">
        <w:tc>
          <w:tcPr>
            <w:tcW w:w="3145" w:type="dxa"/>
            <w:shd w:val="clear" w:color="auto" w:fill="auto"/>
          </w:tcPr>
          <w:p w14:paraId="41CF5FD7" w14:textId="77777777" w:rsidR="00B33542" w:rsidRPr="005071A1" w:rsidRDefault="00B33542" w:rsidP="009B7AF5">
            <w:pPr>
              <w:pStyle w:val="Tabletext"/>
            </w:pPr>
            <w:r w:rsidRPr="005071A1">
              <w:t>49</w:t>
            </w:r>
          </w:p>
        </w:tc>
        <w:tc>
          <w:tcPr>
            <w:tcW w:w="2667" w:type="dxa"/>
            <w:shd w:val="clear" w:color="auto" w:fill="auto"/>
          </w:tcPr>
          <w:p w14:paraId="4B9C8A74" w14:textId="77777777" w:rsidR="00B33542" w:rsidRPr="005071A1" w:rsidRDefault="00B33542" w:rsidP="009B7AF5">
            <w:pPr>
              <w:pStyle w:val="Tabletext"/>
            </w:pPr>
            <w:r w:rsidRPr="005071A1">
              <w:t>0.61</w:t>
            </w:r>
          </w:p>
        </w:tc>
      </w:tr>
      <w:tr w:rsidR="00B33542" w:rsidRPr="005071A1" w14:paraId="02617E9D" w14:textId="77777777" w:rsidTr="009B7AF5">
        <w:tc>
          <w:tcPr>
            <w:tcW w:w="3145" w:type="dxa"/>
            <w:shd w:val="clear" w:color="auto" w:fill="auto"/>
          </w:tcPr>
          <w:p w14:paraId="59C84030" w14:textId="77777777" w:rsidR="00B33542" w:rsidRPr="005071A1" w:rsidRDefault="00B33542" w:rsidP="009B7AF5">
            <w:pPr>
              <w:pStyle w:val="Tabletext"/>
            </w:pPr>
            <w:r w:rsidRPr="005071A1">
              <w:t>50</w:t>
            </w:r>
          </w:p>
        </w:tc>
        <w:tc>
          <w:tcPr>
            <w:tcW w:w="2667" w:type="dxa"/>
            <w:shd w:val="clear" w:color="auto" w:fill="auto"/>
          </w:tcPr>
          <w:p w14:paraId="725357F0" w14:textId="77777777" w:rsidR="00B33542" w:rsidRPr="005071A1" w:rsidRDefault="00B33542" w:rsidP="009B7AF5">
            <w:pPr>
              <w:pStyle w:val="Tabletext"/>
            </w:pPr>
            <w:r w:rsidRPr="005071A1">
              <w:t>0.66</w:t>
            </w:r>
          </w:p>
        </w:tc>
      </w:tr>
      <w:tr w:rsidR="00B33542" w:rsidRPr="005071A1" w14:paraId="7C7302FD" w14:textId="77777777" w:rsidTr="009B7AF5">
        <w:tc>
          <w:tcPr>
            <w:tcW w:w="3145" w:type="dxa"/>
            <w:shd w:val="clear" w:color="auto" w:fill="auto"/>
          </w:tcPr>
          <w:p w14:paraId="7142FA37" w14:textId="77777777" w:rsidR="00B33542" w:rsidRPr="005071A1" w:rsidRDefault="00B33542" w:rsidP="009B7AF5">
            <w:pPr>
              <w:pStyle w:val="Tabletext"/>
            </w:pPr>
            <w:r w:rsidRPr="005071A1">
              <w:t>51</w:t>
            </w:r>
          </w:p>
        </w:tc>
        <w:tc>
          <w:tcPr>
            <w:tcW w:w="2667" w:type="dxa"/>
            <w:shd w:val="clear" w:color="auto" w:fill="auto"/>
          </w:tcPr>
          <w:p w14:paraId="3185FE21" w14:textId="77777777" w:rsidR="00B33542" w:rsidRPr="005071A1" w:rsidRDefault="00B33542" w:rsidP="009B7AF5">
            <w:pPr>
              <w:pStyle w:val="Tabletext"/>
            </w:pPr>
            <w:r w:rsidRPr="005071A1">
              <w:t>0.72</w:t>
            </w:r>
          </w:p>
        </w:tc>
      </w:tr>
      <w:tr w:rsidR="00B33542" w:rsidRPr="005071A1" w14:paraId="3F102C98" w14:textId="77777777" w:rsidTr="009B7AF5">
        <w:tc>
          <w:tcPr>
            <w:tcW w:w="3145" w:type="dxa"/>
            <w:shd w:val="clear" w:color="auto" w:fill="auto"/>
          </w:tcPr>
          <w:p w14:paraId="63469D4B" w14:textId="77777777" w:rsidR="00B33542" w:rsidRPr="005071A1" w:rsidRDefault="00B33542" w:rsidP="009B7AF5">
            <w:pPr>
              <w:pStyle w:val="Tabletext"/>
            </w:pPr>
            <w:r w:rsidRPr="005071A1">
              <w:t>52</w:t>
            </w:r>
          </w:p>
        </w:tc>
        <w:tc>
          <w:tcPr>
            <w:tcW w:w="2667" w:type="dxa"/>
            <w:shd w:val="clear" w:color="auto" w:fill="auto"/>
          </w:tcPr>
          <w:p w14:paraId="270D29FA" w14:textId="77777777" w:rsidR="00B33542" w:rsidRPr="005071A1" w:rsidRDefault="00B33542" w:rsidP="009B7AF5">
            <w:pPr>
              <w:pStyle w:val="Tabletext"/>
            </w:pPr>
            <w:r w:rsidRPr="005071A1">
              <w:t>0.80</w:t>
            </w:r>
          </w:p>
        </w:tc>
      </w:tr>
      <w:tr w:rsidR="00B33542" w:rsidRPr="005071A1" w14:paraId="52A3675E" w14:textId="77777777" w:rsidTr="009B7AF5">
        <w:tc>
          <w:tcPr>
            <w:tcW w:w="3145" w:type="dxa"/>
            <w:shd w:val="clear" w:color="auto" w:fill="auto"/>
          </w:tcPr>
          <w:p w14:paraId="6A8B95B6" w14:textId="77777777" w:rsidR="00B33542" w:rsidRPr="005071A1" w:rsidRDefault="00B33542" w:rsidP="009B7AF5">
            <w:pPr>
              <w:pStyle w:val="Tabletext"/>
            </w:pPr>
            <w:r w:rsidRPr="005071A1">
              <w:t>53</w:t>
            </w:r>
          </w:p>
        </w:tc>
        <w:tc>
          <w:tcPr>
            <w:tcW w:w="2667" w:type="dxa"/>
            <w:shd w:val="clear" w:color="auto" w:fill="auto"/>
          </w:tcPr>
          <w:p w14:paraId="07FB66CC" w14:textId="77777777" w:rsidR="00B33542" w:rsidRPr="005071A1" w:rsidRDefault="00B33542" w:rsidP="009B7AF5">
            <w:pPr>
              <w:pStyle w:val="Tabletext"/>
            </w:pPr>
            <w:r w:rsidRPr="005071A1">
              <w:t>0.88</w:t>
            </w:r>
          </w:p>
        </w:tc>
      </w:tr>
      <w:tr w:rsidR="00B33542" w:rsidRPr="005071A1" w14:paraId="5FFFC30F" w14:textId="77777777" w:rsidTr="009B7AF5">
        <w:tc>
          <w:tcPr>
            <w:tcW w:w="3145" w:type="dxa"/>
            <w:shd w:val="clear" w:color="auto" w:fill="auto"/>
          </w:tcPr>
          <w:p w14:paraId="61C15105" w14:textId="77777777" w:rsidR="00B33542" w:rsidRPr="005071A1" w:rsidRDefault="00B33542" w:rsidP="009B7AF5">
            <w:pPr>
              <w:pStyle w:val="Tabletext"/>
            </w:pPr>
            <w:r w:rsidRPr="005071A1">
              <w:t>54</w:t>
            </w:r>
          </w:p>
        </w:tc>
        <w:tc>
          <w:tcPr>
            <w:tcW w:w="2667" w:type="dxa"/>
            <w:shd w:val="clear" w:color="auto" w:fill="auto"/>
          </w:tcPr>
          <w:p w14:paraId="504E1EC8" w14:textId="77777777" w:rsidR="00B33542" w:rsidRPr="005071A1" w:rsidRDefault="00B33542" w:rsidP="009B7AF5">
            <w:pPr>
              <w:pStyle w:val="Tabletext"/>
            </w:pPr>
            <w:r w:rsidRPr="005071A1">
              <w:t>0.97</w:t>
            </w:r>
          </w:p>
        </w:tc>
      </w:tr>
      <w:tr w:rsidR="00B33542" w:rsidRPr="005071A1" w14:paraId="54043AD2" w14:textId="77777777" w:rsidTr="009B7AF5">
        <w:tc>
          <w:tcPr>
            <w:tcW w:w="3145" w:type="dxa"/>
            <w:shd w:val="clear" w:color="auto" w:fill="auto"/>
          </w:tcPr>
          <w:p w14:paraId="71EAFF92" w14:textId="77777777" w:rsidR="00B33542" w:rsidRPr="005071A1" w:rsidRDefault="00B33542" w:rsidP="009B7AF5">
            <w:pPr>
              <w:pStyle w:val="Tabletext"/>
            </w:pPr>
            <w:r w:rsidRPr="005071A1">
              <w:t>55</w:t>
            </w:r>
          </w:p>
        </w:tc>
        <w:tc>
          <w:tcPr>
            <w:tcW w:w="2667" w:type="dxa"/>
            <w:shd w:val="clear" w:color="auto" w:fill="auto"/>
          </w:tcPr>
          <w:p w14:paraId="5F5B7E2C" w14:textId="77777777" w:rsidR="00B33542" w:rsidRPr="005071A1" w:rsidRDefault="00B33542" w:rsidP="009B7AF5">
            <w:pPr>
              <w:pStyle w:val="Tabletext"/>
            </w:pPr>
            <w:r w:rsidRPr="005071A1">
              <w:t>1.09</w:t>
            </w:r>
          </w:p>
        </w:tc>
      </w:tr>
      <w:tr w:rsidR="00B33542" w:rsidRPr="005071A1" w14:paraId="30B4B2D5" w14:textId="77777777" w:rsidTr="009B7AF5">
        <w:tc>
          <w:tcPr>
            <w:tcW w:w="3145" w:type="dxa"/>
            <w:shd w:val="clear" w:color="auto" w:fill="auto"/>
          </w:tcPr>
          <w:p w14:paraId="41516627" w14:textId="77777777" w:rsidR="00B33542" w:rsidRPr="005071A1" w:rsidRDefault="00B33542" w:rsidP="009B7AF5">
            <w:pPr>
              <w:pStyle w:val="Tabletext"/>
            </w:pPr>
            <w:r w:rsidRPr="005071A1">
              <w:t>56</w:t>
            </w:r>
          </w:p>
        </w:tc>
        <w:tc>
          <w:tcPr>
            <w:tcW w:w="2667" w:type="dxa"/>
            <w:shd w:val="clear" w:color="auto" w:fill="auto"/>
          </w:tcPr>
          <w:p w14:paraId="6AC8B42B" w14:textId="77777777" w:rsidR="00B33542" w:rsidRPr="005071A1" w:rsidRDefault="00B33542" w:rsidP="009B7AF5">
            <w:pPr>
              <w:pStyle w:val="Tabletext"/>
            </w:pPr>
            <w:r w:rsidRPr="005071A1">
              <w:t>1.23</w:t>
            </w:r>
          </w:p>
        </w:tc>
      </w:tr>
      <w:tr w:rsidR="00B33542" w:rsidRPr="005071A1" w14:paraId="2D74F208" w14:textId="77777777" w:rsidTr="009B7AF5">
        <w:tc>
          <w:tcPr>
            <w:tcW w:w="3145" w:type="dxa"/>
            <w:shd w:val="clear" w:color="auto" w:fill="auto"/>
          </w:tcPr>
          <w:p w14:paraId="1F3D6DB9" w14:textId="77777777" w:rsidR="00B33542" w:rsidRPr="005071A1" w:rsidRDefault="00B33542" w:rsidP="009B7AF5">
            <w:pPr>
              <w:pStyle w:val="Tabletext"/>
            </w:pPr>
            <w:r w:rsidRPr="005071A1">
              <w:t>57</w:t>
            </w:r>
          </w:p>
        </w:tc>
        <w:tc>
          <w:tcPr>
            <w:tcW w:w="2667" w:type="dxa"/>
            <w:shd w:val="clear" w:color="auto" w:fill="auto"/>
          </w:tcPr>
          <w:p w14:paraId="12A70B9B" w14:textId="77777777" w:rsidR="00B33542" w:rsidRPr="005071A1" w:rsidRDefault="00B33542" w:rsidP="009B7AF5">
            <w:pPr>
              <w:pStyle w:val="Tabletext"/>
            </w:pPr>
            <w:r w:rsidRPr="005071A1">
              <w:t>1.40</w:t>
            </w:r>
          </w:p>
        </w:tc>
      </w:tr>
      <w:tr w:rsidR="00B33542" w:rsidRPr="005071A1" w14:paraId="0EFBD1CC" w14:textId="77777777" w:rsidTr="009B7AF5">
        <w:tc>
          <w:tcPr>
            <w:tcW w:w="3145" w:type="dxa"/>
            <w:shd w:val="clear" w:color="auto" w:fill="auto"/>
          </w:tcPr>
          <w:p w14:paraId="7A75E3A3" w14:textId="77777777" w:rsidR="00B33542" w:rsidRPr="005071A1" w:rsidRDefault="00B33542" w:rsidP="009B7AF5">
            <w:pPr>
              <w:pStyle w:val="Tabletext"/>
            </w:pPr>
            <w:r w:rsidRPr="005071A1">
              <w:lastRenderedPageBreak/>
              <w:t>58</w:t>
            </w:r>
          </w:p>
        </w:tc>
        <w:tc>
          <w:tcPr>
            <w:tcW w:w="2667" w:type="dxa"/>
            <w:shd w:val="clear" w:color="auto" w:fill="auto"/>
          </w:tcPr>
          <w:p w14:paraId="17AAD00A" w14:textId="77777777" w:rsidR="00B33542" w:rsidRPr="005071A1" w:rsidRDefault="00B33542" w:rsidP="009B7AF5">
            <w:pPr>
              <w:pStyle w:val="Tabletext"/>
            </w:pPr>
            <w:r w:rsidRPr="005071A1">
              <w:t>1.62</w:t>
            </w:r>
          </w:p>
        </w:tc>
      </w:tr>
      <w:tr w:rsidR="00B33542" w:rsidRPr="005071A1" w14:paraId="780752F6" w14:textId="77777777" w:rsidTr="009B7AF5">
        <w:tc>
          <w:tcPr>
            <w:tcW w:w="3145" w:type="dxa"/>
            <w:shd w:val="clear" w:color="auto" w:fill="auto"/>
          </w:tcPr>
          <w:p w14:paraId="6DAC417E" w14:textId="77777777" w:rsidR="00B33542" w:rsidRPr="005071A1" w:rsidRDefault="00B33542" w:rsidP="009B7AF5">
            <w:pPr>
              <w:pStyle w:val="Tabletext"/>
            </w:pPr>
            <w:r w:rsidRPr="005071A1">
              <w:t>59</w:t>
            </w:r>
          </w:p>
        </w:tc>
        <w:tc>
          <w:tcPr>
            <w:tcW w:w="2667" w:type="dxa"/>
            <w:shd w:val="clear" w:color="auto" w:fill="auto"/>
          </w:tcPr>
          <w:p w14:paraId="04597C6F" w14:textId="77777777" w:rsidR="00B33542" w:rsidRPr="005071A1" w:rsidRDefault="00B33542" w:rsidP="009B7AF5">
            <w:pPr>
              <w:pStyle w:val="Tabletext"/>
            </w:pPr>
            <w:r w:rsidRPr="005071A1">
              <w:t>1.90</w:t>
            </w:r>
          </w:p>
        </w:tc>
      </w:tr>
      <w:tr w:rsidR="00B33542" w:rsidRPr="005071A1" w14:paraId="1DAB4475" w14:textId="77777777" w:rsidTr="009B7AF5">
        <w:tc>
          <w:tcPr>
            <w:tcW w:w="3145" w:type="dxa"/>
            <w:shd w:val="clear" w:color="auto" w:fill="auto"/>
          </w:tcPr>
          <w:p w14:paraId="4C06A0C0" w14:textId="77777777" w:rsidR="00B33542" w:rsidRPr="005071A1" w:rsidRDefault="00B33542" w:rsidP="009B7AF5">
            <w:pPr>
              <w:pStyle w:val="Tabletext"/>
            </w:pPr>
            <w:r w:rsidRPr="005071A1">
              <w:t>60</w:t>
            </w:r>
          </w:p>
        </w:tc>
        <w:tc>
          <w:tcPr>
            <w:tcW w:w="2667" w:type="dxa"/>
            <w:shd w:val="clear" w:color="auto" w:fill="auto"/>
          </w:tcPr>
          <w:p w14:paraId="3551C97B" w14:textId="77777777" w:rsidR="00B33542" w:rsidRPr="005071A1" w:rsidRDefault="00B33542" w:rsidP="009B7AF5">
            <w:pPr>
              <w:pStyle w:val="Tabletext"/>
            </w:pPr>
            <w:r w:rsidRPr="005071A1">
              <w:t>2.29</w:t>
            </w:r>
          </w:p>
        </w:tc>
      </w:tr>
      <w:tr w:rsidR="00B33542" w:rsidRPr="005071A1" w14:paraId="5D7686AE" w14:textId="77777777" w:rsidTr="009B7AF5">
        <w:tc>
          <w:tcPr>
            <w:tcW w:w="3145" w:type="dxa"/>
            <w:shd w:val="clear" w:color="auto" w:fill="auto"/>
          </w:tcPr>
          <w:p w14:paraId="4E6E0F00" w14:textId="77777777" w:rsidR="00B33542" w:rsidRPr="005071A1" w:rsidRDefault="00B33542" w:rsidP="009B7AF5">
            <w:pPr>
              <w:pStyle w:val="Tabletext"/>
            </w:pPr>
            <w:r w:rsidRPr="005071A1">
              <w:t>61</w:t>
            </w:r>
          </w:p>
        </w:tc>
        <w:tc>
          <w:tcPr>
            <w:tcW w:w="2667" w:type="dxa"/>
            <w:shd w:val="clear" w:color="auto" w:fill="auto"/>
          </w:tcPr>
          <w:p w14:paraId="6F424C50" w14:textId="77777777" w:rsidR="00B33542" w:rsidRPr="005071A1" w:rsidRDefault="00B33542" w:rsidP="009B7AF5">
            <w:pPr>
              <w:pStyle w:val="Tabletext"/>
            </w:pPr>
            <w:r w:rsidRPr="005071A1">
              <w:t>2.87</w:t>
            </w:r>
          </w:p>
        </w:tc>
      </w:tr>
      <w:tr w:rsidR="00B33542" w:rsidRPr="005071A1" w14:paraId="10A01189" w14:textId="77777777" w:rsidTr="00D57394">
        <w:tc>
          <w:tcPr>
            <w:tcW w:w="3145" w:type="dxa"/>
            <w:tcBorders>
              <w:bottom w:val="single" w:sz="4" w:space="0" w:color="auto"/>
            </w:tcBorders>
            <w:shd w:val="clear" w:color="auto" w:fill="auto"/>
          </w:tcPr>
          <w:p w14:paraId="2719B786" w14:textId="77777777" w:rsidR="00B33542" w:rsidRPr="005071A1" w:rsidRDefault="00B33542" w:rsidP="009B7AF5">
            <w:pPr>
              <w:pStyle w:val="Tabletext"/>
            </w:pPr>
            <w:r w:rsidRPr="005071A1">
              <w:t>62</w:t>
            </w:r>
          </w:p>
        </w:tc>
        <w:tc>
          <w:tcPr>
            <w:tcW w:w="2667" w:type="dxa"/>
            <w:tcBorders>
              <w:bottom w:val="single" w:sz="4" w:space="0" w:color="auto"/>
            </w:tcBorders>
            <w:shd w:val="clear" w:color="auto" w:fill="auto"/>
          </w:tcPr>
          <w:p w14:paraId="20A26241" w14:textId="77777777" w:rsidR="00B33542" w:rsidRPr="005071A1" w:rsidRDefault="00B33542" w:rsidP="009B7AF5">
            <w:pPr>
              <w:pStyle w:val="Tabletext"/>
            </w:pPr>
            <w:r w:rsidRPr="005071A1">
              <w:t>3.83</w:t>
            </w:r>
          </w:p>
        </w:tc>
      </w:tr>
      <w:tr w:rsidR="00B33542" w:rsidRPr="005071A1" w14:paraId="058F5C7E" w14:textId="77777777" w:rsidTr="00D57394">
        <w:tc>
          <w:tcPr>
            <w:tcW w:w="3145" w:type="dxa"/>
            <w:tcBorders>
              <w:bottom w:val="single" w:sz="4" w:space="0" w:color="auto"/>
            </w:tcBorders>
            <w:shd w:val="clear" w:color="auto" w:fill="auto"/>
          </w:tcPr>
          <w:p w14:paraId="67CD77E7" w14:textId="77777777" w:rsidR="00B33542" w:rsidRPr="005071A1" w:rsidRDefault="00B33542" w:rsidP="009B7AF5">
            <w:pPr>
              <w:pStyle w:val="Tabletext"/>
            </w:pPr>
            <w:r w:rsidRPr="005071A1">
              <w:t>63</w:t>
            </w:r>
          </w:p>
        </w:tc>
        <w:tc>
          <w:tcPr>
            <w:tcW w:w="2667" w:type="dxa"/>
            <w:tcBorders>
              <w:bottom w:val="single" w:sz="4" w:space="0" w:color="auto"/>
            </w:tcBorders>
            <w:shd w:val="clear" w:color="auto" w:fill="auto"/>
          </w:tcPr>
          <w:p w14:paraId="507DCF87" w14:textId="77777777" w:rsidR="00B33542" w:rsidRPr="005071A1" w:rsidRDefault="00B33542" w:rsidP="009B7AF5">
            <w:pPr>
              <w:pStyle w:val="Tabletext"/>
            </w:pPr>
            <w:r w:rsidRPr="005071A1">
              <w:t>5.73</w:t>
            </w:r>
          </w:p>
        </w:tc>
      </w:tr>
      <w:tr w:rsidR="00B33542" w:rsidRPr="005071A1" w14:paraId="44625AC6" w14:textId="77777777" w:rsidTr="00D57394">
        <w:tc>
          <w:tcPr>
            <w:tcW w:w="3145" w:type="dxa"/>
            <w:tcBorders>
              <w:top w:val="single" w:sz="4" w:space="0" w:color="auto"/>
              <w:bottom w:val="single" w:sz="4" w:space="0" w:color="auto"/>
            </w:tcBorders>
            <w:shd w:val="clear" w:color="auto" w:fill="auto"/>
          </w:tcPr>
          <w:p w14:paraId="67DBF735" w14:textId="77777777" w:rsidR="00B33542" w:rsidRPr="005071A1" w:rsidRDefault="00B33542" w:rsidP="009B7AF5">
            <w:pPr>
              <w:pStyle w:val="Tabletext"/>
            </w:pPr>
            <w:r w:rsidRPr="005071A1">
              <w:t>64</w:t>
            </w:r>
          </w:p>
        </w:tc>
        <w:tc>
          <w:tcPr>
            <w:tcW w:w="2667" w:type="dxa"/>
            <w:tcBorders>
              <w:top w:val="single" w:sz="4" w:space="0" w:color="auto"/>
              <w:bottom w:val="single" w:sz="4" w:space="0" w:color="auto"/>
            </w:tcBorders>
            <w:shd w:val="clear" w:color="auto" w:fill="auto"/>
          </w:tcPr>
          <w:p w14:paraId="7CA79740" w14:textId="77777777" w:rsidR="00B33542" w:rsidRPr="005071A1" w:rsidRDefault="00B33542" w:rsidP="009B7AF5">
            <w:pPr>
              <w:pStyle w:val="Tabletext"/>
            </w:pPr>
            <w:r w:rsidRPr="005071A1">
              <w:t>11.35</w:t>
            </w:r>
          </w:p>
        </w:tc>
      </w:tr>
      <w:tr w:rsidR="00B33542" w:rsidRPr="005071A1" w14:paraId="373381AF" w14:textId="77777777" w:rsidTr="009B7AF5">
        <w:tc>
          <w:tcPr>
            <w:tcW w:w="3145" w:type="dxa"/>
            <w:tcBorders>
              <w:bottom w:val="single" w:sz="12" w:space="0" w:color="auto"/>
            </w:tcBorders>
            <w:shd w:val="clear" w:color="auto" w:fill="auto"/>
          </w:tcPr>
          <w:p w14:paraId="0C4146C2" w14:textId="77777777" w:rsidR="00B33542" w:rsidRPr="005071A1" w:rsidRDefault="00B33542" w:rsidP="009B7AF5">
            <w:pPr>
              <w:pStyle w:val="Tabletext"/>
            </w:pPr>
            <w:r w:rsidRPr="005071A1">
              <w:t>65</w:t>
            </w:r>
          </w:p>
        </w:tc>
        <w:tc>
          <w:tcPr>
            <w:tcW w:w="2667" w:type="dxa"/>
            <w:tcBorders>
              <w:bottom w:val="single" w:sz="12" w:space="0" w:color="auto"/>
            </w:tcBorders>
            <w:shd w:val="clear" w:color="auto" w:fill="auto"/>
          </w:tcPr>
          <w:p w14:paraId="3F443860" w14:textId="77777777" w:rsidR="00B33542" w:rsidRPr="005071A1" w:rsidRDefault="00B33542" w:rsidP="009B7AF5">
            <w:pPr>
              <w:pStyle w:val="Tabletext"/>
            </w:pPr>
            <w:r w:rsidRPr="005071A1">
              <w:t>12.03</w:t>
            </w:r>
          </w:p>
        </w:tc>
      </w:tr>
    </w:tbl>
    <w:p w14:paraId="4E02E300" w14:textId="77777777" w:rsidR="00B33542" w:rsidRPr="005071A1" w:rsidRDefault="00B33542" w:rsidP="00674A0D">
      <w:pPr>
        <w:pStyle w:val="ActHead5"/>
        <w:pageBreakBefore/>
      </w:pPr>
      <w:bookmarkStart w:id="302" w:name="_Toc185577684"/>
      <w:r w:rsidRPr="005071A1">
        <w:lastRenderedPageBreak/>
        <w:t>Table XV</w:t>
      </w:r>
      <w:bookmarkEnd w:id="302"/>
    </w:p>
    <w:p w14:paraId="5FCB5B54" w14:textId="77777777" w:rsidR="00B33542" w:rsidRPr="005071A1" w:rsidRDefault="00B33542" w:rsidP="00B33542">
      <w:pPr>
        <w:spacing w:before="120"/>
      </w:pPr>
      <w:r w:rsidRPr="005071A1">
        <w:t>Rates of contribution to be paid fortnightly by female contributors for units of pension where the obligation to contribute for those units had not come into existence before 1st July, 1962, based on a retiring age of 65 years and the age next birthday of the contributor when that obligation came or comes into existence</w:t>
      </w:r>
    </w:p>
    <w:p w14:paraId="177B87AD"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45"/>
        <w:gridCol w:w="2667"/>
      </w:tblGrid>
      <w:tr w:rsidR="00B33542" w:rsidRPr="005071A1" w14:paraId="712D96E2" w14:textId="77777777" w:rsidTr="009B7AF5">
        <w:trPr>
          <w:tblHeader/>
        </w:trPr>
        <w:tc>
          <w:tcPr>
            <w:tcW w:w="3145" w:type="dxa"/>
            <w:tcBorders>
              <w:top w:val="single" w:sz="12" w:space="0" w:color="auto"/>
              <w:bottom w:val="single" w:sz="6" w:space="0" w:color="auto"/>
            </w:tcBorders>
            <w:shd w:val="clear" w:color="auto" w:fill="auto"/>
          </w:tcPr>
          <w:p w14:paraId="7910A95F" w14:textId="77777777" w:rsidR="00B33542" w:rsidRPr="005071A1" w:rsidRDefault="00B33542" w:rsidP="009B7AF5">
            <w:pPr>
              <w:pStyle w:val="TableHeading"/>
            </w:pPr>
            <w:r w:rsidRPr="005071A1">
              <w:t>Column 1</w:t>
            </w:r>
          </w:p>
        </w:tc>
        <w:tc>
          <w:tcPr>
            <w:tcW w:w="2667" w:type="dxa"/>
            <w:tcBorders>
              <w:top w:val="single" w:sz="12" w:space="0" w:color="auto"/>
              <w:bottom w:val="single" w:sz="6" w:space="0" w:color="auto"/>
            </w:tcBorders>
            <w:shd w:val="clear" w:color="auto" w:fill="auto"/>
          </w:tcPr>
          <w:p w14:paraId="0F3EA431" w14:textId="77777777" w:rsidR="00B33542" w:rsidRPr="005071A1" w:rsidRDefault="00B33542" w:rsidP="009B7AF5">
            <w:pPr>
              <w:pStyle w:val="TableHeading"/>
            </w:pPr>
            <w:r w:rsidRPr="005071A1">
              <w:t>Column 2</w:t>
            </w:r>
          </w:p>
        </w:tc>
      </w:tr>
      <w:tr w:rsidR="00B33542" w:rsidRPr="005071A1" w14:paraId="5AA87918" w14:textId="77777777" w:rsidTr="009B7AF5">
        <w:trPr>
          <w:tblHeader/>
        </w:trPr>
        <w:tc>
          <w:tcPr>
            <w:tcW w:w="3145" w:type="dxa"/>
            <w:tcBorders>
              <w:top w:val="single" w:sz="6" w:space="0" w:color="auto"/>
              <w:bottom w:val="single" w:sz="6" w:space="0" w:color="auto"/>
            </w:tcBorders>
            <w:shd w:val="clear" w:color="auto" w:fill="auto"/>
          </w:tcPr>
          <w:p w14:paraId="7D0246F2"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67" w:type="dxa"/>
            <w:tcBorders>
              <w:top w:val="single" w:sz="6" w:space="0" w:color="auto"/>
              <w:bottom w:val="single" w:sz="6" w:space="0" w:color="auto"/>
            </w:tcBorders>
            <w:shd w:val="clear" w:color="auto" w:fill="auto"/>
          </w:tcPr>
          <w:p w14:paraId="5B68B304"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560E33D2" w14:textId="77777777" w:rsidTr="009B7AF5">
        <w:trPr>
          <w:tblHeader/>
        </w:trPr>
        <w:tc>
          <w:tcPr>
            <w:tcW w:w="3145" w:type="dxa"/>
            <w:tcBorders>
              <w:top w:val="single" w:sz="6" w:space="0" w:color="auto"/>
              <w:bottom w:val="single" w:sz="12" w:space="0" w:color="auto"/>
            </w:tcBorders>
            <w:shd w:val="clear" w:color="auto" w:fill="auto"/>
          </w:tcPr>
          <w:p w14:paraId="0C3A62FE" w14:textId="77777777" w:rsidR="00B33542" w:rsidRPr="005071A1" w:rsidRDefault="00B33542" w:rsidP="00A516E3">
            <w:pPr>
              <w:pStyle w:val="TableHeading"/>
            </w:pPr>
          </w:p>
        </w:tc>
        <w:tc>
          <w:tcPr>
            <w:tcW w:w="2667" w:type="dxa"/>
            <w:tcBorders>
              <w:top w:val="single" w:sz="6" w:space="0" w:color="auto"/>
              <w:bottom w:val="single" w:sz="12" w:space="0" w:color="auto"/>
            </w:tcBorders>
            <w:shd w:val="clear" w:color="auto" w:fill="auto"/>
          </w:tcPr>
          <w:p w14:paraId="36F45283" w14:textId="77777777" w:rsidR="00B33542" w:rsidRPr="005071A1" w:rsidRDefault="00B33542" w:rsidP="00A516E3">
            <w:pPr>
              <w:pStyle w:val="TableHeading"/>
            </w:pPr>
            <w:r w:rsidRPr="005071A1">
              <w:t>$</w:t>
            </w:r>
          </w:p>
        </w:tc>
      </w:tr>
      <w:tr w:rsidR="00B33542" w:rsidRPr="005071A1" w14:paraId="054EE741" w14:textId="77777777" w:rsidTr="009B7AF5">
        <w:tc>
          <w:tcPr>
            <w:tcW w:w="3145" w:type="dxa"/>
            <w:tcBorders>
              <w:top w:val="single" w:sz="12" w:space="0" w:color="auto"/>
            </w:tcBorders>
            <w:shd w:val="clear" w:color="auto" w:fill="auto"/>
          </w:tcPr>
          <w:p w14:paraId="79E6DD05" w14:textId="77777777" w:rsidR="00B33542" w:rsidRPr="005071A1" w:rsidRDefault="00B33542" w:rsidP="009B7AF5">
            <w:pPr>
              <w:pStyle w:val="Tabletext"/>
            </w:pPr>
            <w:r w:rsidRPr="005071A1">
              <w:t>15</w:t>
            </w:r>
          </w:p>
        </w:tc>
        <w:tc>
          <w:tcPr>
            <w:tcW w:w="2667" w:type="dxa"/>
            <w:tcBorders>
              <w:top w:val="single" w:sz="12" w:space="0" w:color="auto"/>
            </w:tcBorders>
            <w:shd w:val="clear" w:color="auto" w:fill="auto"/>
          </w:tcPr>
          <w:p w14:paraId="28BA11F0" w14:textId="77777777" w:rsidR="00B33542" w:rsidRPr="005071A1" w:rsidRDefault="00B33542" w:rsidP="009B7AF5">
            <w:pPr>
              <w:pStyle w:val="Tabletext"/>
            </w:pPr>
            <w:r w:rsidRPr="005071A1">
              <w:t>0.06</w:t>
            </w:r>
          </w:p>
        </w:tc>
      </w:tr>
      <w:tr w:rsidR="00B33542" w:rsidRPr="005071A1" w14:paraId="70536C18" w14:textId="77777777" w:rsidTr="009B7AF5">
        <w:tc>
          <w:tcPr>
            <w:tcW w:w="3145" w:type="dxa"/>
            <w:shd w:val="clear" w:color="auto" w:fill="auto"/>
          </w:tcPr>
          <w:p w14:paraId="3F0A4B88" w14:textId="77777777" w:rsidR="00B33542" w:rsidRPr="005071A1" w:rsidRDefault="00B33542" w:rsidP="009B7AF5">
            <w:pPr>
              <w:pStyle w:val="Tabletext"/>
            </w:pPr>
            <w:r w:rsidRPr="005071A1">
              <w:t>16</w:t>
            </w:r>
          </w:p>
        </w:tc>
        <w:tc>
          <w:tcPr>
            <w:tcW w:w="2667" w:type="dxa"/>
            <w:shd w:val="clear" w:color="auto" w:fill="auto"/>
          </w:tcPr>
          <w:p w14:paraId="09006C9D" w14:textId="77777777" w:rsidR="00B33542" w:rsidRPr="005071A1" w:rsidRDefault="00B33542" w:rsidP="009B7AF5">
            <w:pPr>
              <w:pStyle w:val="Tabletext"/>
            </w:pPr>
            <w:r w:rsidRPr="005071A1">
              <w:t>0.06</w:t>
            </w:r>
          </w:p>
        </w:tc>
      </w:tr>
      <w:tr w:rsidR="00B33542" w:rsidRPr="005071A1" w14:paraId="43F137D8" w14:textId="77777777" w:rsidTr="009B7AF5">
        <w:tc>
          <w:tcPr>
            <w:tcW w:w="3145" w:type="dxa"/>
            <w:shd w:val="clear" w:color="auto" w:fill="auto"/>
          </w:tcPr>
          <w:p w14:paraId="4B66C33D" w14:textId="77777777" w:rsidR="00B33542" w:rsidRPr="005071A1" w:rsidRDefault="00B33542" w:rsidP="009B7AF5">
            <w:pPr>
              <w:pStyle w:val="Tabletext"/>
            </w:pPr>
            <w:r w:rsidRPr="005071A1">
              <w:t>17</w:t>
            </w:r>
          </w:p>
        </w:tc>
        <w:tc>
          <w:tcPr>
            <w:tcW w:w="2667" w:type="dxa"/>
            <w:shd w:val="clear" w:color="auto" w:fill="auto"/>
          </w:tcPr>
          <w:p w14:paraId="405CD201" w14:textId="77777777" w:rsidR="00B33542" w:rsidRPr="005071A1" w:rsidRDefault="00B33542" w:rsidP="009B7AF5">
            <w:pPr>
              <w:pStyle w:val="Tabletext"/>
            </w:pPr>
            <w:r w:rsidRPr="005071A1">
              <w:t>0.07</w:t>
            </w:r>
          </w:p>
        </w:tc>
      </w:tr>
      <w:tr w:rsidR="00B33542" w:rsidRPr="005071A1" w14:paraId="1CAF8CF1" w14:textId="77777777" w:rsidTr="009B7AF5">
        <w:tc>
          <w:tcPr>
            <w:tcW w:w="3145" w:type="dxa"/>
            <w:shd w:val="clear" w:color="auto" w:fill="auto"/>
          </w:tcPr>
          <w:p w14:paraId="17F83E40" w14:textId="77777777" w:rsidR="00B33542" w:rsidRPr="005071A1" w:rsidRDefault="00B33542" w:rsidP="009B7AF5">
            <w:pPr>
              <w:pStyle w:val="Tabletext"/>
            </w:pPr>
            <w:r w:rsidRPr="005071A1">
              <w:t>18</w:t>
            </w:r>
          </w:p>
        </w:tc>
        <w:tc>
          <w:tcPr>
            <w:tcW w:w="2667" w:type="dxa"/>
            <w:shd w:val="clear" w:color="auto" w:fill="auto"/>
          </w:tcPr>
          <w:p w14:paraId="2978DC7E" w14:textId="77777777" w:rsidR="00B33542" w:rsidRPr="005071A1" w:rsidRDefault="00B33542" w:rsidP="009B7AF5">
            <w:pPr>
              <w:pStyle w:val="Tabletext"/>
            </w:pPr>
            <w:r w:rsidRPr="005071A1">
              <w:t>0.07</w:t>
            </w:r>
          </w:p>
        </w:tc>
      </w:tr>
      <w:tr w:rsidR="00B33542" w:rsidRPr="005071A1" w14:paraId="0CD5A17C" w14:textId="77777777" w:rsidTr="009B7AF5">
        <w:tc>
          <w:tcPr>
            <w:tcW w:w="3145" w:type="dxa"/>
            <w:shd w:val="clear" w:color="auto" w:fill="auto"/>
          </w:tcPr>
          <w:p w14:paraId="15BEB1C0" w14:textId="77777777" w:rsidR="00B33542" w:rsidRPr="005071A1" w:rsidRDefault="00B33542" w:rsidP="009B7AF5">
            <w:pPr>
              <w:pStyle w:val="Tabletext"/>
            </w:pPr>
            <w:r w:rsidRPr="005071A1">
              <w:t>19</w:t>
            </w:r>
          </w:p>
        </w:tc>
        <w:tc>
          <w:tcPr>
            <w:tcW w:w="2667" w:type="dxa"/>
            <w:shd w:val="clear" w:color="auto" w:fill="auto"/>
          </w:tcPr>
          <w:p w14:paraId="4FB5CF11" w14:textId="77777777" w:rsidR="00B33542" w:rsidRPr="005071A1" w:rsidRDefault="00B33542" w:rsidP="009B7AF5">
            <w:pPr>
              <w:pStyle w:val="Tabletext"/>
            </w:pPr>
            <w:r w:rsidRPr="005071A1">
              <w:t>0.08</w:t>
            </w:r>
          </w:p>
        </w:tc>
      </w:tr>
      <w:tr w:rsidR="00B33542" w:rsidRPr="005071A1" w14:paraId="38DFBFBE" w14:textId="77777777" w:rsidTr="009B7AF5">
        <w:tc>
          <w:tcPr>
            <w:tcW w:w="3145" w:type="dxa"/>
            <w:shd w:val="clear" w:color="auto" w:fill="auto"/>
          </w:tcPr>
          <w:p w14:paraId="7AA0D182" w14:textId="77777777" w:rsidR="00B33542" w:rsidRPr="005071A1" w:rsidRDefault="00B33542" w:rsidP="009B7AF5">
            <w:pPr>
              <w:pStyle w:val="Tabletext"/>
            </w:pPr>
            <w:r w:rsidRPr="005071A1">
              <w:t>20</w:t>
            </w:r>
          </w:p>
        </w:tc>
        <w:tc>
          <w:tcPr>
            <w:tcW w:w="2667" w:type="dxa"/>
            <w:shd w:val="clear" w:color="auto" w:fill="auto"/>
          </w:tcPr>
          <w:p w14:paraId="069262AA" w14:textId="77777777" w:rsidR="00B33542" w:rsidRPr="005071A1" w:rsidRDefault="00B33542" w:rsidP="009B7AF5">
            <w:pPr>
              <w:pStyle w:val="Tabletext"/>
            </w:pPr>
            <w:r w:rsidRPr="005071A1">
              <w:t>0.09</w:t>
            </w:r>
          </w:p>
        </w:tc>
      </w:tr>
      <w:tr w:rsidR="00B33542" w:rsidRPr="005071A1" w14:paraId="02D7AB93" w14:textId="77777777" w:rsidTr="009B7AF5">
        <w:tc>
          <w:tcPr>
            <w:tcW w:w="3145" w:type="dxa"/>
            <w:shd w:val="clear" w:color="auto" w:fill="auto"/>
          </w:tcPr>
          <w:p w14:paraId="7ACBA766" w14:textId="77777777" w:rsidR="00B33542" w:rsidRPr="005071A1" w:rsidRDefault="00B33542" w:rsidP="009B7AF5">
            <w:pPr>
              <w:pStyle w:val="Tabletext"/>
            </w:pPr>
            <w:r w:rsidRPr="005071A1">
              <w:t>21</w:t>
            </w:r>
          </w:p>
        </w:tc>
        <w:tc>
          <w:tcPr>
            <w:tcW w:w="2667" w:type="dxa"/>
            <w:shd w:val="clear" w:color="auto" w:fill="auto"/>
          </w:tcPr>
          <w:p w14:paraId="71E1E9EA" w14:textId="77777777" w:rsidR="00B33542" w:rsidRPr="005071A1" w:rsidRDefault="00B33542" w:rsidP="009B7AF5">
            <w:pPr>
              <w:pStyle w:val="Tabletext"/>
            </w:pPr>
            <w:r w:rsidRPr="005071A1">
              <w:t>0.10</w:t>
            </w:r>
          </w:p>
        </w:tc>
      </w:tr>
      <w:tr w:rsidR="00B33542" w:rsidRPr="005071A1" w14:paraId="3B31FEC2" w14:textId="77777777" w:rsidTr="009B7AF5">
        <w:tc>
          <w:tcPr>
            <w:tcW w:w="3145" w:type="dxa"/>
            <w:shd w:val="clear" w:color="auto" w:fill="auto"/>
          </w:tcPr>
          <w:p w14:paraId="26DDD9BB" w14:textId="77777777" w:rsidR="00B33542" w:rsidRPr="005071A1" w:rsidRDefault="00B33542" w:rsidP="009B7AF5">
            <w:pPr>
              <w:pStyle w:val="Tabletext"/>
            </w:pPr>
            <w:r w:rsidRPr="005071A1">
              <w:t>22</w:t>
            </w:r>
          </w:p>
        </w:tc>
        <w:tc>
          <w:tcPr>
            <w:tcW w:w="2667" w:type="dxa"/>
            <w:shd w:val="clear" w:color="auto" w:fill="auto"/>
          </w:tcPr>
          <w:p w14:paraId="27F69EAC" w14:textId="77777777" w:rsidR="00B33542" w:rsidRPr="005071A1" w:rsidRDefault="00B33542" w:rsidP="009B7AF5">
            <w:pPr>
              <w:pStyle w:val="Tabletext"/>
            </w:pPr>
            <w:r w:rsidRPr="005071A1">
              <w:t>0.11</w:t>
            </w:r>
          </w:p>
        </w:tc>
      </w:tr>
      <w:tr w:rsidR="00B33542" w:rsidRPr="005071A1" w14:paraId="60658EBD" w14:textId="77777777" w:rsidTr="009B7AF5">
        <w:tc>
          <w:tcPr>
            <w:tcW w:w="3145" w:type="dxa"/>
            <w:shd w:val="clear" w:color="auto" w:fill="auto"/>
          </w:tcPr>
          <w:p w14:paraId="08071CE4" w14:textId="77777777" w:rsidR="00B33542" w:rsidRPr="005071A1" w:rsidRDefault="00B33542" w:rsidP="009B7AF5">
            <w:pPr>
              <w:pStyle w:val="Tabletext"/>
            </w:pPr>
            <w:r w:rsidRPr="005071A1">
              <w:t>23</w:t>
            </w:r>
          </w:p>
        </w:tc>
        <w:tc>
          <w:tcPr>
            <w:tcW w:w="2667" w:type="dxa"/>
            <w:shd w:val="clear" w:color="auto" w:fill="auto"/>
          </w:tcPr>
          <w:p w14:paraId="13EC0416" w14:textId="77777777" w:rsidR="00B33542" w:rsidRPr="005071A1" w:rsidRDefault="00B33542" w:rsidP="009B7AF5">
            <w:pPr>
              <w:pStyle w:val="Tabletext"/>
            </w:pPr>
            <w:r w:rsidRPr="005071A1">
              <w:t>0.12</w:t>
            </w:r>
          </w:p>
        </w:tc>
      </w:tr>
      <w:tr w:rsidR="00B33542" w:rsidRPr="005071A1" w14:paraId="76C846BF" w14:textId="77777777" w:rsidTr="009B7AF5">
        <w:tc>
          <w:tcPr>
            <w:tcW w:w="3145" w:type="dxa"/>
            <w:shd w:val="clear" w:color="auto" w:fill="auto"/>
          </w:tcPr>
          <w:p w14:paraId="3321E531" w14:textId="77777777" w:rsidR="00B33542" w:rsidRPr="005071A1" w:rsidRDefault="00B33542" w:rsidP="009B7AF5">
            <w:pPr>
              <w:pStyle w:val="Tabletext"/>
            </w:pPr>
            <w:r w:rsidRPr="005071A1">
              <w:t>24</w:t>
            </w:r>
          </w:p>
        </w:tc>
        <w:tc>
          <w:tcPr>
            <w:tcW w:w="2667" w:type="dxa"/>
            <w:shd w:val="clear" w:color="auto" w:fill="auto"/>
          </w:tcPr>
          <w:p w14:paraId="36625E4B" w14:textId="77777777" w:rsidR="00B33542" w:rsidRPr="005071A1" w:rsidRDefault="00B33542" w:rsidP="009B7AF5">
            <w:pPr>
              <w:pStyle w:val="Tabletext"/>
            </w:pPr>
            <w:r w:rsidRPr="005071A1">
              <w:t>0.12</w:t>
            </w:r>
          </w:p>
        </w:tc>
      </w:tr>
      <w:tr w:rsidR="00B33542" w:rsidRPr="005071A1" w14:paraId="2268E722" w14:textId="77777777" w:rsidTr="009B7AF5">
        <w:tc>
          <w:tcPr>
            <w:tcW w:w="3145" w:type="dxa"/>
            <w:shd w:val="clear" w:color="auto" w:fill="auto"/>
          </w:tcPr>
          <w:p w14:paraId="7C4F15FA" w14:textId="77777777" w:rsidR="00B33542" w:rsidRPr="005071A1" w:rsidRDefault="00B33542" w:rsidP="009B7AF5">
            <w:pPr>
              <w:pStyle w:val="Tabletext"/>
            </w:pPr>
            <w:r w:rsidRPr="005071A1">
              <w:t>25</w:t>
            </w:r>
          </w:p>
        </w:tc>
        <w:tc>
          <w:tcPr>
            <w:tcW w:w="2667" w:type="dxa"/>
            <w:shd w:val="clear" w:color="auto" w:fill="auto"/>
          </w:tcPr>
          <w:p w14:paraId="010B1D1F" w14:textId="77777777" w:rsidR="00B33542" w:rsidRPr="005071A1" w:rsidRDefault="00B33542" w:rsidP="009B7AF5">
            <w:pPr>
              <w:pStyle w:val="Tabletext"/>
            </w:pPr>
            <w:r w:rsidRPr="005071A1">
              <w:t>0.13</w:t>
            </w:r>
          </w:p>
        </w:tc>
      </w:tr>
      <w:tr w:rsidR="00B33542" w:rsidRPr="005071A1" w14:paraId="4C8C170A" w14:textId="77777777" w:rsidTr="009B7AF5">
        <w:tc>
          <w:tcPr>
            <w:tcW w:w="3145" w:type="dxa"/>
            <w:shd w:val="clear" w:color="auto" w:fill="auto"/>
          </w:tcPr>
          <w:p w14:paraId="2D77D806" w14:textId="77777777" w:rsidR="00B33542" w:rsidRPr="005071A1" w:rsidRDefault="00B33542" w:rsidP="009B7AF5">
            <w:pPr>
              <w:pStyle w:val="Tabletext"/>
            </w:pPr>
            <w:r w:rsidRPr="005071A1">
              <w:t>26</w:t>
            </w:r>
          </w:p>
        </w:tc>
        <w:tc>
          <w:tcPr>
            <w:tcW w:w="2667" w:type="dxa"/>
            <w:shd w:val="clear" w:color="auto" w:fill="auto"/>
          </w:tcPr>
          <w:p w14:paraId="69A726E5" w14:textId="77777777" w:rsidR="00B33542" w:rsidRPr="005071A1" w:rsidRDefault="00B33542" w:rsidP="009B7AF5">
            <w:pPr>
              <w:pStyle w:val="Tabletext"/>
            </w:pPr>
            <w:r w:rsidRPr="005071A1">
              <w:t>0.14</w:t>
            </w:r>
          </w:p>
        </w:tc>
      </w:tr>
      <w:tr w:rsidR="00B33542" w:rsidRPr="005071A1" w14:paraId="02CF9D06" w14:textId="77777777" w:rsidTr="009B7AF5">
        <w:tc>
          <w:tcPr>
            <w:tcW w:w="3145" w:type="dxa"/>
            <w:shd w:val="clear" w:color="auto" w:fill="auto"/>
          </w:tcPr>
          <w:p w14:paraId="355CB5BF" w14:textId="77777777" w:rsidR="00B33542" w:rsidRPr="005071A1" w:rsidRDefault="00B33542" w:rsidP="009B7AF5">
            <w:pPr>
              <w:pStyle w:val="Tabletext"/>
            </w:pPr>
            <w:r w:rsidRPr="005071A1">
              <w:t>27</w:t>
            </w:r>
          </w:p>
        </w:tc>
        <w:tc>
          <w:tcPr>
            <w:tcW w:w="2667" w:type="dxa"/>
            <w:shd w:val="clear" w:color="auto" w:fill="auto"/>
          </w:tcPr>
          <w:p w14:paraId="40B5356E" w14:textId="77777777" w:rsidR="00B33542" w:rsidRPr="005071A1" w:rsidRDefault="00B33542" w:rsidP="009B7AF5">
            <w:pPr>
              <w:pStyle w:val="Tabletext"/>
            </w:pPr>
            <w:r w:rsidRPr="005071A1">
              <w:t>0.15</w:t>
            </w:r>
          </w:p>
        </w:tc>
      </w:tr>
      <w:tr w:rsidR="00B33542" w:rsidRPr="005071A1" w14:paraId="0AC06D84" w14:textId="77777777" w:rsidTr="009B7AF5">
        <w:tc>
          <w:tcPr>
            <w:tcW w:w="3145" w:type="dxa"/>
            <w:shd w:val="clear" w:color="auto" w:fill="auto"/>
          </w:tcPr>
          <w:p w14:paraId="71C79D68" w14:textId="77777777" w:rsidR="00B33542" w:rsidRPr="005071A1" w:rsidRDefault="00B33542" w:rsidP="009B7AF5">
            <w:pPr>
              <w:pStyle w:val="Tabletext"/>
            </w:pPr>
            <w:r w:rsidRPr="005071A1">
              <w:t>28</w:t>
            </w:r>
          </w:p>
        </w:tc>
        <w:tc>
          <w:tcPr>
            <w:tcW w:w="2667" w:type="dxa"/>
            <w:shd w:val="clear" w:color="auto" w:fill="auto"/>
          </w:tcPr>
          <w:p w14:paraId="11EEA1C3" w14:textId="77777777" w:rsidR="00B33542" w:rsidRPr="005071A1" w:rsidRDefault="00B33542" w:rsidP="009B7AF5">
            <w:pPr>
              <w:pStyle w:val="Tabletext"/>
            </w:pPr>
            <w:r w:rsidRPr="005071A1">
              <w:t>0.16</w:t>
            </w:r>
          </w:p>
        </w:tc>
      </w:tr>
      <w:tr w:rsidR="00B33542" w:rsidRPr="005071A1" w14:paraId="30AB1D8A" w14:textId="77777777" w:rsidTr="009B7AF5">
        <w:tc>
          <w:tcPr>
            <w:tcW w:w="3145" w:type="dxa"/>
            <w:shd w:val="clear" w:color="auto" w:fill="auto"/>
          </w:tcPr>
          <w:p w14:paraId="133612DC" w14:textId="77777777" w:rsidR="00B33542" w:rsidRPr="005071A1" w:rsidRDefault="00B33542" w:rsidP="009B7AF5">
            <w:pPr>
              <w:pStyle w:val="Tabletext"/>
            </w:pPr>
            <w:r w:rsidRPr="005071A1">
              <w:t>29</w:t>
            </w:r>
          </w:p>
        </w:tc>
        <w:tc>
          <w:tcPr>
            <w:tcW w:w="2667" w:type="dxa"/>
            <w:shd w:val="clear" w:color="auto" w:fill="auto"/>
          </w:tcPr>
          <w:p w14:paraId="1C7E345A" w14:textId="77777777" w:rsidR="00B33542" w:rsidRPr="005071A1" w:rsidRDefault="00B33542" w:rsidP="009B7AF5">
            <w:pPr>
              <w:pStyle w:val="Tabletext"/>
            </w:pPr>
            <w:r w:rsidRPr="005071A1">
              <w:t>0.17</w:t>
            </w:r>
          </w:p>
        </w:tc>
      </w:tr>
      <w:tr w:rsidR="00B33542" w:rsidRPr="005071A1" w14:paraId="3DCE29CE" w14:textId="77777777" w:rsidTr="009B7AF5">
        <w:tc>
          <w:tcPr>
            <w:tcW w:w="3145" w:type="dxa"/>
            <w:shd w:val="clear" w:color="auto" w:fill="auto"/>
          </w:tcPr>
          <w:p w14:paraId="2F98FD7E" w14:textId="77777777" w:rsidR="00B33542" w:rsidRPr="005071A1" w:rsidRDefault="00B33542" w:rsidP="009B7AF5">
            <w:pPr>
              <w:pStyle w:val="Tabletext"/>
            </w:pPr>
            <w:r w:rsidRPr="005071A1">
              <w:t>30</w:t>
            </w:r>
          </w:p>
        </w:tc>
        <w:tc>
          <w:tcPr>
            <w:tcW w:w="2667" w:type="dxa"/>
            <w:shd w:val="clear" w:color="auto" w:fill="auto"/>
          </w:tcPr>
          <w:p w14:paraId="1B4193C2" w14:textId="77777777" w:rsidR="00B33542" w:rsidRPr="005071A1" w:rsidRDefault="00B33542" w:rsidP="009B7AF5">
            <w:pPr>
              <w:pStyle w:val="Tabletext"/>
            </w:pPr>
            <w:r w:rsidRPr="005071A1">
              <w:t>0.18</w:t>
            </w:r>
          </w:p>
        </w:tc>
      </w:tr>
      <w:tr w:rsidR="00B33542" w:rsidRPr="005071A1" w14:paraId="10E993DA" w14:textId="77777777" w:rsidTr="009B7AF5">
        <w:tc>
          <w:tcPr>
            <w:tcW w:w="3145" w:type="dxa"/>
            <w:shd w:val="clear" w:color="auto" w:fill="auto"/>
          </w:tcPr>
          <w:p w14:paraId="2926A3BF" w14:textId="77777777" w:rsidR="00B33542" w:rsidRPr="005071A1" w:rsidRDefault="00B33542" w:rsidP="009B7AF5">
            <w:pPr>
              <w:pStyle w:val="Tabletext"/>
            </w:pPr>
            <w:r w:rsidRPr="005071A1">
              <w:t>31</w:t>
            </w:r>
          </w:p>
        </w:tc>
        <w:tc>
          <w:tcPr>
            <w:tcW w:w="2667" w:type="dxa"/>
            <w:shd w:val="clear" w:color="auto" w:fill="auto"/>
          </w:tcPr>
          <w:p w14:paraId="4A649D0B" w14:textId="77777777" w:rsidR="00B33542" w:rsidRPr="005071A1" w:rsidRDefault="00B33542" w:rsidP="009B7AF5">
            <w:pPr>
              <w:pStyle w:val="Tabletext"/>
            </w:pPr>
            <w:r w:rsidRPr="005071A1">
              <w:t>0.19</w:t>
            </w:r>
          </w:p>
        </w:tc>
      </w:tr>
      <w:tr w:rsidR="00B33542" w:rsidRPr="005071A1" w14:paraId="52D82596" w14:textId="77777777" w:rsidTr="009B7AF5">
        <w:tc>
          <w:tcPr>
            <w:tcW w:w="3145" w:type="dxa"/>
            <w:shd w:val="clear" w:color="auto" w:fill="auto"/>
          </w:tcPr>
          <w:p w14:paraId="6BD9D867" w14:textId="77777777" w:rsidR="00B33542" w:rsidRPr="005071A1" w:rsidRDefault="00B33542" w:rsidP="009B7AF5">
            <w:pPr>
              <w:pStyle w:val="Tabletext"/>
            </w:pPr>
            <w:r w:rsidRPr="005071A1">
              <w:lastRenderedPageBreak/>
              <w:t>32</w:t>
            </w:r>
          </w:p>
        </w:tc>
        <w:tc>
          <w:tcPr>
            <w:tcW w:w="2667" w:type="dxa"/>
            <w:shd w:val="clear" w:color="auto" w:fill="auto"/>
          </w:tcPr>
          <w:p w14:paraId="1F4FC8D4" w14:textId="77777777" w:rsidR="00B33542" w:rsidRPr="005071A1" w:rsidRDefault="00B33542" w:rsidP="009B7AF5">
            <w:pPr>
              <w:pStyle w:val="Tabletext"/>
            </w:pPr>
            <w:r w:rsidRPr="005071A1">
              <w:t>0.20</w:t>
            </w:r>
          </w:p>
        </w:tc>
      </w:tr>
      <w:tr w:rsidR="00B33542" w:rsidRPr="005071A1" w14:paraId="5DE79BD9" w14:textId="77777777" w:rsidTr="00D57394">
        <w:tc>
          <w:tcPr>
            <w:tcW w:w="3145" w:type="dxa"/>
            <w:tcBorders>
              <w:bottom w:val="single" w:sz="4" w:space="0" w:color="auto"/>
            </w:tcBorders>
            <w:shd w:val="clear" w:color="auto" w:fill="auto"/>
          </w:tcPr>
          <w:p w14:paraId="4926CAA7" w14:textId="77777777" w:rsidR="00B33542" w:rsidRPr="005071A1" w:rsidRDefault="00B33542" w:rsidP="009B7AF5">
            <w:pPr>
              <w:pStyle w:val="Tabletext"/>
            </w:pPr>
            <w:r w:rsidRPr="005071A1">
              <w:t>33</w:t>
            </w:r>
          </w:p>
        </w:tc>
        <w:tc>
          <w:tcPr>
            <w:tcW w:w="2667" w:type="dxa"/>
            <w:tcBorders>
              <w:bottom w:val="single" w:sz="4" w:space="0" w:color="auto"/>
            </w:tcBorders>
            <w:shd w:val="clear" w:color="auto" w:fill="auto"/>
          </w:tcPr>
          <w:p w14:paraId="7039365E" w14:textId="77777777" w:rsidR="00B33542" w:rsidRPr="005071A1" w:rsidRDefault="00B33542" w:rsidP="009B7AF5">
            <w:pPr>
              <w:pStyle w:val="Tabletext"/>
            </w:pPr>
            <w:r w:rsidRPr="005071A1">
              <w:t>0.21</w:t>
            </w:r>
          </w:p>
        </w:tc>
      </w:tr>
      <w:tr w:rsidR="00B33542" w:rsidRPr="005071A1" w14:paraId="584D9F0D" w14:textId="77777777" w:rsidTr="00D57394">
        <w:tc>
          <w:tcPr>
            <w:tcW w:w="3145" w:type="dxa"/>
            <w:tcBorders>
              <w:bottom w:val="single" w:sz="4" w:space="0" w:color="auto"/>
            </w:tcBorders>
            <w:shd w:val="clear" w:color="auto" w:fill="auto"/>
          </w:tcPr>
          <w:p w14:paraId="1952BCA9" w14:textId="77777777" w:rsidR="00B33542" w:rsidRPr="005071A1" w:rsidRDefault="00B33542" w:rsidP="009B7AF5">
            <w:pPr>
              <w:pStyle w:val="Tabletext"/>
            </w:pPr>
            <w:r w:rsidRPr="005071A1">
              <w:t>34</w:t>
            </w:r>
          </w:p>
        </w:tc>
        <w:tc>
          <w:tcPr>
            <w:tcW w:w="2667" w:type="dxa"/>
            <w:tcBorders>
              <w:bottom w:val="single" w:sz="4" w:space="0" w:color="auto"/>
            </w:tcBorders>
            <w:shd w:val="clear" w:color="auto" w:fill="auto"/>
          </w:tcPr>
          <w:p w14:paraId="161C574B" w14:textId="77777777" w:rsidR="00B33542" w:rsidRPr="005071A1" w:rsidRDefault="00B33542" w:rsidP="009B7AF5">
            <w:pPr>
              <w:pStyle w:val="Tabletext"/>
            </w:pPr>
            <w:r w:rsidRPr="005071A1">
              <w:t>0.23</w:t>
            </w:r>
          </w:p>
        </w:tc>
      </w:tr>
      <w:tr w:rsidR="00B33542" w:rsidRPr="005071A1" w14:paraId="4D3D5287" w14:textId="77777777" w:rsidTr="00D57394">
        <w:tc>
          <w:tcPr>
            <w:tcW w:w="3145" w:type="dxa"/>
            <w:tcBorders>
              <w:top w:val="single" w:sz="4" w:space="0" w:color="auto"/>
            </w:tcBorders>
            <w:shd w:val="clear" w:color="auto" w:fill="auto"/>
          </w:tcPr>
          <w:p w14:paraId="34DBA884" w14:textId="77777777" w:rsidR="00B33542" w:rsidRPr="005071A1" w:rsidRDefault="00B33542" w:rsidP="009B7AF5">
            <w:pPr>
              <w:pStyle w:val="Tabletext"/>
            </w:pPr>
            <w:r w:rsidRPr="005071A1">
              <w:t>35</w:t>
            </w:r>
          </w:p>
        </w:tc>
        <w:tc>
          <w:tcPr>
            <w:tcW w:w="2667" w:type="dxa"/>
            <w:tcBorders>
              <w:top w:val="single" w:sz="4" w:space="0" w:color="auto"/>
            </w:tcBorders>
            <w:shd w:val="clear" w:color="auto" w:fill="auto"/>
          </w:tcPr>
          <w:p w14:paraId="69DC8DEB" w14:textId="77777777" w:rsidR="00B33542" w:rsidRPr="005071A1" w:rsidRDefault="00B33542" w:rsidP="009B7AF5">
            <w:pPr>
              <w:pStyle w:val="Tabletext"/>
            </w:pPr>
            <w:r w:rsidRPr="005071A1">
              <w:t>0.24</w:t>
            </w:r>
          </w:p>
        </w:tc>
      </w:tr>
      <w:tr w:rsidR="00B33542" w:rsidRPr="005071A1" w14:paraId="5AF2A529" w14:textId="77777777" w:rsidTr="009B7AF5">
        <w:tc>
          <w:tcPr>
            <w:tcW w:w="3145" w:type="dxa"/>
            <w:shd w:val="clear" w:color="auto" w:fill="auto"/>
          </w:tcPr>
          <w:p w14:paraId="4493DCEF" w14:textId="77777777" w:rsidR="00B33542" w:rsidRPr="005071A1" w:rsidRDefault="00B33542" w:rsidP="009B7AF5">
            <w:pPr>
              <w:pStyle w:val="Tabletext"/>
            </w:pPr>
            <w:r w:rsidRPr="005071A1">
              <w:t>36</w:t>
            </w:r>
          </w:p>
        </w:tc>
        <w:tc>
          <w:tcPr>
            <w:tcW w:w="2667" w:type="dxa"/>
            <w:shd w:val="clear" w:color="auto" w:fill="auto"/>
          </w:tcPr>
          <w:p w14:paraId="778F9922" w14:textId="77777777" w:rsidR="00B33542" w:rsidRPr="005071A1" w:rsidRDefault="00B33542" w:rsidP="009B7AF5">
            <w:pPr>
              <w:pStyle w:val="Tabletext"/>
            </w:pPr>
            <w:r w:rsidRPr="005071A1">
              <w:t>0.25</w:t>
            </w:r>
          </w:p>
        </w:tc>
      </w:tr>
      <w:tr w:rsidR="00B33542" w:rsidRPr="005071A1" w14:paraId="656EE28D" w14:textId="77777777" w:rsidTr="009B7AF5">
        <w:tc>
          <w:tcPr>
            <w:tcW w:w="3145" w:type="dxa"/>
            <w:shd w:val="clear" w:color="auto" w:fill="auto"/>
          </w:tcPr>
          <w:p w14:paraId="29B700D2" w14:textId="77777777" w:rsidR="00B33542" w:rsidRPr="005071A1" w:rsidRDefault="00B33542" w:rsidP="009B7AF5">
            <w:pPr>
              <w:pStyle w:val="Tabletext"/>
            </w:pPr>
            <w:r w:rsidRPr="005071A1">
              <w:t>37</w:t>
            </w:r>
          </w:p>
        </w:tc>
        <w:tc>
          <w:tcPr>
            <w:tcW w:w="2667" w:type="dxa"/>
            <w:shd w:val="clear" w:color="auto" w:fill="auto"/>
          </w:tcPr>
          <w:p w14:paraId="6CA7337B" w14:textId="77777777" w:rsidR="00B33542" w:rsidRPr="005071A1" w:rsidRDefault="00B33542" w:rsidP="009B7AF5">
            <w:pPr>
              <w:pStyle w:val="Tabletext"/>
            </w:pPr>
            <w:r w:rsidRPr="005071A1">
              <w:t>0.27</w:t>
            </w:r>
          </w:p>
        </w:tc>
      </w:tr>
      <w:tr w:rsidR="00B33542" w:rsidRPr="005071A1" w14:paraId="6AE7F69C" w14:textId="77777777" w:rsidTr="009B7AF5">
        <w:tc>
          <w:tcPr>
            <w:tcW w:w="3145" w:type="dxa"/>
            <w:shd w:val="clear" w:color="auto" w:fill="auto"/>
          </w:tcPr>
          <w:p w14:paraId="69F63893" w14:textId="77777777" w:rsidR="00B33542" w:rsidRPr="005071A1" w:rsidRDefault="00B33542" w:rsidP="009B7AF5">
            <w:pPr>
              <w:pStyle w:val="Tabletext"/>
            </w:pPr>
            <w:r w:rsidRPr="005071A1">
              <w:t>38</w:t>
            </w:r>
          </w:p>
        </w:tc>
        <w:tc>
          <w:tcPr>
            <w:tcW w:w="2667" w:type="dxa"/>
            <w:shd w:val="clear" w:color="auto" w:fill="auto"/>
          </w:tcPr>
          <w:p w14:paraId="25E55B30" w14:textId="77777777" w:rsidR="00B33542" w:rsidRPr="005071A1" w:rsidRDefault="00B33542" w:rsidP="009B7AF5">
            <w:pPr>
              <w:pStyle w:val="Tabletext"/>
            </w:pPr>
            <w:r w:rsidRPr="005071A1">
              <w:t>0.29</w:t>
            </w:r>
          </w:p>
        </w:tc>
      </w:tr>
      <w:tr w:rsidR="00B33542" w:rsidRPr="005071A1" w14:paraId="1BE2D637" w14:textId="77777777" w:rsidTr="009B7AF5">
        <w:tc>
          <w:tcPr>
            <w:tcW w:w="3145" w:type="dxa"/>
            <w:shd w:val="clear" w:color="auto" w:fill="auto"/>
          </w:tcPr>
          <w:p w14:paraId="5FECA506" w14:textId="77777777" w:rsidR="00B33542" w:rsidRPr="005071A1" w:rsidRDefault="00B33542" w:rsidP="009B7AF5">
            <w:pPr>
              <w:pStyle w:val="Tabletext"/>
            </w:pPr>
            <w:r w:rsidRPr="005071A1">
              <w:t>39</w:t>
            </w:r>
          </w:p>
        </w:tc>
        <w:tc>
          <w:tcPr>
            <w:tcW w:w="2667" w:type="dxa"/>
            <w:shd w:val="clear" w:color="auto" w:fill="auto"/>
          </w:tcPr>
          <w:p w14:paraId="1483B5D1" w14:textId="77777777" w:rsidR="00B33542" w:rsidRPr="005071A1" w:rsidRDefault="00B33542" w:rsidP="009B7AF5">
            <w:pPr>
              <w:pStyle w:val="Tabletext"/>
            </w:pPr>
            <w:r w:rsidRPr="005071A1">
              <w:t>0.30</w:t>
            </w:r>
          </w:p>
        </w:tc>
      </w:tr>
      <w:tr w:rsidR="00B33542" w:rsidRPr="005071A1" w14:paraId="1F66AE66" w14:textId="77777777" w:rsidTr="009B7AF5">
        <w:tc>
          <w:tcPr>
            <w:tcW w:w="3145" w:type="dxa"/>
            <w:shd w:val="clear" w:color="auto" w:fill="auto"/>
          </w:tcPr>
          <w:p w14:paraId="6840B3CD" w14:textId="77777777" w:rsidR="00B33542" w:rsidRPr="005071A1" w:rsidRDefault="00B33542" w:rsidP="009B7AF5">
            <w:pPr>
              <w:pStyle w:val="Tabletext"/>
            </w:pPr>
            <w:r w:rsidRPr="005071A1">
              <w:t>40</w:t>
            </w:r>
          </w:p>
        </w:tc>
        <w:tc>
          <w:tcPr>
            <w:tcW w:w="2667" w:type="dxa"/>
            <w:shd w:val="clear" w:color="auto" w:fill="auto"/>
          </w:tcPr>
          <w:p w14:paraId="153EA5AE" w14:textId="77777777" w:rsidR="00B33542" w:rsidRPr="005071A1" w:rsidRDefault="00B33542" w:rsidP="009B7AF5">
            <w:pPr>
              <w:pStyle w:val="Tabletext"/>
            </w:pPr>
            <w:r w:rsidRPr="005071A1">
              <w:t>0.32</w:t>
            </w:r>
          </w:p>
        </w:tc>
      </w:tr>
      <w:tr w:rsidR="00B33542" w:rsidRPr="005071A1" w14:paraId="3FC978E5" w14:textId="77777777" w:rsidTr="009B7AF5">
        <w:tc>
          <w:tcPr>
            <w:tcW w:w="3145" w:type="dxa"/>
            <w:shd w:val="clear" w:color="auto" w:fill="auto"/>
          </w:tcPr>
          <w:p w14:paraId="413D3CA5" w14:textId="77777777" w:rsidR="00B33542" w:rsidRPr="005071A1" w:rsidRDefault="00B33542" w:rsidP="009B7AF5">
            <w:pPr>
              <w:pStyle w:val="Tabletext"/>
            </w:pPr>
            <w:r w:rsidRPr="005071A1">
              <w:t>41</w:t>
            </w:r>
          </w:p>
        </w:tc>
        <w:tc>
          <w:tcPr>
            <w:tcW w:w="2667" w:type="dxa"/>
            <w:shd w:val="clear" w:color="auto" w:fill="auto"/>
          </w:tcPr>
          <w:p w14:paraId="654C6B9E" w14:textId="77777777" w:rsidR="00B33542" w:rsidRPr="005071A1" w:rsidRDefault="00B33542" w:rsidP="009B7AF5">
            <w:pPr>
              <w:pStyle w:val="Tabletext"/>
            </w:pPr>
            <w:r w:rsidRPr="005071A1">
              <w:t>0.34</w:t>
            </w:r>
          </w:p>
        </w:tc>
      </w:tr>
      <w:tr w:rsidR="00B33542" w:rsidRPr="005071A1" w14:paraId="427CE548" w14:textId="77777777" w:rsidTr="009B7AF5">
        <w:tc>
          <w:tcPr>
            <w:tcW w:w="3145" w:type="dxa"/>
            <w:shd w:val="clear" w:color="auto" w:fill="auto"/>
          </w:tcPr>
          <w:p w14:paraId="2F2FC3A2" w14:textId="77777777" w:rsidR="00B33542" w:rsidRPr="005071A1" w:rsidRDefault="00B33542" w:rsidP="009B7AF5">
            <w:pPr>
              <w:pStyle w:val="Tabletext"/>
            </w:pPr>
            <w:r w:rsidRPr="005071A1">
              <w:t>42</w:t>
            </w:r>
          </w:p>
        </w:tc>
        <w:tc>
          <w:tcPr>
            <w:tcW w:w="2667" w:type="dxa"/>
            <w:shd w:val="clear" w:color="auto" w:fill="auto"/>
          </w:tcPr>
          <w:p w14:paraId="5670DA8B" w14:textId="77777777" w:rsidR="00B33542" w:rsidRPr="005071A1" w:rsidRDefault="00B33542" w:rsidP="009B7AF5">
            <w:pPr>
              <w:pStyle w:val="Tabletext"/>
            </w:pPr>
            <w:r w:rsidRPr="005071A1">
              <w:t>0.37</w:t>
            </w:r>
          </w:p>
        </w:tc>
      </w:tr>
      <w:tr w:rsidR="00B33542" w:rsidRPr="005071A1" w14:paraId="7A6F7AA9" w14:textId="77777777" w:rsidTr="009B7AF5">
        <w:tc>
          <w:tcPr>
            <w:tcW w:w="3145" w:type="dxa"/>
            <w:shd w:val="clear" w:color="auto" w:fill="auto"/>
          </w:tcPr>
          <w:p w14:paraId="4C74CC61" w14:textId="77777777" w:rsidR="00B33542" w:rsidRPr="005071A1" w:rsidRDefault="00B33542" w:rsidP="009B7AF5">
            <w:pPr>
              <w:pStyle w:val="Tabletext"/>
            </w:pPr>
            <w:r w:rsidRPr="005071A1">
              <w:t>43</w:t>
            </w:r>
          </w:p>
        </w:tc>
        <w:tc>
          <w:tcPr>
            <w:tcW w:w="2667" w:type="dxa"/>
            <w:shd w:val="clear" w:color="auto" w:fill="auto"/>
          </w:tcPr>
          <w:p w14:paraId="37D17B2F" w14:textId="77777777" w:rsidR="00B33542" w:rsidRPr="005071A1" w:rsidRDefault="00B33542" w:rsidP="009B7AF5">
            <w:pPr>
              <w:pStyle w:val="Tabletext"/>
            </w:pPr>
            <w:r w:rsidRPr="005071A1">
              <w:t>0.39</w:t>
            </w:r>
          </w:p>
        </w:tc>
      </w:tr>
      <w:tr w:rsidR="00B33542" w:rsidRPr="005071A1" w14:paraId="70553AB5" w14:textId="77777777" w:rsidTr="009B7AF5">
        <w:tc>
          <w:tcPr>
            <w:tcW w:w="3145" w:type="dxa"/>
            <w:shd w:val="clear" w:color="auto" w:fill="auto"/>
          </w:tcPr>
          <w:p w14:paraId="21C19544" w14:textId="77777777" w:rsidR="00B33542" w:rsidRPr="005071A1" w:rsidRDefault="00B33542" w:rsidP="009B7AF5">
            <w:pPr>
              <w:pStyle w:val="Tabletext"/>
            </w:pPr>
            <w:r w:rsidRPr="005071A1">
              <w:t>44</w:t>
            </w:r>
          </w:p>
        </w:tc>
        <w:tc>
          <w:tcPr>
            <w:tcW w:w="2667" w:type="dxa"/>
            <w:shd w:val="clear" w:color="auto" w:fill="auto"/>
          </w:tcPr>
          <w:p w14:paraId="1A880C86" w14:textId="77777777" w:rsidR="00B33542" w:rsidRPr="005071A1" w:rsidRDefault="00B33542" w:rsidP="009B7AF5">
            <w:pPr>
              <w:pStyle w:val="Tabletext"/>
            </w:pPr>
            <w:r w:rsidRPr="005071A1">
              <w:t>0.42</w:t>
            </w:r>
          </w:p>
        </w:tc>
      </w:tr>
      <w:tr w:rsidR="00B33542" w:rsidRPr="005071A1" w14:paraId="19CB5D4A" w14:textId="77777777" w:rsidTr="009B7AF5">
        <w:tc>
          <w:tcPr>
            <w:tcW w:w="3145" w:type="dxa"/>
            <w:shd w:val="clear" w:color="auto" w:fill="auto"/>
          </w:tcPr>
          <w:p w14:paraId="10BA1D47" w14:textId="77777777" w:rsidR="00B33542" w:rsidRPr="005071A1" w:rsidRDefault="00B33542" w:rsidP="009B7AF5">
            <w:pPr>
              <w:pStyle w:val="Tabletext"/>
            </w:pPr>
            <w:r w:rsidRPr="005071A1">
              <w:t>45</w:t>
            </w:r>
          </w:p>
        </w:tc>
        <w:tc>
          <w:tcPr>
            <w:tcW w:w="2667" w:type="dxa"/>
            <w:shd w:val="clear" w:color="auto" w:fill="auto"/>
          </w:tcPr>
          <w:p w14:paraId="4F01F972" w14:textId="77777777" w:rsidR="00B33542" w:rsidRPr="005071A1" w:rsidRDefault="00B33542" w:rsidP="009B7AF5">
            <w:pPr>
              <w:pStyle w:val="Tabletext"/>
            </w:pPr>
            <w:r w:rsidRPr="005071A1">
              <w:t>0.45</w:t>
            </w:r>
          </w:p>
        </w:tc>
      </w:tr>
      <w:tr w:rsidR="00B33542" w:rsidRPr="005071A1" w14:paraId="3852D603" w14:textId="77777777" w:rsidTr="009B7AF5">
        <w:tc>
          <w:tcPr>
            <w:tcW w:w="3145" w:type="dxa"/>
            <w:shd w:val="clear" w:color="auto" w:fill="auto"/>
          </w:tcPr>
          <w:p w14:paraId="29C68F50" w14:textId="77777777" w:rsidR="00B33542" w:rsidRPr="005071A1" w:rsidRDefault="00B33542" w:rsidP="009B7AF5">
            <w:pPr>
              <w:pStyle w:val="Tabletext"/>
            </w:pPr>
            <w:r w:rsidRPr="005071A1">
              <w:t>46</w:t>
            </w:r>
          </w:p>
        </w:tc>
        <w:tc>
          <w:tcPr>
            <w:tcW w:w="2667" w:type="dxa"/>
            <w:shd w:val="clear" w:color="auto" w:fill="auto"/>
          </w:tcPr>
          <w:p w14:paraId="4174C914" w14:textId="77777777" w:rsidR="00B33542" w:rsidRPr="005071A1" w:rsidRDefault="00B33542" w:rsidP="009B7AF5">
            <w:pPr>
              <w:pStyle w:val="Tabletext"/>
            </w:pPr>
            <w:r w:rsidRPr="005071A1">
              <w:t>0.48</w:t>
            </w:r>
          </w:p>
        </w:tc>
      </w:tr>
      <w:tr w:rsidR="00B33542" w:rsidRPr="005071A1" w14:paraId="1D5FD43B" w14:textId="77777777" w:rsidTr="009B7AF5">
        <w:tc>
          <w:tcPr>
            <w:tcW w:w="3145" w:type="dxa"/>
            <w:shd w:val="clear" w:color="auto" w:fill="auto"/>
          </w:tcPr>
          <w:p w14:paraId="5CE91172" w14:textId="77777777" w:rsidR="00B33542" w:rsidRPr="005071A1" w:rsidRDefault="00B33542" w:rsidP="009B7AF5">
            <w:pPr>
              <w:pStyle w:val="Tabletext"/>
            </w:pPr>
            <w:r w:rsidRPr="005071A1">
              <w:t>47</w:t>
            </w:r>
          </w:p>
        </w:tc>
        <w:tc>
          <w:tcPr>
            <w:tcW w:w="2667" w:type="dxa"/>
            <w:shd w:val="clear" w:color="auto" w:fill="auto"/>
          </w:tcPr>
          <w:p w14:paraId="744F32E1" w14:textId="77777777" w:rsidR="00B33542" w:rsidRPr="005071A1" w:rsidRDefault="00B33542" w:rsidP="009B7AF5">
            <w:pPr>
              <w:pStyle w:val="Tabletext"/>
            </w:pPr>
            <w:r w:rsidRPr="005071A1">
              <w:t>0.52</w:t>
            </w:r>
          </w:p>
        </w:tc>
      </w:tr>
      <w:tr w:rsidR="00B33542" w:rsidRPr="005071A1" w14:paraId="7BA69833" w14:textId="77777777" w:rsidTr="009B7AF5">
        <w:tc>
          <w:tcPr>
            <w:tcW w:w="3145" w:type="dxa"/>
            <w:shd w:val="clear" w:color="auto" w:fill="auto"/>
          </w:tcPr>
          <w:p w14:paraId="005DA3E5" w14:textId="77777777" w:rsidR="00B33542" w:rsidRPr="005071A1" w:rsidRDefault="00B33542" w:rsidP="009B7AF5">
            <w:pPr>
              <w:pStyle w:val="Tabletext"/>
            </w:pPr>
            <w:r w:rsidRPr="005071A1">
              <w:t>48</w:t>
            </w:r>
          </w:p>
        </w:tc>
        <w:tc>
          <w:tcPr>
            <w:tcW w:w="2667" w:type="dxa"/>
            <w:shd w:val="clear" w:color="auto" w:fill="auto"/>
          </w:tcPr>
          <w:p w14:paraId="23652E1B" w14:textId="77777777" w:rsidR="00B33542" w:rsidRPr="005071A1" w:rsidRDefault="00B33542" w:rsidP="009B7AF5">
            <w:pPr>
              <w:pStyle w:val="Tabletext"/>
            </w:pPr>
            <w:r w:rsidRPr="005071A1">
              <w:t>0.56</w:t>
            </w:r>
          </w:p>
        </w:tc>
      </w:tr>
      <w:tr w:rsidR="00B33542" w:rsidRPr="005071A1" w14:paraId="18F2F786" w14:textId="77777777" w:rsidTr="009B7AF5">
        <w:tc>
          <w:tcPr>
            <w:tcW w:w="3145" w:type="dxa"/>
            <w:shd w:val="clear" w:color="auto" w:fill="auto"/>
          </w:tcPr>
          <w:p w14:paraId="4129D550" w14:textId="77777777" w:rsidR="00B33542" w:rsidRPr="005071A1" w:rsidRDefault="00B33542" w:rsidP="009B7AF5">
            <w:pPr>
              <w:pStyle w:val="Tabletext"/>
            </w:pPr>
            <w:r w:rsidRPr="005071A1">
              <w:t>49</w:t>
            </w:r>
          </w:p>
        </w:tc>
        <w:tc>
          <w:tcPr>
            <w:tcW w:w="2667" w:type="dxa"/>
            <w:shd w:val="clear" w:color="auto" w:fill="auto"/>
          </w:tcPr>
          <w:p w14:paraId="7CE93068" w14:textId="77777777" w:rsidR="00B33542" w:rsidRPr="005071A1" w:rsidRDefault="00B33542" w:rsidP="009B7AF5">
            <w:pPr>
              <w:pStyle w:val="Tabletext"/>
            </w:pPr>
            <w:r w:rsidRPr="005071A1">
              <w:t>0.60</w:t>
            </w:r>
          </w:p>
        </w:tc>
      </w:tr>
      <w:tr w:rsidR="00B33542" w:rsidRPr="005071A1" w14:paraId="4E51962B" w14:textId="77777777" w:rsidTr="009B7AF5">
        <w:tc>
          <w:tcPr>
            <w:tcW w:w="3145" w:type="dxa"/>
            <w:shd w:val="clear" w:color="auto" w:fill="auto"/>
          </w:tcPr>
          <w:p w14:paraId="3C0E9F54" w14:textId="77777777" w:rsidR="00B33542" w:rsidRPr="005071A1" w:rsidRDefault="00B33542" w:rsidP="009B7AF5">
            <w:pPr>
              <w:pStyle w:val="Tabletext"/>
            </w:pPr>
            <w:r w:rsidRPr="005071A1">
              <w:t>50</w:t>
            </w:r>
          </w:p>
        </w:tc>
        <w:tc>
          <w:tcPr>
            <w:tcW w:w="2667" w:type="dxa"/>
            <w:shd w:val="clear" w:color="auto" w:fill="auto"/>
          </w:tcPr>
          <w:p w14:paraId="18033694" w14:textId="77777777" w:rsidR="00B33542" w:rsidRPr="005071A1" w:rsidRDefault="00B33542" w:rsidP="009B7AF5">
            <w:pPr>
              <w:pStyle w:val="Tabletext"/>
            </w:pPr>
            <w:r w:rsidRPr="005071A1">
              <w:t>0.65</w:t>
            </w:r>
          </w:p>
        </w:tc>
      </w:tr>
      <w:tr w:rsidR="00B33542" w:rsidRPr="005071A1" w14:paraId="427F05DC" w14:textId="77777777" w:rsidTr="009B7AF5">
        <w:tc>
          <w:tcPr>
            <w:tcW w:w="3145" w:type="dxa"/>
            <w:shd w:val="clear" w:color="auto" w:fill="auto"/>
          </w:tcPr>
          <w:p w14:paraId="2AFAD7A0" w14:textId="77777777" w:rsidR="00B33542" w:rsidRPr="005071A1" w:rsidRDefault="00B33542" w:rsidP="009B7AF5">
            <w:pPr>
              <w:pStyle w:val="Tabletext"/>
            </w:pPr>
            <w:r w:rsidRPr="005071A1">
              <w:t>51</w:t>
            </w:r>
          </w:p>
        </w:tc>
        <w:tc>
          <w:tcPr>
            <w:tcW w:w="2667" w:type="dxa"/>
            <w:shd w:val="clear" w:color="auto" w:fill="auto"/>
          </w:tcPr>
          <w:p w14:paraId="742ECD18" w14:textId="77777777" w:rsidR="00B33542" w:rsidRPr="005071A1" w:rsidRDefault="00B33542" w:rsidP="009B7AF5">
            <w:pPr>
              <w:pStyle w:val="Tabletext"/>
            </w:pPr>
            <w:r w:rsidRPr="005071A1">
              <w:t>0.71</w:t>
            </w:r>
          </w:p>
        </w:tc>
      </w:tr>
      <w:tr w:rsidR="00B33542" w:rsidRPr="005071A1" w14:paraId="07BB5859" w14:textId="77777777" w:rsidTr="009B7AF5">
        <w:tc>
          <w:tcPr>
            <w:tcW w:w="3145" w:type="dxa"/>
            <w:shd w:val="clear" w:color="auto" w:fill="auto"/>
          </w:tcPr>
          <w:p w14:paraId="1E109161" w14:textId="77777777" w:rsidR="00B33542" w:rsidRPr="005071A1" w:rsidRDefault="00B33542" w:rsidP="009B7AF5">
            <w:pPr>
              <w:pStyle w:val="Tabletext"/>
            </w:pPr>
            <w:r w:rsidRPr="005071A1">
              <w:t>52</w:t>
            </w:r>
          </w:p>
        </w:tc>
        <w:tc>
          <w:tcPr>
            <w:tcW w:w="2667" w:type="dxa"/>
            <w:shd w:val="clear" w:color="auto" w:fill="auto"/>
          </w:tcPr>
          <w:p w14:paraId="7CA60283" w14:textId="77777777" w:rsidR="00B33542" w:rsidRPr="005071A1" w:rsidRDefault="00B33542" w:rsidP="009B7AF5">
            <w:pPr>
              <w:pStyle w:val="Tabletext"/>
            </w:pPr>
            <w:r w:rsidRPr="005071A1">
              <w:t>0.78</w:t>
            </w:r>
          </w:p>
        </w:tc>
      </w:tr>
      <w:tr w:rsidR="00B33542" w:rsidRPr="005071A1" w14:paraId="5F6D9F20" w14:textId="77777777" w:rsidTr="009B7AF5">
        <w:tc>
          <w:tcPr>
            <w:tcW w:w="3145" w:type="dxa"/>
            <w:shd w:val="clear" w:color="auto" w:fill="auto"/>
          </w:tcPr>
          <w:p w14:paraId="39391271" w14:textId="77777777" w:rsidR="00B33542" w:rsidRPr="005071A1" w:rsidRDefault="00B33542" w:rsidP="009B7AF5">
            <w:pPr>
              <w:pStyle w:val="Tabletext"/>
            </w:pPr>
            <w:r w:rsidRPr="005071A1">
              <w:t>53</w:t>
            </w:r>
          </w:p>
        </w:tc>
        <w:tc>
          <w:tcPr>
            <w:tcW w:w="2667" w:type="dxa"/>
            <w:shd w:val="clear" w:color="auto" w:fill="auto"/>
          </w:tcPr>
          <w:p w14:paraId="5D855729" w14:textId="77777777" w:rsidR="00B33542" w:rsidRPr="005071A1" w:rsidRDefault="00B33542" w:rsidP="009B7AF5">
            <w:pPr>
              <w:pStyle w:val="Tabletext"/>
            </w:pPr>
            <w:r w:rsidRPr="005071A1">
              <w:t>0.86</w:t>
            </w:r>
          </w:p>
        </w:tc>
      </w:tr>
      <w:tr w:rsidR="00B33542" w:rsidRPr="005071A1" w14:paraId="46D6AADF" w14:textId="77777777" w:rsidTr="009B7AF5">
        <w:tc>
          <w:tcPr>
            <w:tcW w:w="3145" w:type="dxa"/>
            <w:shd w:val="clear" w:color="auto" w:fill="auto"/>
          </w:tcPr>
          <w:p w14:paraId="0B7E89A9" w14:textId="77777777" w:rsidR="00B33542" w:rsidRPr="005071A1" w:rsidRDefault="00B33542" w:rsidP="009B7AF5">
            <w:pPr>
              <w:pStyle w:val="Tabletext"/>
            </w:pPr>
            <w:r w:rsidRPr="005071A1">
              <w:t>54</w:t>
            </w:r>
          </w:p>
        </w:tc>
        <w:tc>
          <w:tcPr>
            <w:tcW w:w="2667" w:type="dxa"/>
            <w:shd w:val="clear" w:color="auto" w:fill="auto"/>
          </w:tcPr>
          <w:p w14:paraId="1073D59D" w14:textId="77777777" w:rsidR="00B33542" w:rsidRPr="005071A1" w:rsidRDefault="00B33542" w:rsidP="009B7AF5">
            <w:pPr>
              <w:pStyle w:val="Tabletext"/>
            </w:pPr>
            <w:r w:rsidRPr="005071A1">
              <w:t>0.95</w:t>
            </w:r>
          </w:p>
        </w:tc>
      </w:tr>
      <w:tr w:rsidR="00B33542" w:rsidRPr="005071A1" w14:paraId="56F1D6BA" w14:textId="77777777" w:rsidTr="009B7AF5">
        <w:tc>
          <w:tcPr>
            <w:tcW w:w="3145" w:type="dxa"/>
            <w:shd w:val="clear" w:color="auto" w:fill="auto"/>
          </w:tcPr>
          <w:p w14:paraId="346607C0" w14:textId="77777777" w:rsidR="00B33542" w:rsidRPr="005071A1" w:rsidRDefault="00B33542" w:rsidP="009B7AF5">
            <w:pPr>
              <w:pStyle w:val="Tabletext"/>
            </w:pPr>
            <w:r w:rsidRPr="005071A1">
              <w:t>55</w:t>
            </w:r>
          </w:p>
        </w:tc>
        <w:tc>
          <w:tcPr>
            <w:tcW w:w="2667" w:type="dxa"/>
            <w:shd w:val="clear" w:color="auto" w:fill="auto"/>
          </w:tcPr>
          <w:p w14:paraId="49442951" w14:textId="77777777" w:rsidR="00B33542" w:rsidRPr="005071A1" w:rsidRDefault="00B33542" w:rsidP="009B7AF5">
            <w:pPr>
              <w:pStyle w:val="Tabletext"/>
            </w:pPr>
            <w:r w:rsidRPr="005071A1">
              <w:t>1.06</w:t>
            </w:r>
          </w:p>
        </w:tc>
      </w:tr>
      <w:tr w:rsidR="00B33542" w:rsidRPr="005071A1" w14:paraId="33CF87B4" w14:textId="77777777" w:rsidTr="009B7AF5">
        <w:tc>
          <w:tcPr>
            <w:tcW w:w="3145" w:type="dxa"/>
            <w:shd w:val="clear" w:color="auto" w:fill="auto"/>
          </w:tcPr>
          <w:p w14:paraId="16C7704B" w14:textId="77777777" w:rsidR="00B33542" w:rsidRPr="005071A1" w:rsidRDefault="00B33542" w:rsidP="009B7AF5">
            <w:pPr>
              <w:pStyle w:val="Tabletext"/>
            </w:pPr>
            <w:r w:rsidRPr="005071A1">
              <w:t>56</w:t>
            </w:r>
          </w:p>
        </w:tc>
        <w:tc>
          <w:tcPr>
            <w:tcW w:w="2667" w:type="dxa"/>
            <w:shd w:val="clear" w:color="auto" w:fill="auto"/>
          </w:tcPr>
          <w:p w14:paraId="7C2BB519" w14:textId="77777777" w:rsidR="00B33542" w:rsidRPr="005071A1" w:rsidRDefault="00B33542" w:rsidP="009B7AF5">
            <w:pPr>
              <w:pStyle w:val="Tabletext"/>
            </w:pPr>
            <w:r w:rsidRPr="005071A1">
              <w:t>1.20</w:t>
            </w:r>
          </w:p>
        </w:tc>
      </w:tr>
      <w:tr w:rsidR="00B33542" w:rsidRPr="005071A1" w14:paraId="40AE9CE2" w14:textId="77777777" w:rsidTr="009B7AF5">
        <w:tc>
          <w:tcPr>
            <w:tcW w:w="3145" w:type="dxa"/>
            <w:shd w:val="clear" w:color="auto" w:fill="auto"/>
          </w:tcPr>
          <w:p w14:paraId="3B95D58A" w14:textId="77777777" w:rsidR="00B33542" w:rsidRPr="005071A1" w:rsidRDefault="00B33542" w:rsidP="009B7AF5">
            <w:pPr>
              <w:pStyle w:val="Tabletext"/>
            </w:pPr>
            <w:r w:rsidRPr="005071A1">
              <w:t>57</w:t>
            </w:r>
          </w:p>
        </w:tc>
        <w:tc>
          <w:tcPr>
            <w:tcW w:w="2667" w:type="dxa"/>
            <w:shd w:val="clear" w:color="auto" w:fill="auto"/>
          </w:tcPr>
          <w:p w14:paraId="7E2DDE1B" w14:textId="77777777" w:rsidR="00B33542" w:rsidRPr="005071A1" w:rsidRDefault="00B33542" w:rsidP="009B7AF5">
            <w:pPr>
              <w:pStyle w:val="Tabletext"/>
            </w:pPr>
            <w:r w:rsidRPr="005071A1">
              <w:t>1.36</w:t>
            </w:r>
          </w:p>
        </w:tc>
      </w:tr>
      <w:tr w:rsidR="00B33542" w:rsidRPr="005071A1" w14:paraId="3D581E5F" w14:textId="77777777" w:rsidTr="009B7AF5">
        <w:tc>
          <w:tcPr>
            <w:tcW w:w="3145" w:type="dxa"/>
            <w:shd w:val="clear" w:color="auto" w:fill="auto"/>
          </w:tcPr>
          <w:p w14:paraId="05C5534F" w14:textId="77777777" w:rsidR="00B33542" w:rsidRPr="005071A1" w:rsidRDefault="00B33542" w:rsidP="009B7AF5">
            <w:pPr>
              <w:pStyle w:val="Tabletext"/>
            </w:pPr>
            <w:r w:rsidRPr="005071A1">
              <w:lastRenderedPageBreak/>
              <w:t>58</w:t>
            </w:r>
          </w:p>
        </w:tc>
        <w:tc>
          <w:tcPr>
            <w:tcW w:w="2667" w:type="dxa"/>
            <w:shd w:val="clear" w:color="auto" w:fill="auto"/>
          </w:tcPr>
          <w:p w14:paraId="7E19C2EE" w14:textId="77777777" w:rsidR="00B33542" w:rsidRPr="005071A1" w:rsidRDefault="00B33542" w:rsidP="009B7AF5">
            <w:pPr>
              <w:pStyle w:val="Tabletext"/>
            </w:pPr>
            <w:r w:rsidRPr="005071A1">
              <w:t>1.58</w:t>
            </w:r>
          </w:p>
        </w:tc>
      </w:tr>
      <w:tr w:rsidR="00B33542" w:rsidRPr="005071A1" w14:paraId="6EE4DBED" w14:textId="77777777" w:rsidTr="009B7AF5">
        <w:tc>
          <w:tcPr>
            <w:tcW w:w="3145" w:type="dxa"/>
            <w:shd w:val="clear" w:color="auto" w:fill="auto"/>
          </w:tcPr>
          <w:p w14:paraId="7891EA5D" w14:textId="77777777" w:rsidR="00B33542" w:rsidRPr="005071A1" w:rsidRDefault="00B33542" w:rsidP="009B7AF5">
            <w:pPr>
              <w:pStyle w:val="Tabletext"/>
            </w:pPr>
            <w:r w:rsidRPr="005071A1">
              <w:t>59</w:t>
            </w:r>
          </w:p>
        </w:tc>
        <w:tc>
          <w:tcPr>
            <w:tcW w:w="2667" w:type="dxa"/>
            <w:shd w:val="clear" w:color="auto" w:fill="auto"/>
          </w:tcPr>
          <w:p w14:paraId="10D8F969" w14:textId="77777777" w:rsidR="00B33542" w:rsidRPr="005071A1" w:rsidRDefault="00B33542" w:rsidP="009B7AF5">
            <w:pPr>
              <w:pStyle w:val="Tabletext"/>
            </w:pPr>
            <w:r w:rsidRPr="005071A1">
              <w:t>1.86</w:t>
            </w:r>
          </w:p>
        </w:tc>
      </w:tr>
      <w:tr w:rsidR="00B33542" w:rsidRPr="005071A1" w14:paraId="37C052ED" w14:textId="77777777" w:rsidTr="009B7AF5">
        <w:tc>
          <w:tcPr>
            <w:tcW w:w="3145" w:type="dxa"/>
            <w:shd w:val="clear" w:color="auto" w:fill="auto"/>
          </w:tcPr>
          <w:p w14:paraId="5CD6086F" w14:textId="77777777" w:rsidR="00B33542" w:rsidRPr="005071A1" w:rsidRDefault="00B33542" w:rsidP="009B7AF5">
            <w:pPr>
              <w:pStyle w:val="Tabletext"/>
            </w:pPr>
            <w:r w:rsidRPr="005071A1">
              <w:t>60</w:t>
            </w:r>
          </w:p>
        </w:tc>
        <w:tc>
          <w:tcPr>
            <w:tcW w:w="2667" w:type="dxa"/>
            <w:shd w:val="clear" w:color="auto" w:fill="auto"/>
          </w:tcPr>
          <w:p w14:paraId="1A0E758D" w14:textId="77777777" w:rsidR="00B33542" w:rsidRPr="005071A1" w:rsidRDefault="00B33542" w:rsidP="009B7AF5">
            <w:pPr>
              <w:pStyle w:val="Tabletext"/>
            </w:pPr>
            <w:r w:rsidRPr="005071A1">
              <w:t>2.25</w:t>
            </w:r>
          </w:p>
        </w:tc>
      </w:tr>
      <w:tr w:rsidR="00B33542" w:rsidRPr="005071A1" w14:paraId="3C642898" w14:textId="77777777" w:rsidTr="009B7AF5">
        <w:tc>
          <w:tcPr>
            <w:tcW w:w="3145" w:type="dxa"/>
            <w:shd w:val="clear" w:color="auto" w:fill="auto"/>
          </w:tcPr>
          <w:p w14:paraId="683A2A7B" w14:textId="77777777" w:rsidR="00B33542" w:rsidRPr="005071A1" w:rsidRDefault="00B33542" w:rsidP="009B7AF5">
            <w:pPr>
              <w:pStyle w:val="Tabletext"/>
            </w:pPr>
            <w:r w:rsidRPr="005071A1">
              <w:t>61</w:t>
            </w:r>
          </w:p>
        </w:tc>
        <w:tc>
          <w:tcPr>
            <w:tcW w:w="2667" w:type="dxa"/>
            <w:shd w:val="clear" w:color="auto" w:fill="auto"/>
          </w:tcPr>
          <w:p w14:paraId="1A7CAF77" w14:textId="77777777" w:rsidR="00B33542" w:rsidRPr="005071A1" w:rsidRDefault="00B33542" w:rsidP="009B7AF5">
            <w:pPr>
              <w:pStyle w:val="Tabletext"/>
            </w:pPr>
            <w:r w:rsidRPr="005071A1">
              <w:t>2.82</w:t>
            </w:r>
          </w:p>
        </w:tc>
      </w:tr>
      <w:tr w:rsidR="00B33542" w:rsidRPr="005071A1" w14:paraId="433C1103" w14:textId="77777777" w:rsidTr="00D57394">
        <w:tc>
          <w:tcPr>
            <w:tcW w:w="3145" w:type="dxa"/>
            <w:tcBorders>
              <w:bottom w:val="single" w:sz="4" w:space="0" w:color="auto"/>
            </w:tcBorders>
            <w:shd w:val="clear" w:color="auto" w:fill="auto"/>
          </w:tcPr>
          <w:p w14:paraId="69762A2E" w14:textId="77777777" w:rsidR="00B33542" w:rsidRPr="005071A1" w:rsidRDefault="00B33542" w:rsidP="009B7AF5">
            <w:pPr>
              <w:pStyle w:val="Tabletext"/>
            </w:pPr>
            <w:r w:rsidRPr="005071A1">
              <w:t>62</w:t>
            </w:r>
          </w:p>
        </w:tc>
        <w:tc>
          <w:tcPr>
            <w:tcW w:w="2667" w:type="dxa"/>
            <w:tcBorders>
              <w:bottom w:val="single" w:sz="4" w:space="0" w:color="auto"/>
            </w:tcBorders>
            <w:shd w:val="clear" w:color="auto" w:fill="auto"/>
          </w:tcPr>
          <w:p w14:paraId="753D142E" w14:textId="77777777" w:rsidR="00B33542" w:rsidRPr="005071A1" w:rsidRDefault="00B33542" w:rsidP="009B7AF5">
            <w:pPr>
              <w:pStyle w:val="Tabletext"/>
            </w:pPr>
            <w:r w:rsidRPr="005071A1">
              <w:t>3.77</w:t>
            </w:r>
          </w:p>
        </w:tc>
      </w:tr>
      <w:tr w:rsidR="00B33542" w:rsidRPr="005071A1" w14:paraId="3B16E7A3" w14:textId="77777777" w:rsidTr="00D57394">
        <w:tc>
          <w:tcPr>
            <w:tcW w:w="3145" w:type="dxa"/>
            <w:tcBorders>
              <w:bottom w:val="single" w:sz="4" w:space="0" w:color="auto"/>
            </w:tcBorders>
            <w:shd w:val="clear" w:color="auto" w:fill="auto"/>
          </w:tcPr>
          <w:p w14:paraId="726573EF" w14:textId="77777777" w:rsidR="00B33542" w:rsidRPr="005071A1" w:rsidRDefault="00B33542" w:rsidP="009B7AF5">
            <w:pPr>
              <w:pStyle w:val="Tabletext"/>
            </w:pPr>
            <w:r w:rsidRPr="005071A1">
              <w:t>63</w:t>
            </w:r>
          </w:p>
        </w:tc>
        <w:tc>
          <w:tcPr>
            <w:tcW w:w="2667" w:type="dxa"/>
            <w:tcBorders>
              <w:bottom w:val="single" w:sz="4" w:space="0" w:color="auto"/>
            </w:tcBorders>
            <w:shd w:val="clear" w:color="auto" w:fill="auto"/>
          </w:tcPr>
          <w:p w14:paraId="391D7B7B" w14:textId="77777777" w:rsidR="00B33542" w:rsidRPr="005071A1" w:rsidRDefault="00B33542" w:rsidP="009B7AF5">
            <w:pPr>
              <w:pStyle w:val="Tabletext"/>
            </w:pPr>
            <w:r w:rsidRPr="005071A1">
              <w:t>5.64</w:t>
            </w:r>
          </w:p>
        </w:tc>
      </w:tr>
      <w:tr w:rsidR="00B33542" w:rsidRPr="005071A1" w14:paraId="7F40564D" w14:textId="77777777" w:rsidTr="00D57394">
        <w:tc>
          <w:tcPr>
            <w:tcW w:w="3145" w:type="dxa"/>
            <w:tcBorders>
              <w:top w:val="single" w:sz="4" w:space="0" w:color="auto"/>
              <w:bottom w:val="single" w:sz="4" w:space="0" w:color="auto"/>
            </w:tcBorders>
            <w:shd w:val="clear" w:color="auto" w:fill="auto"/>
          </w:tcPr>
          <w:p w14:paraId="78C13CC4" w14:textId="77777777" w:rsidR="00B33542" w:rsidRPr="005071A1" w:rsidRDefault="00B33542" w:rsidP="009B7AF5">
            <w:pPr>
              <w:pStyle w:val="Tabletext"/>
            </w:pPr>
            <w:r w:rsidRPr="005071A1">
              <w:t>64</w:t>
            </w:r>
          </w:p>
        </w:tc>
        <w:tc>
          <w:tcPr>
            <w:tcW w:w="2667" w:type="dxa"/>
            <w:tcBorders>
              <w:top w:val="single" w:sz="4" w:space="0" w:color="auto"/>
              <w:bottom w:val="single" w:sz="4" w:space="0" w:color="auto"/>
            </w:tcBorders>
            <w:shd w:val="clear" w:color="auto" w:fill="auto"/>
          </w:tcPr>
          <w:p w14:paraId="28452244" w14:textId="77777777" w:rsidR="00B33542" w:rsidRPr="005071A1" w:rsidRDefault="00B33542" w:rsidP="009B7AF5">
            <w:pPr>
              <w:pStyle w:val="Tabletext"/>
            </w:pPr>
            <w:r w:rsidRPr="005071A1">
              <w:t>11.11</w:t>
            </w:r>
          </w:p>
        </w:tc>
      </w:tr>
      <w:tr w:rsidR="00B33542" w:rsidRPr="005071A1" w14:paraId="10E943CB" w14:textId="77777777" w:rsidTr="009B7AF5">
        <w:tc>
          <w:tcPr>
            <w:tcW w:w="3145" w:type="dxa"/>
            <w:tcBorders>
              <w:bottom w:val="single" w:sz="12" w:space="0" w:color="auto"/>
            </w:tcBorders>
            <w:shd w:val="clear" w:color="auto" w:fill="auto"/>
          </w:tcPr>
          <w:p w14:paraId="623BD2BD" w14:textId="77777777" w:rsidR="00B33542" w:rsidRPr="005071A1" w:rsidRDefault="00B33542" w:rsidP="009B7AF5">
            <w:pPr>
              <w:pStyle w:val="Tabletext"/>
            </w:pPr>
            <w:r w:rsidRPr="005071A1">
              <w:t>65</w:t>
            </w:r>
          </w:p>
        </w:tc>
        <w:tc>
          <w:tcPr>
            <w:tcW w:w="2667" w:type="dxa"/>
            <w:tcBorders>
              <w:bottom w:val="single" w:sz="12" w:space="0" w:color="auto"/>
            </w:tcBorders>
            <w:shd w:val="clear" w:color="auto" w:fill="auto"/>
          </w:tcPr>
          <w:p w14:paraId="2C1085C9" w14:textId="77777777" w:rsidR="00B33542" w:rsidRPr="005071A1" w:rsidRDefault="00B33542" w:rsidP="009B7AF5">
            <w:pPr>
              <w:pStyle w:val="Tabletext"/>
            </w:pPr>
            <w:r w:rsidRPr="005071A1">
              <w:t>11.56</w:t>
            </w:r>
          </w:p>
        </w:tc>
      </w:tr>
    </w:tbl>
    <w:p w14:paraId="5FDA7911" w14:textId="77777777" w:rsidR="00B33542" w:rsidRPr="005071A1" w:rsidRDefault="00B33542" w:rsidP="00674A0D">
      <w:pPr>
        <w:pStyle w:val="ActHead5"/>
        <w:pageBreakBefore/>
      </w:pPr>
      <w:bookmarkStart w:id="303" w:name="_Toc185577685"/>
      <w:r w:rsidRPr="005071A1">
        <w:lastRenderedPageBreak/>
        <w:t>Table XVI</w:t>
      </w:r>
      <w:bookmarkEnd w:id="303"/>
    </w:p>
    <w:p w14:paraId="5B637577" w14:textId="77777777" w:rsidR="00B33542" w:rsidRPr="005071A1" w:rsidRDefault="00B33542" w:rsidP="00B33542">
      <w:pPr>
        <w:spacing w:before="120"/>
      </w:pPr>
      <w:r w:rsidRPr="005071A1">
        <w:t xml:space="preserve">Rates of contribution to be paid fortnightly by male contributors for units of pension (other than units of pension to which </w:t>
      </w:r>
      <w:r w:rsidR="008B2950" w:rsidRPr="005071A1">
        <w:t>paragraph (</w:t>
      </w:r>
      <w:r w:rsidRPr="005071A1">
        <w:t xml:space="preserve">b) of </w:t>
      </w:r>
      <w:r w:rsidR="008B2950" w:rsidRPr="005071A1">
        <w:t>subsection (</w:t>
      </w:r>
      <w:r w:rsidRPr="005071A1">
        <w:t>3) of section</w:t>
      </w:r>
      <w:r w:rsidR="008B2950" w:rsidRPr="005071A1">
        <w:t> </w:t>
      </w:r>
      <w:r w:rsidRPr="005071A1">
        <w:t>23 applies) where the obligation to contribute to the fund came into existence before 14th December, 1959, but the obligation to contribute for those units had not come into existence before 1st July, 1962, based on a retiring age of 60 years and the age next birthday of the contributor when the obligation to contribute for those units came or comes into existence</w:t>
      </w:r>
    </w:p>
    <w:p w14:paraId="119E2C7A"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19"/>
        <w:gridCol w:w="2693"/>
      </w:tblGrid>
      <w:tr w:rsidR="00B33542" w:rsidRPr="005071A1" w14:paraId="1C59324C" w14:textId="77777777" w:rsidTr="009B7AF5">
        <w:trPr>
          <w:tblHeader/>
        </w:trPr>
        <w:tc>
          <w:tcPr>
            <w:tcW w:w="3119" w:type="dxa"/>
            <w:tcBorders>
              <w:top w:val="single" w:sz="12" w:space="0" w:color="auto"/>
              <w:bottom w:val="single" w:sz="6" w:space="0" w:color="auto"/>
            </w:tcBorders>
            <w:shd w:val="clear" w:color="auto" w:fill="auto"/>
          </w:tcPr>
          <w:p w14:paraId="7C1CFA6A" w14:textId="77777777" w:rsidR="00B33542" w:rsidRPr="005071A1" w:rsidRDefault="00B33542" w:rsidP="009B7AF5">
            <w:pPr>
              <w:pStyle w:val="TableHeading"/>
            </w:pPr>
            <w:r w:rsidRPr="005071A1">
              <w:t>Column 1</w:t>
            </w:r>
          </w:p>
        </w:tc>
        <w:tc>
          <w:tcPr>
            <w:tcW w:w="2693" w:type="dxa"/>
            <w:tcBorders>
              <w:top w:val="single" w:sz="12" w:space="0" w:color="auto"/>
              <w:bottom w:val="single" w:sz="6" w:space="0" w:color="auto"/>
            </w:tcBorders>
            <w:shd w:val="clear" w:color="auto" w:fill="auto"/>
          </w:tcPr>
          <w:p w14:paraId="7EBFBA40" w14:textId="77777777" w:rsidR="00B33542" w:rsidRPr="005071A1" w:rsidRDefault="00B33542" w:rsidP="009B7AF5">
            <w:pPr>
              <w:pStyle w:val="TableHeading"/>
            </w:pPr>
            <w:r w:rsidRPr="005071A1">
              <w:t>Column 2</w:t>
            </w:r>
          </w:p>
        </w:tc>
      </w:tr>
      <w:tr w:rsidR="00B33542" w:rsidRPr="005071A1" w14:paraId="1A5D0CAF" w14:textId="77777777" w:rsidTr="009B7AF5">
        <w:trPr>
          <w:tblHeader/>
        </w:trPr>
        <w:tc>
          <w:tcPr>
            <w:tcW w:w="3119" w:type="dxa"/>
            <w:tcBorders>
              <w:top w:val="single" w:sz="6" w:space="0" w:color="auto"/>
              <w:bottom w:val="single" w:sz="6" w:space="0" w:color="auto"/>
            </w:tcBorders>
            <w:shd w:val="clear" w:color="auto" w:fill="auto"/>
          </w:tcPr>
          <w:p w14:paraId="24EB49A1"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93" w:type="dxa"/>
            <w:tcBorders>
              <w:top w:val="single" w:sz="6" w:space="0" w:color="auto"/>
              <w:bottom w:val="single" w:sz="6" w:space="0" w:color="auto"/>
            </w:tcBorders>
            <w:shd w:val="clear" w:color="auto" w:fill="auto"/>
          </w:tcPr>
          <w:p w14:paraId="71746BEB"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4DB793BF" w14:textId="77777777" w:rsidTr="009B7AF5">
        <w:trPr>
          <w:tblHeader/>
        </w:trPr>
        <w:tc>
          <w:tcPr>
            <w:tcW w:w="3119" w:type="dxa"/>
            <w:tcBorders>
              <w:top w:val="single" w:sz="6" w:space="0" w:color="auto"/>
              <w:bottom w:val="single" w:sz="12" w:space="0" w:color="auto"/>
            </w:tcBorders>
            <w:shd w:val="clear" w:color="auto" w:fill="auto"/>
          </w:tcPr>
          <w:p w14:paraId="7EBC6837" w14:textId="77777777" w:rsidR="00B33542" w:rsidRPr="005071A1" w:rsidRDefault="00B33542" w:rsidP="00325D38">
            <w:pPr>
              <w:pStyle w:val="TableHeading"/>
            </w:pPr>
          </w:p>
        </w:tc>
        <w:tc>
          <w:tcPr>
            <w:tcW w:w="2693" w:type="dxa"/>
            <w:tcBorders>
              <w:top w:val="single" w:sz="6" w:space="0" w:color="auto"/>
              <w:bottom w:val="single" w:sz="12" w:space="0" w:color="auto"/>
            </w:tcBorders>
            <w:shd w:val="clear" w:color="auto" w:fill="auto"/>
          </w:tcPr>
          <w:p w14:paraId="1CF71399" w14:textId="77777777" w:rsidR="00B33542" w:rsidRPr="005071A1" w:rsidRDefault="00B33542" w:rsidP="00325D38">
            <w:pPr>
              <w:pStyle w:val="TableHeading"/>
            </w:pPr>
            <w:r w:rsidRPr="005071A1">
              <w:t>$</w:t>
            </w:r>
          </w:p>
        </w:tc>
      </w:tr>
      <w:tr w:rsidR="00B33542" w:rsidRPr="005071A1" w14:paraId="17EC7B87" w14:textId="77777777" w:rsidTr="009B7AF5">
        <w:tc>
          <w:tcPr>
            <w:tcW w:w="3119" w:type="dxa"/>
            <w:tcBorders>
              <w:top w:val="single" w:sz="12" w:space="0" w:color="auto"/>
            </w:tcBorders>
            <w:shd w:val="clear" w:color="auto" w:fill="auto"/>
          </w:tcPr>
          <w:p w14:paraId="16ABE4F3" w14:textId="77777777" w:rsidR="00B33542" w:rsidRPr="005071A1" w:rsidRDefault="00B33542" w:rsidP="009B7AF5">
            <w:pPr>
              <w:pStyle w:val="Tabletext"/>
            </w:pPr>
            <w:r w:rsidRPr="005071A1">
              <w:t>15</w:t>
            </w:r>
          </w:p>
        </w:tc>
        <w:tc>
          <w:tcPr>
            <w:tcW w:w="2693" w:type="dxa"/>
            <w:tcBorders>
              <w:top w:val="single" w:sz="12" w:space="0" w:color="auto"/>
            </w:tcBorders>
            <w:shd w:val="clear" w:color="auto" w:fill="auto"/>
          </w:tcPr>
          <w:p w14:paraId="5B7AFA98" w14:textId="77777777" w:rsidR="00B33542" w:rsidRPr="005071A1" w:rsidRDefault="00B33542" w:rsidP="009B7AF5">
            <w:pPr>
              <w:pStyle w:val="Tabletext"/>
            </w:pPr>
            <w:r w:rsidRPr="005071A1">
              <w:t>0.10</w:t>
            </w:r>
          </w:p>
        </w:tc>
      </w:tr>
      <w:tr w:rsidR="00B33542" w:rsidRPr="005071A1" w14:paraId="05BB99CF" w14:textId="77777777" w:rsidTr="009B7AF5">
        <w:tc>
          <w:tcPr>
            <w:tcW w:w="3119" w:type="dxa"/>
            <w:shd w:val="clear" w:color="auto" w:fill="auto"/>
          </w:tcPr>
          <w:p w14:paraId="664BA981" w14:textId="77777777" w:rsidR="00B33542" w:rsidRPr="005071A1" w:rsidRDefault="00B33542" w:rsidP="009B7AF5">
            <w:pPr>
              <w:pStyle w:val="Tabletext"/>
            </w:pPr>
            <w:r w:rsidRPr="005071A1">
              <w:t>16</w:t>
            </w:r>
          </w:p>
        </w:tc>
        <w:tc>
          <w:tcPr>
            <w:tcW w:w="2693" w:type="dxa"/>
            <w:shd w:val="clear" w:color="auto" w:fill="auto"/>
          </w:tcPr>
          <w:p w14:paraId="7FB2B44B" w14:textId="77777777" w:rsidR="00B33542" w:rsidRPr="005071A1" w:rsidRDefault="00B33542" w:rsidP="009B7AF5">
            <w:pPr>
              <w:pStyle w:val="Tabletext"/>
            </w:pPr>
            <w:r w:rsidRPr="005071A1">
              <w:t>0.10</w:t>
            </w:r>
          </w:p>
        </w:tc>
      </w:tr>
      <w:tr w:rsidR="00B33542" w:rsidRPr="005071A1" w14:paraId="1CA0B00F" w14:textId="77777777" w:rsidTr="009B7AF5">
        <w:tc>
          <w:tcPr>
            <w:tcW w:w="3119" w:type="dxa"/>
            <w:shd w:val="clear" w:color="auto" w:fill="auto"/>
          </w:tcPr>
          <w:p w14:paraId="090857B8" w14:textId="77777777" w:rsidR="00B33542" w:rsidRPr="005071A1" w:rsidRDefault="00B33542" w:rsidP="009B7AF5">
            <w:pPr>
              <w:pStyle w:val="Tabletext"/>
            </w:pPr>
            <w:r w:rsidRPr="005071A1">
              <w:t>17</w:t>
            </w:r>
          </w:p>
        </w:tc>
        <w:tc>
          <w:tcPr>
            <w:tcW w:w="2693" w:type="dxa"/>
            <w:shd w:val="clear" w:color="auto" w:fill="auto"/>
          </w:tcPr>
          <w:p w14:paraId="2019E631" w14:textId="77777777" w:rsidR="00B33542" w:rsidRPr="005071A1" w:rsidRDefault="00B33542" w:rsidP="009B7AF5">
            <w:pPr>
              <w:pStyle w:val="Tabletext"/>
            </w:pPr>
            <w:r w:rsidRPr="005071A1">
              <w:t>0.11</w:t>
            </w:r>
          </w:p>
        </w:tc>
      </w:tr>
      <w:tr w:rsidR="00B33542" w:rsidRPr="005071A1" w14:paraId="7133EFA0" w14:textId="77777777" w:rsidTr="009B7AF5">
        <w:tc>
          <w:tcPr>
            <w:tcW w:w="3119" w:type="dxa"/>
            <w:shd w:val="clear" w:color="auto" w:fill="auto"/>
          </w:tcPr>
          <w:p w14:paraId="5B8EE326" w14:textId="77777777" w:rsidR="00B33542" w:rsidRPr="005071A1" w:rsidRDefault="00B33542" w:rsidP="009B7AF5">
            <w:pPr>
              <w:pStyle w:val="Tabletext"/>
            </w:pPr>
            <w:r w:rsidRPr="005071A1">
              <w:t>18</w:t>
            </w:r>
          </w:p>
        </w:tc>
        <w:tc>
          <w:tcPr>
            <w:tcW w:w="2693" w:type="dxa"/>
            <w:shd w:val="clear" w:color="auto" w:fill="auto"/>
          </w:tcPr>
          <w:p w14:paraId="13AD0F62" w14:textId="77777777" w:rsidR="00B33542" w:rsidRPr="005071A1" w:rsidRDefault="00B33542" w:rsidP="009B7AF5">
            <w:pPr>
              <w:pStyle w:val="Tabletext"/>
            </w:pPr>
            <w:r w:rsidRPr="005071A1">
              <w:t>0.11</w:t>
            </w:r>
          </w:p>
        </w:tc>
      </w:tr>
      <w:tr w:rsidR="00B33542" w:rsidRPr="005071A1" w14:paraId="5295BF14" w14:textId="77777777" w:rsidTr="009B7AF5">
        <w:tc>
          <w:tcPr>
            <w:tcW w:w="3119" w:type="dxa"/>
            <w:shd w:val="clear" w:color="auto" w:fill="auto"/>
          </w:tcPr>
          <w:p w14:paraId="707CC2D6" w14:textId="77777777" w:rsidR="00B33542" w:rsidRPr="005071A1" w:rsidRDefault="00B33542" w:rsidP="009B7AF5">
            <w:pPr>
              <w:pStyle w:val="Tabletext"/>
            </w:pPr>
            <w:r w:rsidRPr="005071A1">
              <w:t>19</w:t>
            </w:r>
          </w:p>
        </w:tc>
        <w:tc>
          <w:tcPr>
            <w:tcW w:w="2693" w:type="dxa"/>
            <w:shd w:val="clear" w:color="auto" w:fill="auto"/>
          </w:tcPr>
          <w:p w14:paraId="7D4B735D" w14:textId="77777777" w:rsidR="00B33542" w:rsidRPr="005071A1" w:rsidRDefault="00B33542" w:rsidP="009B7AF5">
            <w:pPr>
              <w:pStyle w:val="Tabletext"/>
            </w:pPr>
            <w:r w:rsidRPr="005071A1">
              <w:t>0.12</w:t>
            </w:r>
          </w:p>
        </w:tc>
      </w:tr>
      <w:tr w:rsidR="00B33542" w:rsidRPr="005071A1" w14:paraId="6B0EB654" w14:textId="77777777" w:rsidTr="009B7AF5">
        <w:tc>
          <w:tcPr>
            <w:tcW w:w="3119" w:type="dxa"/>
            <w:shd w:val="clear" w:color="auto" w:fill="auto"/>
          </w:tcPr>
          <w:p w14:paraId="55D04BB0" w14:textId="77777777" w:rsidR="00B33542" w:rsidRPr="005071A1" w:rsidRDefault="00B33542" w:rsidP="009B7AF5">
            <w:pPr>
              <w:pStyle w:val="Tabletext"/>
            </w:pPr>
            <w:r w:rsidRPr="005071A1">
              <w:t>20</w:t>
            </w:r>
          </w:p>
        </w:tc>
        <w:tc>
          <w:tcPr>
            <w:tcW w:w="2693" w:type="dxa"/>
            <w:shd w:val="clear" w:color="auto" w:fill="auto"/>
          </w:tcPr>
          <w:p w14:paraId="32F48E95" w14:textId="77777777" w:rsidR="00B33542" w:rsidRPr="005071A1" w:rsidRDefault="00B33542" w:rsidP="009B7AF5">
            <w:pPr>
              <w:pStyle w:val="Tabletext"/>
            </w:pPr>
            <w:r w:rsidRPr="005071A1">
              <w:t>0.13</w:t>
            </w:r>
          </w:p>
        </w:tc>
      </w:tr>
      <w:tr w:rsidR="00B33542" w:rsidRPr="005071A1" w14:paraId="43B7CA8A" w14:textId="77777777" w:rsidTr="009B7AF5">
        <w:tc>
          <w:tcPr>
            <w:tcW w:w="3119" w:type="dxa"/>
            <w:shd w:val="clear" w:color="auto" w:fill="auto"/>
          </w:tcPr>
          <w:p w14:paraId="2E75AA4E" w14:textId="77777777" w:rsidR="00B33542" w:rsidRPr="005071A1" w:rsidRDefault="00B33542" w:rsidP="009B7AF5">
            <w:pPr>
              <w:pStyle w:val="Tabletext"/>
            </w:pPr>
            <w:r w:rsidRPr="005071A1">
              <w:t>21</w:t>
            </w:r>
          </w:p>
        </w:tc>
        <w:tc>
          <w:tcPr>
            <w:tcW w:w="2693" w:type="dxa"/>
            <w:shd w:val="clear" w:color="auto" w:fill="auto"/>
          </w:tcPr>
          <w:p w14:paraId="73133A7D" w14:textId="77777777" w:rsidR="00B33542" w:rsidRPr="005071A1" w:rsidRDefault="00B33542" w:rsidP="009B7AF5">
            <w:pPr>
              <w:pStyle w:val="Tabletext"/>
            </w:pPr>
            <w:r w:rsidRPr="005071A1">
              <w:t>0.14</w:t>
            </w:r>
          </w:p>
        </w:tc>
      </w:tr>
      <w:tr w:rsidR="00B33542" w:rsidRPr="005071A1" w14:paraId="6B21E348" w14:textId="77777777" w:rsidTr="009B7AF5">
        <w:tc>
          <w:tcPr>
            <w:tcW w:w="3119" w:type="dxa"/>
            <w:shd w:val="clear" w:color="auto" w:fill="auto"/>
          </w:tcPr>
          <w:p w14:paraId="7CE1F728" w14:textId="77777777" w:rsidR="00B33542" w:rsidRPr="005071A1" w:rsidRDefault="00B33542" w:rsidP="009B7AF5">
            <w:pPr>
              <w:pStyle w:val="Tabletext"/>
            </w:pPr>
            <w:r w:rsidRPr="005071A1">
              <w:t>22</w:t>
            </w:r>
          </w:p>
        </w:tc>
        <w:tc>
          <w:tcPr>
            <w:tcW w:w="2693" w:type="dxa"/>
            <w:shd w:val="clear" w:color="auto" w:fill="auto"/>
          </w:tcPr>
          <w:p w14:paraId="03D3B05F" w14:textId="77777777" w:rsidR="00B33542" w:rsidRPr="005071A1" w:rsidRDefault="00B33542" w:rsidP="009B7AF5">
            <w:pPr>
              <w:pStyle w:val="Tabletext"/>
            </w:pPr>
            <w:r w:rsidRPr="005071A1">
              <w:t>0.15</w:t>
            </w:r>
          </w:p>
        </w:tc>
      </w:tr>
      <w:tr w:rsidR="00B33542" w:rsidRPr="005071A1" w14:paraId="6F7ECC34" w14:textId="77777777" w:rsidTr="009B7AF5">
        <w:tc>
          <w:tcPr>
            <w:tcW w:w="3119" w:type="dxa"/>
            <w:shd w:val="clear" w:color="auto" w:fill="auto"/>
          </w:tcPr>
          <w:p w14:paraId="0E1938E5" w14:textId="77777777" w:rsidR="00B33542" w:rsidRPr="005071A1" w:rsidRDefault="00B33542" w:rsidP="009B7AF5">
            <w:pPr>
              <w:pStyle w:val="Tabletext"/>
            </w:pPr>
            <w:r w:rsidRPr="005071A1">
              <w:t>23</w:t>
            </w:r>
          </w:p>
        </w:tc>
        <w:tc>
          <w:tcPr>
            <w:tcW w:w="2693" w:type="dxa"/>
            <w:shd w:val="clear" w:color="auto" w:fill="auto"/>
          </w:tcPr>
          <w:p w14:paraId="78A866DB" w14:textId="77777777" w:rsidR="00B33542" w:rsidRPr="005071A1" w:rsidRDefault="00B33542" w:rsidP="009B7AF5">
            <w:pPr>
              <w:pStyle w:val="Tabletext"/>
            </w:pPr>
            <w:r w:rsidRPr="005071A1">
              <w:t>0.16</w:t>
            </w:r>
          </w:p>
        </w:tc>
      </w:tr>
      <w:tr w:rsidR="00B33542" w:rsidRPr="005071A1" w14:paraId="33F2E137" w14:textId="77777777" w:rsidTr="009B7AF5">
        <w:tc>
          <w:tcPr>
            <w:tcW w:w="3119" w:type="dxa"/>
            <w:shd w:val="clear" w:color="auto" w:fill="auto"/>
          </w:tcPr>
          <w:p w14:paraId="6E6CCF6A" w14:textId="77777777" w:rsidR="00B33542" w:rsidRPr="005071A1" w:rsidRDefault="00B33542" w:rsidP="009B7AF5">
            <w:pPr>
              <w:pStyle w:val="Tabletext"/>
            </w:pPr>
            <w:r w:rsidRPr="005071A1">
              <w:t>24</w:t>
            </w:r>
          </w:p>
        </w:tc>
        <w:tc>
          <w:tcPr>
            <w:tcW w:w="2693" w:type="dxa"/>
            <w:shd w:val="clear" w:color="auto" w:fill="auto"/>
          </w:tcPr>
          <w:p w14:paraId="5F5DFE55" w14:textId="77777777" w:rsidR="00B33542" w:rsidRPr="005071A1" w:rsidRDefault="00B33542" w:rsidP="009B7AF5">
            <w:pPr>
              <w:pStyle w:val="Tabletext"/>
            </w:pPr>
            <w:r w:rsidRPr="005071A1">
              <w:t>0.17</w:t>
            </w:r>
          </w:p>
        </w:tc>
      </w:tr>
      <w:tr w:rsidR="00B33542" w:rsidRPr="005071A1" w14:paraId="67E6175C" w14:textId="77777777" w:rsidTr="009B7AF5">
        <w:tc>
          <w:tcPr>
            <w:tcW w:w="3119" w:type="dxa"/>
            <w:shd w:val="clear" w:color="auto" w:fill="auto"/>
          </w:tcPr>
          <w:p w14:paraId="07B6C8C3" w14:textId="77777777" w:rsidR="00B33542" w:rsidRPr="005071A1" w:rsidRDefault="00B33542" w:rsidP="009B7AF5">
            <w:pPr>
              <w:pStyle w:val="Tabletext"/>
            </w:pPr>
            <w:r w:rsidRPr="005071A1">
              <w:t>25</w:t>
            </w:r>
          </w:p>
        </w:tc>
        <w:tc>
          <w:tcPr>
            <w:tcW w:w="2693" w:type="dxa"/>
            <w:shd w:val="clear" w:color="auto" w:fill="auto"/>
          </w:tcPr>
          <w:p w14:paraId="0A4082C9" w14:textId="77777777" w:rsidR="00B33542" w:rsidRPr="005071A1" w:rsidRDefault="00B33542" w:rsidP="009B7AF5">
            <w:pPr>
              <w:pStyle w:val="Tabletext"/>
            </w:pPr>
            <w:r w:rsidRPr="005071A1">
              <w:t>0.18</w:t>
            </w:r>
          </w:p>
        </w:tc>
      </w:tr>
      <w:tr w:rsidR="00B33542" w:rsidRPr="005071A1" w14:paraId="36551F7C" w14:textId="77777777" w:rsidTr="009B7AF5">
        <w:tc>
          <w:tcPr>
            <w:tcW w:w="3119" w:type="dxa"/>
            <w:shd w:val="clear" w:color="auto" w:fill="auto"/>
          </w:tcPr>
          <w:p w14:paraId="011B030F" w14:textId="77777777" w:rsidR="00B33542" w:rsidRPr="005071A1" w:rsidRDefault="00B33542" w:rsidP="009B7AF5">
            <w:pPr>
              <w:pStyle w:val="Tabletext"/>
            </w:pPr>
            <w:r w:rsidRPr="005071A1">
              <w:t>26</w:t>
            </w:r>
          </w:p>
        </w:tc>
        <w:tc>
          <w:tcPr>
            <w:tcW w:w="2693" w:type="dxa"/>
            <w:shd w:val="clear" w:color="auto" w:fill="auto"/>
          </w:tcPr>
          <w:p w14:paraId="045119BD" w14:textId="77777777" w:rsidR="00B33542" w:rsidRPr="005071A1" w:rsidRDefault="00B33542" w:rsidP="009B7AF5">
            <w:pPr>
              <w:pStyle w:val="Tabletext"/>
            </w:pPr>
            <w:r w:rsidRPr="005071A1">
              <w:t>0.19</w:t>
            </w:r>
          </w:p>
        </w:tc>
      </w:tr>
      <w:tr w:rsidR="00B33542" w:rsidRPr="005071A1" w14:paraId="3C8244AE" w14:textId="77777777" w:rsidTr="009B7AF5">
        <w:tc>
          <w:tcPr>
            <w:tcW w:w="3119" w:type="dxa"/>
            <w:shd w:val="clear" w:color="auto" w:fill="auto"/>
          </w:tcPr>
          <w:p w14:paraId="7AA5A361" w14:textId="77777777" w:rsidR="00B33542" w:rsidRPr="005071A1" w:rsidRDefault="00B33542" w:rsidP="009B7AF5">
            <w:pPr>
              <w:pStyle w:val="Tabletext"/>
            </w:pPr>
            <w:r w:rsidRPr="005071A1">
              <w:t>27</w:t>
            </w:r>
          </w:p>
        </w:tc>
        <w:tc>
          <w:tcPr>
            <w:tcW w:w="2693" w:type="dxa"/>
            <w:shd w:val="clear" w:color="auto" w:fill="auto"/>
          </w:tcPr>
          <w:p w14:paraId="3F79BE31" w14:textId="77777777" w:rsidR="00B33542" w:rsidRPr="005071A1" w:rsidRDefault="00B33542" w:rsidP="009B7AF5">
            <w:pPr>
              <w:pStyle w:val="Tabletext"/>
            </w:pPr>
            <w:r w:rsidRPr="005071A1">
              <w:t>0.20</w:t>
            </w:r>
          </w:p>
        </w:tc>
      </w:tr>
      <w:tr w:rsidR="00B33542" w:rsidRPr="005071A1" w14:paraId="0A3AF52A" w14:textId="77777777" w:rsidTr="009B7AF5">
        <w:tc>
          <w:tcPr>
            <w:tcW w:w="3119" w:type="dxa"/>
            <w:shd w:val="clear" w:color="auto" w:fill="auto"/>
          </w:tcPr>
          <w:p w14:paraId="6C9189BF" w14:textId="77777777" w:rsidR="00B33542" w:rsidRPr="005071A1" w:rsidRDefault="00B33542" w:rsidP="009B7AF5">
            <w:pPr>
              <w:pStyle w:val="Tabletext"/>
            </w:pPr>
            <w:r w:rsidRPr="005071A1">
              <w:t>28</w:t>
            </w:r>
          </w:p>
        </w:tc>
        <w:tc>
          <w:tcPr>
            <w:tcW w:w="2693" w:type="dxa"/>
            <w:shd w:val="clear" w:color="auto" w:fill="auto"/>
          </w:tcPr>
          <w:p w14:paraId="265E499E" w14:textId="77777777" w:rsidR="00B33542" w:rsidRPr="005071A1" w:rsidRDefault="00B33542" w:rsidP="009B7AF5">
            <w:pPr>
              <w:pStyle w:val="Tabletext"/>
            </w:pPr>
            <w:r w:rsidRPr="005071A1">
              <w:t>0.21</w:t>
            </w:r>
          </w:p>
        </w:tc>
      </w:tr>
      <w:tr w:rsidR="00B33542" w:rsidRPr="005071A1" w14:paraId="255AA257" w14:textId="77777777" w:rsidTr="009B7AF5">
        <w:tc>
          <w:tcPr>
            <w:tcW w:w="3119" w:type="dxa"/>
            <w:shd w:val="clear" w:color="auto" w:fill="auto"/>
          </w:tcPr>
          <w:p w14:paraId="12DBF9AB" w14:textId="77777777" w:rsidR="00B33542" w:rsidRPr="005071A1" w:rsidRDefault="00B33542" w:rsidP="009B7AF5">
            <w:pPr>
              <w:pStyle w:val="Tabletext"/>
            </w:pPr>
            <w:r w:rsidRPr="005071A1">
              <w:t>29</w:t>
            </w:r>
          </w:p>
        </w:tc>
        <w:tc>
          <w:tcPr>
            <w:tcW w:w="2693" w:type="dxa"/>
            <w:shd w:val="clear" w:color="auto" w:fill="auto"/>
          </w:tcPr>
          <w:p w14:paraId="1C05CB72" w14:textId="77777777" w:rsidR="00B33542" w:rsidRPr="005071A1" w:rsidRDefault="00B33542" w:rsidP="009B7AF5">
            <w:pPr>
              <w:pStyle w:val="Tabletext"/>
            </w:pPr>
            <w:r w:rsidRPr="005071A1">
              <w:t>0.22</w:t>
            </w:r>
          </w:p>
        </w:tc>
      </w:tr>
      <w:tr w:rsidR="00B33542" w:rsidRPr="005071A1" w14:paraId="08429AA2" w14:textId="77777777" w:rsidTr="009B7AF5">
        <w:tc>
          <w:tcPr>
            <w:tcW w:w="3119" w:type="dxa"/>
            <w:shd w:val="clear" w:color="auto" w:fill="auto"/>
          </w:tcPr>
          <w:p w14:paraId="2112B9DA" w14:textId="77777777" w:rsidR="00B33542" w:rsidRPr="005071A1" w:rsidRDefault="00B33542" w:rsidP="009B7AF5">
            <w:pPr>
              <w:pStyle w:val="Tabletext"/>
            </w:pPr>
            <w:r w:rsidRPr="005071A1">
              <w:t>30</w:t>
            </w:r>
          </w:p>
        </w:tc>
        <w:tc>
          <w:tcPr>
            <w:tcW w:w="2693" w:type="dxa"/>
            <w:shd w:val="clear" w:color="auto" w:fill="auto"/>
          </w:tcPr>
          <w:p w14:paraId="6670964B" w14:textId="77777777" w:rsidR="00B33542" w:rsidRPr="005071A1" w:rsidRDefault="00B33542" w:rsidP="009B7AF5">
            <w:pPr>
              <w:pStyle w:val="Tabletext"/>
            </w:pPr>
            <w:r w:rsidRPr="005071A1">
              <w:t>0.24</w:t>
            </w:r>
          </w:p>
        </w:tc>
      </w:tr>
      <w:tr w:rsidR="00B33542" w:rsidRPr="005071A1" w14:paraId="6124841C" w14:textId="77777777" w:rsidTr="009B7AF5">
        <w:tc>
          <w:tcPr>
            <w:tcW w:w="3119" w:type="dxa"/>
            <w:shd w:val="clear" w:color="auto" w:fill="auto"/>
          </w:tcPr>
          <w:p w14:paraId="7E32F517" w14:textId="77777777" w:rsidR="00B33542" w:rsidRPr="005071A1" w:rsidRDefault="00B33542" w:rsidP="009B7AF5">
            <w:pPr>
              <w:pStyle w:val="Tabletext"/>
            </w:pPr>
            <w:r w:rsidRPr="005071A1">
              <w:t>31</w:t>
            </w:r>
          </w:p>
        </w:tc>
        <w:tc>
          <w:tcPr>
            <w:tcW w:w="2693" w:type="dxa"/>
            <w:shd w:val="clear" w:color="auto" w:fill="auto"/>
          </w:tcPr>
          <w:p w14:paraId="03F1750F" w14:textId="77777777" w:rsidR="00B33542" w:rsidRPr="005071A1" w:rsidRDefault="00B33542" w:rsidP="009B7AF5">
            <w:pPr>
              <w:pStyle w:val="Tabletext"/>
            </w:pPr>
            <w:r w:rsidRPr="005071A1">
              <w:t>0.25</w:t>
            </w:r>
          </w:p>
        </w:tc>
      </w:tr>
      <w:tr w:rsidR="00B33542" w:rsidRPr="005071A1" w14:paraId="272F5307" w14:textId="77777777" w:rsidTr="009B7AF5">
        <w:tc>
          <w:tcPr>
            <w:tcW w:w="3119" w:type="dxa"/>
            <w:shd w:val="clear" w:color="auto" w:fill="auto"/>
          </w:tcPr>
          <w:p w14:paraId="50ED00D6" w14:textId="77777777" w:rsidR="00B33542" w:rsidRPr="005071A1" w:rsidRDefault="00B33542" w:rsidP="009B7AF5">
            <w:pPr>
              <w:pStyle w:val="Tabletext"/>
            </w:pPr>
            <w:r w:rsidRPr="005071A1">
              <w:lastRenderedPageBreak/>
              <w:t>32</w:t>
            </w:r>
          </w:p>
        </w:tc>
        <w:tc>
          <w:tcPr>
            <w:tcW w:w="2693" w:type="dxa"/>
            <w:shd w:val="clear" w:color="auto" w:fill="auto"/>
          </w:tcPr>
          <w:p w14:paraId="2F45E357" w14:textId="77777777" w:rsidR="00B33542" w:rsidRPr="005071A1" w:rsidRDefault="00B33542" w:rsidP="009B7AF5">
            <w:pPr>
              <w:pStyle w:val="Tabletext"/>
            </w:pPr>
            <w:r w:rsidRPr="005071A1">
              <w:t>0.27</w:t>
            </w:r>
          </w:p>
        </w:tc>
      </w:tr>
      <w:tr w:rsidR="00B33542" w:rsidRPr="005071A1" w14:paraId="36360BC1" w14:textId="77777777" w:rsidTr="009B7AF5">
        <w:tc>
          <w:tcPr>
            <w:tcW w:w="3119" w:type="dxa"/>
            <w:shd w:val="clear" w:color="auto" w:fill="auto"/>
          </w:tcPr>
          <w:p w14:paraId="5D9105E3" w14:textId="77777777" w:rsidR="00B33542" w:rsidRPr="005071A1" w:rsidRDefault="00B33542" w:rsidP="009B7AF5">
            <w:pPr>
              <w:pStyle w:val="Tabletext"/>
            </w:pPr>
            <w:r w:rsidRPr="005071A1">
              <w:t>33</w:t>
            </w:r>
          </w:p>
        </w:tc>
        <w:tc>
          <w:tcPr>
            <w:tcW w:w="2693" w:type="dxa"/>
            <w:shd w:val="clear" w:color="auto" w:fill="auto"/>
          </w:tcPr>
          <w:p w14:paraId="1F9BC735" w14:textId="77777777" w:rsidR="00B33542" w:rsidRPr="005071A1" w:rsidRDefault="00B33542" w:rsidP="009B7AF5">
            <w:pPr>
              <w:pStyle w:val="Tabletext"/>
            </w:pPr>
            <w:r w:rsidRPr="005071A1">
              <w:t>0.29</w:t>
            </w:r>
          </w:p>
        </w:tc>
      </w:tr>
      <w:tr w:rsidR="00B33542" w:rsidRPr="005071A1" w14:paraId="35232E17" w14:textId="77777777" w:rsidTr="009B7AF5">
        <w:tc>
          <w:tcPr>
            <w:tcW w:w="3119" w:type="dxa"/>
            <w:shd w:val="clear" w:color="auto" w:fill="auto"/>
          </w:tcPr>
          <w:p w14:paraId="526DBA3D" w14:textId="77777777" w:rsidR="00B33542" w:rsidRPr="005071A1" w:rsidRDefault="00B33542" w:rsidP="009B7AF5">
            <w:pPr>
              <w:pStyle w:val="Tabletext"/>
            </w:pPr>
            <w:r w:rsidRPr="005071A1">
              <w:t>34</w:t>
            </w:r>
          </w:p>
        </w:tc>
        <w:tc>
          <w:tcPr>
            <w:tcW w:w="2693" w:type="dxa"/>
            <w:shd w:val="clear" w:color="auto" w:fill="auto"/>
          </w:tcPr>
          <w:p w14:paraId="568E88CE" w14:textId="77777777" w:rsidR="00B33542" w:rsidRPr="005071A1" w:rsidRDefault="00B33542" w:rsidP="009B7AF5">
            <w:pPr>
              <w:pStyle w:val="Tabletext"/>
            </w:pPr>
            <w:r w:rsidRPr="005071A1">
              <w:t>0.31</w:t>
            </w:r>
          </w:p>
        </w:tc>
      </w:tr>
      <w:tr w:rsidR="00B33542" w:rsidRPr="005071A1" w14:paraId="2A571B47" w14:textId="77777777" w:rsidTr="009B7AF5">
        <w:tc>
          <w:tcPr>
            <w:tcW w:w="3119" w:type="dxa"/>
            <w:shd w:val="clear" w:color="auto" w:fill="auto"/>
          </w:tcPr>
          <w:p w14:paraId="21ABE75F" w14:textId="77777777" w:rsidR="00B33542" w:rsidRPr="005071A1" w:rsidRDefault="00B33542" w:rsidP="009B7AF5">
            <w:pPr>
              <w:pStyle w:val="Tabletext"/>
            </w:pPr>
            <w:r w:rsidRPr="005071A1">
              <w:t>35</w:t>
            </w:r>
          </w:p>
        </w:tc>
        <w:tc>
          <w:tcPr>
            <w:tcW w:w="2693" w:type="dxa"/>
            <w:shd w:val="clear" w:color="auto" w:fill="auto"/>
          </w:tcPr>
          <w:p w14:paraId="5AD7F822" w14:textId="77777777" w:rsidR="00B33542" w:rsidRPr="005071A1" w:rsidRDefault="00B33542" w:rsidP="009B7AF5">
            <w:pPr>
              <w:pStyle w:val="Tabletext"/>
            </w:pPr>
            <w:r w:rsidRPr="005071A1">
              <w:t>0.33</w:t>
            </w:r>
          </w:p>
        </w:tc>
      </w:tr>
      <w:tr w:rsidR="00B33542" w:rsidRPr="005071A1" w14:paraId="4C3124CA" w14:textId="77777777" w:rsidTr="009B7AF5">
        <w:tc>
          <w:tcPr>
            <w:tcW w:w="3119" w:type="dxa"/>
            <w:shd w:val="clear" w:color="auto" w:fill="auto"/>
          </w:tcPr>
          <w:p w14:paraId="6ABE2DFC" w14:textId="77777777" w:rsidR="00B33542" w:rsidRPr="005071A1" w:rsidRDefault="00B33542" w:rsidP="009B7AF5">
            <w:pPr>
              <w:pStyle w:val="Tabletext"/>
            </w:pPr>
            <w:r w:rsidRPr="005071A1">
              <w:t>36</w:t>
            </w:r>
          </w:p>
        </w:tc>
        <w:tc>
          <w:tcPr>
            <w:tcW w:w="2693" w:type="dxa"/>
            <w:shd w:val="clear" w:color="auto" w:fill="auto"/>
          </w:tcPr>
          <w:p w14:paraId="1CF7096C" w14:textId="77777777" w:rsidR="00B33542" w:rsidRPr="005071A1" w:rsidRDefault="00B33542" w:rsidP="009B7AF5">
            <w:pPr>
              <w:pStyle w:val="Tabletext"/>
            </w:pPr>
            <w:r w:rsidRPr="005071A1">
              <w:t>0.35</w:t>
            </w:r>
          </w:p>
        </w:tc>
      </w:tr>
      <w:tr w:rsidR="00B33542" w:rsidRPr="005071A1" w14:paraId="7C8AFA3E" w14:textId="77777777" w:rsidTr="009B7AF5">
        <w:tc>
          <w:tcPr>
            <w:tcW w:w="3119" w:type="dxa"/>
            <w:shd w:val="clear" w:color="auto" w:fill="auto"/>
          </w:tcPr>
          <w:p w14:paraId="145D27D6" w14:textId="77777777" w:rsidR="00B33542" w:rsidRPr="005071A1" w:rsidRDefault="00B33542" w:rsidP="009B7AF5">
            <w:pPr>
              <w:pStyle w:val="Tabletext"/>
            </w:pPr>
            <w:r w:rsidRPr="005071A1">
              <w:t>37</w:t>
            </w:r>
          </w:p>
        </w:tc>
        <w:tc>
          <w:tcPr>
            <w:tcW w:w="2693" w:type="dxa"/>
            <w:shd w:val="clear" w:color="auto" w:fill="auto"/>
          </w:tcPr>
          <w:p w14:paraId="54CDF709" w14:textId="77777777" w:rsidR="00B33542" w:rsidRPr="005071A1" w:rsidRDefault="00B33542" w:rsidP="009B7AF5">
            <w:pPr>
              <w:pStyle w:val="Tabletext"/>
            </w:pPr>
            <w:r w:rsidRPr="005071A1">
              <w:t>0.37</w:t>
            </w:r>
          </w:p>
        </w:tc>
      </w:tr>
      <w:tr w:rsidR="00B33542" w:rsidRPr="005071A1" w14:paraId="76488311" w14:textId="77777777" w:rsidTr="009B7AF5">
        <w:tc>
          <w:tcPr>
            <w:tcW w:w="3119" w:type="dxa"/>
            <w:shd w:val="clear" w:color="auto" w:fill="auto"/>
          </w:tcPr>
          <w:p w14:paraId="7AAF24E4" w14:textId="77777777" w:rsidR="00B33542" w:rsidRPr="005071A1" w:rsidRDefault="00B33542" w:rsidP="009B7AF5">
            <w:pPr>
              <w:pStyle w:val="Tabletext"/>
            </w:pPr>
            <w:r w:rsidRPr="005071A1">
              <w:t>38</w:t>
            </w:r>
          </w:p>
        </w:tc>
        <w:tc>
          <w:tcPr>
            <w:tcW w:w="2693" w:type="dxa"/>
            <w:shd w:val="clear" w:color="auto" w:fill="auto"/>
          </w:tcPr>
          <w:p w14:paraId="2C272F26" w14:textId="77777777" w:rsidR="00B33542" w:rsidRPr="005071A1" w:rsidRDefault="00B33542" w:rsidP="009B7AF5">
            <w:pPr>
              <w:pStyle w:val="Tabletext"/>
            </w:pPr>
            <w:r w:rsidRPr="005071A1">
              <w:t>0.40</w:t>
            </w:r>
          </w:p>
        </w:tc>
      </w:tr>
      <w:tr w:rsidR="00B33542" w:rsidRPr="005071A1" w14:paraId="21DAB1F3" w14:textId="77777777" w:rsidTr="009B7AF5">
        <w:tc>
          <w:tcPr>
            <w:tcW w:w="3119" w:type="dxa"/>
            <w:shd w:val="clear" w:color="auto" w:fill="auto"/>
          </w:tcPr>
          <w:p w14:paraId="56D92134" w14:textId="77777777" w:rsidR="00B33542" w:rsidRPr="005071A1" w:rsidRDefault="00B33542" w:rsidP="009B7AF5">
            <w:pPr>
              <w:pStyle w:val="Tabletext"/>
            </w:pPr>
            <w:r w:rsidRPr="005071A1">
              <w:t>39</w:t>
            </w:r>
          </w:p>
        </w:tc>
        <w:tc>
          <w:tcPr>
            <w:tcW w:w="2693" w:type="dxa"/>
            <w:shd w:val="clear" w:color="auto" w:fill="auto"/>
          </w:tcPr>
          <w:p w14:paraId="62DBB5CF" w14:textId="77777777" w:rsidR="00B33542" w:rsidRPr="005071A1" w:rsidRDefault="00B33542" w:rsidP="009B7AF5">
            <w:pPr>
              <w:pStyle w:val="Tabletext"/>
            </w:pPr>
            <w:r w:rsidRPr="005071A1">
              <w:t>0.43</w:t>
            </w:r>
          </w:p>
        </w:tc>
      </w:tr>
      <w:tr w:rsidR="00B33542" w:rsidRPr="005071A1" w14:paraId="40F70C42" w14:textId="77777777" w:rsidTr="009B7AF5">
        <w:tc>
          <w:tcPr>
            <w:tcW w:w="3119" w:type="dxa"/>
            <w:shd w:val="clear" w:color="auto" w:fill="auto"/>
          </w:tcPr>
          <w:p w14:paraId="5DE97265" w14:textId="77777777" w:rsidR="00B33542" w:rsidRPr="005071A1" w:rsidRDefault="00B33542" w:rsidP="009B7AF5">
            <w:pPr>
              <w:pStyle w:val="Tabletext"/>
            </w:pPr>
            <w:r w:rsidRPr="005071A1">
              <w:t>40</w:t>
            </w:r>
          </w:p>
        </w:tc>
        <w:tc>
          <w:tcPr>
            <w:tcW w:w="2693" w:type="dxa"/>
            <w:shd w:val="clear" w:color="auto" w:fill="auto"/>
          </w:tcPr>
          <w:p w14:paraId="5FD67298" w14:textId="77777777" w:rsidR="00B33542" w:rsidRPr="005071A1" w:rsidRDefault="00B33542" w:rsidP="009B7AF5">
            <w:pPr>
              <w:pStyle w:val="Tabletext"/>
            </w:pPr>
            <w:r w:rsidRPr="005071A1">
              <w:t>0.46</w:t>
            </w:r>
          </w:p>
        </w:tc>
      </w:tr>
      <w:tr w:rsidR="00B33542" w:rsidRPr="005071A1" w14:paraId="21C62E24" w14:textId="77777777" w:rsidTr="009B7AF5">
        <w:tc>
          <w:tcPr>
            <w:tcW w:w="3119" w:type="dxa"/>
            <w:shd w:val="clear" w:color="auto" w:fill="auto"/>
          </w:tcPr>
          <w:p w14:paraId="609E0E0D" w14:textId="77777777" w:rsidR="00B33542" w:rsidRPr="005071A1" w:rsidRDefault="00B33542" w:rsidP="009B7AF5">
            <w:pPr>
              <w:pStyle w:val="Tabletext"/>
            </w:pPr>
            <w:r w:rsidRPr="005071A1">
              <w:t>41</w:t>
            </w:r>
          </w:p>
        </w:tc>
        <w:tc>
          <w:tcPr>
            <w:tcW w:w="2693" w:type="dxa"/>
            <w:shd w:val="clear" w:color="auto" w:fill="auto"/>
          </w:tcPr>
          <w:p w14:paraId="2A8DECE7" w14:textId="77777777" w:rsidR="00B33542" w:rsidRPr="005071A1" w:rsidRDefault="00B33542" w:rsidP="009B7AF5">
            <w:pPr>
              <w:pStyle w:val="Tabletext"/>
            </w:pPr>
            <w:r w:rsidRPr="005071A1">
              <w:t>0.50</w:t>
            </w:r>
          </w:p>
        </w:tc>
      </w:tr>
      <w:tr w:rsidR="00B33542" w:rsidRPr="005071A1" w14:paraId="21064F2F" w14:textId="77777777" w:rsidTr="009B7AF5">
        <w:tc>
          <w:tcPr>
            <w:tcW w:w="3119" w:type="dxa"/>
            <w:shd w:val="clear" w:color="auto" w:fill="auto"/>
          </w:tcPr>
          <w:p w14:paraId="4AE4D4D9" w14:textId="77777777" w:rsidR="00B33542" w:rsidRPr="005071A1" w:rsidRDefault="00B33542" w:rsidP="009B7AF5">
            <w:pPr>
              <w:pStyle w:val="Tabletext"/>
            </w:pPr>
            <w:r w:rsidRPr="005071A1">
              <w:t>42</w:t>
            </w:r>
          </w:p>
        </w:tc>
        <w:tc>
          <w:tcPr>
            <w:tcW w:w="2693" w:type="dxa"/>
            <w:shd w:val="clear" w:color="auto" w:fill="auto"/>
          </w:tcPr>
          <w:p w14:paraId="47C66465" w14:textId="77777777" w:rsidR="00B33542" w:rsidRPr="005071A1" w:rsidRDefault="00B33542" w:rsidP="009B7AF5">
            <w:pPr>
              <w:pStyle w:val="Tabletext"/>
            </w:pPr>
            <w:r w:rsidRPr="005071A1">
              <w:t>0.54</w:t>
            </w:r>
          </w:p>
        </w:tc>
      </w:tr>
      <w:tr w:rsidR="00B33542" w:rsidRPr="005071A1" w14:paraId="6EF16A9B" w14:textId="77777777" w:rsidTr="009B7AF5">
        <w:tc>
          <w:tcPr>
            <w:tcW w:w="3119" w:type="dxa"/>
            <w:shd w:val="clear" w:color="auto" w:fill="auto"/>
          </w:tcPr>
          <w:p w14:paraId="0A188569" w14:textId="77777777" w:rsidR="00B33542" w:rsidRPr="005071A1" w:rsidRDefault="00B33542" w:rsidP="009B7AF5">
            <w:pPr>
              <w:pStyle w:val="Tabletext"/>
            </w:pPr>
            <w:r w:rsidRPr="005071A1">
              <w:t>43</w:t>
            </w:r>
          </w:p>
        </w:tc>
        <w:tc>
          <w:tcPr>
            <w:tcW w:w="2693" w:type="dxa"/>
            <w:shd w:val="clear" w:color="auto" w:fill="auto"/>
          </w:tcPr>
          <w:p w14:paraId="69C2BD9F" w14:textId="77777777" w:rsidR="00B33542" w:rsidRPr="005071A1" w:rsidRDefault="00B33542" w:rsidP="009B7AF5">
            <w:pPr>
              <w:pStyle w:val="Tabletext"/>
            </w:pPr>
            <w:r w:rsidRPr="005071A1">
              <w:t>0.58</w:t>
            </w:r>
          </w:p>
        </w:tc>
      </w:tr>
      <w:tr w:rsidR="00B33542" w:rsidRPr="005071A1" w14:paraId="1614C29F" w14:textId="77777777" w:rsidTr="009B7AF5">
        <w:tc>
          <w:tcPr>
            <w:tcW w:w="3119" w:type="dxa"/>
            <w:shd w:val="clear" w:color="auto" w:fill="auto"/>
          </w:tcPr>
          <w:p w14:paraId="3E93A116" w14:textId="77777777" w:rsidR="00B33542" w:rsidRPr="005071A1" w:rsidRDefault="00B33542" w:rsidP="009B7AF5">
            <w:pPr>
              <w:pStyle w:val="Tabletext"/>
            </w:pPr>
            <w:r w:rsidRPr="005071A1">
              <w:t>44</w:t>
            </w:r>
          </w:p>
        </w:tc>
        <w:tc>
          <w:tcPr>
            <w:tcW w:w="2693" w:type="dxa"/>
            <w:shd w:val="clear" w:color="auto" w:fill="auto"/>
          </w:tcPr>
          <w:p w14:paraId="4097AEAC" w14:textId="77777777" w:rsidR="00B33542" w:rsidRPr="005071A1" w:rsidRDefault="00B33542" w:rsidP="009B7AF5">
            <w:pPr>
              <w:pStyle w:val="Tabletext"/>
            </w:pPr>
            <w:r w:rsidRPr="005071A1">
              <w:t>0.63</w:t>
            </w:r>
          </w:p>
        </w:tc>
      </w:tr>
      <w:tr w:rsidR="00B33542" w:rsidRPr="005071A1" w14:paraId="3308DDE5" w14:textId="77777777" w:rsidTr="009B7AF5">
        <w:tc>
          <w:tcPr>
            <w:tcW w:w="3119" w:type="dxa"/>
            <w:shd w:val="clear" w:color="auto" w:fill="auto"/>
          </w:tcPr>
          <w:p w14:paraId="357B01D6" w14:textId="77777777" w:rsidR="00B33542" w:rsidRPr="005071A1" w:rsidRDefault="00B33542" w:rsidP="009B7AF5">
            <w:pPr>
              <w:pStyle w:val="Tabletext"/>
            </w:pPr>
            <w:r w:rsidRPr="005071A1">
              <w:t>45</w:t>
            </w:r>
          </w:p>
        </w:tc>
        <w:tc>
          <w:tcPr>
            <w:tcW w:w="2693" w:type="dxa"/>
            <w:shd w:val="clear" w:color="auto" w:fill="auto"/>
          </w:tcPr>
          <w:p w14:paraId="4B0251CC" w14:textId="77777777" w:rsidR="00B33542" w:rsidRPr="005071A1" w:rsidRDefault="00B33542" w:rsidP="009B7AF5">
            <w:pPr>
              <w:pStyle w:val="Tabletext"/>
            </w:pPr>
            <w:r w:rsidRPr="005071A1">
              <w:t>0.69</w:t>
            </w:r>
          </w:p>
        </w:tc>
      </w:tr>
      <w:tr w:rsidR="00B33542" w:rsidRPr="005071A1" w14:paraId="4CCCFDCE" w14:textId="77777777" w:rsidTr="009B7AF5">
        <w:tc>
          <w:tcPr>
            <w:tcW w:w="3119" w:type="dxa"/>
            <w:shd w:val="clear" w:color="auto" w:fill="auto"/>
          </w:tcPr>
          <w:p w14:paraId="76356B69" w14:textId="77777777" w:rsidR="00B33542" w:rsidRPr="005071A1" w:rsidRDefault="00B33542" w:rsidP="009B7AF5">
            <w:pPr>
              <w:pStyle w:val="Tabletext"/>
            </w:pPr>
            <w:r w:rsidRPr="005071A1">
              <w:t>46</w:t>
            </w:r>
          </w:p>
        </w:tc>
        <w:tc>
          <w:tcPr>
            <w:tcW w:w="2693" w:type="dxa"/>
            <w:shd w:val="clear" w:color="auto" w:fill="auto"/>
          </w:tcPr>
          <w:p w14:paraId="7A669773" w14:textId="77777777" w:rsidR="00B33542" w:rsidRPr="005071A1" w:rsidRDefault="00B33542" w:rsidP="009B7AF5">
            <w:pPr>
              <w:pStyle w:val="Tabletext"/>
            </w:pPr>
            <w:r w:rsidRPr="005071A1">
              <w:t>0.75</w:t>
            </w:r>
          </w:p>
        </w:tc>
      </w:tr>
      <w:tr w:rsidR="00B33542" w:rsidRPr="005071A1" w14:paraId="5F20EC69" w14:textId="77777777" w:rsidTr="009B7AF5">
        <w:tc>
          <w:tcPr>
            <w:tcW w:w="3119" w:type="dxa"/>
            <w:shd w:val="clear" w:color="auto" w:fill="auto"/>
          </w:tcPr>
          <w:p w14:paraId="6F319862" w14:textId="77777777" w:rsidR="00B33542" w:rsidRPr="005071A1" w:rsidRDefault="00B33542" w:rsidP="009B7AF5">
            <w:pPr>
              <w:pStyle w:val="Tabletext"/>
            </w:pPr>
            <w:r w:rsidRPr="005071A1">
              <w:t>47</w:t>
            </w:r>
          </w:p>
        </w:tc>
        <w:tc>
          <w:tcPr>
            <w:tcW w:w="2693" w:type="dxa"/>
            <w:shd w:val="clear" w:color="auto" w:fill="auto"/>
          </w:tcPr>
          <w:p w14:paraId="5CAFCB8E" w14:textId="77777777" w:rsidR="00B33542" w:rsidRPr="005071A1" w:rsidRDefault="00B33542" w:rsidP="009B7AF5">
            <w:pPr>
              <w:pStyle w:val="Tabletext"/>
            </w:pPr>
            <w:r w:rsidRPr="005071A1">
              <w:t>0.83</w:t>
            </w:r>
          </w:p>
        </w:tc>
      </w:tr>
      <w:tr w:rsidR="00B33542" w:rsidRPr="005071A1" w14:paraId="06AFE62D" w14:textId="77777777" w:rsidTr="009B7AF5">
        <w:tc>
          <w:tcPr>
            <w:tcW w:w="3119" w:type="dxa"/>
            <w:shd w:val="clear" w:color="auto" w:fill="auto"/>
          </w:tcPr>
          <w:p w14:paraId="0D1A7295" w14:textId="77777777" w:rsidR="00B33542" w:rsidRPr="005071A1" w:rsidRDefault="00B33542" w:rsidP="009B7AF5">
            <w:pPr>
              <w:pStyle w:val="Tabletext"/>
            </w:pPr>
            <w:r w:rsidRPr="005071A1">
              <w:t>48</w:t>
            </w:r>
          </w:p>
        </w:tc>
        <w:tc>
          <w:tcPr>
            <w:tcW w:w="2693" w:type="dxa"/>
            <w:shd w:val="clear" w:color="auto" w:fill="auto"/>
          </w:tcPr>
          <w:p w14:paraId="4AAA69F6" w14:textId="77777777" w:rsidR="00B33542" w:rsidRPr="005071A1" w:rsidRDefault="00B33542" w:rsidP="009B7AF5">
            <w:pPr>
              <w:pStyle w:val="Tabletext"/>
            </w:pPr>
            <w:r w:rsidRPr="005071A1">
              <w:t>0.91</w:t>
            </w:r>
          </w:p>
        </w:tc>
      </w:tr>
      <w:tr w:rsidR="00B33542" w:rsidRPr="005071A1" w14:paraId="0DFA9B9B" w14:textId="77777777" w:rsidTr="009B7AF5">
        <w:tc>
          <w:tcPr>
            <w:tcW w:w="3119" w:type="dxa"/>
            <w:shd w:val="clear" w:color="auto" w:fill="auto"/>
          </w:tcPr>
          <w:p w14:paraId="251DFDBA" w14:textId="77777777" w:rsidR="00B33542" w:rsidRPr="005071A1" w:rsidRDefault="00B33542" w:rsidP="009B7AF5">
            <w:pPr>
              <w:pStyle w:val="Tabletext"/>
            </w:pPr>
            <w:r w:rsidRPr="005071A1">
              <w:t>49</w:t>
            </w:r>
          </w:p>
        </w:tc>
        <w:tc>
          <w:tcPr>
            <w:tcW w:w="2693" w:type="dxa"/>
            <w:shd w:val="clear" w:color="auto" w:fill="auto"/>
          </w:tcPr>
          <w:p w14:paraId="0A9B96F3" w14:textId="77777777" w:rsidR="00B33542" w:rsidRPr="005071A1" w:rsidRDefault="00B33542" w:rsidP="009B7AF5">
            <w:pPr>
              <w:pStyle w:val="Tabletext"/>
            </w:pPr>
            <w:r w:rsidRPr="005071A1">
              <w:t>1.02</w:t>
            </w:r>
          </w:p>
        </w:tc>
      </w:tr>
      <w:tr w:rsidR="00B33542" w:rsidRPr="005071A1" w14:paraId="4B3B6DF7" w14:textId="77777777" w:rsidTr="009B7AF5">
        <w:tc>
          <w:tcPr>
            <w:tcW w:w="3119" w:type="dxa"/>
            <w:shd w:val="clear" w:color="auto" w:fill="auto"/>
          </w:tcPr>
          <w:p w14:paraId="62304D0B" w14:textId="77777777" w:rsidR="00B33542" w:rsidRPr="005071A1" w:rsidRDefault="00B33542" w:rsidP="009B7AF5">
            <w:pPr>
              <w:pStyle w:val="Tabletext"/>
            </w:pPr>
            <w:r w:rsidRPr="005071A1">
              <w:t>50</w:t>
            </w:r>
          </w:p>
        </w:tc>
        <w:tc>
          <w:tcPr>
            <w:tcW w:w="2693" w:type="dxa"/>
            <w:shd w:val="clear" w:color="auto" w:fill="auto"/>
          </w:tcPr>
          <w:p w14:paraId="720880A0" w14:textId="77777777" w:rsidR="00B33542" w:rsidRPr="005071A1" w:rsidRDefault="00B33542" w:rsidP="009B7AF5">
            <w:pPr>
              <w:pStyle w:val="Tabletext"/>
            </w:pPr>
            <w:r w:rsidRPr="005071A1">
              <w:t>1.14</w:t>
            </w:r>
          </w:p>
        </w:tc>
      </w:tr>
      <w:tr w:rsidR="00B33542" w:rsidRPr="005071A1" w14:paraId="45816191" w14:textId="77777777" w:rsidTr="009B7AF5">
        <w:tc>
          <w:tcPr>
            <w:tcW w:w="3119" w:type="dxa"/>
            <w:shd w:val="clear" w:color="auto" w:fill="auto"/>
          </w:tcPr>
          <w:p w14:paraId="41F66FAD" w14:textId="77777777" w:rsidR="00B33542" w:rsidRPr="005071A1" w:rsidRDefault="00B33542" w:rsidP="009B7AF5">
            <w:pPr>
              <w:pStyle w:val="Tabletext"/>
            </w:pPr>
            <w:r w:rsidRPr="005071A1">
              <w:t>51</w:t>
            </w:r>
          </w:p>
        </w:tc>
        <w:tc>
          <w:tcPr>
            <w:tcW w:w="2693" w:type="dxa"/>
            <w:shd w:val="clear" w:color="auto" w:fill="auto"/>
          </w:tcPr>
          <w:p w14:paraId="26271C9C" w14:textId="77777777" w:rsidR="00B33542" w:rsidRPr="005071A1" w:rsidRDefault="00B33542" w:rsidP="009B7AF5">
            <w:pPr>
              <w:pStyle w:val="Tabletext"/>
            </w:pPr>
            <w:r w:rsidRPr="005071A1">
              <w:t>1.29</w:t>
            </w:r>
          </w:p>
        </w:tc>
      </w:tr>
      <w:tr w:rsidR="00B33542" w:rsidRPr="005071A1" w14:paraId="1216E6C7" w14:textId="77777777" w:rsidTr="009B7AF5">
        <w:tc>
          <w:tcPr>
            <w:tcW w:w="3119" w:type="dxa"/>
            <w:shd w:val="clear" w:color="auto" w:fill="auto"/>
          </w:tcPr>
          <w:p w14:paraId="0F88C9CD" w14:textId="77777777" w:rsidR="00B33542" w:rsidRPr="005071A1" w:rsidRDefault="00B33542" w:rsidP="009B7AF5">
            <w:pPr>
              <w:pStyle w:val="Tabletext"/>
            </w:pPr>
            <w:r w:rsidRPr="005071A1">
              <w:t>52</w:t>
            </w:r>
          </w:p>
        </w:tc>
        <w:tc>
          <w:tcPr>
            <w:tcW w:w="2693" w:type="dxa"/>
            <w:shd w:val="clear" w:color="auto" w:fill="auto"/>
          </w:tcPr>
          <w:p w14:paraId="0DB273F3" w14:textId="77777777" w:rsidR="00B33542" w:rsidRPr="005071A1" w:rsidRDefault="00B33542" w:rsidP="009B7AF5">
            <w:pPr>
              <w:pStyle w:val="Tabletext"/>
            </w:pPr>
            <w:r w:rsidRPr="005071A1">
              <w:t>1.48</w:t>
            </w:r>
          </w:p>
        </w:tc>
      </w:tr>
      <w:tr w:rsidR="00B33542" w:rsidRPr="005071A1" w14:paraId="0375F0D9" w14:textId="77777777" w:rsidTr="009B7AF5">
        <w:tc>
          <w:tcPr>
            <w:tcW w:w="3119" w:type="dxa"/>
            <w:shd w:val="clear" w:color="auto" w:fill="auto"/>
          </w:tcPr>
          <w:p w14:paraId="13A02E4C" w14:textId="77777777" w:rsidR="00B33542" w:rsidRPr="005071A1" w:rsidRDefault="00B33542" w:rsidP="009B7AF5">
            <w:pPr>
              <w:pStyle w:val="Tabletext"/>
            </w:pPr>
            <w:r w:rsidRPr="005071A1">
              <w:t>53</w:t>
            </w:r>
          </w:p>
        </w:tc>
        <w:tc>
          <w:tcPr>
            <w:tcW w:w="2693" w:type="dxa"/>
            <w:shd w:val="clear" w:color="auto" w:fill="auto"/>
          </w:tcPr>
          <w:p w14:paraId="031CD076" w14:textId="77777777" w:rsidR="00B33542" w:rsidRPr="005071A1" w:rsidRDefault="00B33542" w:rsidP="009B7AF5">
            <w:pPr>
              <w:pStyle w:val="Tabletext"/>
            </w:pPr>
            <w:r w:rsidRPr="005071A1">
              <w:t>1.72</w:t>
            </w:r>
          </w:p>
        </w:tc>
      </w:tr>
      <w:tr w:rsidR="00B33542" w:rsidRPr="005071A1" w14:paraId="2CD38F8D" w14:textId="77777777" w:rsidTr="009B7AF5">
        <w:tc>
          <w:tcPr>
            <w:tcW w:w="3119" w:type="dxa"/>
            <w:shd w:val="clear" w:color="auto" w:fill="auto"/>
          </w:tcPr>
          <w:p w14:paraId="5EA56E3A" w14:textId="77777777" w:rsidR="00B33542" w:rsidRPr="005071A1" w:rsidRDefault="00B33542" w:rsidP="009B7AF5">
            <w:pPr>
              <w:pStyle w:val="Tabletext"/>
            </w:pPr>
            <w:r w:rsidRPr="005071A1">
              <w:t>54</w:t>
            </w:r>
          </w:p>
        </w:tc>
        <w:tc>
          <w:tcPr>
            <w:tcW w:w="2693" w:type="dxa"/>
            <w:shd w:val="clear" w:color="auto" w:fill="auto"/>
          </w:tcPr>
          <w:p w14:paraId="0B829D27" w14:textId="77777777" w:rsidR="00B33542" w:rsidRPr="005071A1" w:rsidRDefault="00B33542" w:rsidP="009B7AF5">
            <w:pPr>
              <w:pStyle w:val="Tabletext"/>
            </w:pPr>
            <w:r w:rsidRPr="005071A1">
              <w:t>2.04</w:t>
            </w:r>
          </w:p>
        </w:tc>
      </w:tr>
      <w:tr w:rsidR="00B33542" w:rsidRPr="005071A1" w14:paraId="6229BD08" w14:textId="77777777" w:rsidTr="009B7AF5">
        <w:tc>
          <w:tcPr>
            <w:tcW w:w="3119" w:type="dxa"/>
            <w:shd w:val="clear" w:color="auto" w:fill="auto"/>
          </w:tcPr>
          <w:p w14:paraId="4B36D868" w14:textId="77777777" w:rsidR="00B33542" w:rsidRPr="005071A1" w:rsidRDefault="00B33542" w:rsidP="009B7AF5">
            <w:pPr>
              <w:pStyle w:val="Tabletext"/>
            </w:pPr>
            <w:r w:rsidRPr="005071A1">
              <w:t>55</w:t>
            </w:r>
          </w:p>
        </w:tc>
        <w:tc>
          <w:tcPr>
            <w:tcW w:w="2693" w:type="dxa"/>
            <w:shd w:val="clear" w:color="auto" w:fill="auto"/>
          </w:tcPr>
          <w:p w14:paraId="1218F2DD" w14:textId="77777777" w:rsidR="00B33542" w:rsidRPr="005071A1" w:rsidRDefault="00B33542" w:rsidP="009B7AF5">
            <w:pPr>
              <w:pStyle w:val="Tabletext"/>
            </w:pPr>
            <w:r w:rsidRPr="005071A1">
              <w:t>2.47</w:t>
            </w:r>
          </w:p>
        </w:tc>
      </w:tr>
      <w:tr w:rsidR="00B33542" w:rsidRPr="005071A1" w14:paraId="79789201" w14:textId="77777777" w:rsidTr="009B7AF5">
        <w:tc>
          <w:tcPr>
            <w:tcW w:w="3119" w:type="dxa"/>
            <w:shd w:val="clear" w:color="auto" w:fill="auto"/>
          </w:tcPr>
          <w:p w14:paraId="7645D74F" w14:textId="77777777" w:rsidR="00B33542" w:rsidRPr="005071A1" w:rsidRDefault="00B33542" w:rsidP="009B7AF5">
            <w:pPr>
              <w:pStyle w:val="Tabletext"/>
            </w:pPr>
            <w:r w:rsidRPr="005071A1">
              <w:t>56</w:t>
            </w:r>
          </w:p>
        </w:tc>
        <w:tc>
          <w:tcPr>
            <w:tcW w:w="2693" w:type="dxa"/>
            <w:shd w:val="clear" w:color="auto" w:fill="auto"/>
          </w:tcPr>
          <w:p w14:paraId="7061F81E" w14:textId="77777777" w:rsidR="00B33542" w:rsidRPr="005071A1" w:rsidRDefault="00B33542" w:rsidP="009B7AF5">
            <w:pPr>
              <w:pStyle w:val="Tabletext"/>
            </w:pPr>
            <w:r w:rsidRPr="005071A1">
              <w:t>3.13</w:t>
            </w:r>
          </w:p>
        </w:tc>
      </w:tr>
      <w:tr w:rsidR="00B33542" w:rsidRPr="005071A1" w14:paraId="3C067B15" w14:textId="77777777" w:rsidTr="009B7AF5">
        <w:tc>
          <w:tcPr>
            <w:tcW w:w="3119" w:type="dxa"/>
            <w:shd w:val="clear" w:color="auto" w:fill="auto"/>
          </w:tcPr>
          <w:p w14:paraId="21861AFD" w14:textId="77777777" w:rsidR="00B33542" w:rsidRPr="005071A1" w:rsidRDefault="00B33542" w:rsidP="009B7AF5">
            <w:pPr>
              <w:pStyle w:val="Tabletext"/>
            </w:pPr>
            <w:r w:rsidRPr="005071A1">
              <w:lastRenderedPageBreak/>
              <w:t>57</w:t>
            </w:r>
          </w:p>
        </w:tc>
        <w:tc>
          <w:tcPr>
            <w:tcW w:w="2693" w:type="dxa"/>
            <w:shd w:val="clear" w:color="auto" w:fill="auto"/>
          </w:tcPr>
          <w:p w14:paraId="30C621AB" w14:textId="77777777" w:rsidR="00B33542" w:rsidRPr="005071A1" w:rsidRDefault="00B33542" w:rsidP="009B7AF5">
            <w:pPr>
              <w:pStyle w:val="Tabletext"/>
            </w:pPr>
            <w:r w:rsidRPr="005071A1">
              <w:t>4.22</w:t>
            </w:r>
          </w:p>
        </w:tc>
      </w:tr>
      <w:tr w:rsidR="00B33542" w:rsidRPr="005071A1" w14:paraId="5964F98E" w14:textId="77777777" w:rsidTr="009B7AF5">
        <w:tc>
          <w:tcPr>
            <w:tcW w:w="3119" w:type="dxa"/>
            <w:shd w:val="clear" w:color="auto" w:fill="auto"/>
          </w:tcPr>
          <w:p w14:paraId="5FACA5ED" w14:textId="77777777" w:rsidR="00B33542" w:rsidRPr="005071A1" w:rsidRDefault="00B33542" w:rsidP="009B7AF5">
            <w:pPr>
              <w:pStyle w:val="Tabletext"/>
            </w:pPr>
            <w:r w:rsidRPr="005071A1">
              <w:t>58</w:t>
            </w:r>
          </w:p>
        </w:tc>
        <w:tc>
          <w:tcPr>
            <w:tcW w:w="2693" w:type="dxa"/>
            <w:shd w:val="clear" w:color="auto" w:fill="auto"/>
          </w:tcPr>
          <w:p w14:paraId="7D665201" w14:textId="77777777" w:rsidR="00B33542" w:rsidRPr="005071A1" w:rsidRDefault="00B33542" w:rsidP="009B7AF5">
            <w:pPr>
              <w:pStyle w:val="Tabletext"/>
            </w:pPr>
            <w:r w:rsidRPr="005071A1">
              <w:t>6.37</w:t>
            </w:r>
          </w:p>
        </w:tc>
      </w:tr>
      <w:tr w:rsidR="00B33542" w:rsidRPr="005071A1" w14:paraId="7EA638A7" w14:textId="77777777" w:rsidTr="009B7AF5">
        <w:tc>
          <w:tcPr>
            <w:tcW w:w="3119" w:type="dxa"/>
            <w:tcBorders>
              <w:bottom w:val="single" w:sz="4" w:space="0" w:color="auto"/>
            </w:tcBorders>
            <w:shd w:val="clear" w:color="auto" w:fill="auto"/>
          </w:tcPr>
          <w:p w14:paraId="11C6ACE8" w14:textId="77777777" w:rsidR="00B33542" w:rsidRPr="005071A1" w:rsidRDefault="00B33542" w:rsidP="009B7AF5">
            <w:pPr>
              <w:pStyle w:val="Tabletext"/>
            </w:pPr>
            <w:r w:rsidRPr="005071A1">
              <w:t>59</w:t>
            </w:r>
          </w:p>
        </w:tc>
        <w:tc>
          <w:tcPr>
            <w:tcW w:w="2693" w:type="dxa"/>
            <w:tcBorders>
              <w:bottom w:val="single" w:sz="4" w:space="0" w:color="auto"/>
            </w:tcBorders>
            <w:shd w:val="clear" w:color="auto" w:fill="auto"/>
          </w:tcPr>
          <w:p w14:paraId="0DE3FE7A" w14:textId="77777777" w:rsidR="00B33542" w:rsidRPr="005071A1" w:rsidRDefault="00B33542" w:rsidP="009B7AF5">
            <w:pPr>
              <w:pStyle w:val="Tabletext"/>
            </w:pPr>
            <w:r w:rsidRPr="005071A1">
              <w:t>12.71</w:t>
            </w:r>
          </w:p>
        </w:tc>
      </w:tr>
      <w:tr w:rsidR="00B33542" w:rsidRPr="005071A1" w14:paraId="6B99ABD8" w14:textId="77777777" w:rsidTr="009B7AF5">
        <w:tc>
          <w:tcPr>
            <w:tcW w:w="3119" w:type="dxa"/>
            <w:tcBorders>
              <w:bottom w:val="single" w:sz="12" w:space="0" w:color="auto"/>
            </w:tcBorders>
            <w:shd w:val="clear" w:color="auto" w:fill="auto"/>
          </w:tcPr>
          <w:p w14:paraId="49D8508F" w14:textId="77777777" w:rsidR="00B33542" w:rsidRPr="005071A1" w:rsidRDefault="00B33542" w:rsidP="009B7AF5">
            <w:pPr>
              <w:pStyle w:val="Tabletext"/>
            </w:pPr>
            <w:r w:rsidRPr="005071A1">
              <w:t>60</w:t>
            </w:r>
          </w:p>
        </w:tc>
        <w:tc>
          <w:tcPr>
            <w:tcW w:w="2693" w:type="dxa"/>
            <w:tcBorders>
              <w:bottom w:val="single" w:sz="12" w:space="0" w:color="auto"/>
            </w:tcBorders>
            <w:shd w:val="clear" w:color="auto" w:fill="auto"/>
          </w:tcPr>
          <w:p w14:paraId="0A975B63" w14:textId="77777777" w:rsidR="00B33542" w:rsidRPr="005071A1" w:rsidRDefault="00B33542" w:rsidP="009B7AF5">
            <w:pPr>
              <w:pStyle w:val="Tabletext"/>
            </w:pPr>
            <w:r w:rsidRPr="005071A1">
              <w:t>13.59</w:t>
            </w:r>
          </w:p>
        </w:tc>
      </w:tr>
    </w:tbl>
    <w:p w14:paraId="0162773B" w14:textId="77777777" w:rsidR="00B33542" w:rsidRPr="005071A1" w:rsidRDefault="00B33542" w:rsidP="00674A0D">
      <w:pPr>
        <w:pStyle w:val="ActHead5"/>
        <w:pageBreakBefore/>
      </w:pPr>
      <w:bookmarkStart w:id="304" w:name="_Toc185577686"/>
      <w:r w:rsidRPr="005071A1">
        <w:lastRenderedPageBreak/>
        <w:t>Table XVII</w:t>
      </w:r>
      <w:bookmarkEnd w:id="304"/>
    </w:p>
    <w:p w14:paraId="3984CC5B" w14:textId="77777777" w:rsidR="00B33542" w:rsidRPr="005071A1" w:rsidRDefault="00B33542" w:rsidP="00B33542">
      <w:pPr>
        <w:spacing w:before="120"/>
      </w:pPr>
      <w:r w:rsidRPr="005071A1">
        <w:t>Rates of contribution to be paid fortnightly by male contributors for units of pension where the obligation to contribute to the fund came into existence on or after 14th December, 1959, but the obligation to contribute for those units had not come into existence before 1st July, 1962, based on a retiring age of 60 years and the age next birthday of the contributor when the obligation to contribute for those units came or comes into existence</w:t>
      </w:r>
    </w:p>
    <w:p w14:paraId="36A08232"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19"/>
        <w:gridCol w:w="2693"/>
      </w:tblGrid>
      <w:tr w:rsidR="00B33542" w:rsidRPr="005071A1" w14:paraId="2D1843ED" w14:textId="77777777" w:rsidTr="00727E45">
        <w:trPr>
          <w:tblHeader/>
        </w:trPr>
        <w:tc>
          <w:tcPr>
            <w:tcW w:w="3119" w:type="dxa"/>
            <w:tcBorders>
              <w:top w:val="single" w:sz="12" w:space="0" w:color="auto"/>
              <w:bottom w:val="single" w:sz="6" w:space="0" w:color="auto"/>
            </w:tcBorders>
            <w:shd w:val="clear" w:color="auto" w:fill="auto"/>
          </w:tcPr>
          <w:p w14:paraId="46AF93E0" w14:textId="77777777" w:rsidR="00B33542" w:rsidRPr="005071A1" w:rsidRDefault="00B33542" w:rsidP="009B7AF5">
            <w:pPr>
              <w:pStyle w:val="TableHeading"/>
            </w:pPr>
            <w:r w:rsidRPr="005071A1">
              <w:t>Column 1</w:t>
            </w:r>
          </w:p>
        </w:tc>
        <w:tc>
          <w:tcPr>
            <w:tcW w:w="2693" w:type="dxa"/>
            <w:tcBorders>
              <w:top w:val="single" w:sz="12" w:space="0" w:color="auto"/>
              <w:bottom w:val="single" w:sz="6" w:space="0" w:color="auto"/>
            </w:tcBorders>
            <w:shd w:val="clear" w:color="auto" w:fill="auto"/>
          </w:tcPr>
          <w:p w14:paraId="58C8DECD" w14:textId="77777777" w:rsidR="00B33542" w:rsidRPr="005071A1" w:rsidRDefault="00B33542" w:rsidP="009B7AF5">
            <w:pPr>
              <w:pStyle w:val="TableHeading"/>
            </w:pPr>
            <w:r w:rsidRPr="005071A1">
              <w:t>Column 2</w:t>
            </w:r>
          </w:p>
        </w:tc>
      </w:tr>
      <w:tr w:rsidR="00B33542" w:rsidRPr="005071A1" w14:paraId="4CC96497" w14:textId="77777777" w:rsidTr="00727E45">
        <w:trPr>
          <w:tblHeader/>
        </w:trPr>
        <w:tc>
          <w:tcPr>
            <w:tcW w:w="3119" w:type="dxa"/>
            <w:tcBorders>
              <w:top w:val="single" w:sz="6" w:space="0" w:color="auto"/>
              <w:bottom w:val="single" w:sz="4" w:space="0" w:color="auto"/>
            </w:tcBorders>
            <w:shd w:val="clear" w:color="auto" w:fill="auto"/>
          </w:tcPr>
          <w:p w14:paraId="16F2B2B1" w14:textId="77777777" w:rsidR="00B33542" w:rsidRPr="005071A1" w:rsidRDefault="00B33542" w:rsidP="00F07EE2">
            <w:pPr>
              <w:pStyle w:val="TableHeading"/>
              <w:spacing w:before="40" w:after="40" w:line="180" w:lineRule="atLeast"/>
              <w:rPr>
                <w:sz w:val="16"/>
                <w:szCs w:val="16"/>
              </w:rPr>
            </w:pPr>
            <w:r w:rsidRPr="005071A1">
              <w:rPr>
                <w:sz w:val="16"/>
                <w:szCs w:val="16"/>
              </w:rPr>
              <w:br/>
              <w:t>Age next Birthday</w:t>
            </w:r>
          </w:p>
        </w:tc>
        <w:tc>
          <w:tcPr>
            <w:tcW w:w="2693" w:type="dxa"/>
            <w:tcBorders>
              <w:top w:val="single" w:sz="6" w:space="0" w:color="auto"/>
              <w:bottom w:val="single" w:sz="4" w:space="0" w:color="auto"/>
            </w:tcBorders>
            <w:shd w:val="clear" w:color="auto" w:fill="auto"/>
          </w:tcPr>
          <w:p w14:paraId="77BDF0BC" w14:textId="77777777" w:rsidR="00B33542" w:rsidRPr="005071A1" w:rsidRDefault="00B33542" w:rsidP="00F07EE2">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365849E4" w14:textId="77777777" w:rsidTr="00727E45">
        <w:trPr>
          <w:tblHeader/>
        </w:trPr>
        <w:tc>
          <w:tcPr>
            <w:tcW w:w="3119" w:type="dxa"/>
            <w:tcBorders>
              <w:top w:val="single" w:sz="4" w:space="0" w:color="auto"/>
              <w:bottom w:val="single" w:sz="12" w:space="0" w:color="auto"/>
            </w:tcBorders>
            <w:shd w:val="clear" w:color="auto" w:fill="auto"/>
          </w:tcPr>
          <w:p w14:paraId="6524DE47" w14:textId="77777777" w:rsidR="00B33542" w:rsidRPr="005071A1" w:rsidRDefault="00B33542" w:rsidP="00F07EE2">
            <w:pPr>
              <w:pStyle w:val="TableHeading"/>
            </w:pPr>
          </w:p>
        </w:tc>
        <w:tc>
          <w:tcPr>
            <w:tcW w:w="2693" w:type="dxa"/>
            <w:tcBorders>
              <w:top w:val="single" w:sz="4" w:space="0" w:color="auto"/>
              <w:bottom w:val="single" w:sz="12" w:space="0" w:color="auto"/>
            </w:tcBorders>
            <w:shd w:val="clear" w:color="auto" w:fill="auto"/>
          </w:tcPr>
          <w:p w14:paraId="5270396F" w14:textId="77777777" w:rsidR="00B33542" w:rsidRPr="005071A1" w:rsidRDefault="00B33542" w:rsidP="00F07EE2">
            <w:pPr>
              <w:pStyle w:val="TableHeading"/>
            </w:pPr>
            <w:r w:rsidRPr="005071A1">
              <w:t>$</w:t>
            </w:r>
          </w:p>
        </w:tc>
      </w:tr>
      <w:tr w:rsidR="00B33542" w:rsidRPr="005071A1" w14:paraId="0A4C6469" w14:textId="77777777" w:rsidTr="00F07EE2">
        <w:tc>
          <w:tcPr>
            <w:tcW w:w="3119" w:type="dxa"/>
            <w:tcBorders>
              <w:top w:val="single" w:sz="12" w:space="0" w:color="auto"/>
            </w:tcBorders>
            <w:shd w:val="clear" w:color="auto" w:fill="auto"/>
          </w:tcPr>
          <w:p w14:paraId="74177F40" w14:textId="77777777" w:rsidR="00B33542" w:rsidRPr="005071A1" w:rsidRDefault="00B33542" w:rsidP="009B7AF5">
            <w:pPr>
              <w:pStyle w:val="Tabletext"/>
            </w:pPr>
            <w:r w:rsidRPr="005071A1">
              <w:t>15</w:t>
            </w:r>
          </w:p>
        </w:tc>
        <w:tc>
          <w:tcPr>
            <w:tcW w:w="2693" w:type="dxa"/>
            <w:tcBorders>
              <w:top w:val="single" w:sz="12" w:space="0" w:color="auto"/>
            </w:tcBorders>
            <w:shd w:val="clear" w:color="auto" w:fill="auto"/>
          </w:tcPr>
          <w:p w14:paraId="4479A8C5" w14:textId="77777777" w:rsidR="00B33542" w:rsidRPr="005071A1" w:rsidRDefault="00B33542" w:rsidP="009B7AF5">
            <w:pPr>
              <w:pStyle w:val="Tabletext"/>
            </w:pPr>
            <w:r w:rsidRPr="005071A1">
              <w:t>0.10</w:t>
            </w:r>
          </w:p>
        </w:tc>
      </w:tr>
      <w:tr w:rsidR="00B33542" w:rsidRPr="005071A1" w14:paraId="513FF885" w14:textId="77777777" w:rsidTr="009B7AF5">
        <w:tc>
          <w:tcPr>
            <w:tcW w:w="3119" w:type="dxa"/>
            <w:shd w:val="clear" w:color="auto" w:fill="auto"/>
          </w:tcPr>
          <w:p w14:paraId="2FB4D7A1" w14:textId="77777777" w:rsidR="00B33542" w:rsidRPr="005071A1" w:rsidRDefault="00B33542" w:rsidP="009B7AF5">
            <w:pPr>
              <w:pStyle w:val="Tabletext"/>
            </w:pPr>
            <w:r w:rsidRPr="005071A1">
              <w:t>16</w:t>
            </w:r>
          </w:p>
        </w:tc>
        <w:tc>
          <w:tcPr>
            <w:tcW w:w="2693" w:type="dxa"/>
            <w:shd w:val="clear" w:color="auto" w:fill="auto"/>
          </w:tcPr>
          <w:p w14:paraId="47C0F9E7" w14:textId="77777777" w:rsidR="00B33542" w:rsidRPr="005071A1" w:rsidRDefault="00B33542" w:rsidP="009B7AF5">
            <w:pPr>
              <w:pStyle w:val="Tabletext"/>
            </w:pPr>
            <w:r w:rsidRPr="005071A1">
              <w:t>0.10</w:t>
            </w:r>
          </w:p>
        </w:tc>
      </w:tr>
      <w:tr w:rsidR="00B33542" w:rsidRPr="005071A1" w14:paraId="1F179B3A" w14:textId="77777777" w:rsidTr="009B7AF5">
        <w:tc>
          <w:tcPr>
            <w:tcW w:w="3119" w:type="dxa"/>
            <w:shd w:val="clear" w:color="auto" w:fill="auto"/>
          </w:tcPr>
          <w:p w14:paraId="1E2DEBD9" w14:textId="77777777" w:rsidR="00B33542" w:rsidRPr="005071A1" w:rsidRDefault="00B33542" w:rsidP="009B7AF5">
            <w:pPr>
              <w:pStyle w:val="Tabletext"/>
            </w:pPr>
            <w:r w:rsidRPr="005071A1">
              <w:t>17</w:t>
            </w:r>
          </w:p>
        </w:tc>
        <w:tc>
          <w:tcPr>
            <w:tcW w:w="2693" w:type="dxa"/>
            <w:shd w:val="clear" w:color="auto" w:fill="auto"/>
          </w:tcPr>
          <w:p w14:paraId="62BD9C07" w14:textId="77777777" w:rsidR="00B33542" w:rsidRPr="005071A1" w:rsidRDefault="00B33542" w:rsidP="009B7AF5">
            <w:pPr>
              <w:pStyle w:val="Tabletext"/>
            </w:pPr>
            <w:r w:rsidRPr="005071A1">
              <w:t>0.11</w:t>
            </w:r>
          </w:p>
        </w:tc>
      </w:tr>
      <w:tr w:rsidR="00B33542" w:rsidRPr="005071A1" w14:paraId="1FF29F71" w14:textId="77777777" w:rsidTr="009B7AF5">
        <w:tc>
          <w:tcPr>
            <w:tcW w:w="3119" w:type="dxa"/>
            <w:shd w:val="clear" w:color="auto" w:fill="auto"/>
          </w:tcPr>
          <w:p w14:paraId="67AABC03" w14:textId="77777777" w:rsidR="00B33542" w:rsidRPr="005071A1" w:rsidRDefault="00B33542" w:rsidP="009B7AF5">
            <w:pPr>
              <w:pStyle w:val="Tabletext"/>
            </w:pPr>
            <w:r w:rsidRPr="005071A1">
              <w:t>18</w:t>
            </w:r>
          </w:p>
        </w:tc>
        <w:tc>
          <w:tcPr>
            <w:tcW w:w="2693" w:type="dxa"/>
            <w:shd w:val="clear" w:color="auto" w:fill="auto"/>
          </w:tcPr>
          <w:p w14:paraId="1BFBA4EB" w14:textId="77777777" w:rsidR="00B33542" w:rsidRPr="005071A1" w:rsidRDefault="00B33542" w:rsidP="009B7AF5">
            <w:pPr>
              <w:pStyle w:val="Tabletext"/>
            </w:pPr>
            <w:r w:rsidRPr="005071A1">
              <w:t>0.11</w:t>
            </w:r>
          </w:p>
        </w:tc>
      </w:tr>
      <w:tr w:rsidR="00B33542" w:rsidRPr="005071A1" w14:paraId="3C8A860B" w14:textId="77777777" w:rsidTr="009B7AF5">
        <w:tc>
          <w:tcPr>
            <w:tcW w:w="3119" w:type="dxa"/>
            <w:shd w:val="clear" w:color="auto" w:fill="auto"/>
          </w:tcPr>
          <w:p w14:paraId="39DB843F" w14:textId="77777777" w:rsidR="00B33542" w:rsidRPr="005071A1" w:rsidRDefault="00B33542" w:rsidP="009B7AF5">
            <w:pPr>
              <w:pStyle w:val="Tabletext"/>
            </w:pPr>
            <w:r w:rsidRPr="005071A1">
              <w:t>19</w:t>
            </w:r>
          </w:p>
        </w:tc>
        <w:tc>
          <w:tcPr>
            <w:tcW w:w="2693" w:type="dxa"/>
            <w:shd w:val="clear" w:color="auto" w:fill="auto"/>
          </w:tcPr>
          <w:p w14:paraId="356D48B1" w14:textId="77777777" w:rsidR="00B33542" w:rsidRPr="005071A1" w:rsidRDefault="00B33542" w:rsidP="009B7AF5">
            <w:pPr>
              <w:pStyle w:val="Tabletext"/>
            </w:pPr>
            <w:r w:rsidRPr="005071A1">
              <w:t>0.12</w:t>
            </w:r>
          </w:p>
        </w:tc>
      </w:tr>
      <w:tr w:rsidR="00B33542" w:rsidRPr="005071A1" w14:paraId="48913EA0" w14:textId="77777777" w:rsidTr="009B7AF5">
        <w:tc>
          <w:tcPr>
            <w:tcW w:w="3119" w:type="dxa"/>
            <w:shd w:val="clear" w:color="auto" w:fill="auto"/>
          </w:tcPr>
          <w:p w14:paraId="2945225F" w14:textId="77777777" w:rsidR="00B33542" w:rsidRPr="005071A1" w:rsidRDefault="00B33542" w:rsidP="009B7AF5">
            <w:pPr>
              <w:pStyle w:val="Tabletext"/>
            </w:pPr>
            <w:r w:rsidRPr="005071A1">
              <w:t>20</w:t>
            </w:r>
          </w:p>
        </w:tc>
        <w:tc>
          <w:tcPr>
            <w:tcW w:w="2693" w:type="dxa"/>
            <w:shd w:val="clear" w:color="auto" w:fill="auto"/>
          </w:tcPr>
          <w:p w14:paraId="5C447033" w14:textId="77777777" w:rsidR="00B33542" w:rsidRPr="005071A1" w:rsidRDefault="00B33542" w:rsidP="009B7AF5">
            <w:pPr>
              <w:pStyle w:val="Tabletext"/>
            </w:pPr>
            <w:r w:rsidRPr="005071A1">
              <w:t>0.13</w:t>
            </w:r>
          </w:p>
        </w:tc>
      </w:tr>
      <w:tr w:rsidR="00B33542" w:rsidRPr="005071A1" w14:paraId="18668F70" w14:textId="77777777" w:rsidTr="009B7AF5">
        <w:tc>
          <w:tcPr>
            <w:tcW w:w="3119" w:type="dxa"/>
            <w:shd w:val="clear" w:color="auto" w:fill="auto"/>
          </w:tcPr>
          <w:p w14:paraId="071C61C3" w14:textId="77777777" w:rsidR="00B33542" w:rsidRPr="005071A1" w:rsidRDefault="00B33542" w:rsidP="009B7AF5">
            <w:pPr>
              <w:pStyle w:val="Tabletext"/>
            </w:pPr>
            <w:r w:rsidRPr="005071A1">
              <w:t>21</w:t>
            </w:r>
          </w:p>
        </w:tc>
        <w:tc>
          <w:tcPr>
            <w:tcW w:w="2693" w:type="dxa"/>
            <w:shd w:val="clear" w:color="auto" w:fill="auto"/>
          </w:tcPr>
          <w:p w14:paraId="66DF1CF3" w14:textId="77777777" w:rsidR="00B33542" w:rsidRPr="005071A1" w:rsidRDefault="00B33542" w:rsidP="009B7AF5">
            <w:pPr>
              <w:pStyle w:val="Tabletext"/>
            </w:pPr>
            <w:r w:rsidRPr="005071A1">
              <w:t>0.14</w:t>
            </w:r>
          </w:p>
        </w:tc>
      </w:tr>
      <w:tr w:rsidR="00B33542" w:rsidRPr="005071A1" w14:paraId="0B19D0F2" w14:textId="77777777" w:rsidTr="009B7AF5">
        <w:tc>
          <w:tcPr>
            <w:tcW w:w="3119" w:type="dxa"/>
            <w:shd w:val="clear" w:color="auto" w:fill="auto"/>
          </w:tcPr>
          <w:p w14:paraId="31998A83" w14:textId="77777777" w:rsidR="00B33542" w:rsidRPr="005071A1" w:rsidRDefault="00B33542" w:rsidP="009B7AF5">
            <w:pPr>
              <w:pStyle w:val="Tabletext"/>
            </w:pPr>
            <w:r w:rsidRPr="005071A1">
              <w:t>22</w:t>
            </w:r>
          </w:p>
        </w:tc>
        <w:tc>
          <w:tcPr>
            <w:tcW w:w="2693" w:type="dxa"/>
            <w:shd w:val="clear" w:color="auto" w:fill="auto"/>
          </w:tcPr>
          <w:p w14:paraId="6A63A0B9" w14:textId="77777777" w:rsidR="00B33542" w:rsidRPr="005071A1" w:rsidRDefault="00B33542" w:rsidP="009B7AF5">
            <w:pPr>
              <w:pStyle w:val="Tabletext"/>
            </w:pPr>
            <w:r w:rsidRPr="005071A1">
              <w:t>0.14</w:t>
            </w:r>
          </w:p>
        </w:tc>
      </w:tr>
      <w:tr w:rsidR="00B33542" w:rsidRPr="005071A1" w14:paraId="68641BBC" w14:textId="77777777" w:rsidTr="009B7AF5">
        <w:tc>
          <w:tcPr>
            <w:tcW w:w="3119" w:type="dxa"/>
            <w:shd w:val="clear" w:color="auto" w:fill="auto"/>
          </w:tcPr>
          <w:p w14:paraId="7871916D" w14:textId="77777777" w:rsidR="00B33542" w:rsidRPr="005071A1" w:rsidRDefault="00B33542" w:rsidP="009B7AF5">
            <w:pPr>
              <w:pStyle w:val="Tabletext"/>
            </w:pPr>
            <w:r w:rsidRPr="005071A1">
              <w:t>23</w:t>
            </w:r>
          </w:p>
        </w:tc>
        <w:tc>
          <w:tcPr>
            <w:tcW w:w="2693" w:type="dxa"/>
            <w:shd w:val="clear" w:color="auto" w:fill="auto"/>
          </w:tcPr>
          <w:p w14:paraId="37E507AC" w14:textId="77777777" w:rsidR="00B33542" w:rsidRPr="005071A1" w:rsidRDefault="00B33542" w:rsidP="009B7AF5">
            <w:pPr>
              <w:pStyle w:val="Tabletext"/>
            </w:pPr>
            <w:r w:rsidRPr="005071A1">
              <w:t>0.15</w:t>
            </w:r>
          </w:p>
        </w:tc>
      </w:tr>
      <w:tr w:rsidR="00B33542" w:rsidRPr="005071A1" w14:paraId="0D62C20D" w14:textId="77777777" w:rsidTr="009B7AF5">
        <w:tc>
          <w:tcPr>
            <w:tcW w:w="3119" w:type="dxa"/>
            <w:shd w:val="clear" w:color="auto" w:fill="auto"/>
          </w:tcPr>
          <w:p w14:paraId="6388FBB9" w14:textId="77777777" w:rsidR="00B33542" w:rsidRPr="005071A1" w:rsidRDefault="00B33542" w:rsidP="009B7AF5">
            <w:pPr>
              <w:pStyle w:val="Tabletext"/>
            </w:pPr>
            <w:r w:rsidRPr="005071A1">
              <w:t>24</w:t>
            </w:r>
          </w:p>
        </w:tc>
        <w:tc>
          <w:tcPr>
            <w:tcW w:w="2693" w:type="dxa"/>
            <w:shd w:val="clear" w:color="auto" w:fill="auto"/>
          </w:tcPr>
          <w:p w14:paraId="192DCEC9" w14:textId="77777777" w:rsidR="00B33542" w:rsidRPr="005071A1" w:rsidRDefault="00B33542" w:rsidP="009B7AF5">
            <w:pPr>
              <w:pStyle w:val="Tabletext"/>
            </w:pPr>
            <w:r w:rsidRPr="005071A1">
              <w:t>0.16</w:t>
            </w:r>
          </w:p>
        </w:tc>
      </w:tr>
      <w:tr w:rsidR="00B33542" w:rsidRPr="005071A1" w14:paraId="66119339" w14:textId="77777777" w:rsidTr="009B7AF5">
        <w:tc>
          <w:tcPr>
            <w:tcW w:w="3119" w:type="dxa"/>
            <w:shd w:val="clear" w:color="auto" w:fill="auto"/>
          </w:tcPr>
          <w:p w14:paraId="20BB15B6" w14:textId="77777777" w:rsidR="00B33542" w:rsidRPr="005071A1" w:rsidRDefault="00B33542" w:rsidP="009B7AF5">
            <w:pPr>
              <w:pStyle w:val="Tabletext"/>
            </w:pPr>
            <w:r w:rsidRPr="005071A1">
              <w:t>25</w:t>
            </w:r>
          </w:p>
        </w:tc>
        <w:tc>
          <w:tcPr>
            <w:tcW w:w="2693" w:type="dxa"/>
            <w:shd w:val="clear" w:color="auto" w:fill="auto"/>
          </w:tcPr>
          <w:p w14:paraId="443CA84E" w14:textId="77777777" w:rsidR="00B33542" w:rsidRPr="005071A1" w:rsidRDefault="00B33542" w:rsidP="009B7AF5">
            <w:pPr>
              <w:pStyle w:val="Tabletext"/>
            </w:pPr>
            <w:r w:rsidRPr="005071A1">
              <w:t>0.17</w:t>
            </w:r>
          </w:p>
        </w:tc>
      </w:tr>
      <w:tr w:rsidR="00B33542" w:rsidRPr="005071A1" w14:paraId="53FBA151" w14:textId="77777777" w:rsidTr="009B7AF5">
        <w:tc>
          <w:tcPr>
            <w:tcW w:w="3119" w:type="dxa"/>
            <w:shd w:val="clear" w:color="auto" w:fill="auto"/>
          </w:tcPr>
          <w:p w14:paraId="4B49D835" w14:textId="77777777" w:rsidR="00B33542" w:rsidRPr="005071A1" w:rsidRDefault="00B33542" w:rsidP="009B7AF5">
            <w:pPr>
              <w:pStyle w:val="Tabletext"/>
            </w:pPr>
            <w:r w:rsidRPr="005071A1">
              <w:t>26</w:t>
            </w:r>
          </w:p>
        </w:tc>
        <w:tc>
          <w:tcPr>
            <w:tcW w:w="2693" w:type="dxa"/>
            <w:shd w:val="clear" w:color="auto" w:fill="auto"/>
          </w:tcPr>
          <w:p w14:paraId="6AF855AC" w14:textId="77777777" w:rsidR="00B33542" w:rsidRPr="005071A1" w:rsidRDefault="00B33542" w:rsidP="009B7AF5">
            <w:pPr>
              <w:pStyle w:val="Tabletext"/>
            </w:pPr>
            <w:r w:rsidRPr="005071A1">
              <w:t>0.18</w:t>
            </w:r>
          </w:p>
        </w:tc>
      </w:tr>
      <w:tr w:rsidR="00B33542" w:rsidRPr="005071A1" w14:paraId="4F5F34BC" w14:textId="77777777" w:rsidTr="009B7AF5">
        <w:tc>
          <w:tcPr>
            <w:tcW w:w="3119" w:type="dxa"/>
            <w:shd w:val="clear" w:color="auto" w:fill="auto"/>
          </w:tcPr>
          <w:p w14:paraId="776887C0" w14:textId="77777777" w:rsidR="00B33542" w:rsidRPr="005071A1" w:rsidRDefault="00B33542" w:rsidP="009B7AF5">
            <w:pPr>
              <w:pStyle w:val="Tabletext"/>
            </w:pPr>
            <w:r w:rsidRPr="005071A1">
              <w:t>27</w:t>
            </w:r>
          </w:p>
        </w:tc>
        <w:tc>
          <w:tcPr>
            <w:tcW w:w="2693" w:type="dxa"/>
            <w:shd w:val="clear" w:color="auto" w:fill="auto"/>
          </w:tcPr>
          <w:p w14:paraId="002CBD1A" w14:textId="77777777" w:rsidR="00B33542" w:rsidRPr="005071A1" w:rsidRDefault="00B33542" w:rsidP="009B7AF5">
            <w:pPr>
              <w:pStyle w:val="Tabletext"/>
            </w:pPr>
            <w:r w:rsidRPr="005071A1">
              <w:t>0.20</w:t>
            </w:r>
          </w:p>
        </w:tc>
      </w:tr>
      <w:tr w:rsidR="00B33542" w:rsidRPr="005071A1" w14:paraId="71BEA8B0" w14:textId="77777777" w:rsidTr="009B7AF5">
        <w:tc>
          <w:tcPr>
            <w:tcW w:w="3119" w:type="dxa"/>
            <w:shd w:val="clear" w:color="auto" w:fill="auto"/>
          </w:tcPr>
          <w:p w14:paraId="1276E32C" w14:textId="77777777" w:rsidR="00B33542" w:rsidRPr="005071A1" w:rsidRDefault="00B33542" w:rsidP="009B7AF5">
            <w:pPr>
              <w:pStyle w:val="Tabletext"/>
            </w:pPr>
            <w:r w:rsidRPr="005071A1">
              <w:t>28</w:t>
            </w:r>
          </w:p>
        </w:tc>
        <w:tc>
          <w:tcPr>
            <w:tcW w:w="2693" w:type="dxa"/>
            <w:shd w:val="clear" w:color="auto" w:fill="auto"/>
          </w:tcPr>
          <w:p w14:paraId="75F5CCCC" w14:textId="77777777" w:rsidR="00B33542" w:rsidRPr="005071A1" w:rsidRDefault="00B33542" w:rsidP="009B7AF5">
            <w:pPr>
              <w:pStyle w:val="Tabletext"/>
            </w:pPr>
            <w:r w:rsidRPr="005071A1">
              <w:t>0.21</w:t>
            </w:r>
          </w:p>
        </w:tc>
      </w:tr>
      <w:tr w:rsidR="00B33542" w:rsidRPr="005071A1" w14:paraId="7BAC83D3" w14:textId="77777777" w:rsidTr="009B7AF5">
        <w:tc>
          <w:tcPr>
            <w:tcW w:w="3119" w:type="dxa"/>
            <w:shd w:val="clear" w:color="auto" w:fill="auto"/>
          </w:tcPr>
          <w:p w14:paraId="3A5A6E6F" w14:textId="77777777" w:rsidR="00B33542" w:rsidRPr="005071A1" w:rsidRDefault="00B33542" w:rsidP="009B7AF5">
            <w:pPr>
              <w:pStyle w:val="Tabletext"/>
            </w:pPr>
            <w:r w:rsidRPr="005071A1">
              <w:t>29</w:t>
            </w:r>
          </w:p>
        </w:tc>
        <w:tc>
          <w:tcPr>
            <w:tcW w:w="2693" w:type="dxa"/>
            <w:shd w:val="clear" w:color="auto" w:fill="auto"/>
          </w:tcPr>
          <w:p w14:paraId="3A4B73F6" w14:textId="77777777" w:rsidR="00B33542" w:rsidRPr="005071A1" w:rsidRDefault="00B33542" w:rsidP="009B7AF5">
            <w:pPr>
              <w:pStyle w:val="Tabletext"/>
            </w:pPr>
            <w:r w:rsidRPr="005071A1">
              <w:t>0.22</w:t>
            </w:r>
          </w:p>
        </w:tc>
      </w:tr>
      <w:tr w:rsidR="00B33542" w:rsidRPr="005071A1" w14:paraId="7C3279B6" w14:textId="77777777" w:rsidTr="009B7AF5">
        <w:tc>
          <w:tcPr>
            <w:tcW w:w="3119" w:type="dxa"/>
            <w:shd w:val="clear" w:color="auto" w:fill="auto"/>
          </w:tcPr>
          <w:p w14:paraId="244A1F3A" w14:textId="77777777" w:rsidR="00B33542" w:rsidRPr="005071A1" w:rsidRDefault="00B33542" w:rsidP="009B7AF5">
            <w:pPr>
              <w:pStyle w:val="Tabletext"/>
            </w:pPr>
            <w:r w:rsidRPr="005071A1">
              <w:t>30</w:t>
            </w:r>
          </w:p>
        </w:tc>
        <w:tc>
          <w:tcPr>
            <w:tcW w:w="2693" w:type="dxa"/>
            <w:shd w:val="clear" w:color="auto" w:fill="auto"/>
          </w:tcPr>
          <w:p w14:paraId="4A9CCB5D" w14:textId="77777777" w:rsidR="00B33542" w:rsidRPr="005071A1" w:rsidRDefault="00B33542" w:rsidP="009B7AF5">
            <w:pPr>
              <w:pStyle w:val="Tabletext"/>
            </w:pPr>
            <w:r w:rsidRPr="005071A1">
              <w:t>0.24</w:t>
            </w:r>
          </w:p>
        </w:tc>
      </w:tr>
      <w:tr w:rsidR="00B33542" w:rsidRPr="005071A1" w14:paraId="49776E3F" w14:textId="77777777" w:rsidTr="009B7AF5">
        <w:tc>
          <w:tcPr>
            <w:tcW w:w="3119" w:type="dxa"/>
            <w:shd w:val="clear" w:color="auto" w:fill="auto"/>
          </w:tcPr>
          <w:p w14:paraId="37742D89" w14:textId="77777777" w:rsidR="00B33542" w:rsidRPr="005071A1" w:rsidRDefault="00B33542" w:rsidP="009B7AF5">
            <w:pPr>
              <w:pStyle w:val="Tabletext"/>
            </w:pPr>
            <w:r w:rsidRPr="005071A1">
              <w:t>31</w:t>
            </w:r>
          </w:p>
        </w:tc>
        <w:tc>
          <w:tcPr>
            <w:tcW w:w="2693" w:type="dxa"/>
            <w:shd w:val="clear" w:color="auto" w:fill="auto"/>
          </w:tcPr>
          <w:p w14:paraId="7F03A254" w14:textId="77777777" w:rsidR="00B33542" w:rsidRPr="005071A1" w:rsidRDefault="00B33542" w:rsidP="009B7AF5">
            <w:pPr>
              <w:pStyle w:val="Tabletext"/>
            </w:pPr>
            <w:r w:rsidRPr="005071A1">
              <w:t>0.25</w:t>
            </w:r>
          </w:p>
        </w:tc>
      </w:tr>
      <w:tr w:rsidR="00B33542" w:rsidRPr="005071A1" w14:paraId="0CF0AC4A" w14:textId="77777777" w:rsidTr="009B7AF5">
        <w:tc>
          <w:tcPr>
            <w:tcW w:w="3119" w:type="dxa"/>
            <w:shd w:val="clear" w:color="auto" w:fill="auto"/>
          </w:tcPr>
          <w:p w14:paraId="05CD38F0" w14:textId="77777777" w:rsidR="00B33542" w:rsidRPr="005071A1" w:rsidRDefault="00B33542" w:rsidP="009B7AF5">
            <w:pPr>
              <w:pStyle w:val="Tabletext"/>
            </w:pPr>
            <w:r w:rsidRPr="005071A1">
              <w:lastRenderedPageBreak/>
              <w:t>32</w:t>
            </w:r>
          </w:p>
        </w:tc>
        <w:tc>
          <w:tcPr>
            <w:tcW w:w="2693" w:type="dxa"/>
            <w:shd w:val="clear" w:color="auto" w:fill="auto"/>
          </w:tcPr>
          <w:p w14:paraId="2D0DFEB2" w14:textId="77777777" w:rsidR="00B33542" w:rsidRPr="005071A1" w:rsidRDefault="00B33542" w:rsidP="009B7AF5">
            <w:pPr>
              <w:pStyle w:val="Tabletext"/>
            </w:pPr>
            <w:r w:rsidRPr="005071A1">
              <w:t>0.27</w:t>
            </w:r>
          </w:p>
        </w:tc>
      </w:tr>
      <w:tr w:rsidR="00B33542" w:rsidRPr="005071A1" w14:paraId="46CA4AEE" w14:textId="77777777" w:rsidTr="009B7AF5">
        <w:tc>
          <w:tcPr>
            <w:tcW w:w="3119" w:type="dxa"/>
            <w:shd w:val="clear" w:color="auto" w:fill="auto"/>
          </w:tcPr>
          <w:p w14:paraId="080E3A26" w14:textId="77777777" w:rsidR="00B33542" w:rsidRPr="005071A1" w:rsidRDefault="00B33542" w:rsidP="009B7AF5">
            <w:pPr>
              <w:pStyle w:val="Tabletext"/>
            </w:pPr>
            <w:r w:rsidRPr="005071A1">
              <w:t>33</w:t>
            </w:r>
          </w:p>
        </w:tc>
        <w:tc>
          <w:tcPr>
            <w:tcW w:w="2693" w:type="dxa"/>
            <w:shd w:val="clear" w:color="auto" w:fill="auto"/>
          </w:tcPr>
          <w:p w14:paraId="24D97E2D" w14:textId="77777777" w:rsidR="00B33542" w:rsidRPr="005071A1" w:rsidRDefault="00B33542" w:rsidP="009B7AF5">
            <w:pPr>
              <w:pStyle w:val="Tabletext"/>
            </w:pPr>
            <w:r w:rsidRPr="005071A1">
              <w:t>0.28</w:t>
            </w:r>
          </w:p>
        </w:tc>
      </w:tr>
      <w:tr w:rsidR="00B33542" w:rsidRPr="005071A1" w14:paraId="63AA0E6D" w14:textId="77777777" w:rsidTr="009B7AF5">
        <w:tc>
          <w:tcPr>
            <w:tcW w:w="3119" w:type="dxa"/>
            <w:shd w:val="clear" w:color="auto" w:fill="auto"/>
          </w:tcPr>
          <w:p w14:paraId="59A96A58" w14:textId="77777777" w:rsidR="00B33542" w:rsidRPr="005071A1" w:rsidRDefault="00B33542" w:rsidP="009B7AF5">
            <w:pPr>
              <w:pStyle w:val="Tabletext"/>
            </w:pPr>
            <w:r w:rsidRPr="005071A1">
              <w:t>34</w:t>
            </w:r>
          </w:p>
        </w:tc>
        <w:tc>
          <w:tcPr>
            <w:tcW w:w="2693" w:type="dxa"/>
            <w:shd w:val="clear" w:color="auto" w:fill="auto"/>
          </w:tcPr>
          <w:p w14:paraId="5361A2A9" w14:textId="77777777" w:rsidR="00B33542" w:rsidRPr="005071A1" w:rsidRDefault="00B33542" w:rsidP="009B7AF5">
            <w:pPr>
              <w:pStyle w:val="Tabletext"/>
            </w:pPr>
            <w:r w:rsidRPr="005071A1">
              <w:t>0.30</w:t>
            </w:r>
          </w:p>
        </w:tc>
      </w:tr>
      <w:tr w:rsidR="00B33542" w:rsidRPr="005071A1" w14:paraId="2138533D" w14:textId="77777777" w:rsidTr="009B7AF5">
        <w:tc>
          <w:tcPr>
            <w:tcW w:w="3119" w:type="dxa"/>
            <w:shd w:val="clear" w:color="auto" w:fill="auto"/>
          </w:tcPr>
          <w:p w14:paraId="0DF84E0F" w14:textId="77777777" w:rsidR="00B33542" w:rsidRPr="005071A1" w:rsidRDefault="00B33542" w:rsidP="009B7AF5">
            <w:pPr>
              <w:pStyle w:val="Tabletext"/>
            </w:pPr>
            <w:r w:rsidRPr="005071A1">
              <w:t>35</w:t>
            </w:r>
          </w:p>
        </w:tc>
        <w:tc>
          <w:tcPr>
            <w:tcW w:w="2693" w:type="dxa"/>
            <w:shd w:val="clear" w:color="auto" w:fill="auto"/>
          </w:tcPr>
          <w:p w14:paraId="09D73C7E" w14:textId="77777777" w:rsidR="00B33542" w:rsidRPr="005071A1" w:rsidRDefault="00B33542" w:rsidP="009B7AF5">
            <w:pPr>
              <w:pStyle w:val="Tabletext"/>
            </w:pPr>
            <w:r w:rsidRPr="005071A1">
              <w:t>0.32</w:t>
            </w:r>
          </w:p>
        </w:tc>
      </w:tr>
      <w:tr w:rsidR="00B33542" w:rsidRPr="005071A1" w14:paraId="47428BEF" w14:textId="77777777" w:rsidTr="009B7AF5">
        <w:tc>
          <w:tcPr>
            <w:tcW w:w="3119" w:type="dxa"/>
            <w:shd w:val="clear" w:color="auto" w:fill="auto"/>
          </w:tcPr>
          <w:p w14:paraId="08DE1E1C" w14:textId="77777777" w:rsidR="00B33542" w:rsidRPr="005071A1" w:rsidRDefault="00B33542" w:rsidP="009B7AF5">
            <w:pPr>
              <w:pStyle w:val="Tabletext"/>
            </w:pPr>
            <w:r w:rsidRPr="005071A1">
              <w:t>36</w:t>
            </w:r>
          </w:p>
        </w:tc>
        <w:tc>
          <w:tcPr>
            <w:tcW w:w="2693" w:type="dxa"/>
            <w:shd w:val="clear" w:color="auto" w:fill="auto"/>
          </w:tcPr>
          <w:p w14:paraId="4C35CE92" w14:textId="77777777" w:rsidR="00B33542" w:rsidRPr="005071A1" w:rsidRDefault="00B33542" w:rsidP="009B7AF5">
            <w:pPr>
              <w:pStyle w:val="Tabletext"/>
            </w:pPr>
            <w:r w:rsidRPr="005071A1">
              <w:t>0.35</w:t>
            </w:r>
          </w:p>
        </w:tc>
      </w:tr>
      <w:tr w:rsidR="00B33542" w:rsidRPr="005071A1" w14:paraId="57702A9C" w14:textId="77777777" w:rsidTr="009B7AF5">
        <w:tc>
          <w:tcPr>
            <w:tcW w:w="3119" w:type="dxa"/>
            <w:shd w:val="clear" w:color="auto" w:fill="auto"/>
          </w:tcPr>
          <w:p w14:paraId="5EFF21F2" w14:textId="77777777" w:rsidR="00B33542" w:rsidRPr="005071A1" w:rsidRDefault="00B33542" w:rsidP="009B7AF5">
            <w:pPr>
              <w:pStyle w:val="Tabletext"/>
            </w:pPr>
            <w:r w:rsidRPr="005071A1">
              <w:t>37</w:t>
            </w:r>
          </w:p>
        </w:tc>
        <w:tc>
          <w:tcPr>
            <w:tcW w:w="2693" w:type="dxa"/>
            <w:shd w:val="clear" w:color="auto" w:fill="auto"/>
          </w:tcPr>
          <w:p w14:paraId="7CC61DBF" w14:textId="77777777" w:rsidR="00B33542" w:rsidRPr="005071A1" w:rsidRDefault="00B33542" w:rsidP="009B7AF5">
            <w:pPr>
              <w:pStyle w:val="Tabletext"/>
            </w:pPr>
            <w:r w:rsidRPr="005071A1">
              <w:t>0.37</w:t>
            </w:r>
          </w:p>
        </w:tc>
      </w:tr>
      <w:tr w:rsidR="00B33542" w:rsidRPr="005071A1" w14:paraId="692247CE" w14:textId="77777777" w:rsidTr="009B7AF5">
        <w:tc>
          <w:tcPr>
            <w:tcW w:w="3119" w:type="dxa"/>
            <w:shd w:val="clear" w:color="auto" w:fill="auto"/>
          </w:tcPr>
          <w:p w14:paraId="051F9730" w14:textId="77777777" w:rsidR="00B33542" w:rsidRPr="005071A1" w:rsidRDefault="00B33542" w:rsidP="009B7AF5">
            <w:pPr>
              <w:pStyle w:val="Tabletext"/>
            </w:pPr>
            <w:r w:rsidRPr="005071A1">
              <w:t>38</w:t>
            </w:r>
          </w:p>
        </w:tc>
        <w:tc>
          <w:tcPr>
            <w:tcW w:w="2693" w:type="dxa"/>
            <w:shd w:val="clear" w:color="auto" w:fill="auto"/>
          </w:tcPr>
          <w:p w14:paraId="27F7D139" w14:textId="77777777" w:rsidR="00B33542" w:rsidRPr="005071A1" w:rsidRDefault="00B33542" w:rsidP="009B7AF5">
            <w:pPr>
              <w:pStyle w:val="Tabletext"/>
            </w:pPr>
            <w:r w:rsidRPr="005071A1">
              <w:t>0.40</w:t>
            </w:r>
          </w:p>
        </w:tc>
      </w:tr>
      <w:tr w:rsidR="00B33542" w:rsidRPr="005071A1" w14:paraId="4D3178F9" w14:textId="77777777" w:rsidTr="009B7AF5">
        <w:tc>
          <w:tcPr>
            <w:tcW w:w="3119" w:type="dxa"/>
            <w:shd w:val="clear" w:color="auto" w:fill="auto"/>
          </w:tcPr>
          <w:p w14:paraId="63298A57" w14:textId="77777777" w:rsidR="00B33542" w:rsidRPr="005071A1" w:rsidRDefault="00B33542" w:rsidP="009B7AF5">
            <w:pPr>
              <w:pStyle w:val="Tabletext"/>
            </w:pPr>
            <w:r w:rsidRPr="005071A1">
              <w:t>39</w:t>
            </w:r>
          </w:p>
        </w:tc>
        <w:tc>
          <w:tcPr>
            <w:tcW w:w="2693" w:type="dxa"/>
            <w:shd w:val="clear" w:color="auto" w:fill="auto"/>
          </w:tcPr>
          <w:p w14:paraId="4BAD2A02" w14:textId="77777777" w:rsidR="00B33542" w:rsidRPr="005071A1" w:rsidRDefault="00B33542" w:rsidP="009B7AF5">
            <w:pPr>
              <w:pStyle w:val="Tabletext"/>
            </w:pPr>
            <w:r w:rsidRPr="005071A1">
              <w:t>0.42</w:t>
            </w:r>
          </w:p>
        </w:tc>
      </w:tr>
      <w:tr w:rsidR="00B33542" w:rsidRPr="005071A1" w14:paraId="3FA12AD7" w14:textId="77777777" w:rsidTr="009B7AF5">
        <w:tc>
          <w:tcPr>
            <w:tcW w:w="3119" w:type="dxa"/>
            <w:shd w:val="clear" w:color="auto" w:fill="auto"/>
          </w:tcPr>
          <w:p w14:paraId="7DFAD806" w14:textId="77777777" w:rsidR="00B33542" w:rsidRPr="005071A1" w:rsidRDefault="00B33542" w:rsidP="009B7AF5">
            <w:pPr>
              <w:pStyle w:val="Tabletext"/>
            </w:pPr>
            <w:r w:rsidRPr="005071A1">
              <w:t>40</w:t>
            </w:r>
          </w:p>
        </w:tc>
        <w:tc>
          <w:tcPr>
            <w:tcW w:w="2693" w:type="dxa"/>
            <w:shd w:val="clear" w:color="auto" w:fill="auto"/>
          </w:tcPr>
          <w:p w14:paraId="1B3E49C7" w14:textId="77777777" w:rsidR="00B33542" w:rsidRPr="005071A1" w:rsidRDefault="00B33542" w:rsidP="009B7AF5">
            <w:pPr>
              <w:pStyle w:val="Tabletext"/>
            </w:pPr>
            <w:r w:rsidRPr="005071A1">
              <w:t>0.46</w:t>
            </w:r>
          </w:p>
        </w:tc>
      </w:tr>
      <w:tr w:rsidR="00B33542" w:rsidRPr="005071A1" w14:paraId="04B1703C" w14:textId="77777777" w:rsidTr="009B7AF5">
        <w:tc>
          <w:tcPr>
            <w:tcW w:w="3119" w:type="dxa"/>
            <w:shd w:val="clear" w:color="auto" w:fill="auto"/>
          </w:tcPr>
          <w:p w14:paraId="24F541E4" w14:textId="77777777" w:rsidR="00B33542" w:rsidRPr="005071A1" w:rsidRDefault="00B33542" w:rsidP="009B7AF5">
            <w:pPr>
              <w:pStyle w:val="Tabletext"/>
            </w:pPr>
            <w:r w:rsidRPr="005071A1">
              <w:t>41</w:t>
            </w:r>
          </w:p>
        </w:tc>
        <w:tc>
          <w:tcPr>
            <w:tcW w:w="2693" w:type="dxa"/>
            <w:shd w:val="clear" w:color="auto" w:fill="auto"/>
          </w:tcPr>
          <w:p w14:paraId="6FED7BC0" w14:textId="77777777" w:rsidR="00B33542" w:rsidRPr="005071A1" w:rsidRDefault="00B33542" w:rsidP="009B7AF5">
            <w:pPr>
              <w:pStyle w:val="Tabletext"/>
            </w:pPr>
            <w:r w:rsidRPr="005071A1">
              <w:t>0.49</w:t>
            </w:r>
          </w:p>
        </w:tc>
      </w:tr>
      <w:tr w:rsidR="00B33542" w:rsidRPr="005071A1" w14:paraId="16576798" w14:textId="77777777" w:rsidTr="009B7AF5">
        <w:tc>
          <w:tcPr>
            <w:tcW w:w="3119" w:type="dxa"/>
            <w:shd w:val="clear" w:color="auto" w:fill="auto"/>
          </w:tcPr>
          <w:p w14:paraId="262B6E76" w14:textId="77777777" w:rsidR="00B33542" w:rsidRPr="005071A1" w:rsidRDefault="00B33542" w:rsidP="009B7AF5">
            <w:pPr>
              <w:pStyle w:val="Tabletext"/>
            </w:pPr>
            <w:r w:rsidRPr="005071A1">
              <w:t>42</w:t>
            </w:r>
          </w:p>
        </w:tc>
        <w:tc>
          <w:tcPr>
            <w:tcW w:w="2693" w:type="dxa"/>
            <w:shd w:val="clear" w:color="auto" w:fill="auto"/>
          </w:tcPr>
          <w:p w14:paraId="6B397556" w14:textId="77777777" w:rsidR="00B33542" w:rsidRPr="005071A1" w:rsidRDefault="00B33542" w:rsidP="009B7AF5">
            <w:pPr>
              <w:pStyle w:val="Tabletext"/>
            </w:pPr>
            <w:r w:rsidRPr="005071A1">
              <w:t>0.53</w:t>
            </w:r>
          </w:p>
        </w:tc>
      </w:tr>
      <w:tr w:rsidR="00B33542" w:rsidRPr="005071A1" w14:paraId="271CD43C" w14:textId="77777777" w:rsidTr="009B7AF5">
        <w:tc>
          <w:tcPr>
            <w:tcW w:w="3119" w:type="dxa"/>
            <w:shd w:val="clear" w:color="auto" w:fill="auto"/>
          </w:tcPr>
          <w:p w14:paraId="322DF5BB" w14:textId="77777777" w:rsidR="00B33542" w:rsidRPr="005071A1" w:rsidRDefault="00B33542" w:rsidP="009B7AF5">
            <w:pPr>
              <w:pStyle w:val="Tabletext"/>
            </w:pPr>
            <w:r w:rsidRPr="005071A1">
              <w:t>43</w:t>
            </w:r>
          </w:p>
        </w:tc>
        <w:tc>
          <w:tcPr>
            <w:tcW w:w="2693" w:type="dxa"/>
            <w:shd w:val="clear" w:color="auto" w:fill="auto"/>
          </w:tcPr>
          <w:p w14:paraId="2838D3A9" w14:textId="77777777" w:rsidR="00B33542" w:rsidRPr="005071A1" w:rsidRDefault="00B33542" w:rsidP="009B7AF5">
            <w:pPr>
              <w:pStyle w:val="Tabletext"/>
            </w:pPr>
            <w:r w:rsidRPr="005071A1">
              <w:t>0.57</w:t>
            </w:r>
          </w:p>
        </w:tc>
      </w:tr>
      <w:tr w:rsidR="00B33542" w:rsidRPr="005071A1" w14:paraId="5D0040C5" w14:textId="77777777" w:rsidTr="009B7AF5">
        <w:tc>
          <w:tcPr>
            <w:tcW w:w="3119" w:type="dxa"/>
            <w:shd w:val="clear" w:color="auto" w:fill="auto"/>
          </w:tcPr>
          <w:p w14:paraId="1806D379" w14:textId="77777777" w:rsidR="00B33542" w:rsidRPr="005071A1" w:rsidRDefault="00B33542" w:rsidP="009B7AF5">
            <w:pPr>
              <w:pStyle w:val="Tabletext"/>
            </w:pPr>
            <w:r w:rsidRPr="005071A1">
              <w:t>44</w:t>
            </w:r>
          </w:p>
        </w:tc>
        <w:tc>
          <w:tcPr>
            <w:tcW w:w="2693" w:type="dxa"/>
            <w:shd w:val="clear" w:color="auto" w:fill="auto"/>
          </w:tcPr>
          <w:p w14:paraId="58EB7BFB" w14:textId="77777777" w:rsidR="00B33542" w:rsidRPr="005071A1" w:rsidRDefault="00B33542" w:rsidP="009B7AF5">
            <w:pPr>
              <w:pStyle w:val="Tabletext"/>
            </w:pPr>
            <w:r w:rsidRPr="005071A1">
              <w:t>0.62</w:t>
            </w:r>
          </w:p>
        </w:tc>
      </w:tr>
      <w:tr w:rsidR="00B33542" w:rsidRPr="005071A1" w14:paraId="7D408240" w14:textId="77777777" w:rsidTr="009B7AF5">
        <w:tc>
          <w:tcPr>
            <w:tcW w:w="3119" w:type="dxa"/>
            <w:shd w:val="clear" w:color="auto" w:fill="auto"/>
          </w:tcPr>
          <w:p w14:paraId="6DC1B7AE" w14:textId="77777777" w:rsidR="00B33542" w:rsidRPr="005071A1" w:rsidRDefault="00B33542" w:rsidP="009B7AF5">
            <w:pPr>
              <w:pStyle w:val="Tabletext"/>
            </w:pPr>
            <w:r w:rsidRPr="005071A1">
              <w:t>45</w:t>
            </w:r>
          </w:p>
        </w:tc>
        <w:tc>
          <w:tcPr>
            <w:tcW w:w="2693" w:type="dxa"/>
            <w:shd w:val="clear" w:color="auto" w:fill="auto"/>
          </w:tcPr>
          <w:p w14:paraId="3BB0808D" w14:textId="77777777" w:rsidR="00B33542" w:rsidRPr="005071A1" w:rsidRDefault="00B33542" w:rsidP="009B7AF5">
            <w:pPr>
              <w:pStyle w:val="Tabletext"/>
            </w:pPr>
            <w:r w:rsidRPr="005071A1">
              <w:t>0.68</w:t>
            </w:r>
          </w:p>
        </w:tc>
      </w:tr>
      <w:tr w:rsidR="00B33542" w:rsidRPr="005071A1" w14:paraId="1367F61F" w14:textId="77777777" w:rsidTr="009B7AF5">
        <w:tc>
          <w:tcPr>
            <w:tcW w:w="3119" w:type="dxa"/>
            <w:shd w:val="clear" w:color="auto" w:fill="auto"/>
          </w:tcPr>
          <w:p w14:paraId="2ED1DA12" w14:textId="77777777" w:rsidR="00B33542" w:rsidRPr="005071A1" w:rsidRDefault="00B33542" w:rsidP="009B7AF5">
            <w:pPr>
              <w:pStyle w:val="Tabletext"/>
            </w:pPr>
            <w:r w:rsidRPr="005071A1">
              <w:t>46</w:t>
            </w:r>
          </w:p>
        </w:tc>
        <w:tc>
          <w:tcPr>
            <w:tcW w:w="2693" w:type="dxa"/>
            <w:shd w:val="clear" w:color="auto" w:fill="auto"/>
          </w:tcPr>
          <w:p w14:paraId="43A7B217" w14:textId="77777777" w:rsidR="00B33542" w:rsidRPr="005071A1" w:rsidRDefault="00B33542" w:rsidP="009B7AF5">
            <w:pPr>
              <w:pStyle w:val="Tabletext"/>
            </w:pPr>
            <w:r w:rsidRPr="005071A1">
              <w:t>0.75</w:t>
            </w:r>
          </w:p>
        </w:tc>
      </w:tr>
      <w:tr w:rsidR="00B33542" w:rsidRPr="005071A1" w14:paraId="2F75CA60" w14:textId="77777777" w:rsidTr="009B7AF5">
        <w:tc>
          <w:tcPr>
            <w:tcW w:w="3119" w:type="dxa"/>
            <w:shd w:val="clear" w:color="auto" w:fill="auto"/>
          </w:tcPr>
          <w:p w14:paraId="1659CDF8" w14:textId="77777777" w:rsidR="00B33542" w:rsidRPr="005071A1" w:rsidRDefault="00B33542" w:rsidP="009B7AF5">
            <w:pPr>
              <w:pStyle w:val="Tabletext"/>
            </w:pPr>
            <w:r w:rsidRPr="005071A1">
              <w:t>47</w:t>
            </w:r>
          </w:p>
        </w:tc>
        <w:tc>
          <w:tcPr>
            <w:tcW w:w="2693" w:type="dxa"/>
            <w:shd w:val="clear" w:color="auto" w:fill="auto"/>
          </w:tcPr>
          <w:p w14:paraId="0E3F5A3F" w14:textId="77777777" w:rsidR="00B33542" w:rsidRPr="005071A1" w:rsidRDefault="00B33542" w:rsidP="009B7AF5">
            <w:pPr>
              <w:pStyle w:val="Tabletext"/>
            </w:pPr>
            <w:r w:rsidRPr="005071A1">
              <w:t>0.82</w:t>
            </w:r>
          </w:p>
        </w:tc>
      </w:tr>
      <w:tr w:rsidR="00B33542" w:rsidRPr="005071A1" w14:paraId="4DE7F2F9" w14:textId="77777777" w:rsidTr="009B7AF5">
        <w:tc>
          <w:tcPr>
            <w:tcW w:w="3119" w:type="dxa"/>
            <w:shd w:val="clear" w:color="auto" w:fill="auto"/>
          </w:tcPr>
          <w:p w14:paraId="54E19426" w14:textId="77777777" w:rsidR="00B33542" w:rsidRPr="005071A1" w:rsidRDefault="00B33542" w:rsidP="009B7AF5">
            <w:pPr>
              <w:pStyle w:val="Tabletext"/>
            </w:pPr>
            <w:r w:rsidRPr="005071A1">
              <w:t>48</w:t>
            </w:r>
          </w:p>
        </w:tc>
        <w:tc>
          <w:tcPr>
            <w:tcW w:w="2693" w:type="dxa"/>
            <w:shd w:val="clear" w:color="auto" w:fill="auto"/>
          </w:tcPr>
          <w:p w14:paraId="6CFD5663" w14:textId="77777777" w:rsidR="00B33542" w:rsidRPr="005071A1" w:rsidRDefault="00B33542" w:rsidP="009B7AF5">
            <w:pPr>
              <w:pStyle w:val="Tabletext"/>
            </w:pPr>
            <w:r w:rsidRPr="005071A1">
              <w:t>0.90</w:t>
            </w:r>
          </w:p>
        </w:tc>
      </w:tr>
      <w:tr w:rsidR="00B33542" w:rsidRPr="005071A1" w14:paraId="19D96E9E" w14:textId="77777777" w:rsidTr="009B7AF5">
        <w:tc>
          <w:tcPr>
            <w:tcW w:w="3119" w:type="dxa"/>
            <w:shd w:val="clear" w:color="auto" w:fill="auto"/>
          </w:tcPr>
          <w:p w14:paraId="56612095" w14:textId="77777777" w:rsidR="00B33542" w:rsidRPr="005071A1" w:rsidRDefault="00B33542" w:rsidP="009B7AF5">
            <w:pPr>
              <w:pStyle w:val="Tabletext"/>
            </w:pPr>
            <w:r w:rsidRPr="005071A1">
              <w:t>49</w:t>
            </w:r>
          </w:p>
        </w:tc>
        <w:tc>
          <w:tcPr>
            <w:tcW w:w="2693" w:type="dxa"/>
            <w:shd w:val="clear" w:color="auto" w:fill="auto"/>
          </w:tcPr>
          <w:p w14:paraId="672BE412" w14:textId="77777777" w:rsidR="00B33542" w:rsidRPr="005071A1" w:rsidRDefault="00B33542" w:rsidP="009B7AF5">
            <w:pPr>
              <w:pStyle w:val="Tabletext"/>
            </w:pPr>
            <w:r w:rsidRPr="005071A1">
              <w:t>1.01</w:t>
            </w:r>
          </w:p>
        </w:tc>
      </w:tr>
      <w:tr w:rsidR="00B33542" w:rsidRPr="005071A1" w14:paraId="194E6C06" w14:textId="77777777" w:rsidTr="009B7AF5">
        <w:tc>
          <w:tcPr>
            <w:tcW w:w="3119" w:type="dxa"/>
            <w:shd w:val="clear" w:color="auto" w:fill="auto"/>
          </w:tcPr>
          <w:p w14:paraId="45756257" w14:textId="77777777" w:rsidR="00B33542" w:rsidRPr="005071A1" w:rsidRDefault="00B33542" w:rsidP="009B7AF5">
            <w:pPr>
              <w:pStyle w:val="Tabletext"/>
            </w:pPr>
            <w:r w:rsidRPr="005071A1">
              <w:t>50</w:t>
            </w:r>
          </w:p>
        </w:tc>
        <w:tc>
          <w:tcPr>
            <w:tcW w:w="2693" w:type="dxa"/>
            <w:shd w:val="clear" w:color="auto" w:fill="auto"/>
          </w:tcPr>
          <w:p w14:paraId="434A6D43" w14:textId="77777777" w:rsidR="00B33542" w:rsidRPr="005071A1" w:rsidRDefault="00B33542" w:rsidP="009B7AF5">
            <w:pPr>
              <w:pStyle w:val="Tabletext"/>
            </w:pPr>
            <w:r w:rsidRPr="005071A1">
              <w:t>1.13</w:t>
            </w:r>
          </w:p>
        </w:tc>
      </w:tr>
      <w:tr w:rsidR="00B33542" w:rsidRPr="005071A1" w14:paraId="0827DF12" w14:textId="77777777" w:rsidTr="009B7AF5">
        <w:tc>
          <w:tcPr>
            <w:tcW w:w="3119" w:type="dxa"/>
            <w:shd w:val="clear" w:color="auto" w:fill="auto"/>
          </w:tcPr>
          <w:p w14:paraId="7092DCFF" w14:textId="77777777" w:rsidR="00B33542" w:rsidRPr="005071A1" w:rsidRDefault="00B33542" w:rsidP="009B7AF5">
            <w:pPr>
              <w:pStyle w:val="Tabletext"/>
            </w:pPr>
            <w:r w:rsidRPr="005071A1">
              <w:t>51</w:t>
            </w:r>
          </w:p>
        </w:tc>
        <w:tc>
          <w:tcPr>
            <w:tcW w:w="2693" w:type="dxa"/>
            <w:shd w:val="clear" w:color="auto" w:fill="auto"/>
          </w:tcPr>
          <w:p w14:paraId="4D351307" w14:textId="77777777" w:rsidR="00B33542" w:rsidRPr="005071A1" w:rsidRDefault="00B33542" w:rsidP="009B7AF5">
            <w:pPr>
              <w:pStyle w:val="Tabletext"/>
            </w:pPr>
            <w:r w:rsidRPr="005071A1">
              <w:t>1.28</w:t>
            </w:r>
          </w:p>
        </w:tc>
      </w:tr>
      <w:tr w:rsidR="00B33542" w:rsidRPr="005071A1" w14:paraId="0188BE72" w14:textId="77777777" w:rsidTr="009B7AF5">
        <w:tc>
          <w:tcPr>
            <w:tcW w:w="3119" w:type="dxa"/>
            <w:shd w:val="clear" w:color="auto" w:fill="auto"/>
          </w:tcPr>
          <w:p w14:paraId="7CA55BC0" w14:textId="77777777" w:rsidR="00B33542" w:rsidRPr="005071A1" w:rsidRDefault="00B33542" w:rsidP="009B7AF5">
            <w:pPr>
              <w:pStyle w:val="Tabletext"/>
            </w:pPr>
            <w:r w:rsidRPr="005071A1">
              <w:t>52</w:t>
            </w:r>
          </w:p>
        </w:tc>
        <w:tc>
          <w:tcPr>
            <w:tcW w:w="2693" w:type="dxa"/>
            <w:shd w:val="clear" w:color="auto" w:fill="auto"/>
          </w:tcPr>
          <w:p w14:paraId="6EBDC703" w14:textId="77777777" w:rsidR="00B33542" w:rsidRPr="005071A1" w:rsidRDefault="00B33542" w:rsidP="009B7AF5">
            <w:pPr>
              <w:pStyle w:val="Tabletext"/>
            </w:pPr>
            <w:r w:rsidRPr="005071A1">
              <w:t>1.46</w:t>
            </w:r>
          </w:p>
        </w:tc>
      </w:tr>
      <w:tr w:rsidR="00B33542" w:rsidRPr="005071A1" w14:paraId="0333A0E7" w14:textId="77777777" w:rsidTr="009B7AF5">
        <w:tc>
          <w:tcPr>
            <w:tcW w:w="3119" w:type="dxa"/>
            <w:shd w:val="clear" w:color="auto" w:fill="auto"/>
          </w:tcPr>
          <w:p w14:paraId="75FED4BB" w14:textId="77777777" w:rsidR="00B33542" w:rsidRPr="005071A1" w:rsidRDefault="00B33542" w:rsidP="009B7AF5">
            <w:pPr>
              <w:pStyle w:val="Tabletext"/>
            </w:pPr>
            <w:r w:rsidRPr="005071A1">
              <w:t>53</w:t>
            </w:r>
          </w:p>
        </w:tc>
        <w:tc>
          <w:tcPr>
            <w:tcW w:w="2693" w:type="dxa"/>
            <w:shd w:val="clear" w:color="auto" w:fill="auto"/>
          </w:tcPr>
          <w:p w14:paraId="4C34086A" w14:textId="77777777" w:rsidR="00B33542" w:rsidRPr="005071A1" w:rsidRDefault="00B33542" w:rsidP="009B7AF5">
            <w:pPr>
              <w:pStyle w:val="Tabletext"/>
            </w:pPr>
            <w:r w:rsidRPr="005071A1">
              <w:t>1.70</w:t>
            </w:r>
          </w:p>
        </w:tc>
      </w:tr>
      <w:tr w:rsidR="00B33542" w:rsidRPr="005071A1" w14:paraId="4839A704" w14:textId="77777777" w:rsidTr="009B7AF5">
        <w:tc>
          <w:tcPr>
            <w:tcW w:w="3119" w:type="dxa"/>
            <w:shd w:val="clear" w:color="auto" w:fill="auto"/>
          </w:tcPr>
          <w:p w14:paraId="6EB081F3" w14:textId="77777777" w:rsidR="00B33542" w:rsidRPr="005071A1" w:rsidRDefault="00B33542" w:rsidP="009B7AF5">
            <w:pPr>
              <w:pStyle w:val="Tabletext"/>
            </w:pPr>
            <w:r w:rsidRPr="005071A1">
              <w:t>54</w:t>
            </w:r>
          </w:p>
        </w:tc>
        <w:tc>
          <w:tcPr>
            <w:tcW w:w="2693" w:type="dxa"/>
            <w:shd w:val="clear" w:color="auto" w:fill="auto"/>
          </w:tcPr>
          <w:p w14:paraId="047644CA" w14:textId="77777777" w:rsidR="00B33542" w:rsidRPr="005071A1" w:rsidRDefault="00B33542" w:rsidP="009B7AF5">
            <w:pPr>
              <w:pStyle w:val="Tabletext"/>
            </w:pPr>
            <w:r w:rsidRPr="005071A1">
              <w:t>2.01</w:t>
            </w:r>
          </w:p>
        </w:tc>
      </w:tr>
      <w:tr w:rsidR="00B33542" w:rsidRPr="005071A1" w14:paraId="166D0C16" w14:textId="77777777" w:rsidTr="009B7AF5">
        <w:tc>
          <w:tcPr>
            <w:tcW w:w="3119" w:type="dxa"/>
            <w:shd w:val="clear" w:color="auto" w:fill="auto"/>
          </w:tcPr>
          <w:p w14:paraId="66C90FAE" w14:textId="77777777" w:rsidR="00B33542" w:rsidRPr="005071A1" w:rsidRDefault="00B33542" w:rsidP="009B7AF5">
            <w:pPr>
              <w:pStyle w:val="Tabletext"/>
            </w:pPr>
            <w:r w:rsidRPr="005071A1">
              <w:t>55</w:t>
            </w:r>
          </w:p>
        </w:tc>
        <w:tc>
          <w:tcPr>
            <w:tcW w:w="2693" w:type="dxa"/>
            <w:shd w:val="clear" w:color="auto" w:fill="auto"/>
          </w:tcPr>
          <w:p w14:paraId="4A6B6E23" w14:textId="77777777" w:rsidR="00B33542" w:rsidRPr="005071A1" w:rsidRDefault="00B33542" w:rsidP="009B7AF5">
            <w:pPr>
              <w:pStyle w:val="Tabletext"/>
            </w:pPr>
            <w:r w:rsidRPr="005071A1">
              <w:t>2.45</w:t>
            </w:r>
          </w:p>
        </w:tc>
      </w:tr>
      <w:tr w:rsidR="00B33542" w:rsidRPr="005071A1" w14:paraId="33E11DAF" w14:textId="77777777" w:rsidTr="009B7AF5">
        <w:tc>
          <w:tcPr>
            <w:tcW w:w="3119" w:type="dxa"/>
            <w:shd w:val="clear" w:color="auto" w:fill="auto"/>
          </w:tcPr>
          <w:p w14:paraId="70755386" w14:textId="77777777" w:rsidR="00B33542" w:rsidRPr="005071A1" w:rsidRDefault="00B33542" w:rsidP="009B7AF5">
            <w:pPr>
              <w:pStyle w:val="Tabletext"/>
            </w:pPr>
            <w:r w:rsidRPr="005071A1">
              <w:t>56</w:t>
            </w:r>
          </w:p>
        </w:tc>
        <w:tc>
          <w:tcPr>
            <w:tcW w:w="2693" w:type="dxa"/>
            <w:shd w:val="clear" w:color="auto" w:fill="auto"/>
          </w:tcPr>
          <w:p w14:paraId="601229F9" w14:textId="77777777" w:rsidR="00B33542" w:rsidRPr="005071A1" w:rsidRDefault="00B33542" w:rsidP="009B7AF5">
            <w:pPr>
              <w:pStyle w:val="Tabletext"/>
            </w:pPr>
            <w:r w:rsidRPr="005071A1">
              <w:t>3.10</w:t>
            </w:r>
          </w:p>
        </w:tc>
      </w:tr>
      <w:tr w:rsidR="00B33542" w:rsidRPr="005071A1" w14:paraId="52660F04" w14:textId="77777777" w:rsidTr="009B7AF5">
        <w:tc>
          <w:tcPr>
            <w:tcW w:w="3119" w:type="dxa"/>
            <w:shd w:val="clear" w:color="auto" w:fill="auto"/>
          </w:tcPr>
          <w:p w14:paraId="5E3C8F73" w14:textId="77777777" w:rsidR="00B33542" w:rsidRPr="005071A1" w:rsidRDefault="00B33542" w:rsidP="009B7AF5">
            <w:pPr>
              <w:pStyle w:val="Tabletext"/>
            </w:pPr>
            <w:r w:rsidRPr="005071A1">
              <w:t>57</w:t>
            </w:r>
          </w:p>
        </w:tc>
        <w:tc>
          <w:tcPr>
            <w:tcW w:w="2693" w:type="dxa"/>
            <w:shd w:val="clear" w:color="auto" w:fill="auto"/>
          </w:tcPr>
          <w:p w14:paraId="5458168D" w14:textId="77777777" w:rsidR="00B33542" w:rsidRPr="005071A1" w:rsidRDefault="00B33542" w:rsidP="009B7AF5">
            <w:pPr>
              <w:pStyle w:val="Tabletext"/>
            </w:pPr>
            <w:r w:rsidRPr="005071A1">
              <w:t>4.17</w:t>
            </w:r>
          </w:p>
        </w:tc>
      </w:tr>
      <w:tr w:rsidR="00B33542" w:rsidRPr="005071A1" w14:paraId="6B476452" w14:textId="77777777" w:rsidTr="009B7AF5">
        <w:tc>
          <w:tcPr>
            <w:tcW w:w="3119" w:type="dxa"/>
            <w:shd w:val="clear" w:color="auto" w:fill="auto"/>
          </w:tcPr>
          <w:p w14:paraId="305AE698" w14:textId="77777777" w:rsidR="00B33542" w:rsidRPr="005071A1" w:rsidRDefault="00B33542" w:rsidP="009B7AF5">
            <w:pPr>
              <w:pStyle w:val="Tabletext"/>
            </w:pPr>
            <w:r w:rsidRPr="005071A1">
              <w:lastRenderedPageBreak/>
              <w:t>58</w:t>
            </w:r>
          </w:p>
        </w:tc>
        <w:tc>
          <w:tcPr>
            <w:tcW w:w="2693" w:type="dxa"/>
            <w:shd w:val="clear" w:color="auto" w:fill="auto"/>
          </w:tcPr>
          <w:p w14:paraId="2A4D1C67" w14:textId="77777777" w:rsidR="00B33542" w:rsidRPr="005071A1" w:rsidRDefault="00B33542" w:rsidP="009B7AF5">
            <w:pPr>
              <w:pStyle w:val="Tabletext"/>
            </w:pPr>
            <w:r w:rsidRPr="005071A1">
              <w:t>6.30</w:t>
            </w:r>
          </w:p>
        </w:tc>
      </w:tr>
      <w:tr w:rsidR="00B33542" w:rsidRPr="005071A1" w14:paraId="16354811" w14:textId="77777777" w:rsidTr="009B7AF5">
        <w:tc>
          <w:tcPr>
            <w:tcW w:w="3119" w:type="dxa"/>
            <w:tcBorders>
              <w:bottom w:val="single" w:sz="4" w:space="0" w:color="auto"/>
            </w:tcBorders>
            <w:shd w:val="clear" w:color="auto" w:fill="auto"/>
          </w:tcPr>
          <w:p w14:paraId="2CE093E1" w14:textId="77777777" w:rsidR="00B33542" w:rsidRPr="005071A1" w:rsidRDefault="00B33542" w:rsidP="009B7AF5">
            <w:pPr>
              <w:pStyle w:val="Tabletext"/>
            </w:pPr>
            <w:r w:rsidRPr="005071A1">
              <w:t>59</w:t>
            </w:r>
          </w:p>
        </w:tc>
        <w:tc>
          <w:tcPr>
            <w:tcW w:w="2693" w:type="dxa"/>
            <w:tcBorders>
              <w:bottom w:val="single" w:sz="4" w:space="0" w:color="auto"/>
            </w:tcBorders>
            <w:shd w:val="clear" w:color="auto" w:fill="auto"/>
          </w:tcPr>
          <w:p w14:paraId="3E95DC68" w14:textId="77777777" w:rsidR="00B33542" w:rsidRPr="005071A1" w:rsidRDefault="00B33542" w:rsidP="009B7AF5">
            <w:pPr>
              <w:pStyle w:val="Tabletext"/>
            </w:pPr>
            <w:r w:rsidRPr="005071A1">
              <w:t>12.58</w:t>
            </w:r>
          </w:p>
        </w:tc>
      </w:tr>
      <w:tr w:rsidR="00B33542" w:rsidRPr="005071A1" w14:paraId="100B78C9" w14:textId="77777777" w:rsidTr="009B7AF5">
        <w:tc>
          <w:tcPr>
            <w:tcW w:w="3119" w:type="dxa"/>
            <w:tcBorders>
              <w:bottom w:val="single" w:sz="12" w:space="0" w:color="auto"/>
            </w:tcBorders>
            <w:shd w:val="clear" w:color="auto" w:fill="auto"/>
          </w:tcPr>
          <w:p w14:paraId="151A7631" w14:textId="77777777" w:rsidR="00B33542" w:rsidRPr="005071A1" w:rsidRDefault="00B33542" w:rsidP="009B7AF5">
            <w:pPr>
              <w:pStyle w:val="Tabletext"/>
            </w:pPr>
            <w:r w:rsidRPr="005071A1">
              <w:t>60</w:t>
            </w:r>
          </w:p>
        </w:tc>
        <w:tc>
          <w:tcPr>
            <w:tcW w:w="2693" w:type="dxa"/>
            <w:tcBorders>
              <w:bottom w:val="single" w:sz="12" w:space="0" w:color="auto"/>
            </w:tcBorders>
            <w:shd w:val="clear" w:color="auto" w:fill="auto"/>
          </w:tcPr>
          <w:p w14:paraId="3334EA40" w14:textId="77777777" w:rsidR="00B33542" w:rsidRPr="005071A1" w:rsidRDefault="00B33542" w:rsidP="009B7AF5">
            <w:pPr>
              <w:pStyle w:val="Tabletext"/>
            </w:pPr>
            <w:r w:rsidRPr="005071A1">
              <w:t>13.45</w:t>
            </w:r>
          </w:p>
        </w:tc>
      </w:tr>
    </w:tbl>
    <w:p w14:paraId="23258133" w14:textId="77777777" w:rsidR="00B33542" w:rsidRPr="005071A1" w:rsidRDefault="00B33542" w:rsidP="00674A0D">
      <w:pPr>
        <w:pStyle w:val="ActHead5"/>
        <w:pageBreakBefore/>
      </w:pPr>
      <w:bookmarkStart w:id="305" w:name="_Toc185577687"/>
      <w:r w:rsidRPr="005071A1">
        <w:lastRenderedPageBreak/>
        <w:t>Table XVIII</w:t>
      </w:r>
      <w:bookmarkEnd w:id="305"/>
    </w:p>
    <w:p w14:paraId="70DA549F" w14:textId="77777777" w:rsidR="00B33542" w:rsidRPr="005071A1" w:rsidRDefault="00B33542" w:rsidP="00B33542">
      <w:pPr>
        <w:spacing w:before="120"/>
      </w:pPr>
      <w:r w:rsidRPr="005071A1">
        <w:t>Rates of contribution to be paid fortnightly by female contributors for units of pension where the obligation to contribute for those units had not come into existence before 1st July, 1962, based on a retiring age of 60 years and the age next birthday of the contributor when that obligation came or comes into existence</w:t>
      </w:r>
    </w:p>
    <w:p w14:paraId="02ED4277"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119"/>
        <w:gridCol w:w="2693"/>
      </w:tblGrid>
      <w:tr w:rsidR="00B33542" w:rsidRPr="005071A1" w14:paraId="3390183C" w14:textId="77777777" w:rsidTr="009B7AF5">
        <w:trPr>
          <w:tblHeader/>
        </w:trPr>
        <w:tc>
          <w:tcPr>
            <w:tcW w:w="3119" w:type="dxa"/>
            <w:tcBorders>
              <w:top w:val="single" w:sz="12" w:space="0" w:color="auto"/>
              <w:bottom w:val="single" w:sz="6" w:space="0" w:color="auto"/>
            </w:tcBorders>
            <w:shd w:val="clear" w:color="auto" w:fill="auto"/>
          </w:tcPr>
          <w:p w14:paraId="631B7584" w14:textId="77777777" w:rsidR="00B33542" w:rsidRPr="005071A1" w:rsidRDefault="00B33542" w:rsidP="00F07EE2">
            <w:pPr>
              <w:pStyle w:val="TableHeading"/>
            </w:pPr>
            <w:r w:rsidRPr="005071A1">
              <w:t>Column 1</w:t>
            </w:r>
          </w:p>
        </w:tc>
        <w:tc>
          <w:tcPr>
            <w:tcW w:w="2693" w:type="dxa"/>
            <w:tcBorders>
              <w:top w:val="single" w:sz="12" w:space="0" w:color="auto"/>
              <w:bottom w:val="single" w:sz="6" w:space="0" w:color="auto"/>
            </w:tcBorders>
            <w:shd w:val="clear" w:color="auto" w:fill="auto"/>
          </w:tcPr>
          <w:p w14:paraId="2F784231" w14:textId="77777777" w:rsidR="00B33542" w:rsidRPr="005071A1" w:rsidRDefault="00B33542" w:rsidP="00F07EE2">
            <w:pPr>
              <w:pStyle w:val="TableHeading"/>
            </w:pPr>
            <w:r w:rsidRPr="005071A1">
              <w:t>Column 2</w:t>
            </w:r>
          </w:p>
        </w:tc>
      </w:tr>
      <w:tr w:rsidR="00B33542" w:rsidRPr="005071A1" w14:paraId="4C0D1149" w14:textId="77777777" w:rsidTr="009B7AF5">
        <w:trPr>
          <w:tblHeader/>
        </w:trPr>
        <w:tc>
          <w:tcPr>
            <w:tcW w:w="3119" w:type="dxa"/>
            <w:tcBorders>
              <w:top w:val="single" w:sz="6" w:space="0" w:color="auto"/>
              <w:bottom w:val="single" w:sz="6" w:space="0" w:color="auto"/>
            </w:tcBorders>
            <w:shd w:val="clear" w:color="auto" w:fill="auto"/>
          </w:tcPr>
          <w:p w14:paraId="39FE85BF" w14:textId="77777777" w:rsidR="00B33542" w:rsidRPr="005071A1" w:rsidRDefault="00B33542" w:rsidP="00FE2F9A">
            <w:pPr>
              <w:pStyle w:val="TableHeading"/>
              <w:spacing w:before="40" w:after="40" w:line="180" w:lineRule="atLeast"/>
              <w:rPr>
                <w:sz w:val="16"/>
                <w:szCs w:val="16"/>
              </w:rPr>
            </w:pPr>
            <w:r w:rsidRPr="005071A1">
              <w:rPr>
                <w:sz w:val="16"/>
                <w:szCs w:val="16"/>
              </w:rPr>
              <w:br/>
              <w:t>Age next Birthday</w:t>
            </w:r>
          </w:p>
        </w:tc>
        <w:tc>
          <w:tcPr>
            <w:tcW w:w="2693" w:type="dxa"/>
            <w:tcBorders>
              <w:top w:val="single" w:sz="6" w:space="0" w:color="auto"/>
              <w:bottom w:val="single" w:sz="6" w:space="0" w:color="auto"/>
            </w:tcBorders>
            <w:shd w:val="clear" w:color="auto" w:fill="auto"/>
          </w:tcPr>
          <w:p w14:paraId="745DC2F4" w14:textId="77777777" w:rsidR="00B33542" w:rsidRPr="005071A1" w:rsidRDefault="00B33542" w:rsidP="00FE2F9A">
            <w:pPr>
              <w:pStyle w:val="TableHeading"/>
              <w:spacing w:before="40" w:after="40" w:line="180" w:lineRule="atLeast"/>
              <w:rPr>
                <w:sz w:val="16"/>
                <w:szCs w:val="16"/>
              </w:rPr>
            </w:pPr>
            <w:r w:rsidRPr="005071A1">
              <w:rPr>
                <w:sz w:val="16"/>
                <w:szCs w:val="16"/>
              </w:rPr>
              <w:t>Contribution</w:t>
            </w:r>
            <w:r w:rsidRPr="005071A1">
              <w:rPr>
                <w:sz w:val="16"/>
                <w:szCs w:val="16"/>
              </w:rPr>
              <w:br/>
              <w:t>for Each Unit</w:t>
            </w:r>
          </w:p>
        </w:tc>
      </w:tr>
      <w:tr w:rsidR="00B33542" w:rsidRPr="005071A1" w14:paraId="1CD88D26" w14:textId="77777777" w:rsidTr="009B7AF5">
        <w:trPr>
          <w:tblHeader/>
        </w:trPr>
        <w:tc>
          <w:tcPr>
            <w:tcW w:w="3119" w:type="dxa"/>
            <w:tcBorders>
              <w:top w:val="single" w:sz="6" w:space="0" w:color="auto"/>
              <w:bottom w:val="single" w:sz="12" w:space="0" w:color="auto"/>
            </w:tcBorders>
            <w:shd w:val="clear" w:color="auto" w:fill="auto"/>
          </w:tcPr>
          <w:p w14:paraId="2C5D0718" w14:textId="77777777" w:rsidR="00B33542" w:rsidRPr="005071A1" w:rsidRDefault="00B33542" w:rsidP="00F07EE2">
            <w:pPr>
              <w:pStyle w:val="TableHeading"/>
            </w:pPr>
          </w:p>
        </w:tc>
        <w:tc>
          <w:tcPr>
            <w:tcW w:w="2693" w:type="dxa"/>
            <w:tcBorders>
              <w:top w:val="single" w:sz="6" w:space="0" w:color="auto"/>
              <w:bottom w:val="single" w:sz="12" w:space="0" w:color="auto"/>
            </w:tcBorders>
            <w:shd w:val="clear" w:color="auto" w:fill="auto"/>
          </w:tcPr>
          <w:p w14:paraId="07E5FAF0" w14:textId="77777777" w:rsidR="00B33542" w:rsidRPr="005071A1" w:rsidRDefault="00B33542" w:rsidP="00F07EE2">
            <w:pPr>
              <w:pStyle w:val="TableHeading"/>
            </w:pPr>
            <w:r w:rsidRPr="005071A1">
              <w:t>$</w:t>
            </w:r>
          </w:p>
        </w:tc>
      </w:tr>
      <w:tr w:rsidR="00B33542" w:rsidRPr="005071A1" w14:paraId="157F6788" w14:textId="77777777" w:rsidTr="009B7AF5">
        <w:tc>
          <w:tcPr>
            <w:tcW w:w="3119" w:type="dxa"/>
            <w:tcBorders>
              <w:top w:val="single" w:sz="12" w:space="0" w:color="auto"/>
            </w:tcBorders>
            <w:shd w:val="clear" w:color="auto" w:fill="auto"/>
          </w:tcPr>
          <w:p w14:paraId="3AABBAFB" w14:textId="77777777" w:rsidR="00B33542" w:rsidRPr="005071A1" w:rsidRDefault="00B33542" w:rsidP="009B7AF5">
            <w:pPr>
              <w:pStyle w:val="Tabletext"/>
            </w:pPr>
            <w:r w:rsidRPr="005071A1">
              <w:t>15</w:t>
            </w:r>
          </w:p>
        </w:tc>
        <w:tc>
          <w:tcPr>
            <w:tcW w:w="2693" w:type="dxa"/>
            <w:tcBorders>
              <w:top w:val="single" w:sz="12" w:space="0" w:color="auto"/>
            </w:tcBorders>
            <w:shd w:val="clear" w:color="auto" w:fill="auto"/>
          </w:tcPr>
          <w:p w14:paraId="6930F04B" w14:textId="77777777" w:rsidR="00B33542" w:rsidRPr="005071A1" w:rsidRDefault="00B33542" w:rsidP="009B7AF5">
            <w:pPr>
              <w:pStyle w:val="Tabletext"/>
            </w:pPr>
            <w:r w:rsidRPr="005071A1">
              <w:t>0.07</w:t>
            </w:r>
          </w:p>
        </w:tc>
      </w:tr>
      <w:tr w:rsidR="00B33542" w:rsidRPr="005071A1" w14:paraId="646876D3" w14:textId="77777777" w:rsidTr="009B7AF5">
        <w:tc>
          <w:tcPr>
            <w:tcW w:w="3119" w:type="dxa"/>
            <w:shd w:val="clear" w:color="auto" w:fill="auto"/>
          </w:tcPr>
          <w:p w14:paraId="53B390AA" w14:textId="77777777" w:rsidR="00B33542" w:rsidRPr="005071A1" w:rsidRDefault="00B33542" w:rsidP="009B7AF5">
            <w:pPr>
              <w:pStyle w:val="Tabletext"/>
            </w:pPr>
            <w:r w:rsidRPr="005071A1">
              <w:t>16</w:t>
            </w:r>
          </w:p>
        </w:tc>
        <w:tc>
          <w:tcPr>
            <w:tcW w:w="2693" w:type="dxa"/>
            <w:shd w:val="clear" w:color="auto" w:fill="auto"/>
          </w:tcPr>
          <w:p w14:paraId="2AC1B5CE" w14:textId="77777777" w:rsidR="00B33542" w:rsidRPr="005071A1" w:rsidRDefault="00B33542" w:rsidP="009B7AF5">
            <w:pPr>
              <w:pStyle w:val="Tabletext"/>
            </w:pPr>
            <w:r w:rsidRPr="005071A1">
              <w:t>0.07</w:t>
            </w:r>
          </w:p>
        </w:tc>
      </w:tr>
      <w:tr w:rsidR="00B33542" w:rsidRPr="005071A1" w14:paraId="5389DC46" w14:textId="77777777" w:rsidTr="009B7AF5">
        <w:tc>
          <w:tcPr>
            <w:tcW w:w="3119" w:type="dxa"/>
            <w:shd w:val="clear" w:color="auto" w:fill="auto"/>
          </w:tcPr>
          <w:p w14:paraId="16A37870" w14:textId="77777777" w:rsidR="00B33542" w:rsidRPr="005071A1" w:rsidRDefault="00B33542" w:rsidP="009B7AF5">
            <w:pPr>
              <w:pStyle w:val="Tabletext"/>
            </w:pPr>
            <w:r w:rsidRPr="005071A1">
              <w:t>17</w:t>
            </w:r>
          </w:p>
        </w:tc>
        <w:tc>
          <w:tcPr>
            <w:tcW w:w="2693" w:type="dxa"/>
            <w:shd w:val="clear" w:color="auto" w:fill="auto"/>
          </w:tcPr>
          <w:p w14:paraId="185016DD" w14:textId="77777777" w:rsidR="00B33542" w:rsidRPr="005071A1" w:rsidRDefault="00B33542" w:rsidP="009B7AF5">
            <w:pPr>
              <w:pStyle w:val="Tabletext"/>
            </w:pPr>
            <w:r w:rsidRPr="005071A1">
              <w:t>0.08</w:t>
            </w:r>
          </w:p>
        </w:tc>
      </w:tr>
      <w:tr w:rsidR="00B33542" w:rsidRPr="005071A1" w14:paraId="2AAFF446" w14:textId="77777777" w:rsidTr="009B7AF5">
        <w:tc>
          <w:tcPr>
            <w:tcW w:w="3119" w:type="dxa"/>
            <w:shd w:val="clear" w:color="auto" w:fill="auto"/>
          </w:tcPr>
          <w:p w14:paraId="6AD447E9" w14:textId="77777777" w:rsidR="00B33542" w:rsidRPr="005071A1" w:rsidRDefault="00B33542" w:rsidP="009B7AF5">
            <w:pPr>
              <w:pStyle w:val="Tabletext"/>
            </w:pPr>
            <w:r w:rsidRPr="005071A1">
              <w:t>18</w:t>
            </w:r>
          </w:p>
        </w:tc>
        <w:tc>
          <w:tcPr>
            <w:tcW w:w="2693" w:type="dxa"/>
            <w:shd w:val="clear" w:color="auto" w:fill="auto"/>
          </w:tcPr>
          <w:p w14:paraId="6CD7B7B8" w14:textId="77777777" w:rsidR="00B33542" w:rsidRPr="005071A1" w:rsidRDefault="00B33542" w:rsidP="009B7AF5">
            <w:pPr>
              <w:pStyle w:val="Tabletext"/>
            </w:pPr>
            <w:r w:rsidRPr="005071A1">
              <w:t>0.09</w:t>
            </w:r>
          </w:p>
        </w:tc>
      </w:tr>
      <w:tr w:rsidR="00B33542" w:rsidRPr="005071A1" w14:paraId="5A3585F9" w14:textId="77777777" w:rsidTr="009B7AF5">
        <w:tc>
          <w:tcPr>
            <w:tcW w:w="3119" w:type="dxa"/>
            <w:shd w:val="clear" w:color="auto" w:fill="auto"/>
          </w:tcPr>
          <w:p w14:paraId="3B3AE098" w14:textId="77777777" w:rsidR="00B33542" w:rsidRPr="005071A1" w:rsidRDefault="00B33542" w:rsidP="009B7AF5">
            <w:pPr>
              <w:pStyle w:val="Tabletext"/>
            </w:pPr>
            <w:r w:rsidRPr="005071A1">
              <w:t>19</w:t>
            </w:r>
          </w:p>
        </w:tc>
        <w:tc>
          <w:tcPr>
            <w:tcW w:w="2693" w:type="dxa"/>
            <w:shd w:val="clear" w:color="auto" w:fill="auto"/>
          </w:tcPr>
          <w:p w14:paraId="5CC705C7" w14:textId="77777777" w:rsidR="00B33542" w:rsidRPr="005071A1" w:rsidRDefault="00B33542" w:rsidP="009B7AF5">
            <w:pPr>
              <w:pStyle w:val="Tabletext"/>
            </w:pPr>
            <w:r w:rsidRPr="005071A1">
              <w:t>0.10</w:t>
            </w:r>
          </w:p>
        </w:tc>
      </w:tr>
      <w:tr w:rsidR="00B33542" w:rsidRPr="005071A1" w14:paraId="232E3531" w14:textId="77777777" w:rsidTr="009B7AF5">
        <w:tc>
          <w:tcPr>
            <w:tcW w:w="3119" w:type="dxa"/>
            <w:shd w:val="clear" w:color="auto" w:fill="auto"/>
          </w:tcPr>
          <w:p w14:paraId="526183C3" w14:textId="77777777" w:rsidR="00B33542" w:rsidRPr="005071A1" w:rsidRDefault="00B33542" w:rsidP="009B7AF5">
            <w:pPr>
              <w:pStyle w:val="Tabletext"/>
            </w:pPr>
            <w:r w:rsidRPr="005071A1">
              <w:t>20</w:t>
            </w:r>
          </w:p>
        </w:tc>
        <w:tc>
          <w:tcPr>
            <w:tcW w:w="2693" w:type="dxa"/>
            <w:shd w:val="clear" w:color="auto" w:fill="auto"/>
          </w:tcPr>
          <w:p w14:paraId="0208B5AC" w14:textId="77777777" w:rsidR="00B33542" w:rsidRPr="005071A1" w:rsidRDefault="00B33542" w:rsidP="009B7AF5">
            <w:pPr>
              <w:pStyle w:val="Tabletext"/>
            </w:pPr>
            <w:r w:rsidRPr="005071A1">
              <w:t>0.11</w:t>
            </w:r>
          </w:p>
        </w:tc>
      </w:tr>
      <w:tr w:rsidR="00B33542" w:rsidRPr="005071A1" w14:paraId="4A64EB17" w14:textId="77777777" w:rsidTr="009B7AF5">
        <w:tc>
          <w:tcPr>
            <w:tcW w:w="3119" w:type="dxa"/>
            <w:shd w:val="clear" w:color="auto" w:fill="auto"/>
          </w:tcPr>
          <w:p w14:paraId="3EBB6B00" w14:textId="77777777" w:rsidR="00B33542" w:rsidRPr="005071A1" w:rsidRDefault="00B33542" w:rsidP="009B7AF5">
            <w:pPr>
              <w:pStyle w:val="Tabletext"/>
            </w:pPr>
            <w:r w:rsidRPr="005071A1">
              <w:t>21</w:t>
            </w:r>
          </w:p>
        </w:tc>
        <w:tc>
          <w:tcPr>
            <w:tcW w:w="2693" w:type="dxa"/>
            <w:shd w:val="clear" w:color="auto" w:fill="auto"/>
          </w:tcPr>
          <w:p w14:paraId="3704B372" w14:textId="77777777" w:rsidR="00B33542" w:rsidRPr="005071A1" w:rsidRDefault="00B33542" w:rsidP="009B7AF5">
            <w:pPr>
              <w:pStyle w:val="Tabletext"/>
            </w:pPr>
            <w:r w:rsidRPr="005071A1">
              <w:t>0.12</w:t>
            </w:r>
          </w:p>
        </w:tc>
      </w:tr>
      <w:tr w:rsidR="00B33542" w:rsidRPr="005071A1" w14:paraId="42B124A8" w14:textId="77777777" w:rsidTr="009B7AF5">
        <w:tc>
          <w:tcPr>
            <w:tcW w:w="3119" w:type="dxa"/>
            <w:shd w:val="clear" w:color="auto" w:fill="auto"/>
          </w:tcPr>
          <w:p w14:paraId="1C9BA08F" w14:textId="77777777" w:rsidR="00B33542" w:rsidRPr="005071A1" w:rsidRDefault="00B33542" w:rsidP="009B7AF5">
            <w:pPr>
              <w:pStyle w:val="Tabletext"/>
            </w:pPr>
            <w:r w:rsidRPr="005071A1">
              <w:t>22</w:t>
            </w:r>
          </w:p>
        </w:tc>
        <w:tc>
          <w:tcPr>
            <w:tcW w:w="2693" w:type="dxa"/>
            <w:shd w:val="clear" w:color="auto" w:fill="auto"/>
          </w:tcPr>
          <w:p w14:paraId="196B4134" w14:textId="77777777" w:rsidR="00B33542" w:rsidRPr="005071A1" w:rsidRDefault="00B33542" w:rsidP="009B7AF5">
            <w:pPr>
              <w:pStyle w:val="Tabletext"/>
            </w:pPr>
            <w:r w:rsidRPr="005071A1">
              <w:t>0.13</w:t>
            </w:r>
          </w:p>
        </w:tc>
      </w:tr>
      <w:tr w:rsidR="00B33542" w:rsidRPr="005071A1" w14:paraId="10750D95" w14:textId="77777777" w:rsidTr="009B7AF5">
        <w:tc>
          <w:tcPr>
            <w:tcW w:w="3119" w:type="dxa"/>
            <w:shd w:val="clear" w:color="auto" w:fill="auto"/>
          </w:tcPr>
          <w:p w14:paraId="20D826C9" w14:textId="77777777" w:rsidR="00B33542" w:rsidRPr="005071A1" w:rsidRDefault="00B33542" w:rsidP="009B7AF5">
            <w:pPr>
              <w:pStyle w:val="Tabletext"/>
            </w:pPr>
            <w:r w:rsidRPr="005071A1">
              <w:t>23</w:t>
            </w:r>
          </w:p>
        </w:tc>
        <w:tc>
          <w:tcPr>
            <w:tcW w:w="2693" w:type="dxa"/>
            <w:shd w:val="clear" w:color="auto" w:fill="auto"/>
          </w:tcPr>
          <w:p w14:paraId="1F54BA20" w14:textId="77777777" w:rsidR="00B33542" w:rsidRPr="005071A1" w:rsidRDefault="00B33542" w:rsidP="009B7AF5">
            <w:pPr>
              <w:pStyle w:val="Tabletext"/>
            </w:pPr>
            <w:r w:rsidRPr="005071A1">
              <w:t>0.14</w:t>
            </w:r>
          </w:p>
        </w:tc>
      </w:tr>
      <w:tr w:rsidR="00B33542" w:rsidRPr="005071A1" w14:paraId="533E27BA" w14:textId="77777777" w:rsidTr="009B7AF5">
        <w:tc>
          <w:tcPr>
            <w:tcW w:w="3119" w:type="dxa"/>
            <w:shd w:val="clear" w:color="auto" w:fill="auto"/>
          </w:tcPr>
          <w:p w14:paraId="7596CA31" w14:textId="77777777" w:rsidR="00B33542" w:rsidRPr="005071A1" w:rsidRDefault="00B33542" w:rsidP="009B7AF5">
            <w:pPr>
              <w:pStyle w:val="Tabletext"/>
            </w:pPr>
            <w:r w:rsidRPr="005071A1">
              <w:t>24</w:t>
            </w:r>
          </w:p>
        </w:tc>
        <w:tc>
          <w:tcPr>
            <w:tcW w:w="2693" w:type="dxa"/>
            <w:shd w:val="clear" w:color="auto" w:fill="auto"/>
          </w:tcPr>
          <w:p w14:paraId="34D7BB6E" w14:textId="77777777" w:rsidR="00B33542" w:rsidRPr="005071A1" w:rsidRDefault="00B33542" w:rsidP="009B7AF5">
            <w:pPr>
              <w:pStyle w:val="Tabletext"/>
            </w:pPr>
            <w:r w:rsidRPr="005071A1">
              <w:t>0.16</w:t>
            </w:r>
          </w:p>
        </w:tc>
      </w:tr>
      <w:tr w:rsidR="00B33542" w:rsidRPr="005071A1" w14:paraId="6D722CEE" w14:textId="77777777" w:rsidTr="009B7AF5">
        <w:tc>
          <w:tcPr>
            <w:tcW w:w="3119" w:type="dxa"/>
            <w:shd w:val="clear" w:color="auto" w:fill="auto"/>
          </w:tcPr>
          <w:p w14:paraId="1286F053" w14:textId="77777777" w:rsidR="00B33542" w:rsidRPr="005071A1" w:rsidRDefault="00B33542" w:rsidP="009B7AF5">
            <w:pPr>
              <w:pStyle w:val="Tabletext"/>
            </w:pPr>
            <w:r w:rsidRPr="005071A1">
              <w:t>25</w:t>
            </w:r>
          </w:p>
        </w:tc>
        <w:tc>
          <w:tcPr>
            <w:tcW w:w="2693" w:type="dxa"/>
            <w:shd w:val="clear" w:color="auto" w:fill="auto"/>
          </w:tcPr>
          <w:p w14:paraId="5DBE6D41" w14:textId="77777777" w:rsidR="00B33542" w:rsidRPr="005071A1" w:rsidRDefault="00B33542" w:rsidP="009B7AF5">
            <w:pPr>
              <w:pStyle w:val="Tabletext"/>
            </w:pPr>
            <w:r w:rsidRPr="005071A1">
              <w:t>0.17</w:t>
            </w:r>
          </w:p>
        </w:tc>
      </w:tr>
      <w:tr w:rsidR="00B33542" w:rsidRPr="005071A1" w14:paraId="73DEF434" w14:textId="77777777" w:rsidTr="009B7AF5">
        <w:tc>
          <w:tcPr>
            <w:tcW w:w="3119" w:type="dxa"/>
            <w:shd w:val="clear" w:color="auto" w:fill="auto"/>
          </w:tcPr>
          <w:p w14:paraId="503289E4" w14:textId="77777777" w:rsidR="00B33542" w:rsidRPr="005071A1" w:rsidRDefault="00B33542" w:rsidP="009B7AF5">
            <w:pPr>
              <w:pStyle w:val="Tabletext"/>
            </w:pPr>
            <w:r w:rsidRPr="005071A1">
              <w:t>26</w:t>
            </w:r>
          </w:p>
        </w:tc>
        <w:tc>
          <w:tcPr>
            <w:tcW w:w="2693" w:type="dxa"/>
            <w:shd w:val="clear" w:color="auto" w:fill="auto"/>
          </w:tcPr>
          <w:p w14:paraId="3DE0CB2B" w14:textId="77777777" w:rsidR="00B33542" w:rsidRPr="005071A1" w:rsidRDefault="00B33542" w:rsidP="009B7AF5">
            <w:pPr>
              <w:pStyle w:val="Tabletext"/>
            </w:pPr>
            <w:r w:rsidRPr="005071A1">
              <w:t>0.18</w:t>
            </w:r>
          </w:p>
        </w:tc>
      </w:tr>
      <w:tr w:rsidR="00B33542" w:rsidRPr="005071A1" w14:paraId="2D70738E" w14:textId="77777777" w:rsidTr="009B7AF5">
        <w:tc>
          <w:tcPr>
            <w:tcW w:w="3119" w:type="dxa"/>
            <w:shd w:val="clear" w:color="auto" w:fill="auto"/>
          </w:tcPr>
          <w:p w14:paraId="4B4B68F3" w14:textId="77777777" w:rsidR="00B33542" w:rsidRPr="005071A1" w:rsidRDefault="00B33542" w:rsidP="009B7AF5">
            <w:pPr>
              <w:pStyle w:val="Tabletext"/>
            </w:pPr>
            <w:r w:rsidRPr="005071A1">
              <w:t>27</w:t>
            </w:r>
          </w:p>
        </w:tc>
        <w:tc>
          <w:tcPr>
            <w:tcW w:w="2693" w:type="dxa"/>
            <w:shd w:val="clear" w:color="auto" w:fill="auto"/>
          </w:tcPr>
          <w:p w14:paraId="27060812" w14:textId="77777777" w:rsidR="00B33542" w:rsidRPr="005071A1" w:rsidRDefault="00B33542" w:rsidP="009B7AF5">
            <w:pPr>
              <w:pStyle w:val="Tabletext"/>
            </w:pPr>
            <w:r w:rsidRPr="005071A1">
              <w:t>0.19</w:t>
            </w:r>
          </w:p>
        </w:tc>
      </w:tr>
      <w:tr w:rsidR="00B33542" w:rsidRPr="005071A1" w14:paraId="67F6D743" w14:textId="77777777" w:rsidTr="009B7AF5">
        <w:tc>
          <w:tcPr>
            <w:tcW w:w="3119" w:type="dxa"/>
            <w:shd w:val="clear" w:color="auto" w:fill="auto"/>
          </w:tcPr>
          <w:p w14:paraId="4E0DE055" w14:textId="77777777" w:rsidR="00B33542" w:rsidRPr="005071A1" w:rsidRDefault="00B33542" w:rsidP="009B7AF5">
            <w:pPr>
              <w:pStyle w:val="Tabletext"/>
            </w:pPr>
            <w:r w:rsidRPr="005071A1">
              <w:t>28</w:t>
            </w:r>
          </w:p>
        </w:tc>
        <w:tc>
          <w:tcPr>
            <w:tcW w:w="2693" w:type="dxa"/>
            <w:shd w:val="clear" w:color="auto" w:fill="auto"/>
          </w:tcPr>
          <w:p w14:paraId="0563FD3E" w14:textId="77777777" w:rsidR="00B33542" w:rsidRPr="005071A1" w:rsidRDefault="00B33542" w:rsidP="009B7AF5">
            <w:pPr>
              <w:pStyle w:val="Tabletext"/>
            </w:pPr>
            <w:r w:rsidRPr="005071A1">
              <w:t>0.20</w:t>
            </w:r>
          </w:p>
        </w:tc>
      </w:tr>
      <w:tr w:rsidR="00B33542" w:rsidRPr="005071A1" w14:paraId="72DDF404" w14:textId="77777777" w:rsidTr="009B7AF5">
        <w:tc>
          <w:tcPr>
            <w:tcW w:w="3119" w:type="dxa"/>
            <w:shd w:val="clear" w:color="auto" w:fill="auto"/>
          </w:tcPr>
          <w:p w14:paraId="03AD17D6" w14:textId="77777777" w:rsidR="00B33542" w:rsidRPr="005071A1" w:rsidRDefault="00B33542" w:rsidP="009B7AF5">
            <w:pPr>
              <w:pStyle w:val="Tabletext"/>
            </w:pPr>
            <w:r w:rsidRPr="005071A1">
              <w:t>29</w:t>
            </w:r>
          </w:p>
        </w:tc>
        <w:tc>
          <w:tcPr>
            <w:tcW w:w="2693" w:type="dxa"/>
            <w:shd w:val="clear" w:color="auto" w:fill="auto"/>
          </w:tcPr>
          <w:p w14:paraId="22780ED6" w14:textId="77777777" w:rsidR="00B33542" w:rsidRPr="005071A1" w:rsidRDefault="00B33542" w:rsidP="009B7AF5">
            <w:pPr>
              <w:pStyle w:val="Tabletext"/>
            </w:pPr>
            <w:r w:rsidRPr="005071A1">
              <w:t>0.22</w:t>
            </w:r>
          </w:p>
        </w:tc>
      </w:tr>
      <w:tr w:rsidR="00B33542" w:rsidRPr="005071A1" w14:paraId="7A9CD6AD" w14:textId="77777777" w:rsidTr="009B7AF5">
        <w:tc>
          <w:tcPr>
            <w:tcW w:w="3119" w:type="dxa"/>
            <w:shd w:val="clear" w:color="auto" w:fill="auto"/>
          </w:tcPr>
          <w:p w14:paraId="47E73A35" w14:textId="77777777" w:rsidR="00B33542" w:rsidRPr="005071A1" w:rsidRDefault="00B33542" w:rsidP="009B7AF5">
            <w:pPr>
              <w:pStyle w:val="Tabletext"/>
            </w:pPr>
            <w:r w:rsidRPr="005071A1">
              <w:t>30</w:t>
            </w:r>
          </w:p>
        </w:tc>
        <w:tc>
          <w:tcPr>
            <w:tcW w:w="2693" w:type="dxa"/>
            <w:shd w:val="clear" w:color="auto" w:fill="auto"/>
          </w:tcPr>
          <w:p w14:paraId="0CB0EDBB" w14:textId="77777777" w:rsidR="00B33542" w:rsidRPr="005071A1" w:rsidRDefault="00B33542" w:rsidP="009B7AF5">
            <w:pPr>
              <w:pStyle w:val="Tabletext"/>
            </w:pPr>
            <w:r w:rsidRPr="005071A1">
              <w:t>0.23</w:t>
            </w:r>
          </w:p>
        </w:tc>
      </w:tr>
      <w:tr w:rsidR="00B33542" w:rsidRPr="005071A1" w14:paraId="542B1B27" w14:textId="77777777" w:rsidTr="009B7AF5">
        <w:tc>
          <w:tcPr>
            <w:tcW w:w="3119" w:type="dxa"/>
            <w:shd w:val="clear" w:color="auto" w:fill="auto"/>
          </w:tcPr>
          <w:p w14:paraId="6DE4B071" w14:textId="77777777" w:rsidR="00B33542" w:rsidRPr="005071A1" w:rsidRDefault="00B33542" w:rsidP="009B7AF5">
            <w:pPr>
              <w:pStyle w:val="Tabletext"/>
            </w:pPr>
            <w:r w:rsidRPr="005071A1">
              <w:t>31</w:t>
            </w:r>
          </w:p>
        </w:tc>
        <w:tc>
          <w:tcPr>
            <w:tcW w:w="2693" w:type="dxa"/>
            <w:shd w:val="clear" w:color="auto" w:fill="auto"/>
          </w:tcPr>
          <w:p w14:paraId="7951DA28" w14:textId="77777777" w:rsidR="00B33542" w:rsidRPr="005071A1" w:rsidRDefault="00B33542" w:rsidP="009B7AF5">
            <w:pPr>
              <w:pStyle w:val="Tabletext"/>
            </w:pPr>
            <w:r w:rsidRPr="005071A1">
              <w:t>0.25</w:t>
            </w:r>
          </w:p>
        </w:tc>
      </w:tr>
      <w:tr w:rsidR="00B33542" w:rsidRPr="005071A1" w14:paraId="6C783EC3" w14:textId="77777777" w:rsidTr="009B7AF5">
        <w:tc>
          <w:tcPr>
            <w:tcW w:w="3119" w:type="dxa"/>
            <w:shd w:val="clear" w:color="auto" w:fill="auto"/>
          </w:tcPr>
          <w:p w14:paraId="14BD934B" w14:textId="77777777" w:rsidR="00B33542" w:rsidRPr="005071A1" w:rsidRDefault="00B33542" w:rsidP="009B7AF5">
            <w:pPr>
              <w:pStyle w:val="Tabletext"/>
            </w:pPr>
            <w:r w:rsidRPr="005071A1">
              <w:t>32</w:t>
            </w:r>
          </w:p>
        </w:tc>
        <w:tc>
          <w:tcPr>
            <w:tcW w:w="2693" w:type="dxa"/>
            <w:shd w:val="clear" w:color="auto" w:fill="auto"/>
          </w:tcPr>
          <w:p w14:paraId="47C85BD8" w14:textId="77777777" w:rsidR="00B33542" w:rsidRPr="005071A1" w:rsidRDefault="00B33542" w:rsidP="009B7AF5">
            <w:pPr>
              <w:pStyle w:val="Tabletext"/>
            </w:pPr>
            <w:r w:rsidRPr="005071A1">
              <w:t>0.27</w:t>
            </w:r>
          </w:p>
        </w:tc>
      </w:tr>
      <w:tr w:rsidR="00B33542" w:rsidRPr="005071A1" w14:paraId="6E5DA106" w14:textId="77777777" w:rsidTr="009B7AF5">
        <w:tc>
          <w:tcPr>
            <w:tcW w:w="3119" w:type="dxa"/>
            <w:shd w:val="clear" w:color="auto" w:fill="auto"/>
          </w:tcPr>
          <w:p w14:paraId="5C0CC21D" w14:textId="77777777" w:rsidR="00B33542" w:rsidRPr="005071A1" w:rsidRDefault="00B33542" w:rsidP="009B7AF5">
            <w:pPr>
              <w:pStyle w:val="Tabletext"/>
            </w:pPr>
            <w:r w:rsidRPr="005071A1">
              <w:t>33</w:t>
            </w:r>
          </w:p>
        </w:tc>
        <w:tc>
          <w:tcPr>
            <w:tcW w:w="2693" w:type="dxa"/>
            <w:shd w:val="clear" w:color="auto" w:fill="auto"/>
          </w:tcPr>
          <w:p w14:paraId="707FB55D" w14:textId="77777777" w:rsidR="00B33542" w:rsidRPr="005071A1" w:rsidRDefault="00B33542" w:rsidP="009B7AF5">
            <w:pPr>
              <w:pStyle w:val="Tabletext"/>
            </w:pPr>
            <w:r w:rsidRPr="005071A1">
              <w:t>0.28</w:t>
            </w:r>
          </w:p>
        </w:tc>
      </w:tr>
      <w:tr w:rsidR="00B33542" w:rsidRPr="005071A1" w14:paraId="0ADF5102" w14:textId="77777777" w:rsidTr="009B7AF5">
        <w:tc>
          <w:tcPr>
            <w:tcW w:w="3119" w:type="dxa"/>
            <w:shd w:val="clear" w:color="auto" w:fill="auto"/>
          </w:tcPr>
          <w:p w14:paraId="18F76748" w14:textId="77777777" w:rsidR="00B33542" w:rsidRPr="005071A1" w:rsidRDefault="00B33542" w:rsidP="009B7AF5">
            <w:pPr>
              <w:pStyle w:val="Tabletext"/>
            </w:pPr>
            <w:r w:rsidRPr="005071A1">
              <w:lastRenderedPageBreak/>
              <w:t>34</w:t>
            </w:r>
          </w:p>
        </w:tc>
        <w:tc>
          <w:tcPr>
            <w:tcW w:w="2693" w:type="dxa"/>
            <w:shd w:val="clear" w:color="auto" w:fill="auto"/>
          </w:tcPr>
          <w:p w14:paraId="6641F19F" w14:textId="77777777" w:rsidR="00B33542" w:rsidRPr="005071A1" w:rsidRDefault="00B33542" w:rsidP="009B7AF5">
            <w:pPr>
              <w:pStyle w:val="Tabletext"/>
            </w:pPr>
            <w:r w:rsidRPr="005071A1">
              <w:t>0.30</w:t>
            </w:r>
          </w:p>
        </w:tc>
      </w:tr>
      <w:tr w:rsidR="00B33542" w:rsidRPr="005071A1" w14:paraId="51615D3C" w14:textId="77777777" w:rsidTr="009B7AF5">
        <w:tc>
          <w:tcPr>
            <w:tcW w:w="3119" w:type="dxa"/>
            <w:shd w:val="clear" w:color="auto" w:fill="auto"/>
          </w:tcPr>
          <w:p w14:paraId="343370F3" w14:textId="77777777" w:rsidR="00B33542" w:rsidRPr="005071A1" w:rsidRDefault="00B33542" w:rsidP="009B7AF5">
            <w:pPr>
              <w:pStyle w:val="Tabletext"/>
            </w:pPr>
            <w:r w:rsidRPr="005071A1">
              <w:t>35</w:t>
            </w:r>
          </w:p>
        </w:tc>
        <w:tc>
          <w:tcPr>
            <w:tcW w:w="2693" w:type="dxa"/>
            <w:shd w:val="clear" w:color="auto" w:fill="auto"/>
          </w:tcPr>
          <w:p w14:paraId="3480EF19" w14:textId="77777777" w:rsidR="00B33542" w:rsidRPr="005071A1" w:rsidRDefault="00B33542" w:rsidP="009B7AF5">
            <w:pPr>
              <w:pStyle w:val="Tabletext"/>
            </w:pPr>
            <w:r w:rsidRPr="005071A1">
              <w:t>0.33</w:t>
            </w:r>
          </w:p>
        </w:tc>
      </w:tr>
      <w:tr w:rsidR="00B33542" w:rsidRPr="005071A1" w14:paraId="067B4F79" w14:textId="77777777" w:rsidTr="009B7AF5">
        <w:tc>
          <w:tcPr>
            <w:tcW w:w="3119" w:type="dxa"/>
            <w:shd w:val="clear" w:color="auto" w:fill="auto"/>
          </w:tcPr>
          <w:p w14:paraId="1F42A7C2" w14:textId="77777777" w:rsidR="00B33542" w:rsidRPr="005071A1" w:rsidRDefault="00B33542" w:rsidP="009B7AF5">
            <w:pPr>
              <w:pStyle w:val="Tabletext"/>
            </w:pPr>
            <w:r w:rsidRPr="005071A1">
              <w:t>36</w:t>
            </w:r>
          </w:p>
        </w:tc>
        <w:tc>
          <w:tcPr>
            <w:tcW w:w="2693" w:type="dxa"/>
            <w:shd w:val="clear" w:color="auto" w:fill="auto"/>
          </w:tcPr>
          <w:p w14:paraId="5B2A7299" w14:textId="77777777" w:rsidR="00B33542" w:rsidRPr="005071A1" w:rsidRDefault="00B33542" w:rsidP="009B7AF5">
            <w:pPr>
              <w:pStyle w:val="Tabletext"/>
            </w:pPr>
            <w:r w:rsidRPr="005071A1">
              <w:t>0.35</w:t>
            </w:r>
          </w:p>
        </w:tc>
      </w:tr>
      <w:tr w:rsidR="00B33542" w:rsidRPr="005071A1" w14:paraId="2BBF3405" w14:textId="77777777" w:rsidTr="009B7AF5">
        <w:tc>
          <w:tcPr>
            <w:tcW w:w="3119" w:type="dxa"/>
            <w:shd w:val="clear" w:color="auto" w:fill="auto"/>
          </w:tcPr>
          <w:p w14:paraId="43A47A0C" w14:textId="77777777" w:rsidR="00B33542" w:rsidRPr="005071A1" w:rsidRDefault="00B33542" w:rsidP="009B7AF5">
            <w:pPr>
              <w:pStyle w:val="Tabletext"/>
            </w:pPr>
            <w:r w:rsidRPr="005071A1">
              <w:t>37</w:t>
            </w:r>
          </w:p>
        </w:tc>
        <w:tc>
          <w:tcPr>
            <w:tcW w:w="2693" w:type="dxa"/>
            <w:shd w:val="clear" w:color="auto" w:fill="auto"/>
          </w:tcPr>
          <w:p w14:paraId="17EAF4D4" w14:textId="77777777" w:rsidR="00B33542" w:rsidRPr="005071A1" w:rsidRDefault="00B33542" w:rsidP="009B7AF5">
            <w:pPr>
              <w:pStyle w:val="Tabletext"/>
            </w:pPr>
            <w:r w:rsidRPr="005071A1">
              <w:t>0.37</w:t>
            </w:r>
          </w:p>
        </w:tc>
      </w:tr>
      <w:tr w:rsidR="00B33542" w:rsidRPr="005071A1" w14:paraId="6E9F99BA" w14:textId="77777777" w:rsidTr="009B7AF5">
        <w:tc>
          <w:tcPr>
            <w:tcW w:w="3119" w:type="dxa"/>
            <w:shd w:val="clear" w:color="auto" w:fill="auto"/>
          </w:tcPr>
          <w:p w14:paraId="613B76D6" w14:textId="77777777" w:rsidR="00B33542" w:rsidRPr="005071A1" w:rsidRDefault="00B33542" w:rsidP="009B7AF5">
            <w:pPr>
              <w:pStyle w:val="Tabletext"/>
            </w:pPr>
            <w:r w:rsidRPr="005071A1">
              <w:t>38</w:t>
            </w:r>
          </w:p>
        </w:tc>
        <w:tc>
          <w:tcPr>
            <w:tcW w:w="2693" w:type="dxa"/>
            <w:shd w:val="clear" w:color="auto" w:fill="auto"/>
          </w:tcPr>
          <w:p w14:paraId="414AD379" w14:textId="77777777" w:rsidR="00B33542" w:rsidRPr="005071A1" w:rsidRDefault="00B33542" w:rsidP="009B7AF5">
            <w:pPr>
              <w:pStyle w:val="Tabletext"/>
            </w:pPr>
            <w:r w:rsidRPr="005071A1">
              <w:t>0.40</w:t>
            </w:r>
          </w:p>
        </w:tc>
      </w:tr>
      <w:tr w:rsidR="00B33542" w:rsidRPr="005071A1" w14:paraId="658FC0FE" w14:textId="77777777" w:rsidTr="009B7AF5">
        <w:tc>
          <w:tcPr>
            <w:tcW w:w="3119" w:type="dxa"/>
            <w:shd w:val="clear" w:color="auto" w:fill="auto"/>
          </w:tcPr>
          <w:p w14:paraId="7BD96D6D" w14:textId="77777777" w:rsidR="00B33542" w:rsidRPr="005071A1" w:rsidRDefault="00B33542" w:rsidP="009B7AF5">
            <w:pPr>
              <w:pStyle w:val="Tabletext"/>
            </w:pPr>
            <w:r w:rsidRPr="005071A1">
              <w:t>39</w:t>
            </w:r>
          </w:p>
        </w:tc>
        <w:tc>
          <w:tcPr>
            <w:tcW w:w="2693" w:type="dxa"/>
            <w:shd w:val="clear" w:color="auto" w:fill="auto"/>
          </w:tcPr>
          <w:p w14:paraId="5F47EE59" w14:textId="77777777" w:rsidR="00B33542" w:rsidRPr="005071A1" w:rsidRDefault="00B33542" w:rsidP="009B7AF5">
            <w:pPr>
              <w:pStyle w:val="Tabletext"/>
            </w:pPr>
            <w:r w:rsidRPr="005071A1">
              <w:t>0.43</w:t>
            </w:r>
          </w:p>
        </w:tc>
      </w:tr>
      <w:tr w:rsidR="00B33542" w:rsidRPr="005071A1" w14:paraId="2ECA030D" w14:textId="77777777" w:rsidTr="009B7AF5">
        <w:tc>
          <w:tcPr>
            <w:tcW w:w="3119" w:type="dxa"/>
            <w:shd w:val="clear" w:color="auto" w:fill="auto"/>
          </w:tcPr>
          <w:p w14:paraId="56EBC95B" w14:textId="77777777" w:rsidR="00B33542" w:rsidRPr="005071A1" w:rsidRDefault="00B33542" w:rsidP="009B7AF5">
            <w:pPr>
              <w:pStyle w:val="Tabletext"/>
            </w:pPr>
            <w:r w:rsidRPr="005071A1">
              <w:t>40</w:t>
            </w:r>
          </w:p>
        </w:tc>
        <w:tc>
          <w:tcPr>
            <w:tcW w:w="2693" w:type="dxa"/>
            <w:shd w:val="clear" w:color="auto" w:fill="auto"/>
          </w:tcPr>
          <w:p w14:paraId="2E989648" w14:textId="77777777" w:rsidR="00B33542" w:rsidRPr="005071A1" w:rsidRDefault="00B33542" w:rsidP="009B7AF5">
            <w:pPr>
              <w:pStyle w:val="Tabletext"/>
            </w:pPr>
            <w:r w:rsidRPr="005071A1">
              <w:t>0.46</w:t>
            </w:r>
          </w:p>
        </w:tc>
      </w:tr>
      <w:tr w:rsidR="00B33542" w:rsidRPr="005071A1" w14:paraId="51BEB9D6" w14:textId="77777777" w:rsidTr="009B7AF5">
        <w:tc>
          <w:tcPr>
            <w:tcW w:w="3119" w:type="dxa"/>
            <w:shd w:val="clear" w:color="auto" w:fill="auto"/>
          </w:tcPr>
          <w:p w14:paraId="16E3DAB9" w14:textId="77777777" w:rsidR="00B33542" w:rsidRPr="005071A1" w:rsidRDefault="00B33542" w:rsidP="009B7AF5">
            <w:pPr>
              <w:pStyle w:val="Tabletext"/>
            </w:pPr>
            <w:r w:rsidRPr="005071A1">
              <w:t>41</w:t>
            </w:r>
          </w:p>
        </w:tc>
        <w:tc>
          <w:tcPr>
            <w:tcW w:w="2693" w:type="dxa"/>
            <w:shd w:val="clear" w:color="auto" w:fill="auto"/>
          </w:tcPr>
          <w:p w14:paraId="3E4AAC3F" w14:textId="77777777" w:rsidR="00B33542" w:rsidRPr="005071A1" w:rsidRDefault="00B33542" w:rsidP="009B7AF5">
            <w:pPr>
              <w:pStyle w:val="Tabletext"/>
            </w:pPr>
            <w:r w:rsidRPr="005071A1">
              <w:t>0.50</w:t>
            </w:r>
          </w:p>
        </w:tc>
      </w:tr>
      <w:tr w:rsidR="00B33542" w:rsidRPr="005071A1" w14:paraId="46308A5B" w14:textId="77777777" w:rsidTr="009B7AF5">
        <w:tc>
          <w:tcPr>
            <w:tcW w:w="3119" w:type="dxa"/>
            <w:shd w:val="clear" w:color="auto" w:fill="auto"/>
          </w:tcPr>
          <w:p w14:paraId="1CEC357D" w14:textId="77777777" w:rsidR="00B33542" w:rsidRPr="005071A1" w:rsidRDefault="00B33542" w:rsidP="009B7AF5">
            <w:pPr>
              <w:pStyle w:val="Tabletext"/>
            </w:pPr>
            <w:r w:rsidRPr="005071A1">
              <w:t>42</w:t>
            </w:r>
          </w:p>
        </w:tc>
        <w:tc>
          <w:tcPr>
            <w:tcW w:w="2693" w:type="dxa"/>
            <w:shd w:val="clear" w:color="auto" w:fill="auto"/>
          </w:tcPr>
          <w:p w14:paraId="2CCCC1B8" w14:textId="77777777" w:rsidR="00B33542" w:rsidRPr="005071A1" w:rsidRDefault="00B33542" w:rsidP="009B7AF5">
            <w:pPr>
              <w:pStyle w:val="Tabletext"/>
            </w:pPr>
            <w:r w:rsidRPr="005071A1">
              <w:t>0.54</w:t>
            </w:r>
          </w:p>
        </w:tc>
      </w:tr>
      <w:tr w:rsidR="00B33542" w:rsidRPr="005071A1" w14:paraId="6D9C75D7" w14:textId="77777777" w:rsidTr="009B7AF5">
        <w:tc>
          <w:tcPr>
            <w:tcW w:w="3119" w:type="dxa"/>
            <w:shd w:val="clear" w:color="auto" w:fill="auto"/>
          </w:tcPr>
          <w:p w14:paraId="4F38AF15" w14:textId="77777777" w:rsidR="00B33542" w:rsidRPr="005071A1" w:rsidRDefault="00B33542" w:rsidP="009B7AF5">
            <w:pPr>
              <w:pStyle w:val="Tabletext"/>
            </w:pPr>
            <w:r w:rsidRPr="005071A1">
              <w:t>43</w:t>
            </w:r>
          </w:p>
        </w:tc>
        <w:tc>
          <w:tcPr>
            <w:tcW w:w="2693" w:type="dxa"/>
            <w:shd w:val="clear" w:color="auto" w:fill="auto"/>
          </w:tcPr>
          <w:p w14:paraId="4CA1934B" w14:textId="77777777" w:rsidR="00B33542" w:rsidRPr="005071A1" w:rsidRDefault="00B33542" w:rsidP="009B7AF5">
            <w:pPr>
              <w:pStyle w:val="Tabletext"/>
            </w:pPr>
            <w:r w:rsidRPr="005071A1">
              <w:t>0.58</w:t>
            </w:r>
          </w:p>
        </w:tc>
      </w:tr>
      <w:tr w:rsidR="00B33542" w:rsidRPr="005071A1" w14:paraId="46146BBA" w14:textId="77777777" w:rsidTr="009B7AF5">
        <w:tc>
          <w:tcPr>
            <w:tcW w:w="3119" w:type="dxa"/>
            <w:shd w:val="clear" w:color="auto" w:fill="auto"/>
          </w:tcPr>
          <w:p w14:paraId="2661B1E4" w14:textId="77777777" w:rsidR="00B33542" w:rsidRPr="005071A1" w:rsidRDefault="00B33542" w:rsidP="009B7AF5">
            <w:pPr>
              <w:pStyle w:val="Tabletext"/>
            </w:pPr>
            <w:r w:rsidRPr="005071A1">
              <w:t>44</w:t>
            </w:r>
          </w:p>
        </w:tc>
        <w:tc>
          <w:tcPr>
            <w:tcW w:w="2693" w:type="dxa"/>
            <w:shd w:val="clear" w:color="auto" w:fill="auto"/>
          </w:tcPr>
          <w:p w14:paraId="0CF24A2E" w14:textId="77777777" w:rsidR="00B33542" w:rsidRPr="005071A1" w:rsidRDefault="00B33542" w:rsidP="009B7AF5">
            <w:pPr>
              <w:pStyle w:val="Tabletext"/>
            </w:pPr>
            <w:r w:rsidRPr="005071A1">
              <w:t>0.63</w:t>
            </w:r>
          </w:p>
        </w:tc>
      </w:tr>
      <w:tr w:rsidR="00B33542" w:rsidRPr="005071A1" w14:paraId="2D10A768" w14:textId="77777777" w:rsidTr="009B7AF5">
        <w:tc>
          <w:tcPr>
            <w:tcW w:w="3119" w:type="dxa"/>
            <w:shd w:val="clear" w:color="auto" w:fill="auto"/>
          </w:tcPr>
          <w:p w14:paraId="18758E12" w14:textId="77777777" w:rsidR="00B33542" w:rsidRPr="005071A1" w:rsidRDefault="00B33542" w:rsidP="009B7AF5">
            <w:pPr>
              <w:pStyle w:val="Tabletext"/>
            </w:pPr>
            <w:r w:rsidRPr="005071A1">
              <w:t>45</w:t>
            </w:r>
          </w:p>
        </w:tc>
        <w:tc>
          <w:tcPr>
            <w:tcW w:w="2693" w:type="dxa"/>
            <w:shd w:val="clear" w:color="auto" w:fill="auto"/>
          </w:tcPr>
          <w:p w14:paraId="70D817A9" w14:textId="77777777" w:rsidR="00B33542" w:rsidRPr="005071A1" w:rsidRDefault="00B33542" w:rsidP="009B7AF5">
            <w:pPr>
              <w:pStyle w:val="Tabletext"/>
            </w:pPr>
            <w:r w:rsidRPr="005071A1">
              <w:t>0.68</w:t>
            </w:r>
          </w:p>
        </w:tc>
      </w:tr>
      <w:tr w:rsidR="00B33542" w:rsidRPr="005071A1" w14:paraId="05AB832B" w14:textId="77777777" w:rsidTr="009B7AF5">
        <w:tc>
          <w:tcPr>
            <w:tcW w:w="3119" w:type="dxa"/>
            <w:shd w:val="clear" w:color="auto" w:fill="auto"/>
          </w:tcPr>
          <w:p w14:paraId="72F301BE" w14:textId="77777777" w:rsidR="00B33542" w:rsidRPr="005071A1" w:rsidRDefault="00B33542" w:rsidP="009B7AF5">
            <w:pPr>
              <w:pStyle w:val="Tabletext"/>
            </w:pPr>
            <w:r w:rsidRPr="005071A1">
              <w:t>46</w:t>
            </w:r>
          </w:p>
        </w:tc>
        <w:tc>
          <w:tcPr>
            <w:tcW w:w="2693" w:type="dxa"/>
            <w:shd w:val="clear" w:color="auto" w:fill="auto"/>
          </w:tcPr>
          <w:p w14:paraId="6F96C25E" w14:textId="77777777" w:rsidR="00B33542" w:rsidRPr="005071A1" w:rsidRDefault="00B33542" w:rsidP="009B7AF5">
            <w:pPr>
              <w:pStyle w:val="Tabletext"/>
            </w:pPr>
            <w:r w:rsidRPr="005071A1">
              <w:t>0.75</w:t>
            </w:r>
          </w:p>
        </w:tc>
      </w:tr>
      <w:tr w:rsidR="00B33542" w:rsidRPr="005071A1" w14:paraId="574AA390" w14:textId="77777777" w:rsidTr="009B7AF5">
        <w:tc>
          <w:tcPr>
            <w:tcW w:w="3119" w:type="dxa"/>
            <w:shd w:val="clear" w:color="auto" w:fill="auto"/>
          </w:tcPr>
          <w:p w14:paraId="1FD3B535" w14:textId="77777777" w:rsidR="00B33542" w:rsidRPr="005071A1" w:rsidRDefault="00B33542" w:rsidP="009B7AF5">
            <w:pPr>
              <w:pStyle w:val="Tabletext"/>
            </w:pPr>
            <w:r w:rsidRPr="005071A1">
              <w:t>47</w:t>
            </w:r>
          </w:p>
        </w:tc>
        <w:tc>
          <w:tcPr>
            <w:tcW w:w="2693" w:type="dxa"/>
            <w:shd w:val="clear" w:color="auto" w:fill="auto"/>
          </w:tcPr>
          <w:p w14:paraId="17DB68A8" w14:textId="77777777" w:rsidR="00B33542" w:rsidRPr="005071A1" w:rsidRDefault="00B33542" w:rsidP="009B7AF5">
            <w:pPr>
              <w:pStyle w:val="Tabletext"/>
            </w:pPr>
            <w:r w:rsidRPr="005071A1">
              <w:t>0.82</w:t>
            </w:r>
          </w:p>
        </w:tc>
      </w:tr>
      <w:tr w:rsidR="00B33542" w:rsidRPr="005071A1" w14:paraId="7FC168C1" w14:textId="77777777" w:rsidTr="009B7AF5">
        <w:tc>
          <w:tcPr>
            <w:tcW w:w="3119" w:type="dxa"/>
            <w:shd w:val="clear" w:color="auto" w:fill="auto"/>
          </w:tcPr>
          <w:p w14:paraId="65719D6F" w14:textId="77777777" w:rsidR="00B33542" w:rsidRPr="005071A1" w:rsidRDefault="00B33542" w:rsidP="009B7AF5">
            <w:pPr>
              <w:pStyle w:val="Tabletext"/>
            </w:pPr>
            <w:r w:rsidRPr="005071A1">
              <w:t>48</w:t>
            </w:r>
          </w:p>
        </w:tc>
        <w:tc>
          <w:tcPr>
            <w:tcW w:w="2693" w:type="dxa"/>
            <w:shd w:val="clear" w:color="auto" w:fill="auto"/>
          </w:tcPr>
          <w:p w14:paraId="52B18829" w14:textId="77777777" w:rsidR="00B33542" w:rsidRPr="005071A1" w:rsidRDefault="00B33542" w:rsidP="009B7AF5">
            <w:pPr>
              <w:pStyle w:val="Tabletext"/>
            </w:pPr>
            <w:r w:rsidRPr="005071A1">
              <w:t>0.91</w:t>
            </w:r>
          </w:p>
        </w:tc>
      </w:tr>
      <w:tr w:rsidR="00B33542" w:rsidRPr="005071A1" w14:paraId="433A729E" w14:textId="77777777" w:rsidTr="009B7AF5">
        <w:tc>
          <w:tcPr>
            <w:tcW w:w="3119" w:type="dxa"/>
            <w:shd w:val="clear" w:color="auto" w:fill="auto"/>
          </w:tcPr>
          <w:p w14:paraId="39DCA87A" w14:textId="77777777" w:rsidR="00B33542" w:rsidRPr="005071A1" w:rsidRDefault="00B33542" w:rsidP="009B7AF5">
            <w:pPr>
              <w:pStyle w:val="Tabletext"/>
            </w:pPr>
            <w:r w:rsidRPr="005071A1">
              <w:t>49</w:t>
            </w:r>
          </w:p>
        </w:tc>
        <w:tc>
          <w:tcPr>
            <w:tcW w:w="2693" w:type="dxa"/>
            <w:shd w:val="clear" w:color="auto" w:fill="auto"/>
          </w:tcPr>
          <w:p w14:paraId="61382D9B" w14:textId="77777777" w:rsidR="00B33542" w:rsidRPr="005071A1" w:rsidRDefault="00B33542" w:rsidP="009B7AF5">
            <w:pPr>
              <w:pStyle w:val="Tabletext"/>
            </w:pPr>
            <w:r w:rsidRPr="005071A1">
              <w:t>1.01</w:t>
            </w:r>
          </w:p>
        </w:tc>
      </w:tr>
      <w:tr w:rsidR="00B33542" w:rsidRPr="005071A1" w14:paraId="7AABEC24" w14:textId="77777777" w:rsidTr="009B7AF5">
        <w:tc>
          <w:tcPr>
            <w:tcW w:w="3119" w:type="dxa"/>
            <w:shd w:val="clear" w:color="auto" w:fill="auto"/>
          </w:tcPr>
          <w:p w14:paraId="344BF309" w14:textId="77777777" w:rsidR="00B33542" w:rsidRPr="005071A1" w:rsidRDefault="00B33542" w:rsidP="009B7AF5">
            <w:pPr>
              <w:pStyle w:val="Tabletext"/>
            </w:pPr>
            <w:r w:rsidRPr="005071A1">
              <w:t>50</w:t>
            </w:r>
          </w:p>
        </w:tc>
        <w:tc>
          <w:tcPr>
            <w:tcW w:w="2693" w:type="dxa"/>
            <w:shd w:val="clear" w:color="auto" w:fill="auto"/>
          </w:tcPr>
          <w:p w14:paraId="60B77FBA" w14:textId="77777777" w:rsidR="00B33542" w:rsidRPr="005071A1" w:rsidRDefault="00B33542" w:rsidP="009B7AF5">
            <w:pPr>
              <w:pStyle w:val="Tabletext"/>
            </w:pPr>
            <w:r w:rsidRPr="005071A1">
              <w:t>1.13</w:t>
            </w:r>
          </w:p>
        </w:tc>
      </w:tr>
      <w:tr w:rsidR="00B33542" w:rsidRPr="005071A1" w14:paraId="4ADF5C3B" w14:textId="77777777" w:rsidTr="009B7AF5">
        <w:tc>
          <w:tcPr>
            <w:tcW w:w="3119" w:type="dxa"/>
            <w:shd w:val="clear" w:color="auto" w:fill="auto"/>
          </w:tcPr>
          <w:p w14:paraId="308F1EA9" w14:textId="77777777" w:rsidR="00B33542" w:rsidRPr="005071A1" w:rsidRDefault="00B33542" w:rsidP="009B7AF5">
            <w:pPr>
              <w:pStyle w:val="Tabletext"/>
            </w:pPr>
            <w:r w:rsidRPr="005071A1">
              <w:t>51</w:t>
            </w:r>
          </w:p>
        </w:tc>
        <w:tc>
          <w:tcPr>
            <w:tcW w:w="2693" w:type="dxa"/>
            <w:shd w:val="clear" w:color="auto" w:fill="auto"/>
          </w:tcPr>
          <w:p w14:paraId="7D97FD5A" w14:textId="77777777" w:rsidR="00B33542" w:rsidRPr="005071A1" w:rsidRDefault="00B33542" w:rsidP="009B7AF5">
            <w:pPr>
              <w:pStyle w:val="Tabletext"/>
            </w:pPr>
            <w:r w:rsidRPr="005071A1">
              <w:t>1.27</w:t>
            </w:r>
          </w:p>
        </w:tc>
      </w:tr>
      <w:tr w:rsidR="00B33542" w:rsidRPr="005071A1" w14:paraId="4BD052DE" w14:textId="77777777" w:rsidTr="009B7AF5">
        <w:tc>
          <w:tcPr>
            <w:tcW w:w="3119" w:type="dxa"/>
            <w:shd w:val="clear" w:color="auto" w:fill="auto"/>
          </w:tcPr>
          <w:p w14:paraId="75E22B0E" w14:textId="77777777" w:rsidR="00B33542" w:rsidRPr="005071A1" w:rsidRDefault="00B33542" w:rsidP="009B7AF5">
            <w:pPr>
              <w:pStyle w:val="Tabletext"/>
            </w:pPr>
            <w:r w:rsidRPr="005071A1">
              <w:t>52</w:t>
            </w:r>
          </w:p>
        </w:tc>
        <w:tc>
          <w:tcPr>
            <w:tcW w:w="2693" w:type="dxa"/>
            <w:shd w:val="clear" w:color="auto" w:fill="auto"/>
          </w:tcPr>
          <w:p w14:paraId="009AC04F" w14:textId="77777777" w:rsidR="00B33542" w:rsidRPr="005071A1" w:rsidRDefault="00B33542" w:rsidP="009B7AF5">
            <w:pPr>
              <w:pStyle w:val="Tabletext"/>
            </w:pPr>
            <w:r w:rsidRPr="005071A1">
              <w:t>1.45</w:t>
            </w:r>
          </w:p>
        </w:tc>
      </w:tr>
      <w:tr w:rsidR="00B33542" w:rsidRPr="005071A1" w14:paraId="4A94FA36" w14:textId="77777777" w:rsidTr="009B7AF5">
        <w:tc>
          <w:tcPr>
            <w:tcW w:w="3119" w:type="dxa"/>
            <w:shd w:val="clear" w:color="auto" w:fill="auto"/>
          </w:tcPr>
          <w:p w14:paraId="1207E306" w14:textId="77777777" w:rsidR="00B33542" w:rsidRPr="005071A1" w:rsidRDefault="00B33542" w:rsidP="009B7AF5">
            <w:pPr>
              <w:pStyle w:val="Tabletext"/>
            </w:pPr>
            <w:r w:rsidRPr="005071A1">
              <w:t>53</w:t>
            </w:r>
          </w:p>
        </w:tc>
        <w:tc>
          <w:tcPr>
            <w:tcW w:w="2693" w:type="dxa"/>
            <w:shd w:val="clear" w:color="auto" w:fill="auto"/>
          </w:tcPr>
          <w:p w14:paraId="539D09FC" w14:textId="77777777" w:rsidR="00B33542" w:rsidRPr="005071A1" w:rsidRDefault="00B33542" w:rsidP="009B7AF5">
            <w:pPr>
              <w:pStyle w:val="Tabletext"/>
            </w:pPr>
            <w:r w:rsidRPr="005071A1">
              <w:t>1.68</w:t>
            </w:r>
          </w:p>
        </w:tc>
      </w:tr>
      <w:tr w:rsidR="00B33542" w:rsidRPr="005071A1" w14:paraId="7057A003" w14:textId="77777777" w:rsidTr="009B7AF5">
        <w:tc>
          <w:tcPr>
            <w:tcW w:w="3119" w:type="dxa"/>
            <w:shd w:val="clear" w:color="auto" w:fill="auto"/>
          </w:tcPr>
          <w:p w14:paraId="504FD883" w14:textId="77777777" w:rsidR="00B33542" w:rsidRPr="005071A1" w:rsidRDefault="00B33542" w:rsidP="009B7AF5">
            <w:pPr>
              <w:pStyle w:val="Tabletext"/>
            </w:pPr>
            <w:r w:rsidRPr="005071A1">
              <w:t>54</w:t>
            </w:r>
          </w:p>
        </w:tc>
        <w:tc>
          <w:tcPr>
            <w:tcW w:w="2693" w:type="dxa"/>
            <w:shd w:val="clear" w:color="auto" w:fill="auto"/>
          </w:tcPr>
          <w:p w14:paraId="2231ECD6" w14:textId="77777777" w:rsidR="00B33542" w:rsidRPr="005071A1" w:rsidRDefault="00B33542" w:rsidP="009B7AF5">
            <w:pPr>
              <w:pStyle w:val="Tabletext"/>
            </w:pPr>
            <w:r w:rsidRPr="005071A1">
              <w:t>1.99</w:t>
            </w:r>
          </w:p>
        </w:tc>
      </w:tr>
      <w:tr w:rsidR="00B33542" w:rsidRPr="005071A1" w14:paraId="518624FA" w14:textId="77777777" w:rsidTr="009B7AF5">
        <w:tc>
          <w:tcPr>
            <w:tcW w:w="3119" w:type="dxa"/>
            <w:shd w:val="clear" w:color="auto" w:fill="auto"/>
          </w:tcPr>
          <w:p w14:paraId="6CA27DDC" w14:textId="77777777" w:rsidR="00B33542" w:rsidRPr="005071A1" w:rsidRDefault="00B33542" w:rsidP="009B7AF5">
            <w:pPr>
              <w:pStyle w:val="Tabletext"/>
            </w:pPr>
            <w:r w:rsidRPr="005071A1">
              <w:t>55</w:t>
            </w:r>
          </w:p>
        </w:tc>
        <w:tc>
          <w:tcPr>
            <w:tcW w:w="2693" w:type="dxa"/>
            <w:shd w:val="clear" w:color="auto" w:fill="auto"/>
          </w:tcPr>
          <w:p w14:paraId="30C35AFB" w14:textId="77777777" w:rsidR="00B33542" w:rsidRPr="005071A1" w:rsidRDefault="00B33542" w:rsidP="009B7AF5">
            <w:pPr>
              <w:pStyle w:val="Tabletext"/>
            </w:pPr>
            <w:r w:rsidRPr="005071A1">
              <w:t>2.41</w:t>
            </w:r>
          </w:p>
        </w:tc>
      </w:tr>
      <w:tr w:rsidR="00B33542" w:rsidRPr="005071A1" w14:paraId="23B1CDC5" w14:textId="77777777" w:rsidTr="009B7AF5">
        <w:tc>
          <w:tcPr>
            <w:tcW w:w="3119" w:type="dxa"/>
            <w:shd w:val="clear" w:color="auto" w:fill="auto"/>
          </w:tcPr>
          <w:p w14:paraId="224563D6" w14:textId="77777777" w:rsidR="00B33542" w:rsidRPr="005071A1" w:rsidRDefault="00B33542" w:rsidP="009B7AF5">
            <w:pPr>
              <w:pStyle w:val="Tabletext"/>
            </w:pPr>
            <w:r w:rsidRPr="005071A1">
              <w:t>56</w:t>
            </w:r>
          </w:p>
        </w:tc>
        <w:tc>
          <w:tcPr>
            <w:tcW w:w="2693" w:type="dxa"/>
            <w:shd w:val="clear" w:color="auto" w:fill="auto"/>
          </w:tcPr>
          <w:p w14:paraId="5B13DA7D" w14:textId="77777777" w:rsidR="00B33542" w:rsidRPr="005071A1" w:rsidRDefault="00B33542" w:rsidP="009B7AF5">
            <w:pPr>
              <w:pStyle w:val="Tabletext"/>
            </w:pPr>
            <w:r w:rsidRPr="005071A1">
              <w:t>3.05</w:t>
            </w:r>
          </w:p>
        </w:tc>
      </w:tr>
      <w:tr w:rsidR="00B33542" w:rsidRPr="005071A1" w14:paraId="44FF617E" w14:textId="77777777" w:rsidTr="009B7AF5">
        <w:tc>
          <w:tcPr>
            <w:tcW w:w="3119" w:type="dxa"/>
            <w:shd w:val="clear" w:color="auto" w:fill="auto"/>
          </w:tcPr>
          <w:p w14:paraId="772FC8AB" w14:textId="77777777" w:rsidR="00B33542" w:rsidRPr="005071A1" w:rsidRDefault="00B33542" w:rsidP="009B7AF5">
            <w:pPr>
              <w:pStyle w:val="Tabletext"/>
            </w:pPr>
            <w:r w:rsidRPr="005071A1">
              <w:t>57</w:t>
            </w:r>
          </w:p>
        </w:tc>
        <w:tc>
          <w:tcPr>
            <w:tcW w:w="2693" w:type="dxa"/>
            <w:shd w:val="clear" w:color="auto" w:fill="auto"/>
          </w:tcPr>
          <w:p w14:paraId="7F323A9C" w14:textId="77777777" w:rsidR="00B33542" w:rsidRPr="005071A1" w:rsidRDefault="00B33542" w:rsidP="009B7AF5">
            <w:pPr>
              <w:pStyle w:val="Tabletext"/>
            </w:pPr>
            <w:r w:rsidRPr="005071A1">
              <w:t>4.10</w:t>
            </w:r>
          </w:p>
        </w:tc>
      </w:tr>
      <w:tr w:rsidR="00B33542" w:rsidRPr="005071A1" w14:paraId="60A734D3" w14:textId="77777777" w:rsidTr="009B7AF5">
        <w:tc>
          <w:tcPr>
            <w:tcW w:w="3119" w:type="dxa"/>
            <w:shd w:val="clear" w:color="auto" w:fill="auto"/>
          </w:tcPr>
          <w:p w14:paraId="144BEB21" w14:textId="77777777" w:rsidR="00B33542" w:rsidRPr="005071A1" w:rsidRDefault="00B33542" w:rsidP="009B7AF5">
            <w:pPr>
              <w:pStyle w:val="Tabletext"/>
            </w:pPr>
            <w:r w:rsidRPr="005071A1">
              <w:t>58</w:t>
            </w:r>
          </w:p>
        </w:tc>
        <w:tc>
          <w:tcPr>
            <w:tcW w:w="2693" w:type="dxa"/>
            <w:shd w:val="clear" w:color="auto" w:fill="auto"/>
          </w:tcPr>
          <w:p w14:paraId="3F8807FC" w14:textId="77777777" w:rsidR="00B33542" w:rsidRPr="005071A1" w:rsidRDefault="00B33542" w:rsidP="009B7AF5">
            <w:pPr>
              <w:pStyle w:val="Tabletext"/>
            </w:pPr>
            <w:r w:rsidRPr="005071A1">
              <w:t>6.20</w:t>
            </w:r>
          </w:p>
        </w:tc>
      </w:tr>
      <w:tr w:rsidR="00B33542" w:rsidRPr="005071A1" w14:paraId="62135F31" w14:textId="77777777" w:rsidTr="009B7AF5">
        <w:tc>
          <w:tcPr>
            <w:tcW w:w="3119" w:type="dxa"/>
            <w:tcBorders>
              <w:bottom w:val="single" w:sz="4" w:space="0" w:color="auto"/>
            </w:tcBorders>
            <w:shd w:val="clear" w:color="auto" w:fill="auto"/>
          </w:tcPr>
          <w:p w14:paraId="09A25A2C" w14:textId="77777777" w:rsidR="00B33542" w:rsidRPr="005071A1" w:rsidRDefault="00B33542" w:rsidP="009B7AF5">
            <w:pPr>
              <w:pStyle w:val="Tabletext"/>
            </w:pPr>
            <w:r w:rsidRPr="005071A1">
              <w:lastRenderedPageBreak/>
              <w:t>59</w:t>
            </w:r>
          </w:p>
        </w:tc>
        <w:tc>
          <w:tcPr>
            <w:tcW w:w="2693" w:type="dxa"/>
            <w:tcBorders>
              <w:bottom w:val="single" w:sz="4" w:space="0" w:color="auto"/>
            </w:tcBorders>
            <w:shd w:val="clear" w:color="auto" w:fill="auto"/>
          </w:tcPr>
          <w:p w14:paraId="346A0375" w14:textId="77777777" w:rsidR="00B33542" w:rsidRPr="005071A1" w:rsidRDefault="00B33542" w:rsidP="009B7AF5">
            <w:pPr>
              <w:pStyle w:val="Tabletext"/>
            </w:pPr>
            <w:r w:rsidRPr="005071A1">
              <w:t>12.37</w:t>
            </w:r>
          </w:p>
        </w:tc>
      </w:tr>
      <w:tr w:rsidR="00B33542" w:rsidRPr="005071A1" w14:paraId="1BDA038E" w14:textId="77777777" w:rsidTr="009B7AF5">
        <w:tc>
          <w:tcPr>
            <w:tcW w:w="3119" w:type="dxa"/>
            <w:tcBorders>
              <w:bottom w:val="single" w:sz="12" w:space="0" w:color="auto"/>
            </w:tcBorders>
            <w:shd w:val="clear" w:color="auto" w:fill="auto"/>
          </w:tcPr>
          <w:p w14:paraId="1C37C3C7" w14:textId="77777777" w:rsidR="00B33542" w:rsidRPr="005071A1" w:rsidRDefault="00B33542" w:rsidP="009B7AF5">
            <w:pPr>
              <w:pStyle w:val="Tabletext"/>
            </w:pPr>
            <w:r w:rsidRPr="005071A1">
              <w:t>60</w:t>
            </w:r>
          </w:p>
        </w:tc>
        <w:tc>
          <w:tcPr>
            <w:tcW w:w="2693" w:type="dxa"/>
            <w:tcBorders>
              <w:bottom w:val="single" w:sz="12" w:space="0" w:color="auto"/>
            </w:tcBorders>
            <w:shd w:val="clear" w:color="auto" w:fill="auto"/>
          </w:tcPr>
          <w:p w14:paraId="225E6F21" w14:textId="77777777" w:rsidR="00B33542" w:rsidRPr="005071A1" w:rsidRDefault="00B33542" w:rsidP="009B7AF5">
            <w:pPr>
              <w:pStyle w:val="Tabletext"/>
            </w:pPr>
            <w:r w:rsidRPr="005071A1">
              <w:t>13.18</w:t>
            </w:r>
          </w:p>
        </w:tc>
      </w:tr>
    </w:tbl>
    <w:p w14:paraId="15C72BC4" w14:textId="77777777" w:rsidR="006518EB" w:rsidRPr="00F24E9F" w:rsidRDefault="006518EB" w:rsidP="00594E1E">
      <w:pPr>
        <w:pStyle w:val="ActHead1"/>
        <w:pageBreakBefore/>
      </w:pPr>
      <w:bookmarkStart w:id="306" w:name="_Toc185577688"/>
      <w:r w:rsidRPr="00F24E9F">
        <w:rPr>
          <w:rStyle w:val="CharChapNo"/>
        </w:rPr>
        <w:lastRenderedPageBreak/>
        <w:t>Fourth Schedule</w:t>
      </w:r>
      <w:bookmarkEnd w:id="306"/>
      <w:r w:rsidRPr="00F24E9F">
        <w:rPr>
          <w:rStyle w:val="CharChapText"/>
        </w:rPr>
        <w:t xml:space="preserve">  </w:t>
      </w:r>
    </w:p>
    <w:p w14:paraId="14E6B521" w14:textId="77777777" w:rsidR="00B33542" w:rsidRPr="005071A1" w:rsidRDefault="00B33542" w:rsidP="00B33542">
      <w:pPr>
        <w:pStyle w:val="notemargin"/>
      </w:pPr>
      <w:r w:rsidRPr="005071A1">
        <w:t>Section</w:t>
      </w:r>
      <w:r w:rsidR="008B2950" w:rsidRPr="005071A1">
        <w:t> </w:t>
      </w:r>
      <w:r w:rsidRPr="005071A1">
        <w:t>23(3)</w:t>
      </w:r>
    </w:p>
    <w:p w14:paraId="71BF6BEE" w14:textId="77777777" w:rsidR="00674A0D" w:rsidRPr="005071A1" w:rsidRDefault="00674A0D" w:rsidP="00674A0D">
      <w:pPr>
        <w:pStyle w:val="Header"/>
        <w:tabs>
          <w:tab w:val="clear" w:pos="4150"/>
          <w:tab w:val="clear" w:pos="8307"/>
        </w:tabs>
      </w:pPr>
      <w:r w:rsidRPr="004510F0">
        <w:rPr>
          <w:rStyle w:val="CharPartNo"/>
        </w:rPr>
        <w:t xml:space="preserve"> </w:t>
      </w:r>
      <w:r w:rsidRPr="004510F0">
        <w:rPr>
          <w:rStyle w:val="CharPartText"/>
        </w:rPr>
        <w:t xml:space="preserve"> </w:t>
      </w:r>
    </w:p>
    <w:p w14:paraId="579C8B76" w14:textId="77777777" w:rsidR="00B33542" w:rsidRPr="005071A1" w:rsidRDefault="00B33542" w:rsidP="00B33542">
      <w:pPr>
        <w:pStyle w:val="ActHead5"/>
      </w:pPr>
      <w:bookmarkStart w:id="307" w:name="_Toc185577689"/>
      <w:r w:rsidRPr="005071A1">
        <w:t>Table I</w:t>
      </w:r>
      <w:bookmarkEnd w:id="307"/>
    </w:p>
    <w:p w14:paraId="2B9F0D67" w14:textId="77777777" w:rsidR="00B33542" w:rsidRPr="005071A1" w:rsidRDefault="00B33542" w:rsidP="00B33542">
      <w:pPr>
        <w:spacing w:before="120"/>
      </w:pPr>
      <w:r w:rsidRPr="005071A1">
        <w:t xml:space="preserve">Rates of contribution to be paid fortnightly by male contributors for units of pension to which </w:t>
      </w:r>
      <w:r w:rsidR="008B2950" w:rsidRPr="005071A1">
        <w:t>paragraph (</w:t>
      </w:r>
      <w:r w:rsidRPr="005071A1">
        <w:t xml:space="preserve">a) of </w:t>
      </w:r>
      <w:r w:rsidR="008B2950" w:rsidRPr="005071A1">
        <w:t>subsection (</w:t>
      </w:r>
      <w:r w:rsidRPr="005071A1">
        <w:t>3) of section</w:t>
      </w:r>
      <w:r w:rsidR="008B2950" w:rsidRPr="005071A1">
        <w:t> </w:t>
      </w:r>
      <w:r w:rsidRPr="005071A1">
        <w:t>23 applies, based on the age next birthday of the contributor when the obligation to contribute for those units came into existence</w:t>
      </w:r>
    </w:p>
    <w:p w14:paraId="0FD1F29A"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35"/>
        <w:gridCol w:w="1276"/>
        <w:gridCol w:w="1701"/>
      </w:tblGrid>
      <w:tr w:rsidR="00B33542" w:rsidRPr="005071A1" w14:paraId="7A235C82" w14:textId="77777777" w:rsidTr="00CF0C39">
        <w:trPr>
          <w:tblHeader/>
        </w:trPr>
        <w:tc>
          <w:tcPr>
            <w:tcW w:w="2835" w:type="dxa"/>
            <w:tcBorders>
              <w:top w:val="single" w:sz="12" w:space="0" w:color="auto"/>
              <w:bottom w:val="single" w:sz="6" w:space="0" w:color="auto"/>
            </w:tcBorders>
            <w:shd w:val="clear" w:color="auto" w:fill="auto"/>
          </w:tcPr>
          <w:p w14:paraId="0454AAAE" w14:textId="77777777" w:rsidR="00B33542" w:rsidRPr="005071A1" w:rsidRDefault="00B33542" w:rsidP="009B7AF5">
            <w:pPr>
              <w:pStyle w:val="TableHeading"/>
            </w:pPr>
            <w:r w:rsidRPr="005071A1">
              <w:t>Column 1</w:t>
            </w:r>
          </w:p>
        </w:tc>
        <w:tc>
          <w:tcPr>
            <w:tcW w:w="2977" w:type="dxa"/>
            <w:gridSpan w:val="2"/>
            <w:tcBorders>
              <w:top w:val="single" w:sz="12" w:space="0" w:color="auto"/>
              <w:bottom w:val="single" w:sz="6" w:space="0" w:color="auto"/>
            </w:tcBorders>
            <w:shd w:val="clear" w:color="auto" w:fill="auto"/>
          </w:tcPr>
          <w:p w14:paraId="3F24998C" w14:textId="77777777" w:rsidR="00B33542" w:rsidRPr="005071A1" w:rsidRDefault="00B33542" w:rsidP="009B7AF5">
            <w:pPr>
              <w:pStyle w:val="TableHeading"/>
            </w:pPr>
            <w:r w:rsidRPr="005071A1">
              <w:t>Column 2</w:t>
            </w:r>
          </w:p>
        </w:tc>
      </w:tr>
      <w:tr w:rsidR="00B33542" w:rsidRPr="005071A1" w14:paraId="2189C027" w14:textId="77777777" w:rsidTr="00CF0C39">
        <w:trPr>
          <w:tblHeader/>
        </w:trPr>
        <w:tc>
          <w:tcPr>
            <w:tcW w:w="2835" w:type="dxa"/>
            <w:tcBorders>
              <w:top w:val="single" w:sz="6" w:space="0" w:color="auto"/>
              <w:bottom w:val="nil"/>
            </w:tcBorders>
            <w:shd w:val="clear" w:color="auto" w:fill="auto"/>
          </w:tcPr>
          <w:p w14:paraId="39A0E076" w14:textId="77777777" w:rsidR="00B33542" w:rsidRPr="005071A1" w:rsidRDefault="00B33542" w:rsidP="00FE2F9A">
            <w:pPr>
              <w:pStyle w:val="TableHeading"/>
            </w:pPr>
          </w:p>
        </w:tc>
        <w:tc>
          <w:tcPr>
            <w:tcW w:w="2977" w:type="dxa"/>
            <w:gridSpan w:val="2"/>
            <w:tcBorders>
              <w:top w:val="single" w:sz="6" w:space="0" w:color="auto"/>
              <w:bottom w:val="single" w:sz="6" w:space="0" w:color="auto"/>
            </w:tcBorders>
            <w:shd w:val="clear" w:color="auto" w:fill="auto"/>
          </w:tcPr>
          <w:p w14:paraId="6BCFE4CF" w14:textId="77777777" w:rsidR="00B33542" w:rsidRPr="005071A1" w:rsidRDefault="00B33542" w:rsidP="00FE2F9A">
            <w:pPr>
              <w:pStyle w:val="TableHeading"/>
            </w:pPr>
            <w:r w:rsidRPr="005071A1">
              <w:t>Contribution for each Additional Unit, based on Retiring Age of—</w:t>
            </w:r>
          </w:p>
        </w:tc>
      </w:tr>
      <w:tr w:rsidR="00B33542" w:rsidRPr="005071A1" w14:paraId="4D9459EB" w14:textId="77777777" w:rsidTr="00CF0C39">
        <w:trPr>
          <w:tblHeader/>
        </w:trPr>
        <w:tc>
          <w:tcPr>
            <w:tcW w:w="2835" w:type="dxa"/>
            <w:tcBorders>
              <w:top w:val="nil"/>
              <w:bottom w:val="single" w:sz="6" w:space="0" w:color="auto"/>
            </w:tcBorders>
            <w:shd w:val="clear" w:color="auto" w:fill="auto"/>
          </w:tcPr>
          <w:p w14:paraId="3C9D61D3" w14:textId="77777777" w:rsidR="00B33542" w:rsidRPr="005071A1" w:rsidRDefault="00B33542" w:rsidP="00FE2F9A">
            <w:pPr>
              <w:pStyle w:val="TableHeading"/>
            </w:pPr>
            <w:r w:rsidRPr="005071A1">
              <w:t>Age next Birthday</w:t>
            </w:r>
          </w:p>
        </w:tc>
        <w:tc>
          <w:tcPr>
            <w:tcW w:w="1276" w:type="dxa"/>
            <w:tcBorders>
              <w:top w:val="single" w:sz="6" w:space="0" w:color="auto"/>
              <w:bottom w:val="single" w:sz="6" w:space="0" w:color="auto"/>
            </w:tcBorders>
            <w:shd w:val="clear" w:color="auto" w:fill="auto"/>
          </w:tcPr>
          <w:p w14:paraId="7CBEA454" w14:textId="77777777" w:rsidR="00B33542" w:rsidRPr="005071A1" w:rsidRDefault="00B33542" w:rsidP="00FE2F9A">
            <w:pPr>
              <w:pStyle w:val="TableHeading"/>
            </w:pPr>
            <w:r w:rsidRPr="005071A1">
              <w:t>65 years</w:t>
            </w:r>
          </w:p>
        </w:tc>
        <w:tc>
          <w:tcPr>
            <w:tcW w:w="1701" w:type="dxa"/>
            <w:tcBorders>
              <w:top w:val="single" w:sz="6" w:space="0" w:color="auto"/>
              <w:bottom w:val="single" w:sz="6" w:space="0" w:color="auto"/>
            </w:tcBorders>
            <w:shd w:val="clear" w:color="auto" w:fill="auto"/>
          </w:tcPr>
          <w:p w14:paraId="38B33210" w14:textId="77777777" w:rsidR="00B33542" w:rsidRPr="005071A1" w:rsidRDefault="00B33542" w:rsidP="00FE2F9A">
            <w:pPr>
              <w:pStyle w:val="TableHeading"/>
            </w:pPr>
            <w:r w:rsidRPr="005071A1">
              <w:t>60 years</w:t>
            </w:r>
          </w:p>
        </w:tc>
      </w:tr>
      <w:tr w:rsidR="00B33542" w:rsidRPr="005071A1" w14:paraId="6D7015B2" w14:textId="77777777" w:rsidTr="009B7AF5">
        <w:trPr>
          <w:tblHeader/>
        </w:trPr>
        <w:tc>
          <w:tcPr>
            <w:tcW w:w="2835" w:type="dxa"/>
            <w:tcBorders>
              <w:top w:val="single" w:sz="6" w:space="0" w:color="auto"/>
              <w:bottom w:val="single" w:sz="12" w:space="0" w:color="auto"/>
            </w:tcBorders>
            <w:shd w:val="clear" w:color="auto" w:fill="auto"/>
          </w:tcPr>
          <w:p w14:paraId="4F4A587F" w14:textId="77777777" w:rsidR="00B33542" w:rsidRPr="005071A1" w:rsidRDefault="00B33542" w:rsidP="00FE2F9A">
            <w:pPr>
              <w:pStyle w:val="TableHeading"/>
            </w:pPr>
          </w:p>
        </w:tc>
        <w:tc>
          <w:tcPr>
            <w:tcW w:w="1276" w:type="dxa"/>
            <w:tcBorders>
              <w:top w:val="single" w:sz="6" w:space="0" w:color="auto"/>
              <w:bottom w:val="single" w:sz="12" w:space="0" w:color="auto"/>
            </w:tcBorders>
            <w:shd w:val="clear" w:color="auto" w:fill="auto"/>
          </w:tcPr>
          <w:p w14:paraId="7231EEF4" w14:textId="77777777" w:rsidR="00B33542" w:rsidRPr="005071A1" w:rsidRDefault="00B33542" w:rsidP="00FE2F9A">
            <w:pPr>
              <w:pStyle w:val="TableHeading"/>
            </w:pPr>
            <w:r w:rsidRPr="005071A1">
              <w:t>$</w:t>
            </w:r>
          </w:p>
        </w:tc>
        <w:tc>
          <w:tcPr>
            <w:tcW w:w="1701" w:type="dxa"/>
            <w:tcBorders>
              <w:top w:val="single" w:sz="6" w:space="0" w:color="auto"/>
              <w:bottom w:val="single" w:sz="12" w:space="0" w:color="auto"/>
            </w:tcBorders>
            <w:shd w:val="clear" w:color="auto" w:fill="auto"/>
          </w:tcPr>
          <w:p w14:paraId="00A8F949" w14:textId="77777777" w:rsidR="00B33542" w:rsidRPr="005071A1" w:rsidRDefault="00B33542" w:rsidP="00FE2F9A">
            <w:pPr>
              <w:pStyle w:val="TableHeading"/>
            </w:pPr>
            <w:r w:rsidRPr="005071A1">
              <w:t>$</w:t>
            </w:r>
          </w:p>
        </w:tc>
      </w:tr>
      <w:tr w:rsidR="00B33542" w:rsidRPr="005071A1" w14:paraId="4D00DEAE" w14:textId="77777777" w:rsidTr="009B7AF5">
        <w:tc>
          <w:tcPr>
            <w:tcW w:w="2835" w:type="dxa"/>
            <w:tcBorders>
              <w:top w:val="single" w:sz="12" w:space="0" w:color="auto"/>
            </w:tcBorders>
            <w:shd w:val="clear" w:color="auto" w:fill="auto"/>
          </w:tcPr>
          <w:p w14:paraId="7FFD45FF" w14:textId="77777777" w:rsidR="00B33542" w:rsidRPr="005071A1" w:rsidRDefault="00B33542" w:rsidP="009B7AF5">
            <w:pPr>
              <w:pStyle w:val="Tabletext"/>
            </w:pPr>
            <w:r w:rsidRPr="005071A1">
              <w:t>15</w:t>
            </w:r>
          </w:p>
        </w:tc>
        <w:tc>
          <w:tcPr>
            <w:tcW w:w="1276" w:type="dxa"/>
            <w:tcBorders>
              <w:top w:val="single" w:sz="12" w:space="0" w:color="auto"/>
            </w:tcBorders>
            <w:shd w:val="clear" w:color="auto" w:fill="auto"/>
          </w:tcPr>
          <w:p w14:paraId="32734871" w14:textId="77777777" w:rsidR="00B33542" w:rsidRPr="005071A1" w:rsidRDefault="00B33542" w:rsidP="009B7AF5">
            <w:pPr>
              <w:pStyle w:val="Tabletext"/>
            </w:pPr>
            <w:r w:rsidRPr="005071A1">
              <w:t>0.10</w:t>
            </w:r>
          </w:p>
        </w:tc>
        <w:tc>
          <w:tcPr>
            <w:tcW w:w="1701" w:type="dxa"/>
            <w:tcBorders>
              <w:top w:val="single" w:sz="12" w:space="0" w:color="auto"/>
            </w:tcBorders>
            <w:shd w:val="clear" w:color="auto" w:fill="auto"/>
          </w:tcPr>
          <w:p w14:paraId="0BAED3D2" w14:textId="77777777" w:rsidR="00B33542" w:rsidRPr="005071A1" w:rsidRDefault="00B33542" w:rsidP="009B7AF5">
            <w:pPr>
              <w:pStyle w:val="Tabletext"/>
            </w:pPr>
            <w:r w:rsidRPr="005071A1">
              <w:t>0.13</w:t>
            </w:r>
          </w:p>
        </w:tc>
      </w:tr>
      <w:tr w:rsidR="00B33542" w:rsidRPr="005071A1" w14:paraId="0B330076" w14:textId="77777777" w:rsidTr="009B7AF5">
        <w:tc>
          <w:tcPr>
            <w:tcW w:w="2835" w:type="dxa"/>
            <w:shd w:val="clear" w:color="auto" w:fill="auto"/>
          </w:tcPr>
          <w:p w14:paraId="356B8650" w14:textId="77777777" w:rsidR="00B33542" w:rsidRPr="005071A1" w:rsidRDefault="00B33542" w:rsidP="009B7AF5">
            <w:pPr>
              <w:pStyle w:val="Tabletext"/>
            </w:pPr>
            <w:r w:rsidRPr="005071A1">
              <w:t>16</w:t>
            </w:r>
          </w:p>
        </w:tc>
        <w:tc>
          <w:tcPr>
            <w:tcW w:w="1276" w:type="dxa"/>
            <w:shd w:val="clear" w:color="auto" w:fill="auto"/>
          </w:tcPr>
          <w:p w14:paraId="790C8160" w14:textId="77777777" w:rsidR="00B33542" w:rsidRPr="005071A1" w:rsidRDefault="00B33542" w:rsidP="009B7AF5">
            <w:pPr>
              <w:pStyle w:val="Tabletext"/>
            </w:pPr>
            <w:r w:rsidRPr="005071A1">
              <w:t>0.10</w:t>
            </w:r>
          </w:p>
        </w:tc>
        <w:tc>
          <w:tcPr>
            <w:tcW w:w="1701" w:type="dxa"/>
            <w:shd w:val="clear" w:color="auto" w:fill="auto"/>
          </w:tcPr>
          <w:p w14:paraId="6FCC49AA" w14:textId="77777777" w:rsidR="00B33542" w:rsidRPr="005071A1" w:rsidRDefault="00B33542" w:rsidP="009B7AF5">
            <w:pPr>
              <w:pStyle w:val="Tabletext"/>
            </w:pPr>
            <w:r w:rsidRPr="005071A1">
              <w:t>0.13</w:t>
            </w:r>
          </w:p>
        </w:tc>
      </w:tr>
      <w:tr w:rsidR="00B33542" w:rsidRPr="005071A1" w14:paraId="3B289331" w14:textId="77777777" w:rsidTr="009B7AF5">
        <w:tc>
          <w:tcPr>
            <w:tcW w:w="2835" w:type="dxa"/>
            <w:shd w:val="clear" w:color="auto" w:fill="auto"/>
          </w:tcPr>
          <w:p w14:paraId="3EA57287" w14:textId="77777777" w:rsidR="00B33542" w:rsidRPr="005071A1" w:rsidRDefault="00B33542" w:rsidP="009B7AF5">
            <w:pPr>
              <w:pStyle w:val="Tabletext"/>
            </w:pPr>
            <w:r w:rsidRPr="005071A1">
              <w:t>17</w:t>
            </w:r>
          </w:p>
        </w:tc>
        <w:tc>
          <w:tcPr>
            <w:tcW w:w="1276" w:type="dxa"/>
            <w:shd w:val="clear" w:color="auto" w:fill="auto"/>
          </w:tcPr>
          <w:p w14:paraId="6C277FB4" w14:textId="77777777" w:rsidR="00B33542" w:rsidRPr="005071A1" w:rsidRDefault="00B33542" w:rsidP="009B7AF5">
            <w:pPr>
              <w:pStyle w:val="Tabletext"/>
            </w:pPr>
            <w:r w:rsidRPr="005071A1">
              <w:t>0.11</w:t>
            </w:r>
          </w:p>
        </w:tc>
        <w:tc>
          <w:tcPr>
            <w:tcW w:w="1701" w:type="dxa"/>
            <w:shd w:val="clear" w:color="auto" w:fill="auto"/>
          </w:tcPr>
          <w:p w14:paraId="425B145A" w14:textId="77777777" w:rsidR="00B33542" w:rsidRPr="005071A1" w:rsidRDefault="00B33542" w:rsidP="009B7AF5">
            <w:pPr>
              <w:pStyle w:val="Tabletext"/>
            </w:pPr>
            <w:r w:rsidRPr="005071A1">
              <w:t>0.14</w:t>
            </w:r>
          </w:p>
        </w:tc>
      </w:tr>
      <w:tr w:rsidR="00B33542" w:rsidRPr="005071A1" w14:paraId="26B52563" w14:textId="77777777" w:rsidTr="009B7AF5">
        <w:tc>
          <w:tcPr>
            <w:tcW w:w="2835" w:type="dxa"/>
            <w:shd w:val="clear" w:color="auto" w:fill="auto"/>
          </w:tcPr>
          <w:p w14:paraId="1EA3981E" w14:textId="77777777" w:rsidR="00B33542" w:rsidRPr="005071A1" w:rsidRDefault="00B33542" w:rsidP="009B7AF5">
            <w:pPr>
              <w:pStyle w:val="Tabletext"/>
            </w:pPr>
            <w:r w:rsidRPr="005071A1">
              <w:t>18</w:t>
            </w:r>
          </w:p>
        </w:tc>
        <w:tc>
          <w:tcPr>
            <w:tcW w:w="1276" w:type="dxa"/>
            <w:shd w:val="clear" w:color="auto" w:fill="auto"/>
          </w:tcPr>
          <w:p w14:paraId="050F7E29" w14:textId="77777777" w:rsidR="00B33542" w:rsidRPr="005071A1" w:rsidRDefault="00B33542" w:rsidP="009B7AF5">
            <w:pPr>
              <w:pStyle w:val="Tabletext"/>
            </w:pPr>
            <w:r w:rsidRPr="005071A1">
              <w:t>0.11</w:t>
            </w:r>
          </w:p>
        </w:tc>
        <w:tc>
          <w:tcPr>
            <w:tcW w:w="1701" w:type="dxa"/>
            <w:shd w:val="clear" w:color="auto" w:fill="auto"/>
          </w:tcPr>
          <w:p w14:paraId="3E679468" w14:textId="77777777" w:rsidR="00B33542" w:rsidRPr="005071A1" w:rsidRDefault="00B33542" w:rsidP="009B7AF5">
            <w:pPr>
              <w:pStyle w:val="Tabletext"/>
            </w:pPr>
            <w:r w:rsidRPr="005071A1">
              <w:t>0.14</w:t>
            </w:r>
          </w:p>
        </w:tc>
      </w:tr>
      <w:tr w:rsidR="00B33542" w:rsidRPr="005071A1" w14:paraId="62089465" w14:textId="77777777" w:rsidTr="009B7AF5">
        <w:tc>
          <w:tcPr>
            <w:tcW w:w="2835" w:type="dxa"/>
            <w:shd w:val="clear" w:color="auto" w:fill="auto"/>
          </w:tcPr>
          <w:p w14:paraId="0E680502" w14:textId="77777777" w:rsidR="00B33542" w:rsidRPr="005071A1" w:rsidRDefault="00B33542" w:rsidP="009B7AF5">
            <w:pPr>
              <w:pStyle w:val="Tabletext"/>
            </w:pPr>
            <w:r w:rsidRPr="005071A1">
              <w:t>19</w:t>
            </w:r>
          </w:p>
        </w:tc>
        <w:tc>
          <w:tcPr>
            <w:tcW w:w="1276" w:type="dxa"/>
            <w:shd w:val="clear" w:color="auto" w:fill="auto"/>
          </w:tcPr>
          <w:p w14:paraId="4794E07D" w14:textId="77777777" w:rsidR="00B33542" w:rsidRPr="005071A1" w:rsidRDefault="00B33542" w:rsidP="009B7AF5">
            <w:pPr>
              <w:pStyle w:val="Tabletext"/>
            </w:pPr>
            <w:r w:rsidRPr="005071A1">
              <w:t>0.12</w:t>
            </w:r>
          </w:p>
        </w:tc>
        <w:tc>
          <w:tcPr>
            <w:tcW w:w="1701" w:type="dxa"/>
            <w:shd w:val="clear" w:color="auto" w:fill="auto"/>
          </w:tcPr>
          <w:p w14:paraId="3574EF2E" w14:textId="77777777" w:rsidR="00B33542" w:rsidRPr="005071A1" w:rsidRDefault="00B33542" w:rsidP="009B7AF5">
            <w:pPr>
              <w:pStyle w:val="Tabletext"/>
            </w:pPr>
            <w:r w:rsidRPr="005071A1">
              <w:t>0.15</w:t>
            </w:r>
          </w:p>
        </w:tc>
      </w:tr>
      <w:tr w:rsidR="00B33542" w:rsidRPr="005071A1" w14:paraId="47E5B5B4" w14:textId="77777777" w:rsidTr="009B7AF5">
        <w:tc>
          <w:tcPr>
            <w:tcW w:w="2835" w:type="dxa"/>
            <w:shd w:val="clear" w:color="auto" w:fill="auto"/>
          </w:tcPr>
          <w:p w14:paraId="7E31DAFA" w14:textId="77777777" w:rsidR="00B33542" w:rsidRPr="005071A1" w:rsidRDefault="00B33542" w:rsidP="009B7AF5">
            <w:pPr>
              <w:pStyle w:val="Tabletext"/>
            </w:pPr>
            <w:r w:rsidRPr="005071A1">
              <w:t>20</w:t>
            </w:r>
          </w:p>
        </w:tc>
        <w:tc>
          <w:tcPr>
            <w:tcW w:w="1276" w:type="dxa"/>
            <w:shd w:val="clear" w:color="auto" w:fill="auto"/>
          </w:tcPr>
          <w:p w14:paraId="59AAA56D" w14:textId="77777777" w:rsidR="00B33542" w:rsidRPr="005071A1" w:rsidRDefault="00B33542" w:rsidP="009B7AF5">
            <w:pPr>
              <w:pStyle w:val="Tabletext"/>
            </w:pPr>
            <w:r w:rsidRPr="005071A1">
              <w:t>0.13</w:t>
            </w:r>
          </w:p>
        </w:tc>
        <w:tc>
          <w:tcPr>
            <w:tcW w:w="1701" w:type="dxa"/>
            <w:shd w:val="clear" w:color="auto" w:fill="auto"/>
          </w:tcPr>
          <w:p w14:paraId="02992323" w14:textId="77777777" w:rsidR="00B33542" w:rsidRPr="005071A1" w:rsidRDefault="00B33542" w:rsidP="009B7AF5">
            <w:pPr>
              <w:pStyle w:val="Tabletext"/>
            </w:pPr>
            <w:r w:rsidRPr="005071A1">
              <w:t>0.16</w:t>
            </w:r>
          </w:p>
        </w:tc>
      </w:tr>
      <w:tr w:rsidR="00B33542" w:rsidRPr="005071A1" w14:paraId="21E3A1E9" w14:textId="77777777" w:rsidTr="009B7AF5">
        <w:tc>
          <w:tcPr>
            <w:tcW w:w="2835" w:type="dxa"/>
            <w:shd w:val="clear" w:color="auto" w:fill="auto"/>
          </w:tcPr>
          <w:p w14:paraId="527898E0" w14:textId="77777777" w:rsidR="00B33542" w:rsidRPr="005071A1" w:rsidRDefault="00B33542" w:rsidP="009B7AF5">
            <w:pPr>
              <w:pStyle w:val="Tabletext"/>
            </w:pPr>
            <w:r w:rsidRPr="005071A1">
              <w:t>21</w:t>
            </w:r>
          </w:p>
        </w:tc>
        <w:tc>
          <w:tcPr>
            <w:tcW w:w="1276" w:type="dxa"/>
            <w:shd w:val="clear" w:color="auto" w:fill="auto"/>
          </w:tcPr>
          <w:p w14:paraId="778DBC16" w14:textId="77777777" w:rsidR="00B33542" w:rsidRPr="005071A1" w:rsidRDefault="00B33542" w:rsidP="009B7AF5">
            <w:pPr>
              <w:pStyle w:val="Tabletext"/>
            </w:pPr>
            <w:r w:rsidRPr="005071A1">
              <w:t>0.13</w:t>
            </w:r>
          </w:p>
        </w:tc>
        <w:tc>
          <w:tcPr>
            <w:tcW w:w="1701" w:type="dxa"/>
            <w:shd w:val="clear" w:color="auto" w:fill="auto"/>
          </w:tcPr>
          <w:p w14:paraId="13759BB8" w14:textId="77777777" w:rsidR="00B33542" w:rsidRPr="005071A1" w:rsidRDefault="00B33542" w:rsidP="009B7AF5">
            <w:pPr>
              <w:pStyle w:val="Tabletext"/>
            </w:pPr>
            <w:r w:rsidRPr="005071A1">
              <w:t>0.17</w:t>
            </w:r>
          </w:p>
        </w:tc>
      </w:tr>
      <w:tr w:rsidR="00B33542" w:rsidRPr="005071A1" w14:paraId="39028AA3" w14:textId="77777777" w:rsidTr="009B7AF5">
        <w:tc>
          <w:tcPr>
            <w:tcW w:w="2835" w:type="dxa"/>
            <w:shd w:val="clear" w:color="auto" w:fill="auto"/>
          </w:tcPr>
          <w:p w14:paraId="34C726BC" w14:textId="77777777" w:rsidR="00B33542" w:rsidRPr="005071A1" w:rsidRDefault="00B33542" w:rsidP="009B7AF5">
            <w:pPr>
              <w:pStyle w:val="Tabletext"/>
            </w:pPr>
            <w:r w:rsidRPr="005071A1">
              <w:t>22</w:t>
            </w:r>
          </w:p>
        </w:tc>
        <w:tc>
          <w:tcPr>
            <w:tcW w:w="1276" w:type="dxa"/>
            <w:shd w:val="clear" w:color="auto" w:fill="auto"/>
          </w:tcPr>
          <w:p w14:paraId="5725D1E3" w14:textId="77777777" w:rsidR="00B33542" w:rsidRPr="005071A1" w:rsidRDefault="00B33542" w:rsidP="009B7AF5">
            <w:pPr>
              <w:pStyle w:val="Tabletext"/>
            </w:pPr>
            <w:r w:rsidRPr="005071A1">
              <w:t>0.14</w:t>
            </w:r>
          </w:p>
        </w:tc>
        <w:tc>
          <w:tcPr>
            <w:tcW w:w="1701" w:type="dxa"/>
            <w:shd w:val="clear" w:color="auto" w:fill="auto"/>
          </w:tcPr>
          <w:p w14:paraId="60F1D844" w14:textId="77777777" w:rsidR="00B33542" w:rsidRPr="005071A1" w:rsidRDefault="00B33542" w:rsidP="009B7AF5">
            <w:pPr>
              <w:pStyle w:val="Tabletext"/>
            </w:pPr>
            <w:r w:rsidRPr="005071A1">
              <w:t>0.18</w:t>
            </w:r>
          </w:p>
        </w:tc>
      </w:tr>
      <w:tr w:rsidR="00B33542" w:rsidRPr="005071A1" w14:paraId="18A1AB08" w14:textId="77777777" w:rsidTr="009B7AF5">
        <w:tc>
          <w:tcPr>
            <w:tcW w:w="2835" w:type="dxa"/>
            <w:shd w:val="clear" w:color="auto" w:fill="auto"/>
          </w:tcPr>
          <w:p w14:paraId="318D5234" w14:textId="77777777" w:rsidR="00B33542" w:rsidRPr="005071A1" w:rsidRDefault="00B33542" w:rsidP="009B7AF5">
            <w:pPr>
              <w:pStyle w:val="Tabletext"/>
            </w:pPr>
            <w:r w:rsidRPr="005071A1">
              <w:t>23</w:t>
            </w:r>
          </w:p>
        </w:tc>
        <w:tc>
          <w:tcPr>
            <w:tcW w:w="1276" w:type="dxa"/>
            <w:shd w:val="clear" w:color="auto" w:fill="auto"/>
          </w:tcPr>
          <w:p w14:paraId="15975735" w14:textId="77777777" w:rsidR="00B33542" w:rsidRPr="005071A1" w:rsidRDefault="00B33542" w:rsidP="009B7AF5">
            <w:pPr>
              <w:pStyle w:val="Tabletext"/>
            </w:pPr>
            <w:r w:rsidRPr="005071A1">
              <w:t>0.15</w:t>
            </w:r>
          </w:p>
        </w:tc>
        <w:tc>
          <w:tcPr>
            <w:tcW w:w="1701" w:type="dxa"/>
            <w:shd w:val="clear" w:color="auto" w:fill="auto"/>
          </w:tcPr>
          <w:p w14:paraId="69F93636" w14:textId="77777777" w:rsidR="00B33542" w:rsidRPr="005071A1" w:rsidRDefault="00B33542" w:rsidP="009B7AF5">
            <w:pPr>
              <w:pStyle w:val="Tabletext"/>
            </w:pPr>
            <w:r w:rsidRPr="005071A1">
              <w:t>0.19</w:t>
            </w:r>
          </w:p>
        </w:tc>
      </w:tr>
      <w:tr w:rsidR="00B33542" w:rsidRPr="005071A1" w14:paraId="65481801" w14:textId="77777777" w:rsidTr="009B7AF5">
        <w:tc>
          <w:tcPr>
            <w:tcW w:w="2835" w:type="dxa"/>
            <w:shd w:val="clear" w:color="auto" w:fill="auto"/>
          </w:tcPr>
          <w:p w14:paraId="0D2B1D96" w14:textId="77777777" w:rsidR="00B33542" w:rsidRPr="005071A1" w:rsidRDefault="00B33542" w:rsidP="009B7AF5">
            <w:pPr>
              <w:pStyle w:val="Tabletext"/>
            </w:pPr>
            <w:r w:rsidRPr="005071A1">
              <w:t>24</w:t>
            </w:r>
          </w:p>
        </w:tc>
        <w:tc>
          <w:tcPr>
            <w:tcW w:w="1276" w:type="dxa"/>
            <w:shd w:val="clear" w:color="auto" w:fill="auto"/>
          </w:tcPr>
          <w:p w14:paraId="4A1AC880" w14:textId="77777777" w:rsidR="00B33542" w:rsidRPr="005071A1" w:rsidRDefault="00B33542" w:rsidP="009B7AF5">
            <w:pPr>
              <w:pStyle w:val="Tabletext"/>
            </w:pPr>
            <w:r w:rsidRPr="005071A1">
              <w:t>0.15</w:t>
            </w:r>
          </w:p>
        </w:tc>
        <w:tc>
          <w:tcPr>
            <w:tcW w:w="1701" w:type="dxa"/>
            <w:shd w:val="clear" w:color="auto" w:fill="auto"/>
          </w:tcPr>
          <w:p w14:paraId="008ABB82" w14:textId="77777777" w:rsidR="00B33542" w:rsidRPr="005071A1" w:rsidRDefault="00B33542" w:rsidP="009B7AF5">
            <w:pPr>
              <w:pStyle w:val="Tabletext"/>
            </w:pPr>
            <w:r w:rsidRPr="005071A1">
              <w:t>0.20</w:t>
            </w:r>
          </w:p>
        </w:tc>
      </w:tr>
      <w:tr w:rsidR="00B33542" w:rsidRPr="005071A1" w14:paraId="34FD53E1" w14:textId="77777777" w:rsidTr="009B7AF5">
        <w:tc>
          <w:tcPr>
            <w:tcW w:w="2835" w:type="dxa"/>
            <w:shd w:val="clear" w:color="auto" w:fill="auto"/>
          </w:tcPr>
          <w:p w14:paraId="19CDDDE5" w14:textId="77777777" w:rsidR="00B33542" w:rsidRPr="005071A1" w:rsidRDefault="00B33542" w:rsidP="009B7AF5">
            <w:pPr>
              <w:pStyle w:val="Tabletext"/>
            </w:pPr>
            <w:r w:rsidRPr="005071A1">
              <w:t>25</w:t>
            </w:r>
          </w:p>
        </w:tc>
        <w:tc>
          <w:tcPr>
            <w:tcW w:w="1276" w:type="dxa"/>
            <w:shd w:val="clear" w:color="auto" w:fill="auto"/>
          </w:tcPr>
          <w:p w14:paraId="09C65EFB" w14:textId="77777777" w:rsidR="00B33542" w:rsidRPr="005071A1" w:rsidRDefault="00B33542" w:rsidP="009B7AF5">
            <w:pPr>
              <w:pStyle w:val="Tabletext"/>
            </w:pPr>
            <w:r w:rsidRPr="005071A1">
              <w:t>0.16</w:t>
            </w:r>
          </w:p>
        </w:tc>
        <w:tc>
          <w:tcPr>
            <w:tcW w:w="1701" w:type="dxa"/>
            <w:shd w:val="clear" w:color="auto" w:fill="auto"/>
          </w:tcPr>
          <w:p w14:paraId="1A366CEC" w14:textId="77777777" w:rsidR="00B33542" w:rsidRPr="005071A1" w:rsidRDefault="00B33542" w:rsidP="009B7AF5">
            <w:pPr>
              <w:pStyle w:val="Tabletext"/>
            </w:pPr>
            <w:r w:rsidRPr="005071A1">
              <w:t>0.21</w:t>
            </w:r>
          </w:p>
        </w:tc>
      </w:tr>
      <w:tr w:rsidR="00B33542" w:rsidRPr="005071A1" w14:paraId="6CE1B170" w14:textId="77777777" w:rsidTr="009B7AF5">
        <w:tc>
          <w:tcPr>
            <w:tcW w:w="2835" w:type="dxa"/>
            <w:shd w:val="clear" w:color="auto" w:fill="auto"/>
          </w:tcPr>
          <w:p w14:paraId="7587B6C7" w14:textId="77777777" w:rsidR="00B33542" w:rsidRPr="005071A1" w:rsidRDefault="00B33542" w:rsidP="009B7AF5">
            <w:pPr>
              <w:pStyle w:val="Tabletext"/>
            </w:pPr>
            <w:r w:rsidRPr="005071A1">
              <w:t>26</w:t>
            </w:r>
          </w:p>
        </w:tc>
        <w:tc>
          <w:tcPr>
            <w:tcW w:w="1276" w:type="dxa"/>
            <w:shd w:val="clear" w:color="auto" w:fill="auto"/>
          </w:tcPr>
          <w:p w14:paraId="727BDA8A" w14:textId="77777777" w:rsidR="00B33542" w:rsidRPr="005071A1" w:rsidRDefault="00B33542" w:rsidP="009B7AF5">
            <w:pPr>
              <w:pStyle w:val="Tabletext"/>
            </w:pPr>
            <w:r w:rsidRPr="005071A1">
              <w:t>0.17</w:t>
            </w:r>
          </w:p>
        </w:tc>
        <w:tc>
          <w:tcPr>
            <w:tcW w:w="1701" w:type="dxa"/>
            <w:shd w:val="clear" w:color="auto" w:fill="auto"/>
          </w:tcPr>
          <w:p w14:paraId="147BCFDB" w14:textId="77777777" w:rsidR="00B33542" w:rsidRPr="005071A1" w:rsidRDefault="00B33542" w:rsidP="009B7AF5">
            <w:pPr>
              <w:pStyle w:val="Tabletext"/>
            </w:pPr>
            <w:r w:rsidRPr="005071A1">
              <w:t>0.22</w:t>
            </w:r>
          </w:p>
        </w:tc>
      </w:tr>
      <w:tr w:rsidR="00B33542" w:rsidRPr="005071A1" w14:paraId="4889F85B" w14:textId="77777777" w:rsidTr="009B7AF5">
        <w:tc>
          <w:tcPr>
            <w:tcW w:w="2835" w:type="dxa"/>
            <w:shd w:val="clear" w:color="auto" w:fill="auto"/>
          </w:tcPr>
          <w:p w14:paraId="29610E53" w14:textId="77777777" w:rsidR="00B33542" w:rsidRPr="005071A1" w:rsidRDefault="00B33542" w:rsidP="009B7AF5">
            <w:pPr>
              <w:pStyle w:val="Tabletext"/>
            </w:pPr>
            <w:r w:rsidRPr="005071A1">
              <w:t>27</w:t>
            </w:r>
          </w:p>
        </w:tc>
        <w:tc>
          <w:tcPr>
            <w:tcW w:w="1276" w:type="dxa"/>
            <w:shd w:val="clear" w:color="auto" w:fill="auto"/>
          </w:tcPr>
          <w:p w14:paraId="0B6F4AB7" w14:textId="77777777" w:rsidR="00B33542" w:rsidRPr="005071A1" w:rsidRDefault="00B33542" w:rsidP="009B7AF5">
            <w:pPr>
              <w:pStyle w:val="Tabletext"/>
            </w:pPr>
            <w:r w:rsidRPr="005071A1">
              <w:t>0.18</w:t>
            </w:r>
          </w:p>
        </w:tc>
        <w:tc>
          <w:tcPr>
            <w:tcW w:w="1701" w:type="dxa"/>
            <w:shd w:val="clear" w:color="auto" w:fill="auto"/>
          </w:tcPr>
          <w:p w14:paraId="479209AC" w14:textId="77777777" w:rsidR="00B33542" w:rsidRPr="005071A1" w:rsidRDefault="00B33542" w:rsidP="009B7AF5">
            <w:pPr>
              <w:pStyle w:val="Tabletext"/>
            </w:pPr>
            <w:r w:rsidRPr="005071A1">
              <w:t>0.23</w:t>
            </w:r>
          </w:p>
        </w:tc>
      </w:tr>
      <w:tr w:rsidR="00B33542" w:rsidRPr="005071A1" w14:paraId="03A57C0F" w14:textId="77777777" w:rsidTr="009B7AF5">
        <w:tc>
          <w:tcPr>
            <w:tcW w:w="2835" w:type="dxa"/>
            <w:shd w:val="clear" w:color="auto" w:fill="auto"/>
          </w:tcPr>
          <w:p w14:paraId="700991F9" w14:textId="77777777" w:rsidR="00B33542" w:rsidRPr="005071A1" w:rsidRDefault="00B33542" w:rsidP="009B7AF5">
            <w:pPr>
              <w:pStyle w:val="Tabletext"/>
            </w:pPr>
            <w:r w:rsidRPr="005071A1">
              <w:lastRenderedPageBreak/>
              <w:t>28</w:t>
            </w:r>
          </w:p>
        </w:tc>
        <w:tc>
          <w:tcPr>
            <w:tcW w:w="1276" w:type="dxa"/>
            <w:shd w:val="clear" w:color="auto" w:fill="auto"/>
          </w:tcPr>
          <w:p w14:paraId="3A31F245" w14:textId="77777777" w:rsidR="00B33542" w:rsidRPr="005071A1" w:rsidRDefault="00B33542" w:rsidP="009B7AF5">
            <w:pPr>
              <w:pStyle w:val="Tabletext"/>
            </w:pPr>
            <w:r w:rsidRPr="005071A1">
              <w:t>0.19</w:t>
            </w:r>
          </w:p>
        </w:tc>
        <w:tc>
          <w:tcPr>
            <w:tcW w:w="1701" w:type="dxa"/>
            <w:shd w:val="clear" w:color="auto" w:fill="auto"/>
          </w:tcPr>
          <w:p w14:paraId="292821CD" w14:textId="77777777" w:rsidR="00B33542" w:rsidRPr="005071A1" w:rsidRDefault="00B33542" w:rsidP="009B7AF5">
            <w:pPr>
              <w:pStyle w:val="Tabletext"/>
            </w:pPr>
            <w:r w:rsidRPr="005071A1">
              <w:t>0.24</w:t>
            </w:r>
          </w:p>
        </w:tc>
      </w:tr>
      <w:tr w:rsidR="00B33542" w:rsidRPr="005071A1" w14:paraId="21AF492E" w14:textId="77777777" w:rsidTr="009B7AF5">
        <w:tc>
          <w:tcPr>
            <w:tcW w:w="2835" w:type="dxa"/>
            <w:shd w:val="clear" w:color="auto" w:fill="auto"/>
          </w:tcPr>
          <w:p w14:paraId="7E9502F8" w14:textId="77777777" w:rsidR="00B33542" w:rsidRPr="005071A1" w:rsidRDefault="00B33542" w:rsidP="009B7AF5">
            <w:pPr>
              <w:pStyle w:val="Tabletext"/>
            </w:pPr>
            <w:r w:rsidRPr="005071A1">
              <w:t>29</w:t>
            </w:r>
          </w:p>
        </w:tc>
        <w:tc>
          <w:tcPr>
            <w:tcW w:w="1276" w:type="dxa"/>
            <w:shd w:val="clear" w:color="auto" w:fill="auto"/>
          </w:tcPr>
          <w:p w14:paraId="359FD4C9" w14:textId="77777777" w:rsidR="00B33542" w:rsidRPr="005071A1" w:rsidRDefault="00B33542" w:rsidP="009B7AF5">
            <w:pPr>
              <w:pStyle w:val="Tabletext"/>
            </w:pPr>
            <w:r w:rsidRPr="005071A1">
              <w:t>0.19</w:t>
            </w:r>
          </w:p>
        </w:tc>
        <w:tc>
          <w:tcPr>
            <w:tcW w:w="1701" w:type="dxa"/>
            <w:shd w:val="clear" w:color="auto" w:fill="auto"/>
          </w:tcPr>
          <w:p w14:paraId="4FB3040D" w14:textId="77777777" w:rsidR="00B33542" w:rsidRPr="005071A1" w:rsidRDefault="00B33542" w:rsidP="009B7AF5">
            <w:pPr>
              <w:pStyle w:val="Tabletext"/>
            </w:pPr>
            <w:r w:rsidRPr="005071A1">
              <w:t>0.26</w:t>
            </w:r>
          </w:p>
        </w:tc>
      </w:tr>
      <w:tr w:rsidR="00B33542" w:rsidRPr="005071A1" w14:paraId="77A2B3B1" w14:textId="77777777" w:rsidTr="009B7AF5">
        <w:tc>
          <w:tcPr>
            <w:tcW w:w="2835" w:type="dxa"/>
            <w:shd w:val="clear" w:color="auto" w:fill="auto"/>
          </w:tcPr>
          <w:p w14:paraId="5C97371C" w14:textId="77777777" w:rsidR="00B33542" w:rsidRPr="005071A1" w:rsidRDefault="00B33542" w:rsidP="009B7AF5">
            <w:pPr>
              <w:pStyle w:val="Tabletext"/>
            </w:pPr>
            <w:r w:rsidRPr="005071A1">
              <w:t>30</w:t>
            </w:r>
          </w:p>
        </w:tc>
        <w:tc>
          <w:tcPr>
            <w:tcW w:w="1276" w:type="dxa"/>
            <w:shd w:val="clear" w:color="auto" w:fill="auto"/>
          </w:tcPr>
          <w:p w14:paraId="302A1F5D" w14:textId="77777777" w:rsidR="00B33542" w:rsidRPr="005071A1" w:rsidRDefault="00B33542" w:rsidP="009B7AF5">
            <w:pPr>
              <w:pStyle w:val="Tabletext"/>
            </w:pPr>
            <w:r w:rsidRPr="005071A1">
              <w:t>0.20</w:t>
            </w:r>
          </w:p>
        </w:tc>
        <w:tc>
          <w:tcPr>
            <w:tcW w:w="1701" w:type="dxa"/>
            <w:shd w:val="clear" w:color="auto" w:fill="auto"/>
          </w:tcPr>
          <w:p w14:paraId="5B0205BB" w14:textId="77777777" w:rsidR="00B33542" w:rsidRPr="005071A1" w:rsidRDefault="00B33542" w:rsidP="009B7AF5">
            <w:pPr>
              <w:pStyle w:val="Tabletext"/>
            </w:pPr>
            <w:r w:rsidRPr="005071A1">
              <w:t>0.27</w:t>
            </w:r>
          </w:p>
        </w:tc>
      </w:tr>
      <w:tr w:rsidR="00B33542" w:rsidRPr="005071A1" w14:paraId="3DCD83A1" w14:textId="77777777" w:rsidTr="00D57394">
        <w:tc>
          <w:tcPr>
            <w:tcW w:w="2835" w:type="dxa"/>
            <w:tcBorders>
              <w:bottom w:val="single" w:sz="4" w:space="0" w:color="auto"/>
            </w:tcBorders>
            <w:shd w:val="clear" w:color="auto" w:fill="auto"/>
          </w:tcPr>
          <w:p w14:paraId="37D4888F" w14:textId="77777777" w:rsidR="00B33542" w:rsidRPr="005071A1" w:rsidRDefault="00B33542" w:rsidP="009B7AF5">
            <w:pPr>
              <w:pStyle w:val="Tabletext"/>
            </w:pPr>
            <w:r w:rsidRPr="005071A1">
              <w:t>31</w:t>
            </w:r>
          </w:p>
        </w:tc>
        <w:tc>
          <w:tcPr>
            <w:tcW w:w="1276" w:type="dxa"/>
            <w:tcBorders>
              <w:bottom w:val="single" w:sz="4" w:space="0" w:color="auto"/>
            </w:tcBorders>
            <w:shd w:val="clear" w:color="auto" w:fill="auto"/>
          </w:tcPr>
          <w:p w14:paraId="6F87A825" w14:textId="77777777" w:rsidR="00B33542" w:rsidRPr="005071A1" w:rsidRDefault="00B33542" w:rsidP="009B7AF5">
            <w:pPr>
              <w:pStyle w:val="Tabletext"/>
            </w:pPr>
            <w:r w:rsidRPr="005071A1">
              <w:t>0.21</w:t>
            </w:r>
          </w:p>
        </w:tc>
        <w:tc>
          <w:tcPr>
            <w:tcW w:w="1701" w:type="dxa"/>
            <w:tcBorders>
              <w:bottom w:val="single" w:sz="4" w:space="0" w:color="auto"/>
            </w:tcBorders>
            <w:shd w:val="clear" w:color="auto" w:fill="auto"/>
          </w:tcPr>
          <w:p w14:paraId="424A773F" w14:textId="77777777" w:rsidR="00B33542" w:rsidRPr="005071A1" w:rsidRDefault="00B33542" w:rsidP="009B7AF5">
            <w:pPr>
              <w:pStyle w:val="Tabletext"/>
            </w:pPr>
            <w:r w:rsidRPr="005071A1">
              <w:t>0.29</w:t>
            </w:r>
          </w:p>
        </w:tc>
      </w:tr>
      <w:tr w:rsidR="00B33542" w:rsidRPr="005071A1" w14:paraId="1094C339" w14:textId="77777777" w:rsidTr="00D57394">
        <w:tc>
          <w:tcPr>
            <w:tcW w:w="2835" w:type="dxa"/>
            <w:tcBorders>
              <w:bottom w:val="single" w:sz="4" w:space="0" w:color="auto"/>
            </w:tcBorders>
            <w:shd w:val="clear" w:color="auto" w:fill="auto"/>
          </w:tcPr>
          <w:p w14:paraId="103F85DE" w14:textId="77777777" w:rsidR="00B33542" w:rsidRPr="005071A1" w:rsidRDefault="00B33542" w:rsidP="009B7AF5">
            <w:pPr>
              <w:pStyle w:val="Tabletext"/>
            </w:pPr>
            <w:r w:rsidRPr="005071A1">
              <w:t>32</w:t>
            </w:r>
          </w:p>
        </w:tc>
        <w:tc>
          <w:tcPr>
            <w:tcW w:w="1276" w:type="dxa"/>
            <w:tcBorders>
              <w:bottom w:val="single" w:sz="4" w:space="0" w:color="auto"/>
            </w:tcBorders>
            <w:shd w:val="clear" w:color="auto" w:fill="auto"/>
          </w:tcPr>
          <w:p w14:paraId="6FFF48F9" w14:textId="77777777" w:rsidR="00B33542" w:rsidRPr="005071A1" w:rsidRDefault="00B33542" w:rsidP="009B7AF5">
            <w:pPr>
              <w:pStyle w:val="Tabletext"/>
            </w:pPr>
            <w:r w:rsidRPr="005071A1">
              <w:t>0.23</w:t>
            </w:r>
          </w:p>
        </w:tc>
        <w:tc>
          <w:tcPr>
            <w:tcW w:w="1701" w:type="dxa"/>
            <w:tcBorders>
              <w:bottom w:val="single" w:sz="4" w:space="0" w:color="auto"/>
            </w:tcBorders>
            <w:shd w:val="clear" w:color="auto" w:fill="auto"/>
          </w:tcPr>
          <w:p w14:paraId="2F9F628F" w14:textId="77777777" w:rsidR="00B33542" w:rsidRPr="005071A1" w:rsidRDefault="00B33542" w:rsidP="009B7AF5">
            <w:pPr>
              <w:pStyle w:val="Tabletext"/>
            </w:pPr>
            <w:r w:rsidRPr="005071A1">
              <w:t>0.30</w:t>
            </w:r>
          </w:p>
        </w:tc>
      </w:tr>
      <w:tr w:rsidR="00B33542" w:rsidRPr="005071A1" w14:paraId="0EA1AC11" w14:textId="77777777" w:rsidTr="00640BB6">
        <w:tc>
          <w:tcPr>
            <w:tcW w:w="2835" w:type="dxa"/>
            <w:tcBorders>
              <w:top w:val="single" w:sz="4" w:space="0" w:color="auto"/>
              <w:bottom w:val="single" w:sz="4" w:space="0" w:color="auto"/>
            </w:tcBorders>
            <w:shd w:val="clear" w:color="auto" w:fill="auto"/>
          </w:tcPr>
          <w:p w14:paraId="361208D2" w14:textId="77777777" w:rsidR="00B33542" w:rsidRPr="005071A1" w:rsidRDefault="00B33542" w:rsidP="009B7AF5">
            <w:pPr>
              <w:pStyle w:val="Tabletext"/>
            </w:pPr>
            <w:r w:rsidRPr="005071A1">
              <w:t>33</w:t>
            </w:r>
          </w:p>
        </w:tc>
        <w:tc>
          <w:tcPr>
            <w:tcW w:w="1276" w:type="dxa"/>
            <w:tcBorders>
              <w:top w:val="single" w:sz="4" w:space="0" w:color="auto"/>
              <w:bottom w:val="single" w:sz="4" w:space="0" w:color="auto"/>
            </w:tcBorders>
            <w:shd w:val="clear" w:color="auto" w:fill="auto"/>
          </w:tcPr>
          <w:p w14:paraId="6CE93315" w14:textId="77777777" w:rsidR="00B33542" w:rsidRPr="005071A1" w:rsidRDefault="00B33542" w:rsidP="009B7AF5">
            <w:pPr>
              <w:pStyle w:val="Tabletext"/>
            </w:pPr>
            <w:r w:rsidRPr="005071A1">
              <w:t>0.24</w:t>
            </w:r>
          </w:p>
        </w:tc>
        <w:tc>
          <w:tcPr>
            <w:tcW w:w="1701" w:type="dxa"/>
            <w:tcBorders>
              <w:top w:val="single" w:sz="4" w:space="0" w:color="auto"/>
              <w:bottom w:val="single" w:sz="4" w:space="0" w:color="auto"/>
            </w:tcBorders>
            <w:shd w:val="clear" w:color="auto" w:fill="auto"/>
          </w:tcPr>
          <w:p w14:paraId="4959A1D1" w14:textId="77777777" w:rsidR="00B33542" w:rsidRPr="005071A1" w:rsidRDefault="00B33542" w:rsidP="009B7AF5">
            <w:pPr>
              <w:pStyle w:val="Tabletext"/>
            </w:pPr>
            <w:r w:rsidRPr="005071A1">
              <w:t>0.32</w:t>
            </w:r>
          </w:p>
        </w:tc>
      </w:tr>
      <w:tr w:rsidR="00B33542" w:rsidRPr="005071A1" w14:paraId="1B5DD6D3" w14:textId="77777777" w:rsidTr="00640BB6">
        <w:tc>
          <w:tcPr>
            <w:tcW w:w="2835" w:type="dxa"/>
            <w:tcBorders>
              <w:bottom w:val="single" w:sz="4" w:space="0" w:color="auto"/>
            </w:tcBorders>
            <w:shd w:val="clear" w:color="auto" w:fill="auto"/>
          </w:tcPr>
          <w:p w14:paraId="6B52B32F" w14:textId="77777777" w:rsidR="00B33542" w:rsidRPr="005071A1" w:rsidRDefault="00B33542" w:rsidP="009B7AF5">
            <w:pPr>
              <w:pStyle w:val="Tabletext"/>
            </w:pPr>
            <w:r w:rsidRPr="005071A1">
              <w:t>34</w:t>
            </w:r>
          </w:p>
        </w:tc>
        <w:tc>
          <w:tcPr>
            <w:tcW w:w="1276" w:type="dxa"/>
            <w:tcBorders>
              <w:bottom w:val="single" w:sz="4" w:space="0" w:color="auto"/>
            </w:tcBorders>
            <w:shd w:val="clear" w:color="auto" w:fill="auto"/>
          </w:tcPr>
          <w:p w14:paraId="5EB0F5F4" w14:textId="77777777" w:rsidR="00B33542" w:rsidRPr="005071A1" w:rsidRDefault="00B33542" w:rsidP="009B7AF5">
            <w:pPr>
              <w:pStyle w:val="Tabletext"/>
            </w:pPr>
            <w:r w:rsidRPr="005071A1">
              <w:t>0.25</w:t>
            </w:r>
          </w:p>
        </w:tc>
        <w:tc>
          <w:tcPr>
            <w:tcW w:w="1701" w:type="dxa"/>
            <w:tcBorders>
              <w:bottom w:val="single" w:sz="4" w:space="0" w:color="auto"/>
            </w:tcBorders>
            <w:shd w:val="clear" w:color="auto" w:fill="auto"/>
          </w:tcPr>
          <w:p w14:paraId="45D8706D" w14:textId="77777777" w:rsidR="00B33542" w:rsidRPr="005071A1" w:rsidRDefault="00B33542" w:rsidP="009B7AF5">
            <w:pPr>
              <w:pStyle w:val="Tabletext"/>
            </w:pPr>
            <w:r w:rsidRPr="005071A1">
              <w:t>0.34</w:t>
            </w:r>
          </w:p>
        </w:tc>
      </w:tr>
      <w:tr w:rsidR="00B33542" w:rsidRPr="005071A1" w14:paraId="68A2C984" w14:textId="77777777" w:rsidTr="00640BB6">
        <w:tc>
          <w:tcPr>
            <w:tcW w:w="2835" w:type="dxa"/>
            <w:tcBorders>
              <w:top w:val="single" w:sz="4" w:space="0" w:color="auto"/>
            </w:tcBorders>
            <w:shd w:val="clear" w:color="auto" w:fill="auto"/>
          </w:tcPr>
          <w:p w14:paraId="7A070C3B" w14:textId="77777777" w:rsidR="00B33542" w:rsidRPr="005071A1" w:rsidRDefault="00B33542" w:rsidP="009B7AF5">
            <w:pPr>
              <w:pStyle w:val="Tabletext"/>
            </w:pPr>
            <w:r w:rsidRPr="005071A1">
              <w:t>35</w:t>
            </w:r>
          </w:p>
        </w:tc>
        <w:tc>
          <w:tcPr>
            <w:tcW w:w="1276" w:type="dxa"/>
            <w:tcBorders>
              <w:top w:val="single" w:sz="4" w:space="0" w:color="auto"/>
            </w:tcBorders>
            <w:shd w:val="clear" w:color="auto" w:fill="auto"/>
          </w:tcPr>
          <w:p w14:paraId="7B6D1A62" w14:textId="77777777" w:rsidR="00B33542" w:rsidRPr="005071A1" w:rsidRDefault="00B33542" w:rsidP="009B7AF5">
            <w:pPr>
              <w:pStyle w:val="Tabletext"/>
            </w:pPr>
            <w:r w:rsidRPr="005071A1">
              <w:t>0.26</w:t>
            </w:r>
          </w:p>
        </w:tc>
        <w:tc>
          <w:tcPr>
            <w:tcW w:w="1701" w:type="dxa"/>
            <w:tcBorders>
              <w:top w:val="single" w:sz="4" w:space="0" w:color="auto"/>
            </w:tcBorders>
            <w:shd w:val="clear" w:color="auto" w:fill="auto"/>
          </w:tcPr>
          <w:p w14:paraId="239A119F" w14:textId="77777777" w:rsidR="00B33542" w:rsidRPr="005071A1" w:rsidRDefault="00B33542" w:rsidP="009B7AF5">
            <w:pPr>
              <w:pStyle w:val="Tabletext"/>
            </w:pPr>
            <w:r w:rsidRPr="005071A1">
              <w:t>0.36</w:t>
            </w:r>
          </w:p>
        </w:tc>
      </w:tr>
      <w:tr w:rsidR="00B33542" w:rsidRPr="005071A1" w14:paraId="3C3CEC4B" w14:textId="77777777" w:rsidTr="009B7AF5">
        <w:tc>
          <w:tcPr>
            <w:tcW w:w="2835" w:type="dxa"/>
            <w:shd w:val="clear" w:color="auto" w:fill="auto"/>
          </w:tcPr>
          <w:p w14:paraId="4819B51A" w14:textId="77777777" w:rsidR="00B33542" w:rsidRPr="005071A1" w:rsidRDefault="00B33542" w:rsidP="009B7AF5">
            <w:pPr>
              <w:pStyle w:val="Tabletext"/>
            </w:pPr>
            <w:r w:rsidRPr="005071A1">
              <w:t>36</w:t>
            </w:r>
          </w:p>
        </w:tc>
        <w:tc>
          <w:tcPr>
            <w:tcW w:w="1276" w:type="dxa"/>
            <w:shd w:val="clear" w:color="auto" w:fill="auto"/>
          </w:tcPr>
          <w:p w14:paraId="1D4592B8" w14:textId="77777777" w:rsidR="00B33542" w:rsidRPr="005071A1" w:rsidRDefault="00B33542" w:rsidP="009B7AF5">
            <w:pPr>
              <w:pStyle w:val="Tabletext"/>
            </w:pPr>
            <w:r w:rsidRPr="005071A1">
              <w:t>0.28</w:t>
            </w:r>
          </w:p>
        </w:tc>
        <w:tc>
          <w:tcPr>
            <w:tcW w:w="1701" w:type="dxa"/>
            <w:shd w:val="clear" w:color="auto" w:fill="auto"/>
          </w:tcPr>
          <w:p w14:paraId="111A6261" w14:textId="77777777" w:rsidR="00B33542" w:rsidRPr="005071A1" w:rsidRDefault="00B33542" w:rsidP="009B7AF5">
            <w:pPr>
              <w:pStyle w:val="Tabletext"/>
            </w:pPr>
            <w:r w:rsidRPr="005071A1">
              <w:t>0.38</w:t>
            </w:r>
          </w:p>
        </w:tc>
      </w:tr>
      <w:tr w:rsidR="00B33542" w:rsidRPr="005071A1" w14:paraId="17B58560" w14:textId="77777777" w:rsidTr="009B7AF5">
        <w:tc>
          <w:tcPr>
            <w:tcW w:w="2835" w:type="dxa"/>
            <w:shd w:val="clear" w:color="auto" w:fill="auto"/>
          </w:tcPr>
          <w:p w14:paraId="0841D6E9" w14:textId="77777777" w:rsidR="00B33542" w:rsidRPr="005071A1" w:rsidRDefault="00B33542" w:rsidP="009B7AF5">
            <w:pPr>
              <w:pStyle w:val="Tabletext"/>
            </w:pPr>
            <w:r w:rsidRPr="005071A1">
              <w:t>37</w:t>
            </w:r>
          </w:p>
        </w:tc>
        <w:tc>
          <w:tcPr>
            <w:tcW w:w="1276" w:type="dxa"/>
            <w:shd w:val="clear" w:color="auto" w:fill="auto"/>
          </w:tcPr>
          <w:p w14:paraId="60DE5E11" w14:textId="77777777" w:rsidR="00B33542" w:rsidRPr="005071A1" w:rsidRDefault="00B33542" w:rsidP="009B7AF5">
            <w:pPr>
              <w:pStyle w:val="Tabletext"/>
            </w:pPr>
            <w:r w:rsidRPr="005071A1">
              <w:t>0.29</w:t>
            </w:r>
          </w:p>
        </w:tc>
        <w:tc>
          <w:tcPr>
            <w:tcW w:w="1701" w:type="dxa"/>
            <w:shd w:val="clear" w:color="auto" w:fill="auto"/>
          </w:tcPr>
          <w:p w14:paraId="4DCB9F92" w14:textId="77777777" w:rsidR="00B33542" w:rsidRPr="005071A1" w:rsidRDefault="00B33542" w:rsidP="009B7AF5">
            <w:pPr>
              <w:pStyle w:val="Tabletext"/>
            </w:pPr>
            <w:r w:rsidRPr="005071A1">
              <w:t>0.41</w:t>
            </w:r>
          </w:p>
        </w:tc>
      </w:tr>
      <w:tr w:rsidR="00B33542" w:rsidRPr="005071A1" w14:paraId="5C99BB4A" w14:textId="77777777" w:rsidTr="009B7AF5">
        <w:tc>
          <w:tcPr>
            <w:tcW w:w="2835" w:type="dxa"/>
            <w:shd w:val="clear" w:color="auto" w:fill="auto"/>
          </w:tcPr>
          <w:p w14:paraId="29CA657B" w14:textId="77777777" w:rsidR="00B33542" w:rsidRPr="005071A1" w:rsidRDefault="00B33542" w:rsidP="009B7AF5">
            <w:pPr>
              <w:pStyle w:val="Tabletext"/>
            </w:pPr>
            <w:r w:rsidRPr="005071A1">
              <w:t>38</w:t>
            </w:r>
          </w:p>
        </w:tc>
        <w:tc>
          <w:tcPr>
            <w:tcW w:w="1276" w:type="dxa"/>
            <w:shd w:val="clear" w:color="auto" w:fill="auto"/>
          </w:tcPr>
          <w:p w14:paraId="54A3DC99" w14:textId="77777777" w:rsidR="00B33542" w:rsidRPr="005071A1" w:rsidRDefault="00B33542" w:rsidP="009B7AF5">
            <w:pPr>
              <w:pStyle w:val="Tabletext"/>
            </w:pPr>
            <w:r w:rsidRPr="005071A1">
              <w:t>0.31</w:t>
            </w:r>
          </w:p>
        </w:tc>
        <w:tc>
          <w:tcPr>
            <w:tcW w:w="1701" w:type="dxa"/>
            <w:shd w:val="clear" w:color="auto" w:fill="auto"/>
          </w:tcPr>
          <w:p w14:paraId="2D52CD46" w14:textId="77777777" w:rsidR="00B33542" w:rsidRPr="005071A1" w:rsidRDefault="00B33542" w:rsidP="009B7AF5">
            <w:pPr>
              <w:pStyle w:val="Tabletext"/>
            </w:pPr>
            <w:r w:rsidRPr="005071A1">
              <w:t>0.43</w:t>
            </w:r>
          </w:p>
        </w:tc>
      </w:tr>
      <w:tr w:rsidR="00B33542" w:rsidRPr="005071A1" w14:paraId="7FE78AB5" w14:textId="77777777" w:rsidTr="009B7AF5">
        <w:tc>
          <w:tcPr>
            <w:tcW w:w="2835" w:type="dxa"/>
            <w:shd w:val="clear" w:color="auto" w:fill="auto"/>
          </w:tcPr>
          <w:p w14:paraId="10B2DCF4" w14:textId="77777777" w:rsidR="00B33542" w:rsidRPr="005071A1" w:rsidRDefault="00B33542" w:rsidP="009B7AF5">
            <w:pPr>
              <w:pStyle w:val="Tabletext"/>
            </w:pPr>
            <w:r w:rsidRPr="005071A1">
              <w:t>39</w:t>
            </w:r>
          </w:p>
        </w:tc>
        <w:tc>
          <w:tcPr>
            <w:tcW w:w="1276" w:type="dxa"/>
            <w:shd w:val="clear" w:color="auto" w:fill="auto"/>
          </w:tcPr>
          <w:p w14:paraId="38D332AA" w14:textId="77777777" w:rsidR="00B33542" w:rsidRPr="005071A1" w:rsidRDefault="00B33542" w:rsidP="009B7AF5">
            <w:pPr>
              <w:pStyle w:val="Tabletext"/>
            </w:pPr>
            <w:r w:rsidRPr="005071A1">
              <w:t>0.32</w:t>
            </w:r>
          </w:p>
        </w:tc>
        <w:tc>
          <w:tcPr>
            <w:tcW w:w="1701" w:type="dxa"/>
            <w:shd w:val="clear" w:color="auto" w:fill="auto"/>
          </w:tcPr>
          <w:p w14:paraId="194B7C2D" w14:textId="77777777" w:rsidR="00B33542" w:rsidRPr="005071A1" w:rsidRDefault="00B33542" w:rsidP="009B7AF5">
            <w:pPr>
              <w:pStyle w:val="Tabletext"/>
            </w:pPr>
            <w:r w:rsidRPr="005071A1">
              <w:t>0.46</w:t>
            </w:r>
          </w:p>
        </w:tc>
      </w:tr>
      <w:tr w:rsidR="00B33542" w:rsidRPr="005071A1" w14:paraId="6C725414" w14:textId="77777777" w:rsidTr="009B7AF5">
        <w:tc>
          <w:tcPr>
            <w:tcW w:w="2835" w:type="dxa"/>
            <w:shd w:val="clear" w:color="auto" w:fill="auto"/>
          </w:tcPr>
          <w:p w14:paraId="70C14314" w14:textId="77777777" w:rsidR="00B33542" w:rsidRPr="005071A1" w:rsidRDefault="00B33542" w:rsidP="009B7AF5">
            <w:pPr>
              <w:pStyle w:val="Tabletext"/>
            </w:pPr>
            <w:r w:rsidRPr="005071A1">
              <w:t>40</w:t>
            </w:r>
          </w:p>
        </w:tc>
        <w:tc>
          <w:tcPr>
            <w:tcW w:w="1276" w:type="dxa"/>
            <w:shd w:val="clear" w:color="auto" w:fill="auto"/>
          </w:tcPr>
          <w:p w14:paraId="413743E3" w14:textId="77777777" w:rsidR="00B33542" w:rsidRPr="005071A1" w:rsidRDefault="00B33542" w:rsidP="009B7AF5">
            <w:pPr>
              <w:pStyle w:val="Tabletext"/>
            </w:pPr>
            <w:r w:rsidRPr="005071A1">
              <w:t>0.34</w:t>
            </w:r>
          </w:p>
        </w:tc>
        <w:tc>
          <w:tcPr>
            <w:tcW w:w="1701" w:type="dxa"/>
            <w:shd w:val="clear" w:color="auto" w:fill="auto"/>
          </w:tcPr>
          <w:p w14:paraId="00342B6B" w14:textId="77777777" w:rsidR="00B33542" w:rsidRPr="005071A1" w:rsidRDefault="00B33542" w:rsidP="009B7AF5">
            <w:pPr>
              <w:pStyle w:val="Tabletext"/>
            </w:pPr>
            <w:r w:rsidRPr="005071A1">
              <w:t>0.49</w:t>
            </w:r>
          </w:p>
        </w:tc>
      </w:tr>
      <w:tr w:rsidR="00B33542" w:rsidRPr="005071A1" w14:paraId="3C38CB56" w14:textId="77777777" w:rsidTr="009B7AF5">
        <w:tc>
          <w:tcPr>
            <w:tcW w:w="2835" w:type="dxa"/>
            <w:shd w:val="clear" w:color="auto" w:fill="auto"/>
          </w:tcPr>
          <w:p w14:paraId="7910638C" w14:textId="77777777" w:rsidR="00B33542" w:rsidRPr="005071A1" w:rsidRDefault="00B33542" w:rsidP="009B7AF5">
            <w:pPr>
              <w:pStyle w:val="Tabletext"/>
            </w:pPr>
            <w:r w:rsidRPr="005071A1">
              <w:t>41</w:t>
            </w:r>
          </w:p>
        </w:tc>
        <w:tc>
          <w:tcPr>
            <w:tcW w:w="1276" w:type="dxa"/>
            <w:shd w:val="clear" w:color="auto" w:fill="auto"/>
          </w:tcPr>
          <w:p w14:paraId="04C7E9D3" w14:textId="77777777" w:rsidR="00B33542" w:rsidRPr="005071A1" w:rsidRDefault="00B33542" w:rsidP="009B7AF5">
            <w:pPr>
              <w:pStyle w:val="Tabletext"/>
            </w:pPr>
            <w:r w:rsidRPr="005071A1">
              <w:t>0.37</w:t>
            </w:r>
          </w:p>
        </w:tc>
        <w:tc>
          <w:tcPr>
            <w:tcW w:w="1701" w:type="dxa"/>
            <w:shd w:val="clear" w:color="auto" w:fill="auto"/>
          </w:tcPr>
          <w:p w14:paraId="0461EFCA" w14:textId="77777777" w:rsidR="00B33542" w:rsidRPr="005071A1" w:rsidRDefault="00B33542" w:rsidP="009B7AF5">
            <w:pPr>
              <w:pStyle w:val="Tabletext"/>
            </w:pPr>
            <w:r w:rsidRPr="005071A1">
              <w:t>0.53</w:t>
            </w:r>
          </w:p>
        </w:tc>
      </w:tr>
      <w:tr w:rsidR="00B33542" w:rsidRPr="005071A1" w14:paraId="7FD25DCC" w14:textId="77777777" w:rsidTr="009B7AF5">
        <w:tc>
          <w:tcPr>
            <w:tcW w:w="2835" w:type="dxa"/>
            <w:shd w:val="clear" w:color="auto" w:fill="auto"/>
          </w:tcPr>
          <w:p w14:paraId="69DD697F" w14:textId="77777777" w:rsidR="00B33542" w:rsidRPr="005071A1" w:rsidRDefault="00B33542" w:rsidP="009B7AF5">
            <w:pPr>
              <w:pStyle w:val="Tabletext"/>
            </w:pPr>
            <w:r w:rsidRPr="005071A1">
              <w:t>42</w:t>
            </w:r>
          </w:p>
        </w:tc>
        <w:tc>
          <w:tcPr>
            <w:tcW w:w="1276" w:type="dxa"/>
            <w:shd w:val="clear" w:color="auto" w:fill="auto"/>
          </w:tcPr>
          <w:p w14:paraId="6E25235F" w14:textId="77777777" w:rsidR="00B33542" w:rsidRPr="005071A1" w:rsidRDefault="00B33542" w:rsidP="009B7AF5">
            <w:pPr>
              <w:pStyle w:val="Tabletext"/>
            </w:pPr>
            <w:r w:rsidRPr="005071A1">
              <w:t>0.39</w:t>
            </w:r>
          </w:p>
        </w:tc>
        <w:tc>
          <w:tcPr>
            <w:tcW w:w="1701" w:type="dxa"/>
            <w:shd w:val="clear" w:color="auto" w:fill="auto"/>
          </w:tcPr>
          <w:p w14:paraId="21CAE57B" w14:textId="77777777" w:rsidR="00B33542" w:rsidRPr="005071A1" w:rsidRDefault="00B33542" w:rsidP="009B7AF5">
            <w:pPr>
              <w:pStyle w:val="Tabletext"/>
            </w:pPr>
            <w:r w:rsidRPr="005071A1">
              <w:t>0.57</w:t>
            </w:r>
          </w:p>
        </w:tc>
      </w:tr>
      <w:tr w:rsidR="00B33542" w:rsidRPr="005071A1" w14:paraId="195728B8" w14:textId="77777777" w:rsidTr="009B7AF5">
        <w:tc>
          <w:tcPr>
            <w:tcW w:w="2835" w:type="dxa"/>
            <w:shd w:val="clear" w:color="auto" w:fill="auto"/>
          </w:tcPr>
          <w:p w14:paraId="44654B34" w14:textId="77777777" w:rsidR="00B33542" w:rsidRPr="005071A1" w:rsidRDefault="00B33542" w:rsidP="009B7AF5">
            <w:pPr>
              <w:pStyle w:val="Tabletext"/>
            </w:pPr>
            <w:r w:rsidRPr="005071A1">
              <w:t>43</w:t>
            </w:r>
          </w:p>
        </w:tc>
        <w:tc>
          <w:tcPr>
            <w:tcW w:w="1276" w:type="dxa"/>
            <w:shd w:val="clear" w:color="auto" w:fill="auto"/>
          </w:tcPr>
          <w:p w14:paraId="7D02D989" w14:textId="77777777" w:rsidR="00B33542" w:rsidRPr="005071A1" w:rsidRDefault="00B33542" w:rsidP="009B7AF5">
            <w:pPr>
              <w:pStyle w:val="Tabletext"/>
            </w:pPr>
            <w:r w:rsidRPr="005071A1">
              <w:t>0.41</w:t>
            </w:r>
          </w:p>
        </w:tc>
        <w:tc>
          <w:tcPr>
            <w:tcW w:w="1701" w:type="dxa"/>
            <w:shd w:val="clear" w:color="auto" w:fill="auto"/>
          </w:tcPr>
          <w:p w14:paraId="71606031" w14:textId="77777777" w:rsidR="00B33542" w:rsidRPr="005071A1" w:rsidRDefault="00B33542" w:rsidP="009B7AF5">
            <w:pPr>
              <w:pStyle w:val="Tabletext"/>
            </w:pPr>
            <w:r w:rsidRPr="005071A1">
              <w:t>0.61</w:t>
            </w:r>
          </w:p>
        </w:tc>
      </w:tr>
      <w:tr w:rsidR="00B33542" w:rsidRPr="005071A1" w14:paraId="3BD21F71" w14:textId="77777777" w:rsidTr="009B7AF5">
        <w:tc>
          <w:tcPr>
            <w:tcW w:w="2835" w:type="dxa"/>
            <w:shd w:val="clear" w:color="auto" w:fill="auto"/>
          </w:tcPr>
          <w:p w14:paraId="3FC1EA7E" w14:textId="77777777" w:rsidR="00B33542" w:rsidRPr="005071A1" w:rsidRDefault="00B33542" w:rsidP="009B7AF5">
            <w:pPr>
              <w:pStyle w:val="Tabletext"/>
            </w:pPr>
            <w:r w:rsidRPr="005071A1">
              <w:t>44</w:t>
            </w:r>
          </w:p>
        </w:tc>
        <w:tc>
          <w:tcPr>
            <w:tcW w:w="1276" w:type="dxa"/>
            <w:shd w:val="clear" w:color="auto" w:fill="auto"/>
          </w:tcPr>
          <w:p w14:paraId="0D4DC0D6" w14:textId="77777777" w:rsidR="00B33542" w:rsidRPr="005071A1" w:rsidRDefault="00B33542" w:rsidP="009B7AF5">
            <w:pPr>
              <w:pStyle w:val="Tabletext"/>
            </w:pPr>
            <w:r w:rsidRPr="005071A1">
              <w:t>0.44</w:t>
            </w:r>
          </w:p>
        </w:tc>
        <w:tc>
          <w:tcPr>
            <w:tcW w:w="1701" w:type="dxa"/>
            <w:shd w:val="clear" w:color="auto" w:fill="auto"/>
          </w:tcPr>
          <w:p w14:paraId="7AEB9C25" w14:textId="77777777" w:rsidR="00B33542" w:rsidRPr="005071A1" w:rsidRDefault="00B33542" w:rsidP="009B7AF5">
            <w:pPr>
              <w:pStyle w:val="Tabletext"/>
            </w:pPr>
            <w:r w:rsidRPr="005071A1">
              <w:t>0.66</w:t>
            </w:r>
          </w:p>
        </w:tc>
      </w:tr>
      <w:tr w:rsidR="00B33542" w:rsidRPr="005071A1" w14:paraId="6D876337" w14:textId="77777777" w:rsidTr="009B7AF5">
        <w:tc>
          <w:tcPr>
            <w:tcW w:w="2835" w:type="dxa"/>
            <w:shd w:val="clear" w:color="auto" w:fill="auto"/>
          </w:tcPr>
          <w:p w14:paraId="070D1064" w14:textId="77777777" w:rsidR="00B33542" w:rsidRPr="005071A1" w:rsidRDefault="00B33542" w:rsidP="009B7AF5">
            <w:pPr>
              <w:pStyle w:val="Tabletext"/>
            </w:pPr>
            <w:r w:rsidRPr="005071A1">
              <w:t>45</w:t>
            </w:r>
          </w:p>
        </w:tc>
        <w:tc>
          <w:tcPr>
            <w:tcW w:w="1276" w:type="dxa"/>
            <w:shd w:val="clear" w:color="auto" w:fill="auto"/>
          </w:tcPr>
          <w:p w14:paraId="1B3A73BE" w14:textId="77777777" w:rsidR="00B33542" w:rsidRPr="005071A1" w:rsidRDefault="00B33542" w:rsidP="009B7AF5">
            <w:pPr>
              <w:pStyle w:val="Tabletext"/>
            </w:pPr>
            <w:r w:rsidRPr="005071A1">
              <w:t>0.47</w:t>
            </w:r>
          </w:p>
        </w:tc>
        <w:tc>
          <w:tcPr>
            <w:tcW w:w="1701" w:type="dxa"/>
            <w:shd w:val="clear" w:color="auto" w:fill="auto"/>
          </w:tcPr>
          <w:p w14:paraId="2C770855" w14:textId="77777777" w:rsidR="00B33542" w:rsidRPr="005071A1" w:rsidRDefault="00B33542" w:rsidP="009B7AF5">
            <w:pPr>
              <w:pStyle w:val="Tabletext"/>
            </w:pPr>
            <w:r w:rsidRPr="005071A1">
              <w:t>0.72</w:t>
            </w:r>
          </w:p>
        </w:tc>
      </w:tr>
      <w:tr w:rsidR="00B33542" w:rsidRPr="005071A1" w14:paraId="70A35441" w14:textId="77777777" w:rsidTr="009B7AF5">
        <w:tc>
          <w:tcPr>
            <w:tcW w:w="2835" w:type="dxa"/>
            <w:shd w:val="clear" w:color="auto" w:fill="auto"/>
          </w:tcPr>
          <w:p w14:paraId="7DF639FA" w14:textId="77777777" w:rsidR="00B33542" w:rsidRPr="005071A1" w:rsidRDefault="00B33542" w:rsidP="009B7AF5">
            <w:pPr>
              <w:pStyle w:val="Tabletext"/>
            </w:pPr>
            <w:r w:rsidRPr="005071A1">
              <w:t>46</w:t>
            </w:r>
          </w:p>
        </w:tc>
        <w:tc>
          <w:tcPr>
            <w:tcW w:w="1276" w:type="dxa"/>
            <w:shd w:val="clear" w:color="auto" w:fill="auto"/>
          </w:tcPr>
          <w:p w14:paraId="6A1B158B" w14:textId="77777777" w:rsidR="00B33542" w:rsidRPr="005071A1" w:rsidRDefault="00B33542" w:rsidP="009B7AF5">
            <w:pPr>
              <w:pStyle w:val="Tabletext"/>
            </w:pPr>
            <w:r w:rsidRPr="005071A1">
              <w:t>0.50</w:t>
            </w:r>
          </w:p>
        </w:tc>
        <w:tc>
          <w:tcPr>
            <w:tcW w:w="1701" w:type="dxa"/>
            <w:shd w:val="clear" w:color="auto" w:fill="auto"/>
          </w:tcPr>
          <w:p w14:paraId="2C165ABA" w14:textId="77777777" w:rsidR="00B33542" w:rsidRPr="005071A1" w:rsidRDefault="00B33542" w:rsidP="009B7AF5">
            <w:pPr>
              <w:pStyle w:val="Tabletext"/>
            </w:pPr>
            <w:r w:rsidRPr="005071A1">
              <w:t>0.79</w:t>
            </w:r>
          </w:p>
        </w:tc>
      </w:tr>
      <w:tr w:rsidR="00B33542" w:rsidRPr="005071A1" w14:paraId="3DB8B34B" w14:textId="77777777" w:rsidTr="009B7AF5">
        <w:tc>
          <w:tcPr>
            <w:tcW w:w="2835" w:type="dxa"/>
            <w:shd w:val="clear" w:color="auto" w:fill="auto"/>
          </w:tcPr>
          <w:p w14:paraId="44E434C7" w14:textId="77777777" w:rsidR="00B33542" w:rsidRPr="005071A1" w:rsidRDefault="00B33542" w:rsidP="009B7AF5">
            <w:pPr>
              <w:pStyle w:val="Tabletext"/>
            </w:pPr>
            <w:r w:rsidRPr="005071A1">
              <w:t>47</w:t>
            </w:r>
          </w:p>
        </w:tc>
        <w:tc>
          <w:tcPr>
            <w:tcW w:w="1276" w:type="dxa"/>
            <w:shd w:val="clear" w:color="auto" w:fill="auto"/>
          </w:tcPr>
          <w:p w14:paraId="01C9972E" w14:textId="77777777" w:rsidR="00B33542" w:rsidRPr="005071A1" w:rsidRDefault="00B33542" w:rsidP="009B7AF5">
            <w:pPr>
              <w:pStyle w:val="Tabletext"/>
            </w:pPr>
            <w:r w:rsidRPr="005071A1">
              <w:t>0.54</w:t>
            </w:r>
          </w:p>
        </w:tc>
        <w:tc>
          <w:tcPr>
            <w:tcW w:w="1701" w:type="dxa"/>
            <w:shd w:val="clear" w:color="auto" w:fill="auto"/>
          </w:tcPr>
          <w:p w14:paraId="2DB96DDE" w14:textId="77777777" w:rsidR="00B33542" w:rsidRPr="005071A1" w:rsidRDefault="00B33542" w:rsidP="009B7AF5">
            <w:pPr>
              <w:pStyle w:val="Tabletext"/>
            </w:pPr>
            <w:r w:rsidRPr="005071A1">
              <w:t>0.86</w:t>
            </w:r>
          </w:p>
        </w:tc>
      </w:tr>
      <w:tr w:rsidR="00B33542" w:rsidRPr="005071A1" w14:paraId="3D6A7856" w14:textId="77777777" w:rsidTr="009B7AF5">
        <w:tc>
          <w:tcPr>
            <w:tcW w:w="2835" w:type="dxa"/>
            <w:shd w:val="clear" w:color="auto" w:fill="auto"/>
          </w:tcPr>
          <w:p w14:paraId="71C32653" w14:textId="77777777" w:rsidR="00B33542" w:rsidRPr="005071A1" w:rsidRDefault="00B33542" w:rsidP="009B7AF5">
            <w:pPr>
              <w:pStyle w:val="Tabletext"/>
            </w:pPr>
            <w:r w:rsidRPr="005071A1">
              <w:t>48</w:t>
            </w:r>
          </w:p>
        </w:tc>
        <w:tc>
          <w:tcPr>
            <w:tcW w:w="1276" w:type="dxa"/>
            <w:shd w:val="clear" w:color="auto" w:fill="auto"/>
          </w:tcPr>
          <w:p w14:paraId="66A23570" w14:textId="77777777" w:rsidR="00B33542" w:rsidRPr="005071A1" w:rsidRDefault="00B33542" w:rsidP="009B7AF5">
            <w:pPr>
              <w:pStyle w:val="Tabletext"/>
            </w:pPr>
            <w:r w:rsidRPr="005071A1">
              <w:t>0.59</w:t>
            </w:r>
          </w:p>
        </w:tc>
        <w:tc>
          <w:tcPr>
            <w:tcW w:w="1701" w:type="dxa"/>
            <w:shd w:val="clear" w:color="auto" w:fill="auto"/>
          </w:tcPr>
          <w:p w14:paraId="77E8EA1E" w14:textId="77777777" w:rsidR="00B33542" w:rsidRPr="005071A1" w:rsidRDefault="00B33542" w:rsidP="009B7AF5">
            <w:pPr>
              <w:pStyle w:val="Tabletext"/>
            </w:pPr>
            <w:r w:rsidRPr="005071A1">
              <w:t>0.95</w:t>
            </w:r>
          </w:p>
        </w:tc>
      </w:tr>
      <w:tr w:rsidR="00B33542" w:rsidRPr="005071A1" w14:paraId="3D8F5D28" w14:textId="77777777" w:rsidTr="009B7AF5">
        <w:tc>
          <w:tcPr>
            <w:tcW w:w="2835" w:type="dxa"/>
            <w:shd w:val="clear" w:color="auto" w:fill="auto"/>
          </w:tcPr>
          <w:p w14:paraId="38974366" w14:textId="77777777" w:rsidR="00B33542" w:rsidRPr="005071A1" w:rsidRDefault="00B33542" w:rsidP="009B7AF5">
            <w:pPr>
              <w:pStyle w:val="Tabletext"/>
            </w:pPr>
            <w:r w:rsidRPr="005071A1">
              <w:t>49</w:t>
            </w:r>
          </w:p>
        </w:tc>
        <w:tc>
          <w:tcPr>
            <w:tcW w:w="1276" w:type="dxa"/>
            <w:shd w:val="clear" w:color="auto" w:fill="auto"/>
          </w:tcPr>
          <w:p w14:paraId="1E0176D3" w14:textId="77777777" w:rsidR="00B33542" w:rsidRPr="005071A1" w:rsidRDefault="00B33542" w:rsidP="009B7AF5">
            <w:pPr>
              <w:pStyle w:val="Tabletext"/>
            </w:pPr>
            <w:r w:rsidRPr="005071A1">
              <w:t>0.63</w:t>
            </w:r>
          </w:p>
        </w:tc>
        <w:tc>
          <w:tcPr>
            <w:tcW w:w="1701" w:type="dxa"/>
            <w:shd w:val="clear" w:color="auto" w:fill="auto"/>
          </w:tcPr>
          <w:p w14:paraId="39383D2B" w14:textId="77777777" w:rsidR="00B33542" w:rsidRPr="005071A1" w:rsidRDefault="00B33542" w:rsidP="009B7AF5">
            <w:pPr>
              <w:pStyle w:val="Tabletext"/>
            </w:pPr>
            <w:r w:rsidRPr="005071A1">
              <w:t>1.06</w:t>
            </w:r>
          </w:p>
        </w:tc>
      </w:tr>
      <w:tr w:rsidR="00B33542" w:rsidRPr="005071A1" w14:paraId="66A83946" w14:textId="77777777" w:rsidTr="009B7AF5">
        <w:tc>
          <w:tcPr>
            <w:tcW w:w="2835" w:type="dxa"/>
            <w:shd w:val="clear" w:color="auto" w:fill="auto"/>
          </w:tcPr>
          <w:p w14:paraId="3FF5ACC2" w14:textId="77777777" w:rsidR="00B33542" w:rsidRPr="005071A1" w:rsidRDefault="00B33542" w:rsidP="009B7AF5">
            <w:pPr>
              <w:pStyle w:val="Tabletext"/>
            </w:pPr>
            <w:r w:rsidRPr="005071A1">
              <w:t>50</w:t>
            </w:r>
          </w:p>
        </w:tc>
        <w:tc>
          <w:tcPr>
            <w:tcW w:w="1276" w:type="dxa"/>
            <w:shd w:val="clear" w:color="auto" w:fill="auto"/>
          </w:tcPr>
          <w:p w14:paraId="4EF17787" w14:textId="77777777" w:rsidR="00B33542" w:rsidRPr="005071A1" w:rsidRDefault="00B33542" w:rsidP="009B7AF5">
            <w:pPr>
              <w:pStyle w:val="Tabletext"/>
            </w:pPr>
            <w:r w:rsidRPr="005071A1">
              <w:t>0.69</w:t>
            </w:r>
          </w:p>
        </w:tc>
        <w:tc>
          <w:tcPr>
            <w:tcW w:w="1701" w:type="dxa"/>
            <w:shd w:val="clear" w:color="auto" w:fill="auto"/>
          </w:tcPr>
          <w:p w14:paraId="208342D9" w14:textId="77777777" w:rsidR="00B33542" w:rsidRPr="005071A1" w:rsidRDefault="00B33542" w:rsidP="009B7AF5">
            <w:pPr>
              <w:pStyle w:val="Tabletext"/>
            </w:pPr>
            <w:r w:rsidRPr="005071A1">
              <w:t>1.18</w:t>
            </w:r>
          </w:p>
        </w:tc>
      </w:tr>
      <w:tr w:rsidR="00B33542" w:rsidRPr="005071A1" w14:paraId="5DB16782" w14:textId="77777777" w:rsidTr="009B7AF5">
        <w:tc>
          <w:tcPr>
            <w:tcW w:w="2835" w:type="dxa"/>
            <w:shd w:val="clear" w:color="auto" w:fill="auto"/>
          </w:tcPr>
          <w:p w14:paraId="5EAA2658" w14:textId="77777777" w:rsidR="00B33542" w:rsidRPr="005071A1" w:rsidRDefault="00B33542" w:rsidP="009B7AF5">
            <w:pPr>
              <w:pStyle w:val="Tabletext"/>
            </w:pPr>
            <w:r w:rsidRPr="005071A1">
              <w:t>51</w:t>
            </w:r>
          </w:p>
        </w:tc>
        <w:tc>
          <w:tcPr>
            <w:tcW w:w="1276" w:type="dxa"/>
            <w:shd w:val="clear" w:color="auto" w:fill="auto"/>
          </w:tcPr>
          <w:p w14:paraId="408DD7BC" w14:textId="77777777" w:rsidR="00B33542" w:rsidRPr="005071A1" w:rsidRDefault="00B33542" w:rsidP="009B7AF5">
            <w:pPr>
              <w:pStyle w:val="Tabletext"/>
            </w:pPr>
            <w:r w:rsidRPr="005071A1">
              <w:t>0.75</w:t>
            </w:r>
          </w:p>
        </w:tc>
        <w:tc>
          <w:tcPr>
            <w:tcW w:w="1701" w:type="dxa"/>
            <w:shd w:val="clear" w:color="auto" w:fill="auto"/>
          </w:tcPr>
          <w:p w14:paraId="1C9A1201" w14:textId="77777777" w:rsidR="00B33542" w:rsidRPr="005071A1" w:rsidRDefault="00B33542" w:rsidP="009B7AF5">
            <w:pPr>
              <w:pStyle w:val="Tabletext"/>
            </w:pPr>
            <w:r w:rsidRPr="005071A1">
              <w:t>1.34</w:t>
            </w:r>
          </w:p>
        </w:tc>
      </w:tr>
      <w:tr w:rsidR="00B33542" w:rsidRPr="005071A1" w14:paraId="50814B0C" w14:textId="77777777" w:rsidTr="009B7AF5">
        <w:tc>
          <w:tcPr>
            <w:tcW w:w="2835" w:type="dxa"/>
            <w:shd w:val="clear" w:color="auto" w:fill="auto"/>
          </w:tcPr>
          <w:p w14:paraId="79DCDA70" w14:textId="77777777" w:rsidR="00B33542" w:rsidRPr="005071A1" w:rsidRDefault="00B33542" w:rsidP="009B7AF5">
            <w:pPr>
              <w:pStyle w:val="Tabletext"/>
            </w:pPr>
            <w:r w:rsidRPr="005071A1">
              <w:lastRenderedPageBreak/>
              <w:t>52</w:t>
            </w:r>
          </w:p>
        </w:tc>
        <w:tc>
          <w:tcPr>
            <w:tcW w:w="1276" w:type="dxa"/>
            <w:shd w:val="clear" w:color="auto" w:fill="auto"/>
          </w:tcPr>
          <w:p w14:paraId="28B4F054" w14:textId="77777777" w:rsidR="00B33542" w:rsidRPr="005071A1" w:rsidRDefault="00B33542" w:rsidP="009B7AF5">
            <w:pPr>
              <w:pStyle w:val="Tabletext"/>
            </w:pPr>
            <w:r w:rsidRPr="005071A1">
              <w:t>0.82</w:t>
            </w:r>
          </w:p>
        </w:tc>
        <w:tc>
          <w:tcPr>
            <w:tcW w:w="1701" w:type="dxa"/>
            <w:shd w:val="clear" w:color="auto" w:fill="auto"/>
          </w:tcPr>
          <w:p w14:paraId="407480E3" w14:textId="77777777" w:rsidR="00B33542" w:rsidRPr="005071A1" w:rsidRDefault="00B33542" w:rsidP="009B7AF5">
            <w:pPr>
              <w:pStyle w:val="Tabletext"/>
            </w:pPr>
            <w:r w:rsidRPr="005071A1">
              <w:t>1.53</w:t>
            </w:r>
          </w:p>
        </w:tc>
      </w:tr>
      <w:tr w:rsidR="00B33542" w:rsidRPr="005071A1" w14:paraId="002B788D" w14:textId="77777777" w:rsidTr="009B7AF5">
        <w:tc>
          <w:tcPr>
            <w:tcW w:w="2835" w:type="dxa"/>
            <w:shd w:val="clear" w:color="auto" w:fill="auto"/>
          </w:tcPr>
          <w:p w14:paraId="0B28E940" w14:textId="77777777" w:rsidR="00B33542" w:rsidRPr="005071A1" w:rsidRDefault="00B33542" w:rsidP="009B7AF5">
            <w:pPr>
              <w:pStyle w:val="Tabletext"/>
            </w:pPr>
            <w:r w:rsidRPr="005071A1">
              <w:t>53</w:t>
            </w:r>
          </w:p>
        </w:tc>
        <w:tc>
          <w:tcPr>
            <w:tcW w:w="1276" w:type="dxa"/>
            <w:shd w:val="clear" w:color="auto" w:fill="auto"/>
          </w:tcPr>
          <w:p w14:paraId="3B88E037" w14:textId="77777777" w:rsidR="00B33542" w:rsidRPr="005071A1" w:rsidRDefault="00B33542" w:rsidP="009B7AF5">
            <w:pPr>
              <w:pStyle w:val="Tabletext"/>
            </w:pPr>
            <w:r w:rsidRPr="005071A1">
              <w:t>0.90</w:t>
            </w:r>
          </w:p>
        </w:tc>
        <w:tc>
          <w:tcPr>
            <w:tcW w:w="1701" w:type="dxa"/>
            <w:shd w:val="clear" w:color="auto" w:fill="auto"/>
          </w:tcPr>
          <w:p w14:paraId="0D0E7F04" w14:textId="77777777" w:rsidR="00B33542" w:rsidRPr="005071A1" w:rsidRDefault="00B33542" w:rsidP="009B7AF5">
            <w:pPr>
              <w:pStyle w:val="Tabletext"/>
            </w:pPr>
            <w:r w:rsidRPr="005071A1">
              <w:t>1.77</w:t>
            </w:r>
          </w:p>
        </w:tc>
      </w:tr>
      <w:tr w:rsidR="00B33542" w:rsidRPr="005071A1" w14:paraId="7EFC189A" w14:textId="77777777" w:rsidTr="009B7AF5">
        <w:tc>
          <w:tcPr>
            <w:tcW w:w="2835" w:type="dxa"/>
            <w:shd w:val="clear" w:color="auto" w:fill="auto"/>
          </w:tcPr>
          <w:p w14:paraId="1EBC6043" w14:textId="77777777" w:rsidR="00B33542" w:rsidRPr="005071A1" w:rsidRDefault="00B33542" w:rsidP="009B7AF5">
            <w:pPr>
              <w:pStyle w:val="Tabletext"/>
            </w:pPr>
            <w:r w:rsidRPr="005071A1">
              <w:t>54</w:t>
            </w:r>
          </w:p>
        </w:tc>
        <w:tc>
          <w:tcPr>
            <w:tcW w:w="1276" w:type="dxa"/>
            <w:shd w:val="clear" w:color="auto" w:fill="auto"/>
          </w:tcPr>
          <w:p w14:paraId="3BC5B62B" w14:textId="77777777" w:rsidR="00B33542" w:rsidRPr="005071A1" w:rsidRDefault="00B33542" w:rsidP="009B7AF5">
            <w:pPr>
              <w:pStyle w:val="Tabletext"/>
            </w:pPr>
            <w:r w:rsidRPr="005071A1">
              <w:t>1.00</w:t>
            </w:r>
          </w:p>
        </w:tc>
        <w:tc>
          <w:tcPr>
            <w:tcW w:w="1701" w:type="dxa"/>
            <w:shd w:val="clear" w:color="auto" w:fill="auto"/>
          </w:tcPr>
          <w:p w14:paraId="2AEA70F4" w14:textId="77777777" w:rsidR="00B33542" w:rsidRPr="005071A1" w:rsidRDefault="00B33542" w:rsidP="009B7AF5">
            <w:pPr>
              <w:pStyle w:val="Tabletext"/>
            </w:pPr>
            <w:r w:rsidRPr="005071A1">
              <w:t>2.10</w:t>
            </w:r>
          </w:p>
        </w:tc>
      </w:tr>
      <w:tr w:rsidR="00B33542" w:rsidRPr="005071A1" w14:paraId="183ECBC9" w14:textId="77777777" w:rsidTr="009B7AF5">
        <w:tc>
          <w:tcPr>
            <w:tcW w:w="2835" w:type="dxa"/>
            <w:shd w:val="clear" w:color="auto" w:fill="auto"/>
          </w:tcPr>
          <w:p w14:paraId="2848D597" w14:textId="77777777" w:rsidR="00B33542" w:rsidRPr="005071A1" w:rsidRDefault="00B33542" w:rsidP="009B7AF5">
            <w:pPr>
              <w:pStyle w:val="Tabletext"/>
            </w:pPr>
            <w:r w:rsidRPr="005071A1">
              <w:t>55</w:t>
            </w:r>
          </w:p>
        </w:tc>
        <w:tc>
          <w:tcPr>
            <w:tcW w:w="1276" w:type="dxa"/>
            <w:shd w:val="clear" w:color="auto" w:fill="auto"/>
          </w:tcPr>
          <w:p w14:paraId="0D36CF43" w14:textId="77777777" w:rsidR="00B33542" w:rsidRPr="005071A1" w:rsidRDefault="00B33542" w:rsidP="009B7AF5">
            <w:pPr>
              <w:pStyle w:val="Tabletext"/>
            </w:pPr>
            <w:r w:rsidRPr="005071A1">
              <w:t>1.11</w:t>
            </w:r>
          </w:p>
        </w:tc>
        <w:tc>
          <w:tcPr>
            <w:tcW w:w="1701" w:type="dxa"/>
            <w:shd w:val="clear" w:color="auto" w:fill="auto"/>
          </w:tcPr>
          <w:p w14:paraId="0AB9E2CF" w14:textId="77777777" w:rsidR="00B33542" w:rsidRPr="005071A1" w:rsidRDefault="00B33542" w:rsidP="009B7AF5">
            <w:pPr>
              <w:pStyle w:val="Tabletext"/>
            </w:pPr>
            <w:r w:rsidRPr="005071A1">
              <w:t>2.55</w:t>
            </w:r>
          </w:p>
        </w:tc>
      </w:tr>
      <w:tr w:rsidR="00B33542" w:rsidRPr="005071A1" w14:paraId="34B482FD" w14:textId="77777777" w:rsidTr="009B7AF5">
        <w:tc>
          <w:tcPr>
            <w:tcW w:w="2835" w:type="dxa"/>
            <w:shd w:val="clear" w:color="auto" w:fill="auto"/>
          </w:tcPr>
          <w:p w14:paraId="3C1C946B" w14:textId="77777777" w:rsidR="00B33542" w:rsidRPr="005071A1" w:rsidRDefault="00B33542" w:rsidP="009B7AF5">
            <w:pPr>
              <w:pStyle w:val="Tabletext"/>
            </w:pPr>
            <w:r w:rsidRPr="005071A1">
              <w:t>56</w:t>
            </w:r>
          </w:p>
        </w:tc>
        <w:tc>
          <w:tcPr>
            <w:tcW w:w="1276" w:type="dxa"/>
            <w:shd w:val="clear" w:color="auto" w:fill="auto"/>
          </w:tcPr>
          <w:p w14:paraId="2F76A1C4" w14:textId="77777777" w:rsidR="00B33542" w:rsidRPr="005071A1" w:rsidRDefault="00B33542" w:rsidP="009B7AF5">
            <w:pPr>
              <w:pStyle w:val="Tabletext"/>
            </w:pPr>
            <w:r w:rsidRPr="005071A1">
              <w:t>1.25</w:t>
            </w:r>
          </w:p>
        </w:tc>
        <w:tc>
          <w:tcPr>
            <w:tcW w:w="1701" w:type="dxa"/>
            <w:shd w:val="clear" w:color="auto" w:fill="auto"/>
          </w:tcPr>
          <w:p w14:paraId="7528AE52" w14:textId="77777777" w:rsidR="00B33542" w:rsidRPr="005071A1" w:rsidRDefault="00B33542" w:rsidP="009B7AF5">
            <w:pPr>
              <w:pStyle w:val="Tabletext"/>
            </w:pPr>
            <w:r w:rsidRPr="005071A1">
              <w:t>3.23</w:t>
            </w:r>
          </w:p>
        </w:tc>
      </w:tr>
      <w:tr w:rsidR="00B33542" w:rsidRPr="005071A1" w14:paraId="225DF608" w14:textId="77777777" w:rsidTr="009B7AF5">
        <w:tc>
          <w:tcPr>
            <w:tcW w:w="2835" w:type="dxa"/>
            <w:shd w:val="clear" w:color="auto" w:fill="auto"/>
          </w:tcPr>
          <w:p w14:paraId="0C11FFDA" w14:textId="77777777" w:rsidR="00B33542" w:rsidRPr="005071A1" w:rsidRDefault="00B33542" w:rsidP="009B7AF5">
            <w:pPr>
              <w:pStyle w:val="Tabletext"/>
            </w:pPr>
            <w:r w:rsidRPr="005071A1">
              <w:t>57</w:t>
            </w:r>
          </w:p>
        </w:tc>
        <w:tc>
          <w:tcPr>
            <w:tcW w:w="1276" w:type="dxa"/>
            <w:shd w:val="clear" w:color="auto" w:fill="auto"/>
          </w:tcPr>
          <w:p w14:paraId="2990FCCD" w14:textId="77777777" w:rsidR="00B33542" w:rsidRPr="005071A1" w:rsidRDefault="00B33542" w:rsidP="009B7AF5">
            <w:pPr>
              <w:pStyle w:val="Tabletext"/>
            </w:pPr>
            <w:r w:rsidRPr="005071A1">
              <w:t>1.43</w:t>
            </w:r>
          </w:p>
        </w:tc>
        <w:tc>
          <w:tcPr>
            <w:tcW w:w="1701" w:type="dxa"/>
            <w:shd w:val="clear" w:color="auto" w:fill="auto"/>
          </w:tcPr>
          <w:p w14:paraId="3A3F1D90" w14:textId="77777777" w:rsidR="00B33542" w:rsidRPr="005071A1" w:rsidRDefault="00B33542" w:rsidP="009B7AF5">
            <w:pPr>
              <w:pStyle w:val="Tabletext"/>
            </w:pPr>
            <w:r w:rsidRPr="005071A1">
              <w:t>4.36</w:t>
            </w:r>
          </w:p>
        </w:tc>
      </w:tr>
      <w:tr w:rsidR="00B33542" w:rsidRPr="005071A1" w14:paraId="3A6F2801" w14:textId="77777777" w:rsidTr="009B7AF5">
        <w:tc>
          <w:tcPr>
            <w:tcW w:w="2835" w:type="dxa"/>
            <w:shd w:val="clear" w:color="auto" w:fill="auto"/>
          </w:tcPr>
          <w:p w14:paraId="09B446C9" w14:textId="77777777" w:rsidR="00B33542" w:rsidRPr="005071A1" w:rsidRDefault="00B33542" w:rsidP="009B7AF5">
            <w:pPr>
              <w:pStyle w:val="Tabletext"/>
            </w:pPr>
            <w:r w:rsidRPr="005071A1">
              <w:t>58</w:t>
            </w:r>
          </w:p>
        </w:tc>
        <w:tc>
          <w:tcPr>
            <w:tcW w:w="1276" w:type="dxa"/>
            <w:shd w:val="clear" w:color="auto" w:fill="auto"/>
          </w:tcPr>
          <w:p w14:paraId="640C3122" w14:textId="77777777" w:rsidR="00B33542" w:rsidRPr="005071A1" w:rsidRDefault="00B33542" w:rsidP="009B7AF5">
            <w:pPr>
              <w:pStyle w:val="Tabletext"/>
            </w:pPr>
            <w:r w:rsidRPr="005071A1">
              <w:t>1.65</w:t>
            </w:r>
          </w:p>
        </w:tc>
        <w:tc>
          <w:tcPr>
            <w:tcW w:w="1701" w:type="dxa"/>
            <w:shd w:val="clear" w:color="auto" w:fill="auto"/>
          </w:tcPr>
          <w:p w14:paraId="42C5D452" w14:textId="77777777" w:rsidR="00B33542" w:rsidRPr="005071A1" w:rsidRDefault="00B33542" w:rsidP="009B7AF5">
            <w:pPr>
              <w:pStyle w:val="Tabletext"/>
            </w:pPr>
            <w:r w:rsidRPr="005071A1">
              <w:t>6.59</w:t>
            </w:r>
          </w:p>
        </w:tc>
      </w:tr>
      <w:tr w:rsidR="00B33542" w:rsidRPr="005071A1" w14:paraId="0BC9A4FD" w14:textId="77777777" w:rsidTr="00D57394">
        <w:tc>
          <w:tcPr>
            <w:tcW w:w="2835" w:type="dxa"/>
            <w:tcBorders>
              <w:bottom w:val="single" w:sz="4" w:space="0" w:color="auto"/>
            </w:tcBorders>
            <w:shd w:val="clear" w:color="auto" w:fill="auto"/>
          </w:tcPr>
          <w:p w14:paraId="555E7C83" w14:textId="77777777" w:rsidR="00B33542" w:rsidRPr="005071A1" w:rsidRDefault="00B33542" w:rsidP="009B7AF5">
            <w:pPr>
              <w:pStyle w:val="Tabletext"/>
            </w:pPr>
            <w:r w:rsidRPr="005071A1">
              <w:t>59</w:t>
            </w:r>
          </w:p>
        </w:tc>
        <w:tc>
          <w:tcPr>
            <w:tcW w:w="1276" w:type="dxa"/>
            <w:tcBorders>
              <w:bottom w:val="single" w:sz="4" w:space="0" w:color="auto"/>
            </w:tcBorders>
            <w:shd w:val="clear" w:color="auto" w:fill="auto"/>
          </w:tcPr>
          <w:p w14:paraId="24DB98BD" w14:textId="77777777" w:rsidR="00B33542" w:rsidRPr="005071A1" w:rsidRDefault="00B33542" w:rsidP="009B7AF5">
            <w:pPr>
              <w:pStyle w:val="Tabletext"/>
            </w:pPr>
            <w:r w:rsidRPr="005071A1">
              <w:t>1.94</w:t>
            </w:r>
          </w:p>
        </w:tc>
        <w:tc>
          <w:tcPr>
            <w:tcW w:w="1701" w:type="dxa"/>
            <w:tcBorders>
              <w:bottom w:val="single" w:sz="4" w:space="0" w:color="auto"/>
            </w:tcBorders>
            <w:shd w:val="clear" w:color="auto" w:fill="auto"/>
          </w:tcPr>
          <w:p w14:paraId="177F5AC3" w14:textId="77777777" w:rsidR="00B33542" w:rsidRPr="005071A1" w:rsidRDefault="00B33542" w:rsidP="009B7AF5">
            <w:pPr>
              <w:pStyle w:val="Tabletext"/>
            </w:pPr>
            <w:r w:rsidRPr="005071A1">
              <w:t>13.20</w:t>
            </w:r>
          </w:p>
        </w:tc>
      </w:tr>
      <w:tr w:rsidR="00B33542" w:rsidRPr="005071A1" w14:paraId="372C05BE" w14:textId="77777777" w:rsidTr="00D57394">
        <w:tc>
          <w:tcPr>
            <w:tcW w:w="2835" w:type="dxa"/>
            <w:tcBorders>
              <w:bottom w:val="single" w:sz="4" w:space="0" w:color="auto"/>
            </w:tcBorders>
            <w:shd w:val="clear" w:color="auto" w:fill="auto"/>
          </w:tcPr>
          <w:p w14:paraId="51CB2F96" w14:textId="77777777" w:rsidR="00B33542" w:rsidRPr="005071A1" w:rsidRDefault="00B33542" w:rsidP="009B7AF5">
            <w:pPr>
              <w:pStyle w:val="Tabletext"/>
            </w:pPr>
            <w:r w:rsidRPr="005071A1">
              <w:t>60</w:t>
            </w:r>
          </w:p>
        </w:tc>
        <w:tc>
          <w:tcPr>
            <w:tcW w:w="1276" w:type="dxa"/>
            <w:tcBorders>
              <w:bottom w:val="single" w:sz="4" w:space="0" w:color="auto"/>
            </w:tcBorders>
            <w:shd w:val="clear" w:color="auto" w:fill="auto"/>
          </w:tcPr>
          <w:p w14:paraId="7AED77BD" w14:textId="77777777" w:rsidR="00B33542" w:rsidRPr="005071A1" w:rsidRDefault="00B33542" w:rsidP="009B7AF5">
            <w:pPr>
              <w:pStyle w:val="Tabletext"/>
            </w:pPr>
            <w:r w:rsidRPr="005071A1">
              <w:t>2.34</w:t>
            </w:r>
          </w:p>
        </w:tc>
        <w:tc>
          <w:tcPr>
            <w:tcW w:w="1701" w:type="dxa"/>
            <w:tcBorders>
              <w:bottom w:val="single" w:sz="4" w:space="0" w:color="auto"/>
            </w:tcBorders>
            <w:shd w:val="clear" w:color="auto" w:fill="auto"/>
          </w:tcPr>
          <w:p w14:paraId="03177D3C" w14:textId="77777777" w:rsidR="00B33542" w:rsidRPr="005071A1" w:rsidRDefault="00B33542" w:rsidP="009B7AF5">
            <w:pPr>
              <w:pStyle w:val="Tabletext"/>
            </w:pPr>
            <w:r w:rsidRPr="005071A1">
              <w:t>13.96</w:t>
            </w:r>
          </w:p>
        </w:tc>
      </w:tr>
      <w:tr w:rsidR="00B33542" w:rsidRPr="005071A1" w14:paraId="0BF2652E" w14:textId="77777777" w:rsidTr="00D57394">
        <w:tc>
          <w:tcPr>
            <w:tcW w:w="2835" w:type="dxa"/>
            <w:tcBorders>
              <w:top w:val="single" w:sz="4" w:space="0" w:color="auto"/>
            </w:tcBorders>
            <w:shd w:val="clear" w:color="auto" w:fill="auto"/>
          </w:tcPr>
          <w:p w14:paraId="2EE5248A" w14:textId="77777777" w:rsidR="00B33542" w:rsidRPr="005071A1" w:rsidRDefault="00B33542" w:rsidP="009B7AF5">
            <w:pPr>
              <w:pStyle w:val="Tabletext"/>
            </w:pPr>
            <w:r w:rsidRPr="005071A1">
              <w:t>61</w:t>
            </w:r>
          </w:p>
        </w:tc>
        <w:tc>
          <w:tcPr>
            <w:tcW w:w="1276" w:type="dxa"/>
            <w:tcBorders>
              <w:top w:val="single" w:sz="4" w:space="0" w:color="auto"/>
            </w:tcBorders>
            <w:shd w:val="clear" w:color="auto" w:fill="auto"/>
          </w:tcPr>
          <w:p w14:paraId="27B79CCC" w14:textId="77777777" w:rsidR="00B33542" w:rsidRPr="005071A1" w:rsidRDefault="00B33542" w:rsidP="009B7AF5">
            <w:pPr>
              <w:pStyle w:val="Tabletext"/>
            </w:pPr>
            <w:r w:rsidRPr="005071A1">
              <w:t>2.94</w:t>
            </w:r>
          </w:p>
        </w:tc>
        <w:tc>
          <w:tcPr>
            <w:tcW w:w="1701" w:type="dxa"/>
            <w:tcBorders>
              <w:top w:val="single" w:sz="4" w:space="0" w:color="auto"/>
            </w:tcBorders>
            <w:shd w:val="clear" w:color="auto" w:fill="auto"/>
          </w:tcPr>
          <w:p w14:paraId="4A070FB5" w14:textId="77777777" w:rsidR="00B33542" w:rsidRPr="005071A1" w:rsidRDefault="00B33542" w:rsidP="009B7AF5">
            <w:pPr>
              <w:pStyle w:val="Tabletext"/>
            </w:pPr>
          </w:p>
        </w:tc>
      </w:tr>
      <w:tr w:rsidR="00B33542" w:rsidRPr="005071A1" w14:paraId="79C29500" w14:textId="77777777" w:rsidTr="00640BB6">
        <w:tc>
          <w:tcPr>
            <w:tcW w:w="2835" w:type="dxa"/>
            <w:tcBorders>
              <w:bottom w:val="single" w:sz="4" w:space="0" w:color="auto"/>
            </w:tcBorders>
            <w:shd w:val="clear" w:color="auto" w:fill="auto"/>
          </w:tcPr>
          <w:p w14:paraId="6D2041B1" w14:textId="77777777" w:rsidR="00B33542" w:rsidRPr="005071A1" w:rsidRDefault="00B33542" w:rsidP="009B7AF5">
            <w:pPr>
              <w:pStyle w:val="Tabletext"/>
            </w:pPr>
            <w:r w:rsidRPr="005071A1">
              <w:t>62</w:t>
            </w:r>
          </w:p>
        </w:tc>
        <w:tc>
          <w:tcPr>
            <w:tcW w:w="1276" w:type="dxa"/>
            <w:tcBorders>
              <w:bottom w:val="single" w:sz="4" w:space="0" w:color="auto"/>
            </w:tcBorders>
            <w:shd w:val="clear" w:color="auto" w:fill="auto"/>
          </w:tcPr>
          <w:p w14:paraId="0985150C" w14:textId="77777777" w:rsidR="00B33542" w:rsidRPr="005071A1" w:rsidRDefault="00B33542" w:rsidP="009B7AF5">
            <w:pPr>
              <w:pStyle w:val="Tabletext"/>
            </w:pPr>
            <w:r w:rsidRPr="005071A1">
              <w:t>3.93</w:t>
            </w:r>
          </w:p>
        </w:tc>
        <w:tc>
          <w:tcPr>
            <w:tcW w:w="1701" w:type="dxa"/>
            <w:tcBorders>
              <w:bottom w:val="single" w:sz="4" w:space="0" w:color="auto"/>
            </w:tcBorders>
            <w:shd w:val="clear" w:color="auto" w:fill="auto"/>
          </w:tcPr>
          <w:p w14:paraId="518516A5" w14:textId="77777777" w:rsidR="00B33542" w:rsidRPr="005071A1" w:rsidRDefault="00B33542" w:rsidP="009B7AF5">
            <w:pPr>
              <w:pStyle w:val="Tabletext"/>
            </w:pPr>
          </w:p>
        </w:tc>
      </w:tr>
      <w:tr w:rsidR="00B33542" w:rsidRPr="005071A1" w14:paraId="391F61BD" w14:textId="77777777" w:rsidTr="00640BB6">
        <w:tc>
          <w:tcPr>
            <w:tcW w:w="2835" w:type="dxa"/>
            <w:tcBorders>
              <w:bottom w:val="single" w:sz="4" w:space="0" w:color="auto"/>
            </w:tcBorders>
            <w:shd w:val="clear" w:color="auto" w:fill="auto"/>
          </w:tcPr>
          <w:p w14:paraId="38DB11C5" w14:textId="77777777" w:rsidR="00B33542" w:rsidRPr="005071A1" w:rsidRDefault="00B33542" w:rsidP="009B7AF5">
            <w:pPr>
              <w:pStyle w:val="Tabletext"/>
            </w:pPr>
            <w:r w:rsidRPr="005071A1">
              <w:t>63</w:t>
            </w:r>
          </w:p>
        </w:tc>
        <w:tc>
          <w:tcPr>
            <w:tcW w:w="1276" w:type="dxa"/>
            <w:tcBorders>
              <w:bottom w:val="single" w:sz="4" w:space="0" w:color="auto"/>
            </w:tcBorders>
            <w:shd w:val="clear" w:color="auto" w:fill="auto"/>
          </w:tcPr>
          <w:p w14:paraId="47457447" w14:textId="77777777" w:rsidR="00B33542" w:rsidRPr="005071A1" w:rsidRDefault="00B33542" w:rsidP="009B7AF5">
            <w:pPr>
              <w:pStyle w:val="Tabletext"/>
            </w:pPr>
            <w:r w:rsidRPr="005071A1">
              <w:t>5.91</w:t>
            </w:r>
          </w:p>
        </w:tc>
        <w:tc>
          <w:tcPr>
            <w:tcW w:w="1701" w:type="dxa"/>
            <w:tcBorders>
              <w:bottom w:val="single" w:sz="4" w:space="0" w:color="auto"/>
            </w:tcBorders>
            <w:shd w:val="clear" w:color="auto" w:fill="auto"/>
          </w:tcPr>
          <w:p w14:paraId="4E8AAD18" w14:textId="77777777" w:rsidR="00B33542" w:rsidRPr="005071A1" w:rsidRDefault="00B33542" w:rsidP="009B7AF5">
            <w:pPr>
              <w:pStyle w:val="Tabletext"/>
            </w:pPr>
          </w:p>
        </w:tc>
      </w:tr>
      <w:tr w:rsidR="00B33542" w:rsidRPr="005071A1" w14:paraId="25A08CAB" w14:textId="77777777" w:rsidTr="00640BB6">
        <w:tc>
          <w:tcPr>
            <w:tcW w:w="2835" w:type="dxa"/>
            <w:tcBorders>
              <w:top w:val="single" w:sz="4" w:space="0" w:color="auto"/>
              <w:bottom w:val="single" w:sz="4" w:space="0" w:color="auto"/>
            </w:tcBorders>
            <w:shd w:val="clear" w:color="auto" w:fill="auto"/>
          </w:tcPr>
          <w:p w14:paraId="03F55858" w14:textId="77777777" w:rsidR="00B33542" w:rsidRPr="005071A1" w:rsidRDefault="00B33542" w:rsidP="009B7AF5">
            <w:pPr>
              <w:pStyle w:val="Tabletext"/>
            </w:pPr>
            <w:r w:rsidRPr="005071A1">
              <w:t>64</w:t>
            </w:r>
          </w:p>
        </w:tc>
        <w:tc>
          <w:tcPr>
            <w:tcW w:w="1276" w:type="dxa"/>
            <w:tcBorders>
              <w:top w:val="single" w:sz="4" w:space="0" w:color="auto"/>
              <w:bottom w:val="single" w:sz="4" w:space="0" w:color="auto"/>
            </w:tcBorders>
            <w:shd w:val="clear" w:color="auto" w:fill="auto"/>
          </w:tcPr>
          <w:p w14:paraId="764AE2C9" w14:textId="77777777" w:rsidR="00B33542" w:rsidRPr="005071A1" w:rsidRDefault="00B33542" w:rsidP="009B7AF5">
            <w:pPr>
              <w:pStyle w:val="Tabletext"/>
            </w:pPr>
            <w:r w:rsidRPr="005071A1">
              <w:t>11.77</w:t>
            </w:r>
          </w:p>
        </w:tc>
        <w:tc>
          <w:tcPr>
            <w:tcW w:w="1701" w:type="dxa"/>
            <w:tcBorders>
              <w:top w:val="single" w:sz="4" w:space="0" w:color="auto"/>
              <w:bottom w:val="single" w:sz="4" w:space="0" w:color="auto"/>
            </w:tcBorders>
            <w:shd w:val="clear" w:color="auto" w:fill="auto"/>
          </w:tcPr>
          <w:p w14:paraId="31EB296A" w14:textId="77777777" w:rsidR="00B33542" w:rsidRPr="005071A1" w:rsidRDefault="00B33542" w:rsidP="009B7AF5">
            <w:pPr>
              <w:pStyle w:val="Tabletext"/>
            </w:pPr>
          </w:p>
        </w:tc>
      </w:tr>
      <w:tr w:rsidR="00B33542" w:rsidRPr="005071A1" w14:paraId="039AA585" w14:textId="77777777" w:rsidTr="009B7AF5">
        <w:tc>
          <w:tcPr>
            <w:tcW w:w="2835" w:type="dxa"/>
            <w:tcBorders>
              <w:bottom w:val="single" w:sz="12" w:space="0" w:color="auto"/>
            </w:tcBorders>
            <w:shd w:val="clear" w:color="auto" w:fill="auto"/>
          </w:tcPr>
          <w:p w14:paraId="1B4148B3" w14:textId="77777777" w:rsidR="00B33542" w:rsidRPr="005071A1" w:rsidRDefault="00B33542" w:rsidP="009B7AF5">
            <w:pPr>
              <w:pStyle w:val="Tabletext"/>
            </w:pPr>
            <w:r w:rsidRPr="005071A1">
              <w:t>65</w:t>
            </w:r>
          </w:p>
        </w:tc>
        <w:tc>
          <w:tcPr>
            <w:tcW w:w="1276" w:type="dxa"/>
            <w:tcBorders>
              <w:bottom w:val="single" w:sz="12" w:space="0" w:color="auto"/>
            </w:tcBorders>
            <w:shd w:val="clear" w:color="auto" w:fill="auto"/>
          </w:tcPr>
          <w:p w14:paraId="328EC6EE" w14:textId="77777777" w:rsidR="00B33542" w:rsidRPr="005071A1" w:rsidRDefault="00B33542" w:rsidP="009B7AF5">
            <w:pPr>
              <w:pStyle w:val="Tabletext"/>
            </w:pPr>
            <w:r w:rsidRPr="005071A1">
              <w:t>12.32</w:t>
            </w:r>
          </w:p>
        </w:tc>
        <w:tc>
          <w:tcPr>
            <w:tcW w:w="1701" w:type="dxa"/>
            <w:tcBorders>
              <w:bottom w:val="single" w:sz="12" w:space="0" w:color="auto"/>
            </w:tcBorders>
            <w:shd w:val="clear" w:color="auto" w:fill="auto"/>
          </w:tcPr>
          <w:p w14:paraId="2A727260" w14:textId="77777777" w:rsidR="00B33542" w:rsidRPr="005071A1" w:rsidRDefault="00B33542" w:rsidP="009B7AF5">
            <w:pPr>
              <w:pStyle w:val="Tabletext"/>
            </w:pPr>
          </w:p>
        </w:tc>
      </w:tr>
    </w:tbl>
    <w:p w14:paraId="5ECC8E38" w14:textId="77777777" w:rsidR="00B33542" w:rsidRPr="005071A1" w:rsidRDefault="00B33542" w:rsidP="00674A0D">
      <w:pPr>
        <w:pStyle w:val="ActHead5"/>
        <w:pageBreakBefore/>
      </w:pPr>
      <w:bookmarkStart w:id="308" w:name="_Toc185577690"/>
      <w:r w:rsidRPr="005071A1">
        <w:lastRenderedPageBreak/>
        <w:t>Table II</w:t>
      </w:r>
      <w:bookmarkEnd w:id="308"/>
    </w:p>
    <w:p w14:paraId="6878EF4E" w14:textId="77777777" w:rsidR="00B33542" w:rsidRPr="005071A1" w:rsidRDefault="00B33542" w:rsidP="00B33542">
      <w:pPr>
        <w:spacing w:before="120"/>
      </w:pPr>
      <w:r w:rsidRPr="005071A1">
        <w:t xml:space="preserve">Rates of contribution to be paid fortnightly by male contributors for units of pension to which </w:t>
      </w:r>
      <w:r w:rsidR="008B2950" w:rsidRPr="005071A1">
        <w:t>paragraph (</w:t>
      </w:r>
      <w:r w:rsidRPr="005071A1">
        <w:t xml:space="preserve">b) of </w:t>
      </w:r>
      <w:r w:rsidR="008B2950" w:rsidRPr="005071A1">
        <w:t>subsection (</w:t>
      </w:r>
      <w:r w:rsidRPr="005071A1">
        <w:t>3) of section</w:t>
      </w:r>
      <w:r w:rsidR="008B2950" w:rsidRPr="005071A1">
        <w:t> </w:t>
      </w:r>
      <w:r w:rsidRPr="005071A1">
        <w:t>23 applies, based on the age next birthday of the contributor when the obligation to contribute for those units comes into existence</w:t>
      </w:r>
    </w:p>
    <w:p w14:paraId="028171EF"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35"/>
        <w:gridCol w:w="1276"/>
        <w:gridCol w:w="1701"/>
      </w:tblGrid>
      <w:tr w:rsidR="00B33542" w:rsidRPr="005071A1" w14:paraId="6D2914A5" w14:textId="77777777" w:rsidTr="009B7AF5">
        <w:trPr>
          <w:tblHeader/>
        </w:trPr>
        <w:tc>
          <w:tcPr>
            <w:tcW w:w="2835" w:type="dxa"/>
            <w:tcBorders>
              <w:top w:val="single" w:sz="12" w:space="0" w:color="auto"/>
              <w:bottom w:val="single" w:sz="6" w:space="0" w:color="auto"/>
            </w:tcBorders>
            <w:shd w:val="clear" w:color="auto" w:fill="auto"/>
          </w:tcPr>
          <w:p w14:paraId="3AFC9532" w14:textId="77777777" w:rsidR="00B33542" w:rsidRPr="005071A1" w:rsidRDefault="00B33542" w:rsidP="009B7AF5">
            <w:pPr>
              <w:pStyle w:val="TableHeading"/>
            </w:pPr>
            <w:r w:rsidRPr="005071A1">
              <w:t>Column 1</w:t>
            </w:r>
          </w:p>
        </w:tc>
        <w:tc>
          <w:tcPr>
            <w:tcW w:w="2977" w:type="dxa"/>
            <w:gridSpan w:val="2"/>
            <w:tcBorders>
              <w:top w:val="single" w:sz="12" w:space="0" w:color="auto"/>
              <w:bottom w:val="single" w:sz="6" w:space="0" w:color="auto"/>
            </w:tcBorders>
            <w:shd w:val="clear" w:color="auto" w:fill="auto"/>
          </w:tcPr>
          <w:p w14:paraId="06F481ED" w14:textId="77777777" w:rsidR="00B33542" w:rsidRPr="005071A1" w:rsidRDefault="00B33542" w:rsidP="009B7AF5">
            <w:pPr>
              <w:pStyle w:val="TableHeading"/>
            </w:pPr>
            <w:r w:rsidRPr="005071A1">
              <w:t>Column 2</w:t>
            </w:r>
          </w:p>
        </w:tc>
      </w:tr>
      <w:tr w:rsidR="00B33542" w:rsidRPr="005071A1" w14:paraId="6C85AA8B" w14:textId="77777777" w:rsidTr="00CF0C39">
        <w:trPr>
          <w:tblHeader/>
        </w:trPr>
        <w:tc>
          <w:tcPr>
            <w:tcW w:w="2835" w:type="dxa"/>
            <w:tcBorders>
              <w:top w:val="single" w:sz="6" w:space="0" w:color="auto"/>
              <w:bottom w:val="nil"/>
            </w:tcBorders>
            <w:shd w:val="clear" w:color="auto" w:fill="auto"/>
          </w:tcPr>
          <w:p w14:paraId="5C09FCF2" w14:textId="77777777" w:rsidR="00B33542" w:rsidRPr="005071A1" w:rsidRDefault="00B33542" w:rsidP="00FE2F9A">
            <w:pPr>
              <w:pStyle w:val="TableHeading"/>
            </w:pPr>
          </w:p>
        </w:tc>
        <w:tc>
          <w:tcPr>
            <w:tcW w:w="2977" w:type="dxa"/>
            <w:gridSpan w:val="2"/>
            <w:tcBorders>
              <w:top w:val="single" w:sz="6" w:space="0" w:color="auto"/>
              <w:bottom w:val="single" w:sz="6" w:space="0" w:color="auto"/>
            </w:tcBorders>
            <w:shd w:val="clear" w:color="auto" w:fill="auto"/>
          </w:tcPr>
          <w:p w14:paraId="0639A543" w14:textId="77777777" w:rsidR="00B33542" w:rsidRPr="005071A1" w:rsidRDefault="00B33542" w:rsidP="00FE2F9A">
            <w:pPr>
              <w:pStyle w:val="TableHeading"/>
            </w:pPr>
            <w:r w:rsidRPr="005071A1">
              <w:t>Contribution for each Additional Unit, based on Retiring Age of—</w:t>
            </w:r>
          </w:p>
        </w:tc>
      </w:tr>
      <w:tr w:rsidR="00B33542" w:rsidRPr="005071A1" w14:paraId="51E4942F" w14:textId="77777777" w:rsidTr="00CF0C39">
        <w:trPr>
          <w:tblHeader/>
        </w:trPr>
        <w:tc>
          <w:tcPr>
            <w:tcW w:w="2835" w:type="dxa"/>
            <w:tcBorders>
              <w:top w:val="nil"/>
              <w:bottom w:val="single" w:sz="6" w:space="0" w:color="auto"/>
            </w:tcBorders>
            <w:shd w:val="clear" w:color="auto" w:fill="auto"/>
          </w:tcPr>
          <w:p w14:paraId="5EEC80F8" w14:textId="77777777" w:rsidR="00B33542" w:rsidRPr="005071A1" w:rsidRDefault="00B33542" w:rsidP="00FE2F9A">
            <w:pPr>
              <w:pStyle w:val="TableHeading"/>
            </w:pPr>
            <w:r w:rsidRPr="005071A1">
              <w:t>Age next Birthday</w:t>
            </w:r>
          </w:p>
        </w:tc>
        <w:tc>
          <w:tcPr>
            <w:tcW w:w="1276" w:type="dxa"/>
            <w:tcBorders>
              <w:top w:val="single" w:sz="6" w:space="0" w:color="auto"/>
              <w:bottom w:val="single" w:sz="6" w:space="0" w:color="auto"/>
            </w:tcBorders>
            <w:shd w:val="clear" w:color="auto" w:fill="auto"/>
          </w:tcPr>
          <w:p w14:paraId="321C8848" w14:textId="77777777" w:rsidR="00B33542" w:rsidRPr="005071A1" w:rsidRDefault="00B33542" w:rsidP="00FE2F9A">
            <w:pPr>
              <w:pStyle w:val="TableHeading"/>
            </w:pPr>
            <w:r w:rsidRPr="005071A1">
              <w:t>65 years</w:t>
            </w:r>
          </w:p>
        </w:tc>
        <w:tc>
          <w:tcPr>
            <w:tcW w:w="1701" w:type="dxa"/>
            <w:tcBorders>
              <w:top w:val="single" w:sz="6" w:space="0" w:color="auto"/>
              <w:bottom w:val="single" w:sz="6" w:space="0" w:color="auto"/>
            </w:tcBorders>
            <w:shd w:val="clear" w:color="auto" w:fill="auto"/>
          </w:tcPr>
          <w:p w14:paraId="0BA4F200" w14:textId="77777777" w:rsidR="00B33542" w:rsidRPr="005071A1" w:rsidRDefault="00B33542" w:rsidP="00FE2F9A">
            <w:pPr>
              <w:pStyle w:val="TableHeading"/>
            </w:pPr>
            <w:r w:rsidRPr="005071A1">
              <w:t>60 years</w:t>
            </w:r>
          </w:p>
        </w:tc>
      </w:tr>
      <w:tr w:rsidR="00B33542" w:rsidRPr="005071A1" w14:paraId="1DACA38C" w14:textId="77777777" w:rsidTr="009B7AF5">
        <w:trPr>
          <w:tblHeader/>
        </w:trPr>
        <w:tc>
          <w:tcPr>
            <w:tcW w:w="2835" w:type="dxa"/>
            <w:tcBorders>
              <w:top w:val="single" w:sz="6" w:space="0" w:color="auto"/>
              <w:bottom w:val="single" w:sz="12" w:space="0" w:color="auto"/>
            </w:tcBorders>
            <w:shd w:val="clear" w:color="auto" w:fill="auto"/>
          </w:tcPr>
          <w:p w14:paraId="4915B307" w14:textId="77777777" w:rsidR="00B33542" w:rsidRPr="005071A1" w:rsidRDefault="00B33542" w:rsidP="00FE2F9A">
            <w:pPr>
              <w:pStyle w:val="TableHeading"/>
            </w:pPr>
          </w:p>
        </w:tc>
        <w:tc>
          <w:tcPr>
            <w:tcW w:w="1276" w:type="dxa"/>
            <w:tcBorders>
              <w:top w:val="single" w:sz="6" w:space="0" w:color="auto"/>
              <w:bottom w:val="single" w:sz="12" w:space="0" w:color="auto"/>
            </w:tcBorders>
            <w:shd w:val="clear" w:color="auto" w:fill="auto"/>
          </w:tcPr>
          <w:p w14:paraId="6081F938" w14:textId="77777777" w:rsidR="00B33542" w:rsidRPr="005071A1" w:rsidRDefault="00B33542" w:rsidP="00FE2F9A">
            <w:pPr>
              <w:pStyle w:val="TableHeading"/>
            </w:pPr>
            <w:r w:rsidRPr="005071A1">
              <w:t>$</w:t>
            </w:r>
          </w:p>
        </w:tc>
        <w:tc>
          <w:tcPr>
            <w:tcW w:w="1701" w:type="dxa"/>
            <w:tcBorders>
              <w:top w:val="single" w:sz="6" w:space="0" w:color="auto"/>
              <w:bottom w:val="single" w:sz="12" w:space="0" w:color="auto"/>
            </w:tcBorders>
            <w:shd w:val="clear" w:color="auto" w:fill="auto"/>
          </w:tcPr>
          <w:p w14:paraId="7542C5D6" w14:textId="77777777" w:rsidR="00B33542" w:rsidRPr="005071A1" w:rsidRDefault="00B33542" w:rsidP="00FE2F9A">
            <w:pPr>
              <w:pStyle w:val="TableHeading"/>
            </w:pPr>
            <w:r w:rsidRPr="005071A1">
              <w:t>$</w:t>
            </w:r>
          </w:p>
        </w:tc>
      </w:tr>
      <w:tr w:rsidR="00B33542" w:rsidRPr="005071A1" w14:paraId="0F67D66E" w14:textId="77777777" w:rsidTr="009B7AF5">
        <w:tc>
          <w:tcPr>
            <w:tcW w:w="2835" w:type="dxa"/>
            <w:tcBorders>
              <w:top w:val="single" w:sz="12" w:space="0" w:color="auto"/>
            </w:tcBorders>
            <w:shd w:val="clear" w:color="auto" w:fill="auto"/>
          </w:tcPr>
          <w:p w14:paraId="030AEEA1" w14:textId="77777777" w:rsidR="00B33542" w:rsidRPr="005071A1" w:rsidRDefault="00B33542" w:rsidP="009B7AF5">
            <w:pPr>
              <w:pStyle w:val="Tabletext"/>
            </w:pPr>
            <w:r w:rsidRPr="005071A1">
              <w:t>15</w:t>
            </w:r>
          </w:p>
        </w:tc>
        <w:tc>
          <w:tcPr>
            <w:tcW w:w="1276" w:type="dxa"/>
            <w:tcBorders>
              <w:top w:val="single" w:sz="12" w:space="0" w:color="auto"/>
            </w:tcBorders>
            <w:shd w:val="clear" w:color="auto" w:fill="auto"/>
          </w:tcPr>
          <w:p w14:paraId="557155E0" w14:textId="77777777" w:rsidR="00B33542" w:rsidRPr="005071A1" w:rsidRDefault="00B33542" w:rsidP="009B7AF5">
            <w:pPr>
              <w:pStyle w:val="Tabletext"/>
            </w:pPr>
            <w:r w:rsidRPr="005071A1">
              <w:t>0.07</w:t>
            </w:r>
          </w:p>
        </w:tc>
        <w:tc>
          <w:tcPr>
            <w:tcW w:w="1701" w:type="dxa"/>
            <w:tcBorders>
              <w:top w:val="single" w:sz="12" w:space="0" w:color="auto"/>
            </w:tcBorders>
            <w:shd w:val="clear" w:color="auto" w:fill="auto"/>
          </w:tcPr>
          <w:p w14:paraId="77F865D7" w14:textId="77777777" w:rsidR="00B33542" w:rsidRPr="005071A1" w:rsidRDefault="00B33542" w:rsidP="009B7AF5">
            <w:pPr>
              <w:pStyle w:val="Tabletext"/>
            </w:pPr>
            <w:r w:rsidRPr="005071A1">
              <w:t>0.09</w:t>
            </w:r>
          </w:p>
        </w:tc>
      </w:tr>
      <w:tr w:rsidR="00B33542" w:rsidRPr="005071A1" w14:paraId="3960E069" w14:textId="77777777" w:rsidTr="009B7AF5">
        <w:tc>
          <w:tcPr>
            <w:tcW w:w="2835" w:type="dxa"/>
            <w:shd w:val="clear" w:color="auto" w:fill="auto"/>
          </w:tcPr>
          <w:p w14:paraId="1D99EE0A" w14:textId="77777777" w:rsidR="00B33542" w:rsidRPr="005071A1" w:rsidRDefault="00B33542" w:rsidP="009B7AF5">
            <w:pPr>
              <w:pStyle w:val="Tabletext"/>
            </w:pPr>
            <w:r w:rsidRPr="005071A1">
              <w:t>16</w:t>
            </w:r>
          </w:p>
        </w:tc>
        <w:tc>
          <w:tcPr>
            <w:tcW w:w="1276" w:type="dxa"/>
            <w:shd w:val="clear" w:color="auto" w:fill="auto"/>
          </w:tcPr>
          <w:p w14:paraId="354DB253" w14:textId="77777777" w:rsidR="00B33542" w:rsidRPr="005071A1" w:rsidRDefault="00B33542" w:rsidP="009B7AF5">
            <w:pPr>
              <w:pStyle w:val="Tabletext"/>
            </w:pPr>
            <w:r w:rsidRPr="005071A1">
              <w:t>0.07</w:t>
            </w:r>
          </w:p>
        </w:tc>
        <w:tc>
          <w:tcPr>
            <w:tcW w:w="1701" w:type="dxa"/>
            <w:shd w:val="clear" w:color="auto" w:fill="auto"/>
          </w:tcPr>
          <w:p w14:paraId="00BEF8F1" w14:textId="77777777" w:rsidR="00B33542" w:rsidRPr="005071A1" w:rsidRDefault="00B33542" w:rsidP="009B7AF5">
            <w:pPr>
              <w:pStyle w:val="Tabletext"/>
            </w:pPr>
            <w:r w:rsidRPr="005071A1">
              <w:t>0.09</w:t>
            </w:r>
          </w:p>
        </w:tc>
      </w:tr>
      <w:tr w:rsidR="00B33542" w:rsidRPr="005071A1" w14:paraId="3068E840" w14:textId="77777777" w:rsidTr="009B7AF5">
        <w:tc>
          <w:tcPr>
            <w:tcW w:w="2835" w:type="dxa"/>
            <w:shd w:val="clear" w:color="auto" w:fill="auto"/>
          </w:tcPr>
          <w:p w14:paraId="548DF216" w14:textId="77777777" w:rsidR="00B33542" w:rsidRPr="005071A1" w:rsidRDefault="00B33542" w:rsidP="009B7AF5">
            <w:pPr>
              <w:pStyle w:val="Tabletext"/>
            </w:pPr>
            <w:r w:rsidRPr="005071A1">
              <w:t>17</w:t>
            </w:r>
          </w:p>
        </w:tc>
        <w:tc>
          <w:tcPr>
            <w:tcW w:w="1276" w:type="dxa"/>
            <w:shd w:val="clear" w:color="auto" w:fill="auto"/>
          </w:tcPr>
          <w:p w14:paraId="648D2868" w14:textId="77777777" w:rsidR="00B33542" w:rsidRPr="005071A1" w:rsidRDefault="00B33542" w:rsidP="009B7AF5">
            <w:pPr>
              <w:pStyle w:val="Tabletext"/>
            </w:pPr>
            <w:r w:rsidRPr="005071A1">
              <w:t>0.07</w:t>
            </w:r>
          </w:p>
        </w:tc>
        <w:tc>
          <w:tcPr>
            <w:tcW w:w="1701" w:type="dxa"/>
            <w:shd w:val="clear" w:color="auto" w:fill="auto"/>
          </w:tcPr>
          <w:p w14:paraId="165405A2" w14:textId="77777777" w:rsidR="00B33542" w:rsidRPr="005071A1" w:rsidRDefault="00B33542" w:rsidP="009B7AF5">
            <w:pPr>
              <w:pStyle w:val="Tabletext"/>
            </w:pPr>
            <w:r w:rsidRPr="005071A1">
              <w:t>0.10</w:t>
            </w:r>
          </w:p>
        </w:tc>
      </w:tr>
      <w:tr w:rsidR="00B33542" w:rsidRPr="005071A1" w14:paraId="42B5D6B5" w14:textId="77777777" w:rsidTr="009B7AF5">
        <w:tc>
          <w:tcPr>
            <w:tcW w:w="2835" w:type="dxa"/>
            <w:shd w:val="clear" w:color="auto" w:fill="auto"/>
          </w:tcPr>
          <w:p w14:paraId="43A2B545" w14:textId="77777777" w:rsidR="00B33542" w:rsidRPr="005071A1" w:rsidRDefault="00B33542" w:rsidP="009B7AF5">
            <w:pPr>
              <w:pStyle w:val="Tabletext"/>
            </w:pPr>
            <w:r w:rsidRPr="005071A1">
              <w:t>18</w:t>
            </w:r>
          </w:p>
        </w:tc>
        <w:tc>
          <w:tcPr>
            <w:tcW w:w="1276" w:type="dxa"/>
            <w:shd w:val="clear" w:color="auto" w:fill="auto"/>
          </w:tcPr>
          <w:p w14:paraId="5410DF9F" w14:textId="77777777" w:rsidR="00B33542" w:rsidRPr="005071A1" w:rsidRDefault="00B33542" w:rsidP="009B7AF5">
            <w:pPr>
              <w:pStyle w:val="Tabletext"/>
            </w:pPr>
            <w:r w:rsidRPr="005071A1">
              <w:t>0.08</w:t>
            </w:r>
          </w:p>
        </w:tc>
        <w:tc>
          <w:tcPr>
            <w:tcW w:w="1701" w:type="dxa"/>
            <w:shd w:val="clear" w:color="auto" w:fill="auto"/>
          </w:tcPr>
          <w:p w14:paraId="265FC283" w14:textId="77777777" w:rsidR="00B33542" w:rsidRPr="005071A1" w:rsidRDefault="00B33542" w:rsidP="009B7AF5">
            <w:pPr>
              <w:pStyle w:val="Tabletext"/>
            </w:pPr>
            <w:r w:rsidRPr="005071A1">
              <w:t>0.10</w:t>
            </w:r>
          </w:p>
        </w:tc>
      </w:tr>
      <w:tr w:rsidR="00B33542" w:rsidRPr="005071A1" w14:paraId="63C80236" w14:textId="77777777" w:rsidTr="009B7AF5">
        <w:tc>
          <w:tcPr>
            <w:tcW w:w="2835" w:type="dxa"/>
            <w:shd w:val="clear" w:color="auto" w:fill="auto"/>
          </w:tcPr>
          <w:p w14:paraId="54FAC3A8" w14:textId="77777777" w:rsidR="00B33542" w:rsidRPr="005071A1" w:rsidRDefault="00B33542" w:rsidP="009B7AF5">
            <w:pPr>
              <w:pStyle w:val="Tabletext"/>
            </w:pPr>
            <w:r w:rsidRPr="005071A1">
              <w:t>19</w:t>
            </w:r>
          </w:p>
        </w:tc>
        <w:tc>
          <w:tcPr>
            <w:tcW w:w="1276" w:type="dxa"/>
            <w:shd w:val="clear" w:color="auto" w:fill="auto"/>
          </w:tcPr>
          <w:p w14:paraId="3330DF12" w14:textId="77777777" w:rsidR="00B33542" w:rsidRPr="005071A1" w:rsidRDefault="00B33542" w:rsidP="009B7AF5">
            <w:pPr>
              <w:pStyle w:val="Tabletext"/>
            </w:pPr>
            <w:r w:rsidRPr="005071A1">
              <w:t>0.08</w:t>
            </w:r>
          </w:p>
        </w:tc>
        <w:tc>
          <w:tcPr>
            <w:tcW w:w="1701" w:type="dxa"/>
            <w:shd w:val="clear" w:color="auto" w:fill="auto"/>
          </w:tcPr>
          <w:p w14:paraId="74EA839D" w14:textId="77777777" w:rsidR="00B33542" w:rsidRPr="005071A1" w:rsidRDefault="00B33542" w:rsidP="009B7AF5">
            <w:pPr>
              <w:pStyle w:val="Tabletext"/>
            </w:pPr>
            <w:r w:rsidRPr="005071A1">
              <w:t>0.11</w:t>
            </w:r>
          </w:p>
        </w:tc>
      </w:tr>
      <w:tr w:rsidR="00B33542" w:rsidRPr="005071A1" w14:paraId="0D5135B3" w14:textId="77777777" w:rsidTr="009B7AF5">
        <w:tc>
          <w:tcPr>
            <w:tcW w:w="2835" w:type="dxa"/>
            <w:shd w:val="clear" w:color="auto" w:fill="auto"/>
          </w:tcPr>
          <w:p w14:paraId="0B09CC47" w14:textId="77777777" w:rsidR="00B33542" w:rsidRPr="005071A1" w:rsidRDefault="00B33542" w:rsidP="009B7AF5">
            <w:pPr>
              <w:pStyle w:val="Tabletext"/>
            </w:pPr>
            <w:r w:rsidRPr="005071A1">
              <w:t>20</w:t>
            </w:r>
          </w:p>
        </w:tc>
        <w:tc>
          <w:tcPr>
            <w:tcW w:w="1276" w:type="dxa"/>
            <w:shd w:val="clear" w:color="auto" w:fill="auto"/>
          </w:tcPr>
          <w:p w14:paraId="11EE8089" w14:textId="77777777" w:rsidR="00B33542" w:rsidRPr="005071A1" w:rsidRDefault="00B33542" w:rsidP="009B7AF5">
            <w:pPr>
              <w:pStyle w:val="Tabletext"/>
            </w:pPr>
            <w:r w:rsidRPr="005071A1">
              <w:t>0.09</w:t>
            </w:r>
          </w:p>
        </w:tc>
        <w:tc>
          <w:tcPr>
            <w:tcW w:w="1701" w:type="dxa"/>
            <w:shd w:val="clear" w:color="auto" w:fill="auto"/>
          </w:tcPr>
          <w:p w14:paraId="05C5B8DA" w14:textId="77777777" w:rsidR="00B33542" w:rsidRPr="005071A1" w:rsidRDefault="00B33542" w:rsidP="009B7AF5">
            <w:pPr>
              <w:pStyle w:val="Tabletext"/>
            </w:pPr>
            <w:r w:rsidRPr="005071A1">
              <w:t>0.12</w:t>
            </w:r>
          </w:p>
        </w:tc>
      </w:tr>
      <w:tr w:rsidR="00B33542" w:rsidRPr="005071A1" w14:paraId="21F63553" w14:textId="77777777" w:rsidTr="009B7AF5">
        <w:tc>
          <w:tcPr>
            <w:tcW w:w="2835" w:type="dxa"/>
            <w:shd w:val="clear" w:color="auto" w:fill="auto"/>
          </w:tcPr>
          <w:p w14:paraId="7F85D7D5" w14:textId="77777777" w:rsidR="00B33542" w:rsidRPr="005071A1" w:rsidRDefault="00B33542" w:rsidP="009B7AF5">
            <w:pPr>
              <w:pStyle w:val="Tabletext"/>
            </w:pPr>
            <w:r w:rsidRPr="005071A1">
              <w:t>21</w:t>
            </w:r>
          </w:p>
        </w:tc>
        <w:tc>
          <w:tcPr>
            <w:tcW w:w="1276" w:type="dxa"/>
            <w:shd w:val="clear" w:color="auto" w:fill="auto"/>
          </w:tcPr>
          <w:p w14:paraId="4CB61557" w14:textId="77777777" w:rsidR="00B33542" w:rsidRPr="005071A1" w:rsidRDefault="00B33542" w:rsidP="009B7AF5">
            <w:pPr>
              <w:pStyle w:val="Tabletext"/>
            </w:pPr>
            <w:r w:rsidRPr="005071A1">
              <w:t>0.09</w:t>
            </w:r>
          </w:p>
        </w:tc>
        <w:tc>
          <w:tcPr>
            <w:tcW w:w="1701" w:type="dxa"/>
            <w:shd w:val="clear" w:color="auto" w:fill="auto"/>
          </w:tcPr>
          <w:p w14:paraId="005D9A54" w14:textId="77777777" w:rsidR="00B33542" w:rsidRPr="005071A1" w:rsidRDefault="00B33542" w:rsidP="009B7AF5">
            <w:pPr>
              <w:pStyle w:val="Tabletext"/>
            </w:pPr>
            <w:r w:rsidRPr="005071A1">
              <w:t>0.12</w:t>
            </w:r>
          </w:p>
        </w:tc>
      </w:tr>
      <w:tr w:rsidR="00B33542" w:rsidRPr="005071A1" w14:paraId="2223063C" w14:textId="77777777" w:rsidTr="009B7AF5">
        <w:tc>
          <w:tcPr>
            <w:tcW w:w="2835" w:type="dxa"/>
            <w:shd w:val="clear" w:color="auto" w:fill="auto"/>
          </w:tcPr>
          <w:p w14:paraId="7D687C74" w14:textId="77777777" w:rsidR="00B33542" w:rsidRPr="005071A1" w:rsidRDefault="00B33542" w:rsidP="009B7AF5">
            <w:pPr>
              <w:pStyle w:val="Tabletext"/>
            </w:pPr>
            <w:r w:rsidRPr="005071A1">
              <w:t>22</w:t>
            </w:r>
          </w:p>
        </w:tc>
        <w:tc>
          <w:tcPr>
            <w:tcW w:w="1276" w:type="dxa"/>
            <w:shd w:val="clear" w:color="auto" w:fill="auto"/>
          </w:tcPr>
          <w:p w14:paraId="2C7B6B6C" w14:textId="77777777" w:rsidR="00B33542" w:rsidRPr="005071A1" w:rsidRDefault="00B33542" w:rsidP="009B7AF5">
            <w:pPr>
              <w:pStyle w:val="Tabletext"/>
            </w:pPr>
            <w:r w:rsidRPr="005071A1">
              <w:t>0.10</w:t>
            </w:r>
          </w:p>
        </w:tc>
        <w:tc>
          <w:tcPr>
            <w:tcW w:w="1701" w:type="dxa"/>
            <w:shd w:val="clear" w:color="auto" w:fill="auto"/>
          </w:tcPr>
          <w:p w14:paraId="15D4DCB0" w14:textId="77777777" w:rsidR="00B33542" w:rsidRPr="005071A1" w:rsidRDefault="00B33542" w:rsidP="009B7AF5">
            <w:pPr>
              <w:pStyle w:val="Tabletext"/>
            </w:pPr>
            <w:r w:rsidRPr="005071A1">
              <w:t>0.13</w:t>
            </w:r>
          </w:p>
        </w:tc>
      </w:tr>
      <w:tr w:rsidR="00B33542" w:rsidRPr="005071A1" w14:paraId="011708D2" w14:textId="77777777" w:rsidTr="009B7AF5">
        <w:tc>
          <w:tcPr>
            <w:tcW w:w="2835" w:type="dxa"/>
            <w:shd w:val="clear" w:color="auto" w:fill="auto"/>
          </w:tcPr>
          <w:p w14:paraId="34B2EB69" w14:textId="77777777" w:rsidR="00B33542" w:rsidRPr="005071A1" w:rsidRDefault="00B33542" w:rsidP="009B7AF5">
            <w:pPr>
              <w:pStyle w:val="Tabletext"/>
            </w:pPr>
            <w:r w:rsidRPr="005071A1">
              <w:t>23</w:t>
            </w:r>
          </w:p>
        </w:tc>
        <w:tc>
          <w:tcPr>
            <w:tcW w:w="1276" w:type="dxa"/>
            <w:shd w:val="clear" w:color="auto" w:fill="auto"/>
          </w:tcPr>
          <w:p w14:paraId="4EFDFD26" w14:textId="77777777" w:rsidR="00B33542" w:rsidRPr="005071A1" w:rsidRDefault="00B33542" w:rsidP="009B7AF5">
            <w:pPr>
              <w:pStyle w:val="Tabletext"/>
            </w:pPr>
            <w:r w:rsidRPr="005071A1">
              <w:t>0.11</w:t>
            </w:r>
          </w:p>
        </w:tc>
        <w:tc>
          <w:tcPr>
            <w:tcW w:w="1701" w:type="dxa"/>
            <w:shd w:val="clear" w:color="auto" w:fill="auto"/>
          </w:tcPr>
          <w:p w14:paraId="00E58B20" w14:textId="77777777" w:rsidR="00B33542" w:rsidRPr="005071A1" w:rsidRDefault="00B33542" w:rsidP="009B7AF5">
            <w:pPr>
              <w:pStyle w:val="Tabletext"/>
            </w:pPr>
            <w:r w:rsidRPr="005071A1">
              <w:t>0.14</w:t>
            </w:r>
          </w:p>
        </w:tc>
      </w:tr>
      <w:tr w:rsidR="00B33542" w:rsidRPr="005071A1" w14:paraId="5438DB6A" w14:textId="77777777" w:rsidTr="009B7AF5">
        <w:tc>
          <w:tcPr>
            <w:tcW w:w="2835" w:type="dxa"/>
            <w:shd w:val="clear" w:color="auto" w:fill="auto"/>
          </w:tcPr>
          <w:p w14:paraId="6BBA0A9F" w14:textId="77777777" w:rsidR="00B33542" w:rsidRPr="005071A1" w:rsidRDefault="00B33542" w:rsidP="009B7AF5">
            <w:pPr>
              <w:pStyle w:val="Tabletext"/>
            </w:pPr>
            <w:r w:rsidRPr="005071A1">
              <w:t>24</w:t>
            </w:r>
          </w:p>
        </w:tc>
        <w:tc>
          <w:tcPr>
            <w:tcW w:w="1276" w:type="dxa"/>
            <w:shd w:val="clear" w:color="auto" w:fill="auto"/>
          </w:tcPr>
          <w:p w14:paraId="5B367327" w14:textId="77777777" w:rsidR="00B33542" w:rsidRPr="005071A1" w:rsidRDefault="00B33542" w:rsidP="009B7AF5">
            <w:pPr>
              <w:pStyle w:val="Tabletext"/>
            </w:pPr>
            <w:r w:rsidRPr="005071A1">
              <w:t>0.11</w:t>
            </w:r>
          </w:p>
        </w:tc>
        <w:tc>
          <w:tcPr>
            <w:tcW w:w="1701" w:type="dxa"/>
            <w:shd w:val="clear" w:color="auto" w:fill="auto"/>
          </w:tcPr>
          <w:p w14:paraId="52EC745C" w14:textId="77777777" w:rsidR="00B33542" w:rsidRPr="005071A1" w:rsidRDefault="00B33542" w:rsidP="009B7AF5">
            <w:pPr>
              <w:pStyle w:val="Tabletext"/>
            </w:pPr>
            <w:r w:rsidRPr="005071A1">
              <w:t>0.15</w:t>
            </w:r>
          </w:p>
        </w:tc>
      </w:tr>
      <w:tr w:rsidR="00B33542" w:rsidRPr="005071A1" w14:paraId="03BD3FA9" w14:textId="77777777" w:rsidTr="009B7AF5">
        <w:tc>
          <w:tcPr>
            <w:tcW w:w="2835" w:type="dxa"/>
            <w:shd w:val="clear" w:color="auto" w:fill="auto"/>
          </w:tcPr>
          <w:p w14:paraId="2446643A" w14:textId="77777777" w:rsidR="00B33542" w:rsidRPr="005071A1" w:rsidRDefault="00B33542" w:rsidP="009B7AF5">
            <w:pPr>
              <w:pStyle w:val="Tabletext"/>
            </w:pPr>
            <w:r w:rsidRPr="005071A1">
              <w:t>25</w:t>
            </w:r>
          </w:p>
        </w:tc>
        <w:tc>
          <w:tcPr>
            <w:tcW w:w="1276" w:type="dxa"/>
            <w:shd w:val="clear" w:color="auto" w:fill="auto"/>
          </w:tcPr>
          <w:p w14:paraId="3B7FBC11" w14:textId="77777777" w:rsidR="00B33542" w:rsidRPr="005071A1" w:rsidRDefault="00B33542" w:rsidP="009B7AF5">
            <w:pPr>
              <w:pStyle w:val="Tabletext"/>
            </w:pPr>
            <w:r w:rsidRPr="005071A1">
              <w:t>0.12</w:t>
            </w:r>
          </w:p>
        </w:tc>
        <w:tc>
          <w:tcPr>
            <w:tcW w:w="1701" w:type="dxa"/>
            <w:shd w:val="clear" w:color="auto" w:fill="auto"/>
          </w:tcPr>
          <w:p w14:paraId="2E5EBE74" w14:textId="77777777" w:rsidR="00B33542" w:rsidRPr="005071A1" w:rsidRDefault="00B33542" w:rsidP="009B7AF5">
            <w:pPr>
              <w:pStyle w:val="Tabletext"/>
            </w:pPr>
            <w:r w:rsidRPr="005071A1">
              <w:t>0.16</w:t>
            </w:r>
          </w:p>
        </w:tc>
      </w:tr>
      <w:tr w:rsidR="00B33542" w:rsidRPr="005071A1" w14:paraId="4AC9152D" w14:textId="77777777" w:rsidTr="009B7AF5">
        <w:tc>
          <w:tcPr>
            <w:tcW w:w="2835" w:type="dxa"/>
            <w:shd w:val="clear" w:color="auto" w:fill="auto"/>
          </w:tcPr>
          <w:p w14:paraId="0E3FEFDE" w14:textId="77777777" w:rsidR="00B33542" w:rsidRPr="005071A1" w:rsidRDefault="00B33542" w:rsidP="009B7AF5">
            <w:pPr>
              <w:pStyle w:val="Tabletext"/>
            </w:pPr>
            <w:r w:rsidRPr="005071A1">
              <w:t>26</w:t>
            </w:r>
          </w:p>
        </w:tc>
        <w:tc>
          <w:tcPr>
            <w:tcW w:w="1276" w:type="dxa"/>
            <w:shd w:val="clear" w:color="auto" w:fill="auto"/>
          </w:tcPr>
          <w:p w14:paraId="45E1D756" w14:textId="77777777" w:rsidR="00B33542" w:rsidRPr="005071A1" w:rsidRDefault="00B33542" w:rsidP="009B7AF5">
            <w:pPr>
              <w:pStyle w:val="Tabletext"/>
            </w:pPr>
            <w:r w:rsidRPr="005071A1">
              <w:t>0.13</w:t>
            </w:r>
          </w:p>
        </w:tc>
        <w:tc>
          <w:tcPr>
            <w:tcW w:w="1701" w:type="dxa"/>
            <w:shd w:val="clear" w:color="auto" w:fill="auto"/>
          </w:tcPr>
          <w:p w14:paraId="040EE739" w14:textId="77777777" w:rsidR="00B33542" w:rsidRPr="005071A1" w:rsidRDefault="00B33542" w:rsidP="009B7AF5">
            <w:pPr>
              <w:pStyle w:val="Tabletext"/>
            </w:pPr>
            <w:r w:rsidRPr="005071A1">
              <w:t>0.17</w:t>
            </w:r>
          </w:p>
        </w:tc>
      </w:tr>
      <w:tr w:rsidR="00B33542" w:rsidRPr="005071A1" w14:paraId="59C0378C" w14:textId="77777777" w:rsidTr="009B7AF5">
        <w:tc>
          <w:tcPr>
            <w:tcW w:w="2835" w:type="dxa"/>
            <w:shd w:val="clear" w:color="auto" w:fill="auto"/>
          </w:tcPr>
          <w:p w14:paraId="1F3E4447" w14:textId="77777777" w:rsidR="00B33542" w:rsidRPr="005071A1" w:rsidRDefault="00B33542" w:rsidP="009B7AF5">
            <w:pPr>
              <w:pStyle w:val="Tabletext"/>
            </w:pPr>
            <w:r w:rsidRPr="005071A1">
              <w:t>27</w:t>
            </w:r>
          </w:p>
        </w:tc>
        <w:tc>
          <w:tcPr>
            <w:tcW w:w="1276" w:type="dxa"/>
            <w:shd w:val="clear" w:color="auto" w:fill="auto"/>
          </w:tcPr>
          <w:p w14:paraId="32CE24F8" w14:textId="77777777" w:rsidR="00B33542" w:rsidRPr="005071A1" w:rsidRDefault="00B33542" w:rsidP="009B7AF5">
            <w:pPr>
              <w:pStyle w:val="Tabletext"/>
            </w:pPr>
            <w:r w:rsidRPr="005071A1">
              <w:t>0.13</w:t>
            </w:r>
          </w:p>
        </w:tc>
        <w:tc>
          <w:tcPr>
            <w:tcW w:w="1701" w:type="dxa"/>
            <w:shd w:val="clear" w:color="auto" w:fill="auto"/>
          </w:tcPr>
          <w:p w14:paraId="296D1B62" w14:textId="77777777" w:rsidR="00B33542" w:rsidRPr="005071A1" w:rsidRDefault="00B33542" w:rsidP="009B7AF5">
            <w:pPr>
              <w:pStyle w:val="Tabletext"/>
            </w:pPr>
            <w:r w:rsidRPr="005071A1">
              <w:t>0.18</w:t>
            </w:r>
          </w:p>
        </w:tc>
      </w:tr>
      <w:tr w:rsidR="00B33542" w:rsidRPr="005071A1" w14:paraId="4AC0A6F6" w14:textId="77777777" w:rsidTr="009B7AF5">
        <w:tc>
          <w:tcPr>
            <w:tcW w:w="2835" w:type="dxa"/>
            <w:shd w:val="clear" w:color="auto" w:fill="auto"/>
          </w:tcPr>
          <w:p w14:paraId="3E1FD17F" w14:textId="77777777" w:rsidR="00B33542" w:rsidRPr="005071A1" w:rsidRDefault="00B33542" w:rsidP="009B7AF5">
            <w:pPr>
              <w:pStyle w:val="Tabletext"/>
            </w:pPr>
            <w:r w:rsidRPr="005071A1">
              <w:t>28</w:t>
            </w:r>
          </w:p>
        </w:tc>
        <w:tc>
          <w:tcPr>
            <w:tcW w:w="1276" w:type="dxa"/>
            <w:shd w:val="clear" w:color="auto" w:fill="auto"/>
          </w:tcPr>
          <w:p w14:paraId="65B4D498" w14:textId="77777777" w:rsidR="00B33542" w:rsidRPr="005071A1" w:rsidRDefault="00B33542" w:rsidP="009B7AF5">
            <w:pPr>
              <w:pStyle w:val="Tabletext"/>
            </w:pPr>
            <w:r w:rsidRPr="005071A1">
              <w:t>0.14</w:t>
            </w:r>
          </w:p>
        </w:tc>
        <w:tc>
          <w:tcPr>
            <w:tcW w:w="1701" w:type="dxa"/>
            <w:shd w:val="clear" w:color="auto" w:fill="auto"/>
          </w:tcPr>
          <w:p w14:paraId="654CB4CA" w14:textId="77777777" w:rsidR="00B33542" w:rsidRPr="005071A1" w:rsidRDefault="00B33542" w:rsidP="009B7AF5">
            <w:pPr>
              <w:pStyle w:val="Tabletext"/>
            </w:pPr>
            <w:r w:rsidRPr="005071A1">
              <w:t>0.19</w:t>
            </w:r>
          </w:p>
        </w:tc>
      </w:tr>
      <w:tr w:rsidR="00B33542" w:rsidRPr="005071A1" w14:paraId="519CAA3E" w14:textId="77777777" w:rsidTr="009B7AF5">
        <w:tc>
          <w:tcPr>
            <w:tcW w:w="2835" w:type="dxa"/>
            <w:shd w:val="clear" w:color="auto" w:fill="auto"/>
          </w:tcPr>
          <w:p w14:paraId="5BD215B0" w14:textId="77777777" w:rsidR="00B33542" w:rsidRPr="005071A1" w:rsidRDefault="00B33542" w:rsidP="009B7AF5">
            <w:pPr>
              <w:pStyle w:val="Tabletext"/>
            </w:pPr>
            <w:r w:rsidRPr="005071A1">
              <w:t>29</w:t>
            </w:r>
          </w:p>
        </w:tc>
        <w:tc>
          <w:tcPr>
            <w:tcW w:w="1276" w:type="dxa"/>
            <w:shd w:val="clear" w:color="auto" w:fill="auto"/>
          </w:tcPr>
          <w:p w14:paraId="2596F77A" w14:textId="77777777" w:rsidR="00B33542" w:rsidRPr="005071A1" w:rsidRDefault="00B33542" w:rsidP="009B7AF5">
            <w:pPr>
              <w:pStyle w:val="Tabletext"/>
            </w:pPr>
            <w:r w:rsidRPr="005071A1">
              <w:t>0.15</w:t>
            </w:r>
          </w:p>
        </w:tc>
        <w:tc>
          <w:tcPr>
            <w:tcW w:w="1701" w:type="dxa"/>
            <w:shd w:val="clear" w:color="auto" w:fill="auto"/>
          </w:tcPr>
          <w:p w14:paraId="2BA0C46F" w14:textId="77777777" w:rsidR="00B33542" w:rsidRPr="005071A1" w:rsidRDefault="00B33542" w:rsidP="009B7AF5">
            <w:pPr>
              <w:pStyle w:val="Tabletext"/>
            </w:pPr>
            <w:r w:rsidRPr="005071A1">
              <w:t>0.20</w:t>
            </w:r>
          </w:p>
        </w:tc>
      </w:tr>
      <w:tr w:rsidR="00B33542" w:rsidRPr="005071A1" w14:paraId="4ABEA7D7" w14:textId="77777777" w:rsidTr="009B7AF5">
        <w:tc>
          <w:tcPr>
            <w:tcW w:w="2835" w:type="dxa"/>
            <w:shd w:val="clear" w:color="auto" w:fill="auto"/>
          </w:tcPr>
          <w:p w14:paraId="023BF727" w14:textId="77777777" w:rsidR="00B33542" w:rsidRPr="005071A1" w:rsidRDefault="00B33542" w:rsidP="009B7AF5">
            <w:pPr>
              <w:pStyle w:val="Tabletext"/>
            </w:pPr>
            <w:r w:rsidRPr="005071A1">
              <w:t>30</w:t>
            </w:r>
          </w:p>
        </w:tc>
        <w:tc>
          <w:tcPr>
            <w:tcW w:w="1276" w:type="dxa"/>
            <w:shd w:val="clear" w:color="auto" w:fill="auto"/>
          </w:tcPr>
          <w:p w14:paraId="5185327D" w14:textId="77777777" w:rsidR="00B33542" w:rsidRPr="005071A1" w:rsidRDefault="00B33542" w:rsidP="009B7AF5">
            <w:pPr>
              <w:pStyle w:val="Tabletext"/>
            </w:pPr>
            <w:r w:rsidRPr="005071A1">
              <w:t>0.16</w:t>
            </w:r>
          </w:p>
        </w:tc>
        <w:tc>
          <w:tcPr>
            <w:tcW w:w="1701" w:type="dxa"/>
            <w:shd w:val="clear" w:color="auto" w:fill="auto"/>
          </w:tcPr>
          <w:p w14:paraId="7DEEBC67" w14:textId="77777777" w:rsidR="00B33542" w:rsidRPr="005071A1" w:rsidRDefault="00B33542" w:rsidP="009B7AF5">
            <w:pPr>
              <w:pStyle w:val="Tabletext"/>
            </w:pPr>
            <w:r w:rsidRPr="005071A1">
              <w:t>0.22</w:t>
            </w:r>
          </w:p>
        </w:tc>
      </w:tr>
      <w:tr w:rsidR="00B33542" w:rsidRPr="005071A1" w14:paraId="3C56AB4B" w14:textId="77777777" w:rsidTr="009B7AF5">
        <w:tc>
          <w:tcPr>
            <w:tcW w:w="2835" w:type="dxa"/>
            <w:shd w:val="clear" w:color="auto" w:fill="auto"/>
          </w:tcPr>
          <w:p w14:paraId="0F39B6A7" w14:textId="77777777" w:rsidR="00B33542" w:rsidRPr="005071A1" w:rsidRDefault="00B33542" w:rsidP="009B7AF5">
            <w:pPr>
              <w:pStyle w:val="Tabletext"/>
            </w:pPr>
            <w:r w:rsidRPr="005071A1">
              <w:t>31</w:t>
            </w:r>
          </w:p>
        </w:tc>
        <w:tc>
          <w:tcPr>
            <w:tcW w:w="1276" w:type="dxa"/>
            <w:shd w:val="clear" w:color="auto" w:fill="auto"/>
          </w:tcPr>
          <w:p w14:paraId="3420EC73" w14:textId="77777777" w:rsidR="00B33542" w:rsidRPr="005071A1" w:rsidRDefault="00B33542" w:rsidP="009B7AF5">
            <w:pPr>
              <w:pStyle w:val="Tabletext"/>
            </w:pPr>
            <w:r w:rsidRPr="005071A1">
              <w:t>0.17</w:t>
            </w:r>
          </w:p>
        </w:tc>
        <w:tc>
          <w:tcPr>
            <w:tcW w:w="1701" w:type="dxa"/>
            <w:shd w:val="clear" w:color="auto" w:fill="auto"/>
          </w:tcPr>
          <w:p w14:paraId="6E1BD210" w14:textId="77777777" w:rsidR="00B33542" w:rsidRPr="005071A1" w:rsidRDefault="00B33542" w:rsidP="009B7AF5">
            <w:pPr>
              <w:pStyle w:val="Tabletext"/>
            </w:pPr>
            <w:r w:rsidRPr="005071A1">
              <w:t>0.23</w:t>
            </w:r>
          </w:p>
        </w:tc>
      </w:tr>
      <w:tr w:rsidR="00B33542" w:rsidRPr="005071A1" w14:paraId="04D69DCC" w14:textId="77777777" w:rsidTr="009B7AF5">
        <w:tc>
          <w:tcPr>
            <w:tcW w:w="2835" w:type="dxa"/>
            <w:shd w:val="clear" w:color="auto" w:fill="auto"/>
          </w:tcPr>
          <w:p w14:paraId="63F64345" w14:textId="77777777" w:rsidR="00B33542" w:rsidRPr="005071A1" w:rsidRDefault="00B33542" w:rsidP="009B7AF5">
            <w:pPr>
              <w:pStyle w:val="Tabletext"/>
            </w:pPr>
            <w:r w:rsidRPr="005071A1">
              <w:t>32</w:t>
            </w:r>
          </w:p>
        </w:tc>
        <w:tc>
          <w:tcPr>
            <w:tcW w:w="1276" w:type="dxa"/>
            <w:shd w:val="clear" w:color="auto" w:fill="auto"/>
          </w:tcPr>
          <w:p w14:paraId="797FA4E6" w14:textId="77777777" w:rsidR="00B33542" w:rsidRPr="005071A1" w:rsidRDefault="00B33542" w:rsidP="009B7AF5">
            <w:pPr>
              <w:pStyle w:val="Tabletext"/>
            </w:pPr>
            <w:r w:rsidRPr="005071A1">
              <w:t>0.18</w:t>
            </w:r>
          </w:p>
        </w:tc>
        <w:tc>
          <w:tcPr>
            <w:tcW w:w="1701" w:type="dxa"/>
            <w:shd w:val="clear" w:color="auto" w:fill="auto"/>
          </w:tcPr>
          <w:p w14:paraId="30E60EE8" w14:textId="77777777" w:rsidR="00B33542" w:rsidRPr="005071A1" w:rsidRDefault="00B33542" w:rsidP="009B7AF5">
            <w:pPr>
              <w:pStyle w:val="Tabletext"/>
            </w:pPr>
            <w:r w:rsidRPr="005071A1">
              <w:t>0.24</w:t>
            </w:r>
          </w:p>
        </w:tc>
      </w:tr>
      <w:tr w:rsidR="00B33542" w:rsidRPr="005071A1" w14:paraId="3A3B210C" w14:textId="77777777" w:rsidTr="009B7AF5">
        <w:tc>
          <w:tcPr>
            <w:tcW w:w="2835" w:type="dxa"/>
            <w:shd w:val="clear" w:color="auto" w:fill="auto"/>
          </w:tcPr>
          <w:p w14:paraId="38704179" w14:textId="77777777" w:rsidR="00B33542" w:rsidRPr="005071A1" w:rsidRDefault="00B33542" w:rsidP="009B7AF5">
            <w:pPr>
              <w:pStyle w:val="Tabletext"/>
            </w:pPr>
            <w:r w:rsidRPr="005071A1">
              <w:lastRenderedPageBreak/>
              <w:t>33</w:t>
            </w:r>
          </w:p>
        </w:tc>
        <w:tc>
          <w:tcPr>
            <w:tcW w:w="1276" w:type="dxa"/>
            <w:shd w:val="clear" w:color="auto" w:fill="auto"/>
          </w:tcPr>
          <w:p w14:paraId="458C98CC" w14:textId="77777777" w:rsidR="00B33542" w:rsidRPr="005071A1" w:rsidRDefault="00B33542" w:rsidP="009B7AF5">
            <w:pPr>
              <w:pStyle w:val="Tabletext"/>
            </w:pPr>
            <w:r w:rsidRPr="005071A1">
              <w:t>0.19</w:t>
            </w:r>
          </w:p>
        </w:tc>
        <w:tc>
          <w:tcPr>
            <w:tcW w:w="1701" w:type="dxa"/>
            <w:shd w:val="clear" w:color="auto" w:fill="auto"/>
          </w:tcPr>
          <w:p w14:paraId="3DCE9BC8" w14:textId="77777777" w:rsidR="00B33542" w:rsidRPr="005071A1" w:rsidRDefault="00B33542" w:rsidP="009B7AF5">
            <w:pPr>
              <w:pStyle w:val="Tabletext"/>
            </w:pPr>
            <w:r w:rsidRPr="005071A1">
              <w:t>0.26</w:t>
            </w:r>
          </w:p>
        </w:tc>
      </w:tr>
      <w:tr w:rsidR="00B33542" w:rsidRPr="005071A1" w14:paraId="24AFB42B" w14:textId="77777777" w:rsidTr="00D57394">
        <w:tc>
          <w:tcPr>
            <w:tcW w:w="2835" w:type="dxa"/>
            <w:tcBorders>
              <w:bottom w:val="single" w:sz="4" w:space="0" w:color="auto"/>
            </w:tcBorders>
            <w:shd w:val="clear" w:color="auto" w:fill="auto"/>
          </w:tcPr>
          <w:p w14:paraId="096F9797" w14:textId="77777777" w:rsidR="00B33542" w:rsidRPr="005071A1" w:rsidRDefault="00B33542" w:rsidP="009B7AF5">
            <w:pPr>
              <w:pStyle w:val="Tabletext"/>
            </w:pPr>
            <w:r w:rsidRPr="005071A1">
              <w:t>34</w:t>
            </w:r>
          </w:p>
        </w:tc>
        <w:tc>
          <w:tcPr>
            <w:tcW w:w="1276" w:type="dxa"/>
            <w:tcBorders>
              <w:bottom w:val="single" w:sz="4" w:space="0" w:color="auto"/>
            </w:tcBorders>
            <w:shd w:val="clear" w:color="auto" w:fill="auto"/>
          </w:tcPr>
          <w:p w14:paraId="1917213F" w14:textId="77777777" w:rsidR="00B33542" w:rsidRPr="005071A1" w:rsidRDefault="00B33542" w:rsidP="009B7AF5">
            <w:pPr>
              <w:pStyle w:val="Tabletext"/>
            </w:pPr>
            <w:r w:rsidRPr="005071A1">
              <w:t>0.20</w:t>
            </w:r>
          </w:p>
        </w:tc>
        <w:tc>
          <w:tcPr>
            <w:tcW w:w="1701" w:type="dxa"/>
            <w:tcBorders>
              <w:bottom w:val="single" w:sz="4" w:space="0" w:color="auto"/>
            </w:tcBorders>
            <w:shd w:val="clear" w:color="auto" w:fill="auto"/>
          </w:tcPr>
          <w:p w14:paraId="276339DE" w14:textId="77777777" w:rsidR="00B33542" w:rsidRPr="005071A1" w:rsidRDefault="00B33542" w:rsidP="009B7AF5">
            <w:pPr>
              <w:pStyle w:val="Tabletext"/>
            </w:pPr>
            <w:r w:rsidRPr="005071A1">
              <w:t>0.28</w:t>
            </w:r>
          </w:p>
        </w:tc>
      </w:tr>
      <w:tr w:rsidR="00B33542" w:rsidRPr="005071A1" w14:paraId="65779A82" w14:textId="77777777" w:rsidTr="00640BB6">
        <w:tc>
          <w:tcPr>
            <w:tcW w:w="2835" w:type="dxa"/>
            <w:tcBorders>
              <w:bottom w:val="single" w:sz="4" w:space="0" w:color="auto"/>
            </w:tcBorders>
            <w:shd w:val="clear" w:color="auto" w:fill="auto"/>
          </w:tcPr>
          <w:p w14:paraId="039FAA25" w14:textId="77777777" w:rsidR="00B33542" w:rsidRPr="005071A1" w:rsidRDefault="00B33542" w:rsidP="009B7AF5">
            <w:pPr>
              <w:pStyle w:val="Tabletext"/>
            </w:pPr>
            <w:r w:rsidRPr="005071A1">
              <w:t>35</w:t>
            </w:r>
          </w:p>
        </w:tc>
        <w:tc>
          <w:tcPr>
            <w:tcW w:w="1276" w:type="dxa"/>
            <w:tcBorders>
              <w:bottom w:val="single" w:sz="4" w:space="0" w:color="auto"/>
            </w:tcBorders>
            <w:shd w:val="clear" w:color="auto" w:fill="auto"/>
          </w:tcPr>
          <w:p w14:paraId="1F4EFCB9" w14:textId="77777777" w:rsidR="00B33542" w:rsidRPr="005071A1" w:rsidRDefault="00B33542" w:rsidP="009B7AF5">
            <w:pPr>
              <w:pStyle w:val="Tabletext"/>
            </w:pPr>
            <w:r w:rsidRPr="005071A1">
              <w:t>0.21</w:t>
            </w:r>
          </w:p>
        </w:tc>
        <w:tc>
          <w:tcPr>
            <w:tcW w:w="1701" w:type="dxa"/>
            <w:tcBorders>
              <w:bottom w:val="single" w:sz="4" w:space="0" w:color="auto"/>
            </w:tcBorders>
            <w:shd w:val="clear" w:color="auto" w:fill="auto"/>
          </w:tcPr>
          <w:p w14:paraId="34421049" w14:textId="77777777" w:rsidR="00B33542" w:rsidRPr="005071A1" w:rsidRDefault="00B33542" w:rsidP="009B7AF5">
            <w:pPr>
              <w:pStyle w:val="Tabletext"/>
            </w:pPr>
            <w:r w:rsidRPr="005071A1">
              <w:t>0.30</w:t>
            </w:r>
          </w:p>
        </w:tc>
      </w:tr>
      <w:tr w:rsidR="00B33542" w:rsidRPr="005071A1" w14:paraId="3CD6068C" w14:textId="77777777" w:rsidTr="00640BB6">
        <w:tc>
          <w:tcPr>
            <w:tcW w:w="2835" w:type="dxa"/>
            <w:tcBorders>
              <w:top w:val="single" w:sz="4" w:space="0" w:color="auto"/>
              <w:bottom w:val="single" w:sz="4" w:space="0" w:color="auto"/>
            </w:tcBorders>
            <w:shd w:val="clear" w:color="auto" w:fill="auto"/>
          </w:tcPr>
          <w:p w14:paraId="386F4CD6" w14:textId="77777777" w:rsidR="00B33542" w:rsidRPr="005071A1" w:rsidRDefault="00B33542" w:rsidP="009B7AF5">
            <w:pPr>
              <w:pStyle w:val="Tabletext"/>
            </w:pPr>
            <w:r w:rsidRPr="005071A1">
              <w:t>36</w:t>
            </w:r>
          </w:p>
        </w:tc>
        <w:tc>
          <w:tcPr>
            <w:tcW w:w="1276" w:type="dxa"/>
            <w:tcBorders>
              <w:top w:val="single" w:sz="4" w:space="0" w:color="auto"/>
              <w:bottom w:val="single" w:sz="4" w:space="0" w:color="auto"/>
            </w:tcBorders>
            <w:shd w:val="clear" w:color="auto" w:fill="auto"/>
          </w:tcPr>
          <w:p w14:paraId="20E37EE4" w14:textId="77777777" w:rsidR="00B33542" w:rsidRPr="005071A1" w:rsidRDefault="00B33542" w:rsidP="009B7AF5">
            <w:pPr>
              <w:pStyle w:val="Tabletext"/>
            </w:pPr>
            <w:r w:rsidRPr="005071A1">
              <w:t>0.23</w:t>
            </w:r>
          </w:p>
        </w:tc>
        <w:tc>
          <w:tcPr>
            <w:tcW w:w="1701" w:type="dxa"/>
            <w:tcBorders>
              <w:top w:val="single" w:sz="4" w:space="0" w:color="auto"/>
              <w:bottom w:val="single" w:sz="4" w:space="0" w:color="auto"/>
            </w:tcBorders>
            <w:shd w:val="clear" w:color="auto" w:fill="auto"/>
          </w:tcPr>
          <w:p w14:paraId="5287BFCD" w14:textId="77777777" w:rsidR="00B33542" w:rsidRPr="005071A1" w:rsidRDefault="00B33542" w:rsidP="009B7AF5">
            <w:pPr>
              <w:pStyle w:val="Tabletext"/>
            </w:pPr>
            <w:r w:rsidRPr="005071A1">
              <w:t>0.32</w:t>
            </w:r>
          </w:p>
        </w:tc>
      </w:tr>
      <w:tr w:rsidR="00B33542" w:rsidRPr="005071A1" w14:paraId="273923C0" w14:textId="77777777" w:rsidTr="00640BB6">
        <w:tc>
          <w:tcPr>
            <w:tcW w:w="2835" w:type="dxa"/>
            <w:tcBorders>
              <w:top w:val="single" w:sz="4" w:space="0" w:color="auto"/>
            </w:tcBorders>
            <w:shd w:val="clear" w:color="auto" w:fill="auto"/>
          </w:tcPr>
          <w:p w14:paraId="79C5F1FC" w14:textId="77777777" w:rsidR="00B33542" w:rsidRPr="005071A1" w:rsidRDefault="00B33542" w:rsidP="009B7AF5">
            <w:pPr>
              <w:pStyle w:val="Tabletext"/>
            </w:pPr>
            <w:r w:rsidRPr="005071A1">
              <w:t>37</w:t>
            </w:r>
          </w:p>
        </w:tc>
        <w:tc>
          <w:tcPr>
            <w:tcW w:w="1276" w:type="dxa"/>
            <w:tcBorders>
              <w:top w:val="single" w:sz="4" w:space="0" w:color="auto"/>
            </w:tcBorders>
            <w:shd w:val="clear" w:color="auto" w:fill="auto"/>
          </w:tcPr>
          <w:p w14:paraId="39E15B8A" w14:textId="77777777" w:rsidR="00B33542" w:rsidRPr="005071A1" w:rsidRDefault="00B33542" w:rsidP="009B7AF5">
            <w:pPr>
              <w:pStyle w:val="Tabletext"/>
            </w:pPr>
            <w:r w:rsidRPr="005071A1">
              <w:t>0.24</w:t>
            </w:r>
          </w:p>
        </w:tc>
        <w:tc>
          <w:tcPr>
            <w:tcW w:w="1701" w:type="dxa"/>
            <w:tcBorders>
              <w:top w:val="single" w:sz="4" w:space="0" w:color="auto"/>
            </w:tcBorders>
            <w:shd w:val="clear" w:color="auto" w:fill="auto"/>
          </w:tcPr>
          <w:p w14:paraId="158194E0" w14:textId="77777777" w:rsidR="00B33542" w:rsidRPr="005071A1" w:rsidRDefault="00B33542" w:rsidP="009B7AF5">
            <w:pPr>
              <w:pStyle w:val="Tabletext"/>
            </w:pPr>
            <w:r w:rsidRPr="005071A1">
              <w:t>0.34</w:t>
            </w:r>
          </w:p>
        </w:tc>
      </w:tr>
      <w:tr w:rsidR="00B33542" w:rsidRPr="005071A1" w14:paraId="5C424424" w14:textId="77777777" w:rsidTr="009B7AF5">
        <w:tc>
          <w:tcPr>
            <w:tcW w:w="2835" w:type="dxa"/>
            <w:shd w:val="clear" w:color="auto" w:fill="auto"/>
          </w:tcPr>
          <w:p w14:paraId="561D5670" w14:textId="77777777" w:rsidR="00B33542" w:rsidRPr="005071A1" w:rsidRDefault="00B33542" w:rsidP="009B7AF5">
            <w:pPr>
              <w:pStyle w:val="Tabletext"/>
            </w:pPr>
            <w:r w:rsidRPr="005071A1">
              <w:t>38</w:t>
            </w:r>
          </w:p>
        </w:tc>
        <w:tc>
          <w:tcPr>
            <w:tcW w:w="1276" w:type="dxa"/>
            <w:shd w:val="clear" w:color="auto" w:fill="auto"/>
          </w:tcPr>
          <w:p w14:paraId="3E89F0C9" w14:textId="77777777" w:rsidR="00B33542" w:rsidRPr="005071A1" w:rsidRDefault="00B33542" w:rsidP="009B7AF5">
            <w:pPr>
              <w:pStyle w:val="Tabletext"/>
            </w:pPr>
            <w:r w:rsidRPr="005071A1">
              <w:t>0.26</w:t>
            </w:r>
          </w:p>
        </w:tc>
        <w:tc>
          <w:tcPr>
            <w:tcW w:w="1701" w:type="dxa"/>
            <w:shd w:val="clear" w:color="auto" w:fill="auto"/>
          </w:tcPr>
          <w:p w14:paraId="4CE730A7" w14:textId="77777777" w:rsidR="00B33542" w:rsidRPr="005071A1" w:rsidRDefault="00B33542" w:rsidP="009B7AF5">
            <w:pPr>
              <w:pStyle w:val="Tabletext"/>
            </w:pPr>
            <w:r w:rsidRPr="005071A1">
              <w:t>0.37</w:t>
            </w:r>
          </w:p>
        </w:tc>
      </w:tr>
      <w:tr w:rsidR="00B33542" w:rsidRPr="005071A1" w14:paraId="5C7186F2" w14:textId="77777777" w:rsidTr="009B7AF5">
        <w:tc>
          <w:tcPr>
            <w:tcW w:w="2835" w:type="dxa"/>
            <w:shd w:val="clear" w:color="auto" w:fill="auto"/>
          </w:tcPr>
          <w:p w14:paraId="753D123C" w14:textId="77777777" w:rsidR="00B33542" w:rsidRPr="005071A1" w:rsidRDefault="00B33542" w:rsidP="009B7AF5">
            <w:pPr>
              <w:pStyle w:val="Tabletext"/>
            </w:pPr>
            <w:r w:rsidRPr="005071A1">
              <w:t>39</w:t>
            </w:r>
          </w:p>
        </w:tc>
        <w:tc>
          <w:tcPr>
            <w:tcW w:w="1276" w:type="dxa"/>
            <w:shd w:val="clear" w:color="auto" w:fill="auto"/>
          </w:tcPr>
          <w:p w14:paraId="42F17CFC" w14:textId="77777777" w:rsidR="00B33542" w:rsidRPr="005071A1" w:rsidRDefault="00B33542" w:rsidP="009B7AF5">
            <w:pPr>
              <w:pStyle w:val="Tabletext"/>
            </w:pPr>
            <w:r w:rsidRPr="005071A1">
              <w:t>0.27</w:t>
            </w:r>
          </w:p>
        </w:tc>
        <w:tc>
          <w:tcPr>
            <w:tcW w:w="1701" w:type="dxa"/>
            <w:shd w:val="clear" w:color="auto" w:fill="auto"/>
          </w:tcPr>
          <w:p w14:paraId="4554ACAF" w14:textId="77777777" w:rsidR="00B33542" w:rsidRPr="005071A1" w:rsidRDefault="00B33542" w:rsidP="009B7AF5">
            <w:pPr>
              <w:pStyle w:val="Tabletext"/>
            </w:pPr>
            <w:r w:rsidRPr="005071A1">
              <w:t>0.39</w:t>
            </w:r>
          </w:p>
        </w:tc>
      </w:tr>
      <w:tr w:rsidR="00B33542" w:rsidRPr="005071A1" w14:paraId="6EFEF98A" w14:textId="77777777" w:rsidTr="009B7AF5">
        <w:tc>
          <w:tcPr>
            <w:tcW w:w="2835" w:type="dxa"/>
            <w:shd w:val="clear" w:color="auto" w:fill="auto"/>
          </w:tcPr>
          <w:p w14:paraId="0A52D5CC" w14:textId="77777777" w:rsidR="00B33542" w:rsidRPr="005071A1" w:rsidRDefault="00B33542" w:rsidP="009B7AF5">
            <w:pPr>
              <w:pStyle w:val="Tabletext"/>
            </w:pPr>
            <w:r w:rsidRPr="005071A1">
              <w:t>40</w:t>
            </w:r>
          </w:p>
        </w:tc>
        <w:tc>
          <w:tcPr>
            <w:tcW w:w="1276" w:type="dxa"/>
            <w:shd w:val="clear" w:color="auto" w:fill="auto"/>
          </w:tcPr>
          <w:p w14:paraId="26E0AB75" w14:textId="77777777" w:rsidR="00B33542" w:rsidRPr="005071A1" w:rsidRDefault="00B33542" w:rsidP="009B7AF5">
            <w:pPr>
              <w:pStyle w:val="Tabletext"/>
            </w:pPr>
            <w:r w:rsidRPr="005071A1">
              <w:t>0.29</w:t>
            </w:r>
          </w:p>
        </w:tc>
        <w:tc>
          <w:tcPr>
            <w:tcW w:w="1701" w:type="dxa"/>
            <w:shd w:val="clear" w:color="auto" w:fill="auto"/>
          </w:tcPr>
          <w:p w14:paraId="141E71C3" w14:textId="77777777" w:rsidR="00B33542" w:rsidRPr="005071A1" w:rsidRDefault="00B33542" w:rsidP="009B7AF5">
            <w:pPr>
              <w:pStyle w:val="Tabletext"/>
            </w:pPr>
            <w:r w:rsidRPr="005071A1">
              <w:t>0.42</w:t>
            </w:r>
          </w:p>
        </w:tc>
      </w:tr>
      <w:tr w:rsidR="00B33542" w:rsidRPr="005071A1" w14:paraId="419660D3" w14:textId="77777777" w:rsidTr="009B7AF5">
        <w:tc>
          <w:tcPr>
            <w:tcW w:w="2835" w:type="dxa"/>
            <w:shd w:val="clear" w:color="auto" w:fill="auto"/>
          </w:tcPr>
          <w:p w14:paraId="46B809B6" w14:textId="77777777" w:rsidR="00B33542" w:rsidRPr="005071A1" w:rsidRDefault="00B33542" w:rsidP="009B7AF5">
            <w:pPr>
              <w:pStyle w:val="Tabletext"/>
            </w:pPr>
            <w:r w:rsidRPr="005071A1">
              <w:t>41</w:t>
            </w:r>
          </w:p>
        </w:tc>
        <w:tc>
          <w:tcPr>
            <w:tcW w:w="1276" w:type="dxa"/>
            <w:shd w:val="clear" w:color="auto" w:fill="auto"/>
          </w:tcPr>
          <w:p w14:paraId="1D595839" w14:textId="77777777" w:rsidR="00B33542" w:rsidRPr="005071A1" w:rsidRDefault="00B33542" w:rsidP="009B7AF5">
            <w:pPr>
              <w:pStyle w:val="Tabletext"/>
            </w:pPr>
            <w:r w:rsidRPr="005071A1">
              <w:t>0.31</w:t>
            </w:r>
          </w:p>
        </w:tc>
        <w:tc>
          <w:tcPr>
            <w:tcW w:w="1701" w:type="dxa"/>
            <w:shd w:val="clear" w:color="auto" w:fill="auto"/>
          </w:tcPr>
          <w:p w14:paraId="079A32AA" w14:textId="77777777" w:rsidR="00B33542" w:rsidRPr="005071A1" w:rsidRDefault="00B33542" w:rsidP="009B7AF5">
            <w:pPr>
              <w:pStyle w:val="Tabletext"/>
            </w:pPr>
            <w:r w:rsidRPr="005071A1">
              <w:t>0.46</w:t>
            </w:r>
          </w:p>
        </w:tc>
      </w:tr>
      <w:tr w:rsidR="00B33542" w:rsidRPr="005071A1" w14:paraId="1F1659EA" w14:textId="77777777" w:rsidTr="009B7AF5">
        <w:tc>
          <w:tcPr>
            <w:tcW w:w="2835" w:type="dxa"/>
            <w:shd w:val="clear" w:color="auto" w:fill="auto"/>
          </w:tcPr>
          <w:p w14:paraId="410D59EA" w14:textId="77777777" w:rsidR="00B33542" w:rsidRPr="005071A1" w:rsidRDefault="00B33542" w:rsidP="009B7AF5">
            <w:pPr>
              <w:pStyle w:val="Tabletext"/>
            </w:pPr>
            <w:r w:rsidRPr="005071A1">
              <w:t>42</w:t>
            </w:r>
          </w:p>
        </w:tc>
        <w:tc>
          <w:tcPr>
            <w:tcW w:w="1276" w:type="dxa"/>
            <w:shd w:val="clear" w:color="auto" w:fill="auto"/>
          </w:tcPr>
          <w:p w14:paraId="383F48FD" w14:textId="77777777" w:rsidR="00B33542" w:rsidRPr="005071A1" w:rsidRDefault="00B33542" w:rsidP="009B7AF5">
            <w:pPr>
              <w:pStyle w:val="Tabletext"/>
            </w:pPr>
            <w:r w:rsidRPr="005071A1">
              <w:t>0.33</w:t>
            </w:r>
          </w:p>
        </w:tc>
        <w:tc>
          <w:tcPr>
            <w:tcW w:w="1701" w:type="dxa"/>
            <w:shd w:val="clear" w:color="auto" w:fill="auto"/>
          </w:tcPr>
          <w:p w14:paraId="6EDFE9B9" w14:textId="77777777" w:rsidR="00B33542" w:rsidRPr="005071A1" w:rsidRDefault="00B33542" w:rsidP="009B7AF5">
            <w:pPr>
              <w:pStyle w:val="Tabletext"/>
            </w:pPr>
            <w:r w:rsidRPr="005071A1">
              <w:t>0.49</w:t>
            </w:r>
          </w:p>
        </w:tc>
      </w:tr>
      <w:tr w:rsidR="00B33542" w:rsidRPr="005071A1" w14:paraId="50CD777C" w14:textId="77777777" w:rsidTr="009B7AF5">
        <w:tc>
          <w:tcPr>
            <w:tcW w:w="2835" w:type="dxa"/>
            <w:shd w:val="clear" w:color="auto" w:fill="auto"/>
          </w:tcPr>
          <w:p w14:paraId="37843BA7" w14:textId="77777777" w:rsidR="00B33542" w:rsidRPr="005071A1" w:rsidRDefault="00B33542" w:rsidP="009B7AF5">
            <w:pPr>
              <w:pStyle w:val="Tabletext"/>
            </w:pPr>
            <w:r w:rsidRPr="005071A1">
              <w:t>43</w:t>
            </w:r>
          </w:p>
        </w:tc>
        <w:tc>
          <w:tcPr>
            <w:tcW w:w="1276" w:type="dxa"/>
            <w:shd w:val="clear" w:color="auto" w:fill="auto"/>
          </w:tcPr>
          <w:p w14:paraId="66F140BE" w14:textId="77777777" w:rsidR="00B33542" w:rsidRPr="005071A1" w:rsidRDefault="00B33542" w:rsidP="009B7AF5">
            <w:pPr>
              <w:pStyle w:val="Tabletext"/>
            </w:pPr>
            <w:r w:rsidRPr="005071A1">
              <w:t>0.36</w:t>
            </w:r>
          </w:p>
        </w:tc>
        <w:tc>
          <w:tcPr>
            <w:tcW w:w="1701" w:type="dxa"/>
            <w:shd w:val="clear" w:color="auto" w:fill="auto"/>
          </w:tcPr>
          <w:p w14:paraId="504DB960" w14:textId="77777777" w:rsidR="00B33542" w:rsidRPr="005071A1" w:rsidRDefault="00B33542" w:rsidP="009B7AF5">
            <w:pPr>
              <w:pStyle w:val="Tabletext"/>
            </w:pPr>
            <w:r w:rsidRPr="005071A1">
              <w:t>0.54</w:t>
            </w:r>
          </w:p>
        </w:tc>
      </w:tr>
      <w:tr w:rsidR="00B33542" w:rsidRPr="005071A1" w14:paraId="79954D40" w14:textId="77777777" w:rsidTr="009B7AF5">
        <w:tc>
          <w:tcPr>
            <w:tcW w:w="2835" w:type="dxa"/>
            <w:shd w:val="clear" w:color="auto" w:fill="auto"/>
          </w:tcPr>
          <w:p w14:paraId="756DA131" w14:textId="77777777" w:rsidR="00B33542" w:rsidRPr="005071A1" w:rsidRDefault="00B33542" w:rsidP="009B7AF5">
            <w:pPr>
              <w:pStyle w:val="Tabletext"/>
            </w:pPr>
            <w:r w:rsidRPr="005071A1">
              <w:t>44</w:t>
            </w:r>
          </w:p>
        </w:tc>
        <w:tc>
          <w:tcPr>
            <w:tcW w:w="1276" w:type="dxa"/>
            <w:shd w:val="clear" w:color="auto" w:fill="auto"/>
          </w:tcPr>
          <w:p w14:paraId="09CDCA24" w14:textId="77777777" w:rsidR="00B33542" w:rsidRPr="005071A1" w:rsidRDefault="00B33542" w:rsidP="009B7AF5">
            <w:pPr>
              <w:pStyle w:val="Tabletext"/>
            </w:pPr>
            <w:r w:rsidRPr="005071A1">
              <w:t>0.38</w:t>
            </w:r>
          </w:p>
        </w:tc>
        <w:tc>
          <w:tcPr>
            <w:tcW w:w="1701" w:type="dxa"/>
            <w:shd w:val="clear" w:color="auto" w:fill="auto"/>
          </w:tcPr>
          <w:p w14:paraId="36D08BF0" w14:textId="77777777" w:rsidR="00B33542" w:rsidRPr="005071A1" w:rsidRDefault="00B33542" w:rsidP="009B7AF5">
            <w:pPr>
              <w:pStyle w:val="Tabletext"/>
            </w:pPr>
            <w:r w:rsidRPr="005071A1">
              <w:t>0.58</w:t>
            </w:r>
          </w:p>
        </w:tc>
      </w:tr>
      <w:tr w:rsidR="00B33542" w:rsidRPr="005071A1" w14:paraId="1BD79E99" w14:textId="77777777" w:rsidTr="009B7AF5">
        <w:tc>
          <w:tcPr>
            <w:tcW w:w="2835" w:type="dxa"/>
            <w:shd w:val="clear" w:color="auto" w:fill="auto"/>
          </w:tcPr>
          <w:p w14:paraId="6FC192FF" w14:textId="77777777" w:rsidR="00B33542" w:rsidRPr="005071A1" w:rsidRDefault="00B33542" w:rsidP="009B7AF5">
            <w:pPr>
              <w:pStyle w:val="Tabletext"/>
            </w:pPr>
            <w:r w:rsidRPr="005071A1">
              <w:t>45</w:t>
            </w:r>
          </w:p>
        </w:tc>
        <w:tc>
          <w:tcPr>
            <w:tcW w:w="1276" w:type="dxa"/>
            <w:shd w:val="clear" w:color="auto" w:fill="auto"/>
          </w:tcPr>
          <w:p w14:paraId="70313F7D" w14:textId="77777777" w:rsidR="00B33542" w:rsidRPr="005071A1" w:rsidRDefault="00B33542" w:rsidP="009B7AF5">
            <w:pPr>
              <w:pStyle w:val="Tabletext"/>
            </w:pPr>
            <w:r w:rsidRPr="005071A1">
              <w:t>0.41</w:t>
            </w:r>
          </w:p>
        </w:tc>
        <w:tc>
          <w:tcPr>
            <w:tcW w:w="1701" w:type="dxa"/>
            <w:shd w:val="clear" w:color="auto" w:fill="auto"/>
          </w:tcPr>
          <w:p w14:paraId="2C5D8C2E" w14:textId="77777777" w:rsidR="00B33542" w:rsidRPr="005071A1" w:rsidRDefault="00B33542" w:rsidP="009B7AF5">
            <w:pPr>
              <w:pStyle w:val="Tabletext"/>
            </w:pPr>
            <w:r w:rsidRPr="005071A1">
              <w:t>0.64</w:t>
            </w:r>
          </w:p>
        </w:tc>
      </w:tr>
      <w:tr w:rsidR="00B33542" w:rsidRPr="005071A1" w14:paraId="5095A4BC" w14:textId="77777777" w:rsidTr="009B7AF5">
        <w:tc>
          <w:tcPr>
            <w:tcW w:w="2835" w:type="dxa"/>
            <w:shd w:val="clear" w:color="auto" w:fill="auto"/>
          </w:tcPr>
          <w:p w14:paraId="39EC1DE9" w14:textId="77777777" w:rsidR="00B33542" w:rsidRPr="005071A1" w:rsidRDefault="00B33542" w:rsidP="009B7AF5">
            <w:pPr>
              <w:pStyle w:val="Tabletext"/>
            </w:pPr>
            <w:r w:rsidRPr="005071A1">
              <w:t>46</w:t>
            </w:r>
          </w:p>
        </w:tc>
        <w:tc>
          <w:tcPr>
            <w:tcW w:w="1276" w:type="dxa"/>
            <w:shd w:val="clear" w:color="auto" w:fill="auto"/>
          </w:tcPr>
          <w:p w14:paraId="324454AE" w14:textId="77777777" w:rsidR="00B33542" w:rsidRPr="005071A1" w:rsidRDefault="00B33542" w:rsidP="009B7AF5">
            <w:pPr>
              <w:pStyle w:val="Tabletext"/>
            </w:pPr>
            <w:r w:rsidRPr="005071A1">
              <w:t>0.44</w:t>
            </w:r>
          </w:p>
        </w:tc>
        <w:tc>
          <w:tcPr>
            <w:tcW w:w="1701" w:type="dxa"/>
            <w:shd w:val="clear" w:color="auto" w:fill="auto"/>
          </w:tcPr>
          <w:p w14:paraId="0271534F" w14:textId="77777777" w:rsidR="00B33542" w:rsidRPr="005071A1" w:rsidRDefault="00B33542" w:rsidP="009B7AF5">
            <w:pPr>
              <w:pStyle w:val="Tabletext"/>
            </w:pPr>
            <w:r w:rsidRPr="005071A1">
              <w:t>0.70</w:t>
            </w:r>
          </w:p>
        </w:tc>
      </w:tr>
      <w:tr w:rsidR="00B33542" w:rsidRPr="005071A1" w14:paraId="0B18649F" w14:textId="77777777" w:rsidTr="009B7AF5">
        <w:tc>
          <w:tcPr>
            <w:tcW w:w="2835" w:type="dxa"/>
            <w:shd w:val="clear" w:color="auto" w:fill="auto"/>
          </w:tcPr>
          <w:p w14:paraId="17DDB27E" w14:textId="77777777" w:rsidR="00B33542" w:rsidRPr="005071A1" w:rsidRDefault="00B33542" w:rsidP="009B7AF5">
            <w:pPr>
              <w:pStyle w:val="Tabletext"/>
            </w:pPr>
            <w:r w:rsidRPr="005071A1">
              <w:t>47</w:t>
            </w:r>
          </w:p>
        </w:tc>
        <w:tc>
          <w:tcPr>
            <w:tcW w:w="1276" w:type="dxa"/>
            <w:shd w:val="clear" w:color="auto" w:fill="auto"/>
          </w:tcPr>
          <w:p w14:paraId="2F154F5C" w14:textId="77777777" w:rsidR="00B33542" w:rsidRPr="005071A1" w:rsidRDefault="00B33542" w:rsidP="009B7AF5">
            <w:pPr>
              <w:pStyle w:val="Tabletext"/>
            </w:pPr>
            <w:r w:rsidRPr="005071A1">
              <w:t>0.48</w:t>
            </w:r>
          </w:p>
        </w:tc>
        <w:tc>
          <w:tcPr>
            <w:tcW w:w="1701" w:type="dxa"/>
            <w:shd w:val="clear" w:color="auto" w:fill="auto"/>
          </w:tcPr>
          <w:p w14:paraId="5F92501D" w14:textId="77777777" w:rsidR="00B33542" w:rsidRPr="005071A1" w:rsidRDefault="00B33542" w:rsidP="009B7AF5">
            <w:pPr>
              <w:pStyle w:val="Tabletext"/>
            </w:pPr>
            <w:r w:rsidRPr="005071A1">
              <w:t>0.77</w:t>
            </w:r>
          </w:p>
        </w:tc>
      </w:tr>
      <w:tr w:rsidR="00B33542" w:rsidRPr="005071A1" w14:paraId="42F796B4" w14:textId="77777777" w:rsidTr="009B7AF5">
        <w:tc>
          <w:tcPr>
            <w:tcW w:w="2835" w:type="dxa"/>
            <w:shd w:val="clear" w:color="auto" w:fill="auto"/>
          </w:tcPr>
          <w:p w14:paraId="41D8D372" w14:textId="77777777" w:rsidR="00B33542" w:rsidRPr="005071A1" w:rsidRDefault="00B33542" w:rsidP="009B7AF5">
            <w:pPr>
              <w:pStyle w:val="Tabletext"/>
            </w:pPr>
            <w:r w:rsidRPr="005071A1">
              <w:t>48</w:t>
            </w:r>
          </w:p>
        </w:tc>
        <w:tc>
          <w:tcPr>
            <w:tcW w:w="1276" w:type="dxa"/>
            <w:shd w:val="clear" w:color="auto" w:fill="auto"/>
          </w:tcPr>
          <w:p w14:paraId="36349248" w14:textId="77777777" w:rsidR="00B33542" w:rsidRPr="005071A1" w:rsidRDefault="00B33542" w:rsidP="009B7AF5">
            <w:pPr>
              <w:pStyle w:val="Tabletext"/>
            </w:pPr>
            <w:r w:rsidRPr="005071A1">
              <w:t>0.51</w:t>
            </w:r>
          </w:p>
        </w:tc>
        <w:tc>
          <w:tcPr>
            <w:tcW w:w="1701" w:type="dxa"/>
            <w:shd w:val="clear" w:color="auto" w:fill="auto"/>
          </w:tcPr>
          <w:p w14:paraId="19DCB424" w14:textId="77777777" w:rsidR="00B33542" w:rsidRPr="005071A1" w:rsidRDefault="00B33542" w:rsidP="009B7AF5">
            <w:pPr>
              <w:pStyle w:val="Tabletext"/>
            </w:pPr>
            <w:r w:rsidRPr="005071A1">
              <w:t>0.85</w:t>
            </w:r>
          </w:p>
        </w:tc>
      </w:tr>
      <w:tr w:rsidR="00B33542" w:rsidRPr="005071A1" w14:paraId="1183BC69" w14:textId="77777777" w:rsidTr="009B7AF5">
        <w:tc>
          <w:tcPr>
            <w:tcW w:w="2835" w:type="dxa"/>
            <w:shd w:val="clear" w:color="auto" w:fill="auto"/>
          </w:tcPr>
          <w:p w14:paraId="2F5D5820" w14:textId="77777777" w:rsidR="00B33542" w:rsidRPr="005071A1" w:rsidRDefault="00B33542" w:rsidP="009B7AF5">
            <w:pPr>
              <w:pStyle w:val="Tabletext"/>
            </w:pPr>
            <w:r w:rsidRPr="005071A1">
              <w:t>49</w:t>
            </w:r>
          </w:p>
        </w:tc>
        <w:tc>
          <w:tcPr>
            <w:tcW w:w="1276" w:type="dxa"/>
            <w:shd w:val="clear" w:color="auto" w:fill="auto"/>
          </w:tcPr>
          <w:p w14:paraId="2B0A8A36" w14:textId="77777777" w:rsidR="00B33542" w:rsidRPr="005071A1" w:rsidRDefault="00B33542" w:rsidP="009B7AF5">
            <w:pPr>
              <w:pStyle w:val="Tabletext"/>
            </w:pPr>
            <w:r w:rsidRPr="005071A1">
              <w:t>0.56</w:t>
            </w:r>
          </w:p>
        </w:tc>
        <w:tc>
          <w:tcPr>
            <w:tcW w:w="1701" w:type="dxa"/>
            <w:shd w:val="clear" w:color="auto" w:fill="auto"/>
          </w:tcPr>
          <w:p w14:paraId="4E64F123" w14:textId="77777777" w:rsidR="00B33542" w:rsidRPr="005071A1" w:rsidRDefault="00B33542" w:rsidP="009B7AF5">
            <w:pPr>
              <w:pStyle w:val="Tabletext"/>
            </w:pPr>
            <w:r w:rsidRPr="005071A1">
              <w:t>0.94</w:t>
            </w:r>
          </w:p>
        </w:tc>
      </w:tr>
      <w:tr w:rsidR="00B33542" w:rsidRPr="005071A1" w14:paraId="12CB3140" w14:textId="77777777" w:rsidTr="009B7AF5">
        <w:tc>
          <w:tcPr>
            <w:tcW w:w="2835" w:type="dxa"/>
            <w:shd w:val="clear" w:color="auto" w:fill="auto"/>
          </w:tcPr>
          <w:p w14:paraId="05DFC2D1" w14:textId="77777777" w:rsidR="00B33542" w:rsidRPr="005071A1" w:rsidRDefault="00B33542" w:rsidP="009B7AF5">
            <w:pPr>
              <w:pStyle w:val="Tabletext"/>
            </w:pPr>
            <w:r w:rsidRPr="005071A1">
              <w:t>50</w:t>
            </w:r>
          </w:p>
        </w:tc>
        <w:tc>
          <w:tcPr>
            <w:tcW w:w="1276" w:type="dxa"/>
            <w:shd w:val="clear" w:color="auto" w:fill="auto"/>
          </w:tcPr>
          <w:p w14:paraId="74418804" w14:textId="77777777" w:rsidR="00B33542" w:rsidRPr="005071A1" w:rsidRDefault="00B33542" w:rsidP="009B7AF5">
            <w:pPr>
              <w:pStyle w:val="Tabletext"/>
            </w:pPr>
            <w:r w:rsidRPr="005071A1">
              <w:t>0.61</w:t>
            </w:r>
          </w:p>
        </w:tc>
        <w:tc>
          <w:tcPr>
            <w:tcW w:w="1701" w:type="dxa"/>
            <w:shd w:val="clear" w:color="auto" w:fill="auto"/>
          </w:tcPr>
          <w:p w14:paraId="110BF538" w14:textId="77777777" w:rsidR="00B33542" w:rsidRPr="005071A1" w:rsidRDefault="00B33542" w:rsidP="009B7AF5">
            <w:pPr>
              <w:pStyle w:val="Tabletext"/>
            </w:pPr>
            <w:r w:rsidRPr="005071A1">
              <w:t>1.06</w:t>
            </w:r>
          </w:p>
        </w:tc>
      </w:tr>
      <w:tr w:rsidR="00B33542" w:rsidRPr="005071A1" w14:paraId="5332526F" w14:textId="77777777" w:rsidTr="009B7AF5">
        <w:tc>
          <w:tcPr>
            <w:tcW w:w="2835" w:type="dxa"/>
            <w:shd w:val="clear" w:color="auto" w:fill="auto"/>
          </w:tcPr>
          <w:p w14:paraId="182D17CE" w14:textId="77777777" w:rsidR="00B33542" w:rsidRPr="005071A1" w:rsidRDefault="00B33542" w:rsidP="009B7AF5">
            <w:pPr>
              <w:pStyle w:val="Tabletext"/>
            </w:pPr>
            <w:r w:rsidRPr="005071A1">
              <w:t>51</w:t>
            </w:r>
          </w:p>
        </w:tc>
        <w:tc>
          <w:tcPr>
            <w:tcW w:w="1276" w:type="dxa"/>
            <w:shd w:val="clear" w:color="auto" w:fill="auto"/>
          </w:tcPr>
          <w:p w14:paraId="14F6EC1E" w14:textId="77777777" w:rsidR="00B33542" w:rsidRPr="005071A1" w:rsidRDefault="00B33542" w:rsidP="009B7AF5">
            <w:pPr>
              <w:pStyle w:val="Tabletext"/>
            </w:pPr>
            <w:r w:rsidRPr="005071A1">
              <w:t>0.67</w:t>
            </w:r>
          </w:p>
        </w:tc>
        <w:tc>
          <w:tcPr>
            <w:tcW w:w="1701" w:type="dxa"/>
            <w:shd w:val="clear" w:color="auto" w:fill="auto"/>
          </w:tcPr>
          <w:p w14:paraId="5FCCE9CD" w14:textId="77777777" w:rsidR="00B33542" w:rsidRPr="005071A1" w:rsidRDefault="00B33542" w:rsidP="009B7AF5">
            <w:pPr>
              <w:pStyle w:val="Tabletext"/>
            </w:pPr>
            <w:r w:rsidRPr="005071A1">
              <w:t>1.20</w:t>
            </w:r>
          </w:p>
        </w:tc>
      </w:tr>
      <w:tr w:rsidR="00B33542" w:rsidRPr="005071A1" w14:paraId="320532BD" w14:textId="77777777" w:rsidTr="009B7AF5">
        <w:tc>
          <w:tcPr>
            <w:tcW w:w="2835" w:type="dxa"/>
            <w:shd w:val="clear" w:color="auto" w:fill="auto"/>
          </w:tcPr>
          <w:p w14:paraId="4C915AEB" w14:textId="77777777" w:rsidR="00B33542" w:rsidRPr="005071A1" w:rsidRDefault="00B33542" w:rsidP="009B7AF5">
            <w:pPr>
              <w:pStyle w:val="Tabletext"/>
            </w:pPr>
            <w:r w:rsidRPr="005071A1">
              <w:t>52</w:t>
            </w:r>
          </w:p>
        </w:tc>
        <w:tc>
          <w:tcPr>
            <w:tcW w:w="1276" w:type="dxa"/>
            <w:shd w:val="clear" w:color="auto" w:fill="auto"/>
          </w:tcPr>
          <w:p w14:paraId="7F59C71A" w14:textId="77777777" w:rsidR="00B33542" w:rsidRPr="005071A1" w:rsidRDefault="00B33542" w:rsidP="009B7AF5">
            <w:pPr>
              <w:pStyle w:val="Tabletext"/>
            </w:pPr>
            <w:r w:rsidRPr="005071A1">
              <w:t>0.73</w:t>
            </w:r>
          </w:p>
        </w:tc>
        <w:tc>
          <w:tcPr>
            <w:tcW w:w="1701" w:type="dxa"/>
            <w:shd w:val="clear" w:color="auto" w:fill="auto"/>
          </w:tcPr>
          <w:p w14:paraId="32383991" w14:textId="77777777" w:rsidR="00B33542" w:rsidRPr="005071A1" w:rsidRDefault="00B33542" w:rsidP="009B7AF5">
            <w:pPr>
              <w:pStyle w:val="Tabletext"/>
            </w:pPr>
            <w:r w:rsidRPr="005071A1">
              <w:t>1.38</w:t>
            </w:r>
          </w:p>
        </w:tc>
      </w:tr>
      <w:tr w:rsidR="00B33542" w:rsidRPr="005071A1" w14:paraId="0AB9AF4B" w14:textId="77777777" w:rsidTr="009B7AF5">
        <w:tc>
          <w:tcPr>
            <w:tcW w:w="2835" w:type="dxa"/>
            <w:shd w:val="clear" w:color="auto" w:fill="auto"/>
          </w:tcPr>
          <w:p w14:paraId="0C7845F2" w14:textId="77777777" w:rsidR="00B33542" w:rsidRPr="005071A1" w:rsidRDefault="00B33542" w:rsidP="009B7AF5">
            <w:pPr>
              <w:pStyle w:val="Tabletext"/>
            </w:pPr>
            <w:r w:rsidRPr="005071A1">
              <w:t>53</w:t>
            </w:r>
          </w:p>
        </w:tc>
        <w:tc>
          <w:tcPr>
            <w:tcW w:w="1276" w:type="dxa"/>
            <w:shd w:val="clear" w:color="auto" w:fill="auto"/>
          </w:tcPr>
          <w:p w14:paraId="7D1FFAC0" w14:textId="77777777" w:rsidR="00B33542" w:rsidRPr="005071A1" w:rsidRDefault="00B33542" w:rsidP="009B7AF5">
            <w:pPr>
              <w:pStyle w:val="Tabletext"/>
            </w:pPr>
            <w:r w:rsidRPr="005071A1">
              <w:t>0.81</w:t>
            </w:r>
          </w:p>
        </w:tc>
        <w:tc>
          <w:tcPr>
            <w:tcW w:w="1701" w:type="dxa"/>
            <w:shd w:val="clear" w:color="auto" w:fill="auto"/>
          </w:tcPr>
          <w:p w14:paraId="4EE38D89" w14:textId="77777777" w:rsidR="00B33542" w:rsidRPr="005071A1" w:rsidRDefault="00B33542" w:rsidP="009B7AF5">
            <w:pPr>
              <w:pStyle w:val="Tabletext"/>
            </w:pPr>
            <w:r w:rsidRPr="005071A1">
              <w:t>1.60</w:t>
            </w:r>
          </w:p>
        </w:tc>
      </w:tr>
      <w:tr w:rsidR="00B33542" w:rsidRPr="005071A1" w14:paraId="75F87DE6" w14:textId="77777777" w:rsidTr="009B7AF5">
        <w:tc>
          <w:tcPr>
            <w:tcW w:w="2835" w:type="dxa"/>
            <w:shd w:val="clear" w:color="auto" w:fill="auto"/>
          </w:tcPr>
          <w:p w14:paraId="108680A7" w14:textId="77777777" w:rsidR="00B33542" w:rsidRPr="005071A1" w:rsidRDefault="00B33542" w:rsidP="009B7AF5">
            <w:pPr>
              <w:pStyle w:val="Tabletext"/>
            </w:pPr>
            <w:r w:rsidRPr="005071A1">
              <w:t>54</w:t>
            </w:r>
          </w:p>
        </w:tc>
        <w:tc>
          <w:tcPr>
            <w:tcW w:w="1276" w:type="dxa"/>
            <w:shd w:val="clear" w:color="auto" w:fill="auto"/>
          </w:tcPr>
          <w:p w14:paraId="1302472F" w14:textId="77777777" w:rsidR="00B33542" w:rsidRPr="005071A1" w:rsidRDefault="00B33542" w:rsidP="009B7AF5">
            <w:pPr>
              <w:pStyle w:val="Tabletext"/>
            </w:pPr>
            <w:r w:rsidRPr="005071A1">
              <w:t>0.90</w:t>
            </w:r>
          </w:p>
        </w:tc>
        <w:tc>
          <w:tcPr>
            <w:tcW w:w="1701" w:type="dxa"/>
            <w:shd w:val="clear" w:color="auto" w:fill="auto"/>
          </w:tcPr>
          <w:p w14:paraId="5971989C" w14:textId="77777777" w:rsidR="00B33542" w:rsidRPr="005071A1" w:rsidRDefault="00B33542" w:rsidP="009B7AF5">
            <w:pPr>
              <w:pStyle w:val="Tabletext"/>
            </w:pPr>
            <w:r w:rsidRPr="005071A1">
              <w:t>1.90</w:t>
            </w:r>
          </w:p>
        </w:tc>
      </w:tr>
      <w:tr w:rsidR="00B33542" w:rsidRPr="005071A1" w14:paraId="0C293485" w14:textId="77777777" w:rsidTr="009B7AF5">
        <w:tc>
          <w:tcPr>
            <w:tcW w:w="2835" w:type="dxa"/>
            <w:shd w:val="clear" w:color="auto" w:fill="auto"/>
          </w:tcPr>
          <w:p w14:paraId="5902C99A" w14:textId="77777777" w:rsidR="00B33542" w:rsidRPr="005071A1" w:rsidRDefault="00B33542" w:rsidP="009B7AF5">
            <w:pPr>
              <w:pStyle w:val="Tabletext"/>
            </w:pPr>
            <w:r w:rsidRPr="005071A1">
              <w:t>55</w:t>
            </w:r>
          </w:p>
        </w:tc>
        <w:tc>
          <w:tcPr>
            <w:tcW w:w="1276" w:type="dxa"/>
            <w:shd w:val="clear" w:color="auto" w:fill="auto"/>
          </w:tcPr>
          <w:p w14:paraId="5AFD0C42" w14:textId="77777777" w:rsidR="00B33542" w:rsidRPr="005071A1" w:rsidRDefault="00B33542" w:rsidP="009B7AF5">
            <w:pPr>
              <w:pStyle w:val="Tabletext"/>
            </w:pPr>
            <w:r w:rsidRPr="005071A1">
              <w:t>1.01</w:t>
            </w:r>
          </w:p>
        </w:tc>
        <w:tc>
          <w:tcPr>
            <w:tcW w:w="1701" w:type="dxa"/>
            <w:shd w:val="clear" w:color="auto" w:fill="auto"/>
          </w:tcPr>
          <w:p w14:paraId="38CC2EB9" w14:textId="77777777" w:rsidR="00B33542" w:rsidRPr="005071A1" w:rsidRDefault="00B33542" w:rsidP="009B7AF5">
            <w:pPr>
              <w:pStyle w:val="Tabletext"/>
            </w:pPr>
            <w:r w:rsidRPr="005071A1">
              <w:t>2.32</w:t>
            </w:r>
          </w:p>
        </w:tc>
      </w:tr>
      <w:tr w:rsidR="00B33542" w:rsidRPr="005071A1" w14:paraId="59C64263" w14:textId="77777777" w:rsidTr="009B7AF5">
        <w:tc>
          <w:tcPr>
            <w:tcW w:w="2835" w:type="dxa"/>
            <w:shd w:val="clear" w:color="auto" w:fill="auto"/>
          </w:tcPr>
          <w:p w14:paraId="23D08678" w14:textId="77777777" w:rsidR="00B33542" w:rsidRPr="005071A1" w:rsidRDefault="00B33542" w:rsidP="009B7AF5">
            <w:pPr>
              <w:pStyle w:val="Tabletext"/>
            </w:pPr>
            <w:r w:rsidRPr="005071A1">
              <w:lastRenderedPageBreak/>
              <w:t>56</w:t>
            </w:r>
          </w:p>
        </w:tc>
        <w:tc>
          <w:tcPr>
            <w:tcW w:w="1276" w:type="dxa"/>
            <w:shd w:val="clear" w:color="auto" w:fill="auto"/>
          </w:tcPr>
          <w:p w14:paraId="11C36D42" w14:textId="77777777" w:rsidR="00B33542" w:rsidRPr="005071A1" w:rsidRDefault="00B33542" w:rsidP="009B7AF5">
            <w:pPr>
              <w:pStyle w:val="Tabletext"/>
            </w:pPr>
            <w:r w:rsidRPr="005071A1">
              <w:t>1.14</w:t>
            </w:r>
          </w:p>
        </w:tc>
        <w:tc>
          <w:tcPr>
            <w:tcW w:w="1701" w:type="dxa"/>
            <w:shd w:val="clear" w:color="auto" w:fill="auto"/>
          </w:tcPr>
          <w:p w14:paraId="11433148" w14:textId="77777777" w:rsidR="00B33542" w:rsidRPr="005071A1" w:rsidRDefault="00B33542" w:rsidP="009B7AF5">
            <w:pPr>
              <w:pStyle w:val="Tabletext"/>
            </w:pPr>
            <w:r w:rsidRPr="005071A1">
              <w:t>2.94</w:t>
            </w:r>
          </w:p>
        </w:tc>
      </w:tr>
      <w:tr w:rsidR="00B33542" w:rsidRPr="005071A1" w14:paraId="2F61E05E" w14:textId="77777777" w:rsidTr="009B7AF5">
        <w:tc>
          <w:tcPr>
            <w:tcW w:w="2835" w:type="dxa"/>
            <w:shd w:val="clear" w:color="auto" w:fill="auto"/>
          </w:tcPr>
          <w:p w14:paraId="25EDC8C0" w14:textId="77777777" w:rsidR="00B33542" w:rsidRPr="005071A1" w:rsidRDefault="00B33542" w:rsidP="009B7AF5">
            <w:pPr>
              <w:pStyle w:val="Tabletext"/>
            </w:pPr>
            <w:r w:rsidRPr="005071A1">
              <w:t>57</w:t>
            </w:r>
          </w:p>
        </w:tc>
        <w:tc>
          <w:tcPr>
            <w:tcW w:w="1276" w:type="dxa"/>
            <w:shd w:val="clear" w:color="auto" w:fill="auto"/>
          </w:tcPr>
          <w:p w14:paraId="2E3B4019" w14:textId="77777777" w:rsidR="00B33542" w:rsidRPr="005071A1" w:rsidRDefault="00B33542" w:rsidP="009B7AF5">
            <w:pPr>
              <w:pStyle w:val="Tabletext"/>
            </w:pPr>
            <w:r w:rsidRPr="005071A1">
              <w:t>1.30</w:t>
            </w:r>
          </w:p>
        </w:tc>
        <w:tc>
          <w:tcPr>
            <w:tcW w:w="1701" w:type="dxa"/>
            <w:shd w:val="clear" w:color="auto" w:fill="auto"/>
          </w:tcPr>
          <w:p w14:paraId="3216CA76" w14:textId="77777777" w:rsidR="00B33542" w:rsidRPr="005071A1" w:rsidRDefault="00B33542" w:rsidP="009B7AF5">
            <w:pPr>
              <w:pStyle w:val="Tabletext"/>
            </w:pPr>
            <w:r w:rsidRPr="005071A1">
              <w:t>3.96</w:t>
            </w:r>
          </w:p>
        </w:tc>
      </w:tr>
      <w:tr w:rsidR="00B33542" w:rsidRPr="005071A1" w14:paraId="4B1FA68C" w14:textId="77777777" w:rsidTr="009B7AF5">
        <w:tc>
          <w:tcPr>
            <w:tcW w:w="2835" w:type="dxa"/>
            <w:shd w:val="clear" w:color="auto" w:fill="auto"/>
          </w:tcPr>
          <w:p w14:paraId="58E94546" w14:textId="77777777" w:rsidR="00B33542" w:rsidRPr="005071A1" w:rsidRDefault="00B33542" w:rsidP="009B7AF5">
            <w:pPr>
              <w:pStyle w:val="Tabletext"/>
            </w:pPr>
            <w:r w:rsidRPr="005071A1">
              <w:t>58</w:t>
            </w:r>
          </w:p>
        </w:tc>
        <w:tc>
          <w:tcPr>
            <w:tcW w:w="1276" w:type="dxa"/>
            <w:shd w:val="clear" w:color="auto" w:fill="auto"/>
          </w:tcPr>
          <w:p w14:paraId="08136114" w14:textId="77777777" w:rsidR="00B33542" w:rsidRPr="005071A1" w:rsidRDefault="00B33542" w:rsidP="009B7AF5">
            <w:pPr>
              <w:pStyle w:val="Tabletext"/>
            </w:pPr>
            <w:r w:rsidRPr="005071A1">
              <w:t>1.51</w:t>
            </w:r>
          </w:p>
        </w:tc>
        <w:tc>
          <w:tcPr>
            <w:tcW w:w="1701" w:type="dxa"/>
            <w:shd w:val="clear" w:color="auto" w:fill="auto"/>
          </w:tcPr>
          <w:p w14:paraId="6A7FFD27" w14:textId="77777777" w:rsidR="00B33542" w:rsidRPr="005071A1" w:rsidRDefault="00B33542" w:rsidP="009B7AF5">
            <w:pPr>
              <w:pStyle w:val="Tabletext"/>
            </w:pPr>
            <w:r w:rsidRPr="005071A1">
              <w:t>6.00</w:t>
            </w:r>
          </w:p>
        </w:tc>
      </w:tr>
      <w:tr w:rsidR="00B33542" w:rsidRPr="005071A1" w14:paraId="3A813828" w14:textId="77777777" w:rsidTr="009B7AF5">
        <w:tc>
          <w:tcPr>
            <w:tcW w:w="2835" w:type="dxa"/>
            <w:shd w:val="clear" w:color="auto" w:fill="auto"/>
          </w:tcPr>
          <w:p w14:paraId="1845197C" w14:textId="77777777" w:rsidR="00B33542" w:rsidRPr="005071A1" w:rsidRDefault="00B33542" w:rsidP="009B7AF5">
            <w:pPr>
              <w:pStyle w:val="Tabletext"/>
            </w:pPr>
            <w:r w:rsidRPr="005071A1">
              <w:t>59</w:t>
            </w:r>
          </w:p>
        </w:tc>
        <w:tc>
          <w:tcPr>
            <w:tcW w:w="1276" w:type="dxa"/>
            <w:shd w:val="clear" w:color="auto" w:fill="auto"/>
          </w:tcPr>
          <w:p w14:paraId="2DEF6E9C" w14:textId="77777777" w:rsidR="00B33542" w:rsidRPr="005071A1" w:rsidRDefault="00B33542" w:rsidP="009B7AF5">
            <w:pPr>
              <w:pStyle w:val="Tabletext"/>
            </w:pPr>
            <w:r w:rsidRPr="005071A1">
              <w:t>1.77</w:t>
            </w:r>
          </w:p>
        </w:tc>
        <w:tc>
          <w:tcPr>
            <w:tcW w:w="1701" w:type="dxa"/>
            <w:shd w:val="clear" w:color="auto" w:fill="auto"/>
          </w:tcPr>
          <w:p w14:paraId="557311DD" w14:textId="77777777" w:rsidR="00B33542" w:rsidRPr="005071A1" w:rsidRDefault="00B33542" w:rsidP="009B7AF5">
            <w:pPr>
              <w:pStyle w:val="Tabletext"/>
            </w:pPr>
            <w:r w:rsidRPr="005071A1">
              <w:t>12.00</w:t>
            </w:r>
          </w:p>
        </w:tc>
      </w:tr>
      <w:tr w:rsidR="00B33542" w:rsidRPr="005071A1" w14:paraId="21492D8D" w14:textId="77777777" w:rsidTr="009B7AF5">
        <w:tc>
          <w:tcPr>
            <w:tcW w:w="2835" w:type="dxa"/>
            <w:shd w:val="clear" w:color="auto" w:fill="auto"/>
          </w:tcPr>
          <w:p w14:paraId="0A542D74" w14:textId="77777777" w:rsidR="00B33542" w:rsidRPr="005071A1" w:rsidRDefault="00B33542" w:rsidP="009B7AF5">
            <w:pPr>
              <w:pStyle w:val="Tabletext"/>
            </w:pPr>
            <w:r w:rsidRPr="005071A1">
              <w:t>60</w:t>
            </w:r>
          </w:p>
        </w:tc>
        <w:tc>
          <w:tcPr>
            <w:tcW w:w="1276" w:type="dxa"/>
            <w:shd w:val="clear" w:color="auto" w:fill="auto"/>
          </w:tcPr>
          <w:p w14:paraId="5A60633A" w14:textId="77777777" w:rsidR="00B33542" w:rsidRPr="005071A1" w:rsidRDefault="00B33542" w:rsidP="009B7AF5">
            <w:pPr>
              <w:pStyle w:val="Tabletext"/>
            </w:pPr>
            <w:r w:rsidRPr="005071A1">
              <w:t>2.14</w:t>
            </w:r>
          </w:p>
        </w:tc>
        <w:tc>
          <w:tcPr>
            <w:tcW w:w="1701" w:type="dxa"/>
            <w:shd w:val="clear" w:color="auto" w:fill="auto"/>
          </w:tcPr>
          <w:p w14:paraId="3ECB88BA" w14:textId="77777777" w:rsidR="00B33542" w:rsidRPr="005071A1" w:rsidRDefault="00B33542" w:rsidP="009B7AF5">
            <w:pPr>
              <w:pStyle w:val="Tabletext"/>
            </w:pPr>
            <w:r w:rsidRPr="005071A1">
              <w:t>12.87</w:t>
            </w:r>
          </w:p>
        </w:tc>
      </w:tr>
      <w:tr w:rsidR="00B33542" w:rsidRPr="005071A1" w14:paraId="24E21E33" w14:textId="77777777" w:rsidTr="009B7AF5">
        <w:tc>
          <w:tcPr>
            <w:tcW w:w="2835" w:type="dxa"/>
            <w:shd w:val="clear" w:color="auto" w:fill="auto"/>
          </w:tcPr>
          <w:p w14:paraId="0F6535DE" w14:textId="77777777" w:rsidR="00B33542" w:rsidRPr="005071A1" w:rsidRDefault="00B33542" w:rsidP="009B7AF5">
            <w:pPr>
              <w:pStyle w:val="Tabletext"/>
            </w:pPr>
            <w:r w:rsidRPr="005071A1">
              <w:t>61</w:t>
            </w:r>
          </w:p>
        </w:tc>
        <w:tc>
          <w:tcPr>
            <w:tcW w:w="1276" w:type="dxa"/>
            <w:shd w:val="clear" w:color="auto" w:fill="auto"/>
          </w:tcPr>
          <w:p w14:paraId="38D04F9A" w14:textId="77777777" w:rsidR="00B33542" w:rsidRPr="005071A1" w:rsidRDefault="00B33542" w:rsidP="009B7AF5">
            <w:pPr>
              <w:pStyle w:val="Tabletext"/>
            </w:pPr>
            <w:r w:rsidRPr="005071A1">
              <w:t>2.69</w:t>
            </w:r>
          </w:p>
        </w:tc>
        <w:tc>
          <w:tcPr>
            <w:tcW w:w="1701" w:type="dxa"/>
            <w:shd w:val="clear" w:color="auto" w:fill="auto"/>
          </w:tcPr>
          <w:p w14:paraId="2A8AAB80" w14:textId="77777777" w:rsidR="00B33542" w:rsidRPr="005071A1" w:rsidRDefault="00B33542" w:rsidP="009B7AF5">
            <w:pPr>
              <w:pStyle w:val="Tabletext"/>
            </w:pPr>
          </w:p>
        </w:tc>
      </w:tr>
      <w:tr w:rsidR="00B33542" w:rsidRPr="005071A1" w14:paraId="5083CAB5" w14:textId="77777777" w:rsidTr="00D57394">
        <w:tc>
          <w:tcPr>
            <w:tcW w:w="2835" w:type="dxa"/>
            <w:tcBorders>
              <w:bottom w:val="single" w:sz="4" w:space="0" w:color="auto"/>
            </w:tcBorders>
            <w:shd w:val="clear" w:color="auto" w:fill="auto"/>
          </w:tcPr>
          <w:p w14:paraId="11AD560F" w14:textId="77777777" w:rsidR="00B33542" w:rsidRPr="005071A1" w:rsidRDefault="00B33542" w:rsidP="009B7AF5">
            <w:pPr>
              <w:pStyle w:val="Tabletext"/>
            </w:pPr>
            <w:r w:rsidRPr="005071A1">
              <w:t>62</w:t>
            </w:r>
          </w:p>
        </w:tc>
        <w:tc>
          <w:tcPr>
            <w:tcW w:w="1276" w:type="dxa"/>
            <w:tcBorders>
              <w:bottom w:val="single" w:sz="4" w:space="0" w:color="auto"/>
            </w:tcBorders>
            <w:shd w:val="clear" w:color="auto" w:fill="auto"/>
          </w:tcPr>
          <w:p w14:paraId="41CB3486" w14:textId="77777777" w:rsidR="00B33542" w:rsidRPr="005071A1" w:rsidRDefault="00B33542" w:rsidP="009B7AF5">
            <w:pPr>
              <w:pStyle w:val="Tabletext"/>
            </w:pPr>
            <w:r w:rsidRPr="005071A1">
              <w:t>3.60</w:t>
            </w:r>
          </w:p>
        </w:tc>
        <w:tc>
          <w:tcPr>
            <w:tcW w:w="1701" w:type="dxa"/>
            <w:tcBorders>
              <w:bottom w:val="single" w:sz="4" w:space="0" w:color="auto"/>
            </w:tcBorders>
            <w:shd w:val="clear" w:color="auto" w:fill="auto"/>
          </w:tcPr>
          <w:p w14:paraId="2BAABF90" w14:textId="77777777" w:rsidR="00B33542" w:rsidRPr="005071A1" w:rsidRDefault="00B33542" w:rsidP="009B7AF5">
            <w:pPr>
              <w:pStyle w:val="Tabletext"/>
            </w:pPr>
          </w:p>
        </w:tc>
      </w:tr>
      <w:tr w:rsidR="00B33542" w:rsidRPr="005071A1" w14:paraId="0B7346AE" w14:textId="77777777" w:rsidTr="00D57394">
        <w:tc>
          <w:tcPr>
            <w:tcW w:w="2835" w:type="dxa"/>
            <w:tcBorders>
              <w:bottom w:val="single" w:sz="4" w:space="0" w:color="auto"/>
            </w:tcBorders>
            <w:shd w:val="clear" w:color="auto" w:fill="auto"/>
          </w:tcPr>
          <w:p w14:paraId="6B0461F6" w14:textId="77777777" w:rsidR="00B33542" w:rsidRPr="005071A1" w:rsidRDefault="00B33542" w:rsidP="009B7AF5">
            <w:pPr>
              <w:pStyle w:val="Tabletext"/>
            </w:pPr>
            <w:r w:rsidRPr="005071A1">
              <w:t>63</w:t>
            </w:r>
          </w:p>
        </w:tc>
        <w:tc>
          <w:tcPr>
            <w:tcW w:w="1276" w:type="dxa"/>
            <w:tcBorders>
              <w:bottom w:val="single" w:sz="4" w:space="0" w:color="auto"/>
            </w:tcBorders>
            <w:shd w:val="clear" w:color="auto" w:fill="auto"/>
          </w:tcPr>
          <w:p w14:paraId="222EFCE6" w14:textId="77777777" w:rsidR="00B33542" w:rsidRPr="005071A1" w:rsidRDefault="00B33542" w:rsidP="009B7AF5">
            <w:pPr>
              <w:pStyle w:val="Tabletext"/>
            </w:pPr>
            <w:r w:rsidRPr="005071A1">
              <w:t>5.40</w:t>
            </w:r>
          </w:p>
        </w:tc>
        <w:tc>
          <w:tcPr>
            <w:tcW w:w="1701" w:type="dxa"/>
            <w:tcBorders>
              <w:bottom w:val="single" w:sz="4" w:space="0" w:color="auto"/>
            </w:tcBorders>
            <w:shd w:val="clear" w:color="auto" w:fill="auto"/>
          </w:tcPr>
          <w:p w14:paraId="7FA8D7FF" w14:textId="77777777" w:rsidR="00B33542" w:rsidRPr="005071A1" w:rsidRDefault="00B33542" w:rsidP="009B7AF5">
            <w:pPr>
              <w:pStyle w:val="Tabletext"/>
            </w:pPr>
          </w:p>
        </w:tc>
      </w:tr>
      <w:tr w:rsidR="00B33542" w:rsidRPr="005071A1" w14:paraId="58C2E6A6" w14:textId="77777777" w:rsidTr="00FE2F9A">
        <w:tc>
          <w:tcPr>
            <w:tcW w:w="2835" w:type="dxa"/>
            <w:tcBorders>
              <w:top w:val="single" w:sz="4" w:space="0" w:color="auto"/>
              <w:bottom w:val="single" w:sz="4" w:space="0" w:color="auto"/>
            </w:tcBorders>
            <w:shd w:val="clear" w:color="auto" w:fill="auto"/>
          </w:tcPr>
          <w:p w14:paraId="606B2A32" w14:textId="77777777" w:rsidR="00B33542" w:rsidRPr="005071A1" w:rsidRDefault="00B33542" w:rsidP="009B7AF5">
            <w:pPr>
              <w:pStyle w:val="Tabletext"/>
            </w:pPr>
            <w:r w:rsidRPr="005071A1">
              <w:t>64</w:t>
            </w:r>
          </w:p>
        </w:tc>
        <w:tc>
          <w:tcPr>
            <w:tcW w:w="1276" w:type="dxa"/>
            <w:tcBorders>
              <w:top w:val="single" w:sz="4" w:space="0" w:color="auto"/>
              <w:bottom w:val="single" w:sz="4" w:space="0" w:color="auto"/>
            </w:tcBorders>
            <w:shd w:val="clear" w:color="auto" w:fill="auto"/>
          </w:tcPr>
          <w:p w14:paraId="0A3EA7B8" w14:textId="77777777" w:rsidR="00B33542" w:rsidRPr="005071A1" w:rsidRDefault="00B33542" w:rsidP="009B7AF5">
            <w:pPr>
              <w:pStyle w:val="Tabletext"/>
            </w:pPr>
            <w:r w:rsidRPr="005071A1">
              <w:t>10.73</w:t>
            </w:r>
          </w:p>
        </w:tc>
        <w:tc>
          <w:tcPr>
            <w:tcW w:w="1701" w:type="dxa"/>
            <w:tcBorders>
              <w:top w:val="single" w:sz="4" w:space="0" w:color="auto"/>
              <w:bottom w:val="single" w:sz="4" w:space="0" w:color="auto"/>
            </w:tcBorders>
            <w:shd w:val="clear" w:color="auto" w:fill="auto"/>
          </w:tcPr>
          <w:p w14:paraId="20B4F25F" w14:textId="77777777" w:rsidR="00B33542" w:rsidRPr="005071A1" w:rsidRDefault="00B33542" w:rsidP="009B7AF5">
            <w:pPr>
              <w:pStyle w:val="Tabletext"/>
            </w:pPr>
          </w:p>
        </w:tc>
      </w:tr>
      <w:tr w:rsidR="00B33542" w:rsidRPr="005071A1" w14:paraId="536B3E9C" w14:textId="77777777" w:rsidTr="00FE2F9A">
        <w:tc>
          <w:tcPr>
            <w:tcW w:w="2835" w:type="dxa"/>
            <w:tcBorders>
              <w:bottom w:val="single" w:sz="12" w:space="0" w:color="auto"/>
            </w:tcBorders>
            <w:shd w:val="clear" w:color="auto" w:fill="auto"/>
          </w:tcPr>
          <w:p w14:paraId="48175ABA" w14:textId="77777777" w:rsidR="00B33542" w:rsidRPr="005071A1" w:rsidRDefault="00B33542" w:rsidP="009B7AF5">
            <w:pPr>
              <w:pStyle w:val="Tabletext"/>
            </w:pPr>
            <w:r w:rsidRPr="005071A1">
              <w:t>65</w:t>
            </w:r>
          </w:p>
        </w:tc>
        <w:tc>
          <w:tcPr>
            <w:tcW w:w="1276" w:type="dxa"/>
            <w:tcBorders>
              <w:bottom w:val="single" w:sz="12" w:space="0" w:color="auto"/>
            </w:tcBorders>
            <w:shd w:val="clear" w:color="auto" w:fill="auto"/>
          </w:tcPr>
          <w:p w14:paraId="4300650A" w14:textId="77777777" w:rsidR="00B33542" w:rsidRPr="005071A1" w:rsidRDefault="00B33542" w:rsidP="009B7AF5">
            <w:pPr>
              <w:pStyle w:val="Tabletext"/>
            </w:pPr>
            <w:r w:rsidRPr="005071A1">
              <w:t>11.41</w:t>
            </w:r>
          </w:p>
        </w:tc>
        <w:tc>
          <w:tcPr>
            <w:tcW w:w="1701" w:type="dxa"/>
            <w:tcBorders>
              <w:bottom w:val="single" w:sz="12" w:space="0" w:color="auto"/>
            </w:tcBorders>
            <w:shd w:val="clear" w:color="auto" w:fill="auto"/>
          </w:tcPr>
          <w:p w14:paraId="013117D0" w14:textId="77777777" w:rsidR="00B33542" w:rsidRPr="005071A1" w:rsidRDefault="00B33542" w:rsidP="009B7AF5">
            <w:pPr>
              <w:pStyle w:val="Tabletext"/>
            </w:pPr>
          </w:p>
        </w:tc>
      </w:tr>
    </w:tbl>
    <w:p w14:paraId="544DBB6B" w14:textId="77777777" w:rsidR="006518EB" w:rsidRPr="00F24E9F" w:rsidRDefault="006518EB" w:rsidP="00594E1E">
      <w:pPr>
        <w:pStyle w:val="ActHead1"/>
        <w:pageBreakBefore/>
      </w:pPr>
      <w:bookmarkStart w:id="309" w:name="_Toc185577691"/>
      <w:r w:rsidRPr="007A0D8D">
        <w:rPr>
          <w:rStyle w:val="CharChapNo"/>
        </w:rPr>
        <w:lastRenderedPageBreak/>
        <w:t>Fifth Schedule</w:t>
      </w:r>
      <w:bookmarkEnd w:id="309"/>
      <w:r w:rsidRPr="00656806">
        <w:rPr>
          <w:rStyle w:val="CharChapText"/>
        </w:rPr>
        <w:t xml:space="preserve">  </w:t>
      </w:r>
    </w:p>
    <w:p w14:paraId="451BC785" w14:textId="77777777" w:rsidR="00B33542" w:rsidRPr="005071A1" w:rsidRDefault="00B33542" w:rsidP="00B33542">
      <w:pPr>
        <w:pStyle w:val="notemargin"/>
      </w:pPr>
      <w:r w:rsidRPr="005071A1">
        <w:t>Section</w:t>
      </w:r>
      <w:r w:rsidR="008B2950" w:rsidRPr="005071A1">
        <w:t> </w:t>
      </w:r>
      <w:r w:rsidRPr="005071A1">
        <w:t>26</w:t>
      </w:r>
    </w:p>
    <w:p w14:paraId="55C21660" w14:textId="77777777" w:rsidR="00674A0D" w:rsidRPr="005071A1" w:rsidRDefault="00674A0D" w:rsidP="00674A0D">
      <w:pPr>
        <w:pStyle w:val="Header"/>
        <w:tabs>
          <w:tab w:val="clear" w:pos="4150"/>
          <w:tab w:val="clear" w:pos="8307"/>
        </w:tabs>
      </w:pPr>
      <w:r w:rsidRPr="004510F0">
        <w:rPr>
          <w:rStyle w:val="CharPartNo"/>
        </w:rPr>
        <w:t xml:space="preserve"> </w:t>
      </w:r>
      <w:r w:rsidRPr="004510F0">
        <w:rPr>
          <w:rStyle w:val="CharPartText"/>
        </w:rPr>
        <w:t xml:space="preserve"> </w:t>
      </w:r>
    </w:p>
    <w:p w14:paraId="11E151A5" w14:textId="77777777" w:rsidR="00B33542" w:rsidRPr="005071A1" w:rsidRDefault="00B33542" w:rsidP="00B33542">
      <w:pPr>
        <w:spacing w:before="120"/>
      </w:pPr>
      <w:r w:rsidRPr="005071A1">
        <w:t xml:space="preserve">Rates of additional contribution, in respect of each unit of pension, to be paid fortnightly by male contributors for an additional widow’s pension, based on the age next birthday of the contributor on </w:t>
      </w:r>
      <w:smartTag w:uri="urn:schemas-microsoft-com:office:smarttags" w:element="date">
        <w:smartTagPr>
          <w:attr w:name="Year" w:val="1959"/>
          <w:attr w:name="Day" w:val="17"/>
          <w:attr w:name="Month" w:val="12"/>
        </w:smartTagPr>
        <w:r w:rsidRPr="005071A1">
          <w:t>17th December, 1959</w:t>
        </w:r>
      </w:smartTag>
    </w:p>
    <w:p w14:paraId="0C05E895"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35"/>
        <w:gridCol w:w="1276"/>
        <w:gridCol w:w="1701"/>
      </w:tblGrid>
      <w:tr w:rsidR="00B33542" w:rsidRPr="005071A1" w14:paraId="1E764E04" w14:textId="77777777" w:rsidTr="009B7AF5">
        <w:trPr>
          <w:tblHeader/>
        </w:trPr>
        <w:tc>
          <w:tcPr>
            <w:tcW w:w="2835" w:type="dxa"/>
            <w:tcBorders>
              <w:top w:val="single" w:sz="12" w:space="0" w:color="auto"/>
              <w:bottom w:val="single" w:sz="6" w:space="0" w:color="auto"/>
            </w:tcBorders>
            <w:shd w:val="clear" w:color="auto" w:fill="auto"/>
          </w:tcPr>
          <w:p w14:paraId="59B85419" w14:textId="77777777" w:rsidR="00B33542" w:rsidRPr="005071A1" w:rsidRDefault="00B33542" w:rsidP="009B7AF5">
            <w:pPr>
              <w:pStyle w:val="TableHeading"/>
            </w:pPr>
            <w:r w:rsidRPr="005071A1">
              <w:t>Column 1</w:t>
            </w:r>
          </w:p>
        </w:tc>
        <w:tc>
          <w:tcPr>
            <w:tcW w:w="2977" w:type="dxa"/>
            <w:gridSpan w:val="2"/>
            <w:tcBorders>
              <w:top w:val="single" w:sz="12" w:space="0" w:color="auto"/>
              <w:bottom w:val="single" w:sz="6" w:space="0" w:color="auto"/>
            </w:tcBorders>
            <w:shd w:val="clear" w:color="auto" w:fill="auto"/>
          </w:tcPr>
          <w:p w14:paraId="0F7F3739" w14:textId="77777777" w:rsidR="00B33542" w:rsidRPr="005071A1" w:rsidRDefault="00B33542" w:rsidP="009B7AF5">
            <w:pPr>
              <w:pStyle w:val="TableHeading"/>
            </w:pPr>
            <w:r w:rsidRPr="005071A1">
              <w:t>Column 2</w:t>
            </w:r>
          </w:p>
        </w:tc>
      </w:tr>
      <w:tr w:rsidR="00B33542" w:rsidRPr="005071A1" w14:paraId="35C529E3" w14:textId="77777777" w:rsidTr="00CF0C39">
        <w:trPr>
          <w:tblHeader/>
        </w:trPr>
        <w:tc>
          <w:tcPr>
            <w:tcW w:w="2835" w:type="dxa"/>
            <w:tcBorders>
              <w:top w:val="single" w:sz="6" w:space="0" w:color="auto"/>
              <w:bottom w:val="nil"/>
            </w:tcBorders>
            <w:shd w:val="clear" w:color="auto" w:fill="auto"/>
          </w:tcPr>
          <w:p w14:paraId="3B9BADCB" w14:textId="77777777" w:rsidR="00B33542" w:rsidRPr="005071A1" w:rsidRDefault="00B33542" w:rsidP="00FE2F9A">
            <w:pPr>
              <w:pStyle w:val="TableHeading"/>
            </w:pPr>
          </w:p>
        </w:tc>
        <w:tc>
          <w:tcPr>
            <w:tcW w:w="2977" w:type="dxa"/>
            <w:gridSpan w:val="2"/>
            <w:tcBorders>
              <w:top w:val="single" w:sz="6" w:space="0" w:color="auto"/>
              <w:bottom w:val="single" w:sz="6" w:space="0" w:color="auto"/>
            </w:tcBorders>
            <w:shd w:val="clear" w:color="auto" w:fill="auto"/>
          </w:tcPr>
          <w:p w14:paraId="5E672361" w14:textId="77777777" w:rsidR="00B33542" w:rsidRPr="005071A1" w:rsidRDefault="00B33542" w:rsidP="00FE2F9A">
            <w:pPr>
              <w:pStyle w:val="TableHeading"/>
            </w:pPr>
            <w:r w:rsidRPr="005071A1">
              <w:t>Additional Contribution in respect of each Unit, where the Maximum Age for Retirement in respect of that Unit is—</w:t>
            </w:r>
          </w:p>
        </w:tc>
      </w:tr>
      <w:tr w:rsidR="00B33542" w:rsidRPr="005071A1" w14:paraId="76CE27E2" w14:textId="77777777" w:rsidTr="00CF0C39">
        <w:trPr>
          <w:tblHeader/>
        </w:trPr>
        <w:tc>
          <w:tcPr>
            <w:tcW w:w="2835" w:type="dxa"/>
            <w:tcBorders>
              <w:top w:val="nil"/>
              <w:bottom w:val="single" w:sz="6" w:space="0" w:color="auto"/>
            </w:tcBorders>
            <w:shd w:val="clear" w:color="auto" w:fill="auto"/>
          </w:tcPr>
          <w:p w14:paraId="67E4C7A6" w14:textId="77777777" w:rsidR="00B33542" w:rsidRPr="005071A1" w:rsidRDefault="00B33542" w:rsidP="00FE2F9A">
            <w:pPr>
              <w:pStyle w:val="TableHeading"/>
            </w:pPr>
            <w:r w:rsidRPr="005071A1">
              <w:t>Age next Birthday</w:t>
            </w:r>
          </w:p>
        </w:tc>
        <w:tc>
          <w:tcPr>
            <w:tcW w:w="1276" w:type="dxa"/>
            <w:tcBorders>
              <w:top w:val="single" w:sz="6" w:space="0" w:color="auto"/>
              <w:bottom w:val="single" w:sz="6" w:space="0" w:color="auto"/>
            </w:tcBorders>
            <w:shd w:val="clear" w:color="auto" w:fill="auto"/>
          </w:tcPr>
          <w:p w14:paraId="4ECC1182" w14:textId="77777777" w:rsidR="00B33542" w:rsidRPr="005071A1" w:rsidRDefault="00B33542" w:rsidP="00FE2F9A">
            <w:pPr>
              <w:pStyle w:val="TableHeading"/>
            </w:pPr>
            <w:r w:rsidRPr="005071A1">
              <w:t>65 years</w:t>
            </w:r>
          </w:p>
        </w:tc>
        <w:tc>
          <w:tcPr>
            <w:tcW w:w="1701" w:type="dxa"/>
            <w:tcBorders>
              <w:top w:val="single" w:sz="6" w:space="0" w:color="auto"/>
              <w:bottom w:val="single" w:sz="6" w:space="0" w:color="auto"/>
            </w:tcBorders>
            <w:shd w:val="clear" w:color="auto" w:fill="auto"/>
          </w:tcPr>
          <w:p w14:paraId="05C878C7" w14:textId="77777777" w:rsidR="00B33542" w:rsidRPr="005071A1" w:rsidRDefault="00B33542" w:rsidP="00FE2F9A">
            <w:pPr>
              <w:pStyle w:val="TableHeading"/>
            </w:pPr>
            <w:r w:rsidRPr="005071A1">
              <w:t>60 years</w:t>
            </w:r>
          </w:p>
        </w:tc>
      </w:tr>
      <w:tr w:rsidR="00B33542" w:rsidRPr="005071A1" w14:paraId="0CCCDC3D" w14:textId="77777777" w:rsidTr="009B7AF5">
        <w:trPr>
          <w:tblHeader/>
        </w:trPr>
        <w:tc>
          <w:tcPr>
            <w:tcW w:w="2835" w:type="dxa"/>
            <w:tcBorders>
              <w:top w:val="single" w:sz="6" w:space="0" w:color="auto"/>
              <w:bottom w:val="single" w:sz="12" w:space="0" w:color="auto"/>
            </w:tcBorders>
            <w:shd w:val="clear" w:color="auto" w:fill="auto"/>
          </w:tcPr>
          <w:p w14:paraId="5DDCEEC7" w14:textId="77777777" w:rsidR="00B33542" w:rsidRPr="005071A1" w:rsidRDefault="00B33542" w:rsidP="00FE2F9A">
            <w:pPr>
              <w:pStyle w:val="TableHeading"/>
            </w:pPr>
          </w:p>
        </w:tc>
        <w:tc>
          <w:tcPr>
            <w:tcW w:w="1276" w:type="dxa"/>
            <w:tcBorders>
              <w:top w:val="single" w:sz="6" w:space="0" w:color="auto"/>
              <w:bottom w:val="single" w:sz="12" w:space="0" w:color="auto"/>
            </w:tcBorders>
            <w:shd w:val="clear" w:color="auto" w:fill="auto"/>
          </w:tcPr>
          <w:p w14:paraId="7FC134DC" w14:textId="77777777" w:rsidR="00B33542" w:rsidRPr="005071A1" w:rsidRDefault="00B33542" w:rsidP="00FE2F9A">
            <w:pPr>
              <w:pStyle w:val="TableHeading"/>
            </w:pPr>
            <w:r w:rsidRPr="005071A1">
              <w:t>$</w:t>
            </w:r>
          </w:p>
        </w:tc>
        <w:tc>
          <w:tcPr>
            <w:tcW w:w="1701" w:type="dxa"/>
            <w:tcBorders>
              <w:top w:val="single" w:sz="6" w:space="0" w:color="auto"/>
              <w:bottom w:val="single" w:sz="12" w:space="0" w:color="auto"/>
            </w:tcBorders>
            <w:shd w:val="clear" w:color="auto" w:fill="auto"/>
          </w:tcPr>
          <w:p w14:paraId="3215E3B1" w14:textId="77777777" w:rsidR="00B33542" w:rsidRPr="005071A1" w:rsidRDefault="00B33542" w:rsidP="00FE2F9A">
            <w:pPr>
              <w:pStyle w:val="TableHeading"/>
            </w:pPr>
            <w:r w:rsidRPr="005071A1">
              <w:t>$</w:t>
            </w:r>
          </w:p>
        </w:tc>
      </w:tr>
      <w:tr w:rsidR="00B33542" w:rsidRPr="005071A1" w14:paraId="1758A42F" w14:textId="77777777" w:rsidTr="009B7AF5">
        <w:tc>
          <w:tcPr>
            <w:tcW w:w="2835" w:type="dxa"/>
            <w:tcBorders>
              <w:top w:val="single" w:sz="12" w:space="0" w:color="auto"/>
            </w:tcBorders>
            <w:shd w:val="clear" w:color="auto" w:fill="auto"/>
          </w:tcPr>
          <w:p w14:paraId="2A29C8F5" w14:textId="77777777" w:rsidR="00B33542" w:rsidRPr="005071A1" w:rsidRDefault="00B33542" w:rsidP="009B7AF5">
            <w:pPr>
              <w:pStyle w:val="Tabletext"/>
            </w:pPr>
            <w:r w:rsidRPr="005071A1">
              <w:t>15, 16, 17, 18, or 19</w:t>
            </w:r>
          </w:p>
        </w:tc>
        <w:tc>
          <w:tcPr>
            <w:tcW w:w="1276" w:type="dxa"/>
            <w:tcBorders>
              <w:top w:val="single" w:sz="12" w:space="0" w:color="auto"/>
            </w:tcBorders>
            <w:shd w:val="clear" w:color="auto" w:fill="auto"/>
          </w:tcPr>
          <w:p w14:paraId="200F2CB5" w14:textId="77777777" w:rsidR="00B33542" w:rsidRPr="005071A1" w:rsidRDefault="00B33542" w:rsidP="009B7AF5">
            <w:pPr>
              <w:pStyle w:val="Tabletext"/>
            </w:pPr>
            <w:r w:rsidRPr="005071A1">
              <w:t>Nil</w:t>
            </w:r>
          </w:p>
        </w:tc>
        <w:tc>
          <w:tcPr>
            <w:tcW w:w="1701" w:type="dxa"/>
            <w:tcBorders>
              <w:top w:val="single" w:sz="12" w:space="0" w:color="auto"/>
            </w:tcBorders>
            <w:shd w:val="clear" w:color="auto" w:fill="auto"/>
          </w:tcPr>
          <w:p w14:paraId="0132DD18" w14:textId="77777777" w:rsidR="00B33542" w:rsidRPr="005071A1" w:rsidRDefault="00B33542" w:rsidP="009B7AF5">
            <w:pPr>
              <w:pStyle w:val="Tabletext"/>
            </w:pPr>
            <w:r w:rsidRPr="005071A1">
              <w:t>Nil</w:t>
            </w:r>
          </w:p>
        </w:tc>
      </w:tr>
      <w:tr w:rsidR="00B33542" w:rsidRPr="005071A1" w14:paraId="0FCF6A7A" w14:textId="77777777" w:rsidTr="009B7AF5">
        <w:tc>
          <w:tcPr>
            <w:tcW w:w="2835" w:type="dxa"/>
            <w:shd w:val="clear" w:color="auto" w:fill="auto"/>
          </w:tcPr>
          <w:p w14:paraId="3E9F56F9" w14:textId="77777777" w:rsidR="00B33542" w:rsidRPr="005071A1" w:rsidRDefault="00B33542" w:rsidP="009B7AF5">
            <w:pPr>
              <w:pStyle w:val="Tabletext"/>
            </w:pPr>
            <w:r w:rsidRPr="005071A1">
              <w:t>20</w:t>
            </w:r>
          </w:p>
        </w:tc>
        <w:tc>
          <w:tcPr>
            <w:tcW w:w="1276" w:type="dxa"/>
            <w:shd w:val="clear" w:color="auto" w:fill="auto"/>
          </w:tcPr>
          <w:p w14:paraId="01D860C5" w14:textId="77777777" w:rsidR="00B33542" w:rsidRPr="005071A1" w:rsidRDefault="00B33542" w:rsidP="009B7AF5">
            <w:pPr>
              <w:pStyle w:val="Tabletext"/>
            </w:pPr>
            <w:r w:rsidRPr="005071A1">
              <w:t>0.01</w:t>
            </w:r>
          </w:p>
        </w:tc>
        <w:tc>
          <w:tcPr>
            <w:tcW w:w="1701" w:type="dxa"/>
            <w:shd w:val="clear" w:color="auto" w:fill="auto"/>
          </w:tcPr>
          <w:p w14:paraId="65051A50" w14:textId="77777777" w:rsidR="00B33542" w:rsidRPr="005071A1" w:rsidRDefault="00B33542" w:rsidP="009B7AF5">
            <w:pPr>
              <w:pStyle w:val="Tabletext"/>
            </w:pPr>
            <w:r w:rsidRPr="005071A1">
              <w:t>0.01</w:t>
            </w:r>
          </w:p>
        </w:tc>
      </w:tr>
      <w:tr w:rsidR="00B33542" w:rsidRPr="005071A1" w14:paraId="3540D7D9" w14:textId="77777777" w:rsidTr="009B7AF5">
        <w:tc>
          <w:tcPr>
            <w:tcW w:w="2835" w:type="dxa"/>
            <w:shd w:val="clear" w:color="auto" w:fill="auto"/>
          </w:tcPr>
          <w:p w14:paraId="233474A8" w14:textId="77777777" w:rsidR="00B33542" w:rsidRPr="005071A1" w:rsidRDefault="00B33542" w:rsidP="009B7AF5">
            <w:pPr>
              <w:pStyle w:val="Tabletext"/>
            </w:pPr>
            <w:r w:rsidRPr="005071A1">
              <w:t>21</w:t>
            </w:r>
          </w:p>
        </w:tc>
        <w:tc>
          <w:tcPr>
            <w:tcW w:w="1276" w:type="dxa"/>
            <w:shd w:val="clear" w:color="auto" w:fill="auto"/>
          </w:tcPr>
          <w:p w14:paraId="2E6C1C8F" w14:textId="77777777" w:rsidR="00B33542" w:rsidRPr="005071A1" w:rsidRDefault="00B33542" w:rsidP="009B7AF5">
            <w:pPr>
              <w:pStyle w:val="Tabletext"/>
            </w:pPr>
            <w:r w:rsidRPr="005071A1">
              <w:t>0.01</w:t>
            </w:r>
          </w:p>
        </w:tc>
        <w:tc>
          <w:tcPr>
            <w:tcW w:w="1701" w:type="dxa"/>
            <w:shd w:val="clear" w:color="auto" w:fill="auto"/>
          </w:tcPr>
          <w:p w14:paraId="04907764" w14:textId="77777777" w:rsidR="00B33542" w:rsidRPr="005071A1" w:rsidRDefault="00B33542" w:rsidP="009B7AF5">
            <w:pPr>
              <w:pStyle w:val="Tabletext"/>
            </w:pPr>
            <w:r w:rsidRPr="005071A1">
              <w:t>0.01</w:t>
            </w:r>
          </w:p>
        </w:tc>
      </w:tr>
      <w:tr w:rsidR="00B33542" w:rsidRPr="005071A1" w14:paraId="3C980A86" w14:textId="77777777" w:rsidTr="009B7AF5">
        <w:tc>
          <w:tcPr>
            <w:tcW w:w="2835" w:type="dxa"/>
            <w:shd w:val="clear" w:color="auto" w:fill="auto"/>
          </w:tcPr>
          <w:p w14:paraId="13A5733B" w14:textId="77777777" w:rsidR="00B33542" w:rsidRPr="005071A1" w:rsidRDefault="00B33542" w:rsidP="009B7AF5">
            <w:pPr>
              <w:pStyle w:val="Tabletext"/>
            </w:pPr>
            <w:r w:rsidRPr="005071A1">
              <w:t>22</w:t>
            </w:r>
          </w:p>
        </w:tc>
        <w:tc>
          <w:tcPr>
            <w:tcW w:w="1276" w:type="dxa"/>
            <w:shd w:val="clear" w:color="auto" w:fill="auto"/>
          </w:tcPr>
          <w:p w14:paraId="4D425847" w14:textId="77777777" w:rsidR="00B33542" w:rsidRPr="005071A1" w:rsidRDefault="00B33542" w:rsidP="009B7AF5">
            <w:pPr>
              <w:pStyle w:val="Tabletext"/>
            </w:pPr>
            <w:r w:rsidRPr="005071A1">
              <w:t>0.01</w:t>
            </w:r>
          </w:p>
        </w:tc>
        <w:tc>
          <w:tcPr>
            <w:tcW w:w="1701" w:type="dxa"/>
            <w:shd w:val="clear" w:color="auto" w:fill="auto"/>
          </w:tcPr>
          <w:p w14:paraId="05417E54" w14:textId="77777777" w:rsidR="00B33542" w:rsidRPr="005071A1" w:rsidRDefault="00B33542" w:rsidP="009B7AF5">
            <w:pPr>
              <w:pStyle w:val="Tabletext"/>
            </w:pPr>
            <w:r w:rsidRPr="005071A1">
              <w:t>0.01</w:t>
            </w:r>
          </w:p>
        </w:tc>
      </w:tr>
      <w:tr w:rsidR="00B33542" w:rsidRPr="005071A1" w14:paraId="31CB2521" w14:textId="77777777" w:rsidTr="009B7AF5">
        <w:tc>
          <w:tcPr>
            <w:tcW w:w="2835" w:type="dxa"/>
            <w:shd w:val="clear" w:color="auto" w:fill="auto"/>
          </w:tcPr>
          <w:p w14:paraId="2FD87E63" w14:textId="77777777" w:rsidR="00B33542" w:rsidRPr="005071A1" w:rsidRDefault="00B33542" w:rsidP="009B7AF5">
            <w:pPr>
              <w:pStyle w:val="Tabletext"/>
            </w:pPr>
            <w:r w:rsidRPr="005071A1">
              <w:t>23</w:t>
            </w:r>
          </w:p>
        </w:tc>
        <w:tc>
          <w:tcPr>
            <w:tcW w:w="1276" w:type="dxa"/>
            <w:shd w:val="clear" w:color="auto" w:fill="auto"/>
          </w:tcPr>
          <w:p w14:paraId="1F756F4A" w14:textId="77777777" w:rsidR="00B33542" w:rsidRPr="005071A1" w:rsidRDefault="00B33542" w:rsidP="009B7AF5">
            <w:pPr>
              <w:pStyle w:val="Tabletext"/>
            </w:pPr>
            <w:r w:rsidRPr="005071A1">
              <w:t>0.01</w:t>
            </w:r>
          </w:p>
        </w:tc>
        <w:tc>
          <w:tcPr>
            <w:tcW w:w="1701" w:type="dxa"/>
            <w:shd w:val="clear" w:color="auto" w:fill="auto"/>
          </w:tcPr>
          <w:p w14:paraId="773B1CC2" w14:textId="77777777" w:rsidR="00B33542" w:rsidRPr="005071A1" w:rsidRDefault="00B33542" w:rsidP="009B7AF5">
            <w:pPr>
              <w:pStyle w:val="Tabletext"/>
            </w:pPr>
            <w:r w:rsidRPr="005071A1">
              <w:t>0.01</w:t>
            </w:r>
          </w:p>
        </w:tc>
      </w:tr>
      <w:tr w:rsidR="00B33542" w:rsidRPr="005071A1" w14:paraId="3C943C55" w14:textId="77777777" w:rsidTr="009B7AF5">
        <w:tc>
          <w:tcPr>
            <w:tcW w:w="2835" w:type="dxa"/>
            <w:shd w:val="clear" w:color="auto" w:fill="auto"/>
          </w:tcPr>
          <w:p w14:paraId="595C3722" w14:textId="77777777" w:rsidR="00B33542" w:rsidRPr="005071A1" w:rsidRDefault="00B33542" w:rsidP="009B7AF5">
            <w:pPr>
              <w:pStyle w:val="Tabletext"/>
            </w:pPr>
            <w:r w:rsidRPr="005071A1">
              <w:t>24</w:t>
            </w:r>
          </w:p>
        </w:tc>
        <w:tc>
          <w:tcPr>
            <w:tcW w:w="1276" w:type="dxa"/>
            <w:shd w:val="clear" w:color="auto" w:fill="auto"/>
          </w:tcPr>
          <w:p w14:paraId="41BBEC84" w14:textId="77777777" w:rsidR="00B33542" w:rsidRPr="005071A1" w:rsidRDefault="00B33542" w:rsidP="009B7AF5">
            <w:pPr>
              <w:pStyle w:val="Tabletext"/>
            </w:pPr>
            <w:r w:rsidRPr="005071A1">
              <w:t>0.01</w:t>
            </w:r>
          </w:p>
        </w:tc>
        <w:tc>
          <w:tcPr>
            <w:tcW w:w="1701" w:type="dxa"/>
            <w:shd w:val="clear" w:color="auto" w:fill="auto"/>
          </w:tcPr>
          <w:p w14:paraId="616D63A3" w14:textId="77777777" w:rsidR="00B33542" w:rsidRPr="005071A1" w:rsidRDefault="00B33542" w:rsidP="009B7AF5">
            <w:pPr>
              <w:pStyle w:val="Tabletext"/>
            </w:pPr>
            <w:r w:rsidRPr="005071A1">
              <w:t>0.01</w:t>
            </w:r>
          </w:p>
        </w:tc>
      </w:tr>
      <w:tr w:rsidR="00B33542" w:rsidRPr="005071A1" w14:paraId="3A9F40A5" w14:textId="77777777" w:rsidTr="009B7AF5">
        <w:tc>
          <w:tcPr>
            <w:tcW w:w="2835" w:type="dxa"/>
            <w:shd w:val="clear" w:color="auto" w:fill="auto"/>
          </w:tcPr>
          <w:p w14:paraId="1DDB53BC" w14:textId="77777777" w:rsidR="00B33542" w:rsidRPr="005071A1" w:rsidRDefault="00B33542" w:rsidP="009B7AF5">
            <w:pPr>
              <w:pStyle w:val="Tabletext"/>
            </w:pPr>
            <w:r w:rsidRPr="005071A1">
              <w:t>25</w:t>
            </w:r>
          </w:p>
        </w:tc>
        <w:tc>
          <w:tcPr>
            <w:tcW w:w="1276" w:type="dxa"/>
            <w:shd w:val="clear" w:color="auto" w:fill="auto"/>
          </w:tcPr>
          <w:p w14:paraId="02281863" w14:textId="77777777" w:rsidR="00B33542" w:rsidRPr="005071A1" w:rsidRDefault="00B33542" w:rsidP="009B7AF5">
            <w:pPr>
              <w:pStyle w:val="Tabletext"/>
            </w:pPr>
            <w:r w:rsidRPr="005071A1">
              <w:t>0.01</w:t>
            </w:r>
          </w:p>
        </w:tc>
        <w:tc>
          <w:tcPr>
            <w:tcW w:w="1701" w:type="dxa"/>
            <w:shd w:val="clear" w:color="auto" w:fill="auto"/>
          </w:tcPr>
          <w:p w14:paraId="573C2D35" w14:textId="77777777" w:rsidR="00B33542" w:rsidRPr="005071A1" w:rsidRDefault="00B33542" w:rsidP="009B7AF5">
            <w:pPr>
              <w:pStyle w:val="Tabletext"/>
            </w:pPr>
            <w:r w:rsidRPr="005071A1">
              <w:t>0.01</w:t>
            </w:r>
          </w:p>
        </w:tc>
      </w:tr>
      <w:tr w:rsidR="00B33542" w:rsidRPr="005071A1" w14:paraId="24AB2421" w14:textId="77777777" w:rsidTr="009B7AF5">
        <w:tc>
          <w:tcPr>
            <w:tcW w:w="2835" w:type="dxa"/>
            <w:shd w:val="clear" w:color="auto" w:fill="auto"/>
          </w:tcPr>
          <w:p w14:paraId="0A7FC420" w14:textId="77777777" w:rsidR="00B33542" w:rsidRPr="005071A1" w:rsidRDefault="00B33542" w:rsidP="009B7AF5">
            <w:pPr>
              <w:pStyle w:val="Tabletext"/>
            </w:pPr>
            <w:r w:rsidRPr="005071A1">
              <w:t>26</w:t>
            </w:r>
          </w:p>
        </w:tc>
        <w:tc>
          <w:tcPr>
            <w:tcW w:w="1276" w:type="dxa"/>
            <w:shd w:val="clear" w:color="auto" w:fill="auto"/>
          </w:tcPr>
          <w:p w14:paraId="6293AC5B" w14:textId="77777777" w:rsidR="00B33542" w:rsidRPr="005071A1" w:rsidRDefault="00B33542" w:rsidP="009B7AF5">
            <w:pPr>
              <w:pStyle w:val="Tabletext"/>
            </w:pPr>
            <w:r w:rsidRPr="005071A1">
              <w:t>0.01</w:t>
            </w:r>
          </w:p>
        </w:tc>
        <w:tc>
          <w:tcPr>
            <w:tcW w:w="1701" w:type="dxa"/>
            <w:shd w:val="clear" w:color="auto" w:fill="auto"/>
          </w:tcPr>
          <w:p w14:paraId="564809C1" w14:textId="77777777" w:rsidR="00B33542" w:rsidRPr="005071A1" w:rsidRDefault="00B33542" w:rsidP="009B7AF5">
            <w:pPr>
              <w:pStyle w:val="Tabletext"/>
            </w:pPr>
            <w:r w:rsidRPr="005071A1">
              <w:t>0.01</w:t>
            </w:r>
          </w:p>
        </w:tc>
      </w:tr>
      <w:tr w:rsidR="00B33542" w:rsidRPr="005071A1" w14:paraId="4CFB17E2" w14:textId="77777777" w:rsidTr="009B7AF5">
        <w:tc>
          <w:tcPr>
            <w:tcW w:w="2835" w:type="dxa"/>
            <w:shd w:val="clear" w:color="auto" w:fill="auto"/>
          </w:tcPr>
          <w:p w14:paraId="5495D8DC" w14:textId="77777777" w:rsidR="00B33542" w:rsidRPr="005071A1" w:rsidRDefault="00B33542" w:rsidP="009B7AF5">
            <w:pPr>
              <w:pStyle w:val="Tabletext"/>
            </w:pPr>
            <w:r w:rsidRPr="005071A1">
              <w:t>27</w:t>
            </w:r>
          </w:p>
        </w:tc>
        <w:tc>
          <w:tcPr>
            <w:tcW w:w="1276" w:type="dxa"/>
            <w:shd w:val="clear" w:color="auto" w:fill="auto"/>
          </w:tcPr>
          <w:p w14:paraId="13AD45B8" w14:textId="77777777" w:rsidR="00B33542" w:rsidRPr="005071A1" w:rsidRDefault="00B33542" w:rsidP="009B7AF5">
            <w:pPr>
              <w:pStyle w:val="Tabletext"/>
            </w:pPr>
            <w:r w:rsidRPr="005071A1">
              <w:t>0.01</w:t>
            </w:r>
          </w:p>
        </w:tc>
        <w:tc>
          <w:tcPr>
            <w:tcW w:w="1701" w:type="dxa"/>
            <w:shd w:val="clear" w:color="auto" w:fill="auto"/>
          </w:tcPr>
          <w:p w14:paraId="7958567E" w14:textId="77777777" w:rsidR="00B33542" w:rsidRPr="005071A1" w:rsidRDefault="00B33542" w:rsidP="009B7AF5">
            <w:pPr>
              <w:pStyle w:val="Tabletext"/>
            </w:pPr>
            <w:r w:rsidRPr="005071A1">
              <w:t>0.01</w:t>
            </w:r>
          </w:p>
        </w:tc>
      </w:tr>
      <w:tr w:rsidR="00B33542" w:rsidRPr="005071A1" w14:paraId="26E87427" w14:textId="77777777" w:rsidTr="009B7AF5">
        <w:tc>
          <w:tcPr>
            <w:tcW w:w="2835" w:type="dxa"/>
            <w:shd w:val="clear" w:color="auto" w:fill="auto"/>
          </w:tcPr>
          <w:p w14:paraId="57D01988" w14:textId="77777777" w:rsidR="00B33542" w:rsidRPr="005071A1" w:rsidRDefault="00B33542" w:rsidP="009B7AF5">
            <w:pPr>
              <w:pStyle w:val="Tabletext"/>
            </w:pPr>
            <w:r w:rsidRPr="005071A1">
              <w:t>28</w:t>
            </w:r>
          </w:p>
        </w:tc>
        <w:tc>
          <w:tcPr>
            <w:tcW w:w="1276" w:type="dxa"/>
            <w:shd w:val="clear" w:color="auto" w:fill="auto"/>
          </w:tcPr>
          <w:p w14:paraId="65706DD7" w14:textId="77777777" w:rsidR="00B33542" w:rsidRPr="005071A1" w:rsidRDefault="00B33542" w:rsidP="009B7AF5">
            <w:pPr>
              <w:pStyle w:val="Tabletext"/>
            </w:pPr>
            <w:r w:rsidRPr="005071A1">
              <w:t>0.01</w:t>
            </w:r>
          </w:p>
        </w:tc>
        <w:tc>
          <w:tcPr>
            <w:tcW w:w="1701" w:type="dxa"/>
            <w:shd w:val="clear" w:color="auto" w:fill="auto"/>
          </w:tcPr>
          <w:p w14:paraId="2532BF7A" w14:textId="77777777" w:rsidR="00B33542" w:rsidRPr="005071A1" w:rsidRDefault="00B33542" w:rsidP="009B7AF5">
            <w:pPr>
              <w:pStyle w:val="Tabletext"/>
            </w:pPr>
            <w:r w:rsidRPr="005071A1">
              <w:t>0.01</w:t>
            </w:r>
          </w:p>
        </w:tc>
      </w:tr>
      <w:tr w:rsidR="00B33542" w:rsidRPr="005071A1" w14:paraId="22BD8B7C" w14:textId="77777777" w:rsidTr="009B7AF5">
        <w:tc>
          <w:tcPr>
            <w:tcW w:w="2835" w:type="dxa"/>
            <w:shd w:val="clear" w:color="auto" w:fill="auto"/>
          </w:tcPr>
          <w:p w14:paraId="3EBCC4EC" w14:textId="77777777" w:rsidR="00B33542" w:rsidRPr="005071A1" w:rsidRDefault="00B33542" w:rsidP="009B7AF5">
            <w:pPr>
              <w:pStyle w:val="Tabletext"/>
            </w:pPr>
            <w:r w:rsidRPr="005071A1">
              <w:t>29</w:t>
            </w:r>
          </w:p>
        </w:tc>
        <w:tc>
          <w:tcPr>
            <w:tcW w:w="1276" w:type="dxa"/>
            <w:shd w:val="clear" w:color="auto" w:fill="auto"/>
          </w:tcPr>
          <w:p w14:paraId="6ADB79E2" w14:textId="77777777" w:rsidR="00B33542" w:rsidRPr="005071A1" w:rsidRDefault="00B33542" w:rsidP="009B7AF5">
            <w:pPr>
              <w:pStyle w:val="Tabletext"/>
            </w:pPr>
            <w:r w:rsidRPr="005071A1">
              <w:t>0.01</w:t>
            </w:r>
          </w:p>
        </w:tc>
        <w:tc>
          <w:tcPr>
            <w:tcW w:w="1701" w:type="dxa"/>
            <w:shd w:val="clear" w:color="auto" w:fill="auto"/>
          </w:tcPr>
          <w:p w14:paraId="00DFBF61" w14:textId="77777777" w:rsidR="00B33542" w:rsidRPr="005071A1" w:rsidRDefault="00B33542" w:rsidP="009B7AF5">
            <w:pPr>
              <w:pStyle w:val="Tabletext"/>
            </w:pPr>
            <w:r w:rsidRPr="005071A1">
              <w:t>0.01</w:t>
            </w:r>
          </w:p>
        </w:tc>
      </w:tr>
      <w:tr w:rsidR="00B33542" w:rsidRPr="005071A1" w14:paraId="645D1C9F" w14:textId="77777777" w:rsidTr="009B7AF5">
        <w:tc>
          <w:tcPr>
            <w:tcW w:w="2835" w:type="dxa"/>
            <w:shd w:val="clear" w:color="auto" w:fill="auto"/>
          </w:tcPr>
          <w:p w14:paraId="5C9CE412" w14:textId="77777777" w:rsidR="00B33542" w:rsidRPr="005071A1" w:rsidRDefault="00B33542" w:rsidP="009B7AF5">
            <w:pPr>
              <w:pStyle w:val="Tabletext"/>
            </w:pPr>
            <w:r w:rsidRPr="005071A1">
              <w:t>30</w:t>
            </w:r>
          </w:p>
        </w:tc>
        <w:tc>
          <w:tcPr>
            <w:tcW w:w="1276" w:type="dxa"/>
            <w:shd w:val="clear" w:color="auto" w:fill="auto"/>
          </w:tcPr>
          <w:p w14:paraId="09E66B95" w14:textId="77777777" w:rsidR="00B33542" w:rsidRPr="005071A1" w:rsidRDefault="00B33542" w:rsidP="009B7AF5">
            <w:pPr>
              <w:pStyle w:val="Tabletext"/>
            </w:pPr>
            <w:r w:rsidRPr="005071A1">
              <w:t>0.01</w:t>
            </w:r>
          </w:p>
        </w:tc>
        <w:tc>
          <w:tcPr>
            <w:tcW w:w="1701" w:type="dxa"/>
            <w:shd w:val="clear" w:color="auto" w:fill="auto"/>
          </w:tcPr>
          <w:p w14:paraId="67B9F79C" w14:textId="77777777" w:rsidR="00B33542" w:rsidRPr="005071A1" w:rsidRDefault="00B33542" w:rsidP="009B7AF5">
            <w:pPr>
              <w:pStyle w:val="Tabletext"/>
            </w:pPr>
            <w:r w:rsidRPr="005071A1">
              <w:t>0.01</w:t>
            </w:r>
          </w:p>
        </w:tc>
      </w:tr>
      <w:tr w:rsidR="00B33542" w:rsidRPr="005071A1" w14:paraId="34D79A44" w14:textId="77777777" w:rsidTr="009B7AF5">
        <w:tc>
          <w:tcPr>
            <w:tcW w:w="2835" w:type="dxa"/>
            <w:shd w:val="clear" w:color="auto" w:fill="auto"/>
          </w:tcPr>
          <w:p w14:paraId="631FF0C0" w14:textId="77777777" w:rsidR="00B33542" w:rsidRPr="005071A1" w:rsidRDefault="00B33542" w:rsidP="009B7AF5">
            <w:pPr>
              <w:pStyle w:val="Tabletext"/>
            </w:pPr>
            <w:r w:rsidRPr="005071A1">
              <w:t>31</w:t>
            </w:r>
          </w:p>
        </w:tc>
        <w:tc>
          <w:tcPr>
            <w:tcW w:w="1276" w:type="dxa"/>
            <w:shd w:val="clear" w:color="auto" w:fill="auto"/>
          </w:tcPr>
          <w:p w14:paraId="5B63F2A7" w14:textId="77777777" w:rsidR="00B33542" w:rsidRPr="005071A1" w:rsidRDefault="00B33542" w:rsidP="009B7AF5">
            <w:pPr>
              <w:pStyle w:val="Tabletext"/>
            </w:pPr>
            <w:r w:rsidRPr="005071A1">
              <w:t>0.01</w:t>
            </w:r>
          </w:p>
        </w:tc>
        <w:tc>
          <w:tcPr>
            <w:tcW w:w="1701" w:type="dxa"/>
            <w:shd w:val="clear" w:color="auto" w:fill="auto"/>
          </w:tcPr>
          <w:p w14:paraId="2460E901" w14:textId="77777777" w:rsidR="00B33542" w:rsidRPr="005071A1" w:rsidRDefault="00B33542" w:rsidP="009B7AF5">
            <w:pPr>
              <w:pStyle w:val="Tabletext"/>
            </w:pPr>
            <w:r w:rsidRPr="005071A1">
              <w:t>0.01</w:t>
            </w:r>
          </w:p>
        </w:tc>
      </w:tr>
      <w:tr w:rsidR="00B33542" w:rsidRPr="005071A1" w14:paraId="609F4647" w14:textId="77777777" w:rsidTr="009B7AF5">
        <w:tc>
          <w:tcPr>
            <w:tcW w:w="2835" w:type="dxa"/>
            <w:shd w:val="clear" w:color="auto" w:fill="auto"/>
          </w:tcPr>
          <w:p w14:paraId="4E45E072" w14:textId="77777777" w:rsidR="00B33542" w:rsidRPr="005071A1" w:rsidRDefault="00B33542" w:rsidP="009B7AF5">
            <w:pPr>
              <w:pStyle w:val="Tabletext"/>
            </w:pPr>
            <w:r w:rsidRPr="005071A1">
              <w:t>32</w:t>
            </w:r>
          </w:p>
        </w:tc>
        <w:tc>
          <w:tcPr>
            <w:tcW w:w="1276" w:type="dxa"/>
            <w:shd w:val="clear" w:color="auto" w:fill="auto"/>
          </w:tcPr>
          <w:p w14:paraId="69C042AA" w14:textId="77777777" w:rsidR="00B33542" w:rsidRPr="005071A1" w:rsidRDefault="00B33542" w:rsidP="009B7AF5">
            <w:pPr>
              <w:pStyle w:val="Tabletext"/>
            </w:pPr>
            <w:r w:rsidRPr="005071A1">
              <w:t>0.01</w:t>
            </w:r>
          </w:p>
        </w:tc>
        <w:tc>
          <w:tcPr>
            <w:tcW w:w="1701" w:type="dxa"/>
            <w:shd w:val="clear" w:color="auto" w:fill="auto"/>
          </w:tcPr>
          <w:p w14:paraId="0FCA5804" w14:textId="77777777" w:rsidR="00B33542" w:rsidRPr="005071A1" w:rsidRDefault="00B33542" w:rsidP="009B7AF5">
            <w:pPr>
              <w:pStyle w:val="Tabletext"/>
            </w:pPr>
            <w:r w:rsidRPr="005071A1">
              <w:t>0.01</w:t>
            </w:r>
          </w:p>
        </w:tc>
      </w:tr>
      <w:tr w:rsidR="00B33542" w:rsidRPr="005071A1" w14:paraId="73267BA4" w14:textId="77777777" w:rsidTr="009B7AF5">
        <w:tc>
          <w:tcPr>
            <w:tcW w:w="2835" w:type="dxa"/>
            <w:shd w:val="clear" w:color="auto" w:fill="auto"/>
          </w:tcPr>
          <w:p w14:paraId="5957EDCE" w14:textId="77777777" w:rsidR="00B33542" w:rsidRPr="005071A1" w:rsidRDefault="00B33542" w:rsidP="009B7AF5">
            <w:pPr>
              <w:pStyle w:val="Tabletext"/>
            </w:pPr>
            <w:r w:rsidRPr="005071A1">
              <w:t>33</w:t>
            </w:r>
          </w:p>
        </w:tc>
        <w:tc>
          <w:tcPr>
            <w:tcW w:w="1276" w:type="dxa"/>
            <w:shd w:val="clear" w:color="auto" w:fill="auto"/>
          </w:tcPr>
          <w:p w14:paraId="1D4AD3C7" w14:textId="77777777" w:rsidR="00B33542" w:rsidRPr="005071A1" w:rsidRDefault="00B33542" w:rsidP="009B7AF5">
            <w:pPr>
              <w:pStyle w:val="Tabletext"/>
            </w:pPr>
            <w:r w:rsidRPr="005071A1">
              <w:t>0.01</w:t>
            </w:r>
          </w:p>
        </w:tc>
        <w:tc>
          <w:tcPr>
            <w:tcW w:w="1701" w:type="dxa"/>
            <w:shd w:val="clear" w:color="auto" w:fill="auto"/>
          </w:tcPr>
          <w:p w14:paraId="5AAB27E6" w14:textId="77777777" w:rsidR="00B33542" w:rsidRPr="005071A1" w:rsidRDefault="00B33542" w:rsidP="009B7AF5">
            <w:pPr>
              <w:pStyle w:val="Tabletext"/>
            </w:pPr>
            <w:r w:rsidRPr="005071A1">
              <w:t>0.01</w:t>
            </w:r>
          </w:p>
        </w:tc>
      </w:tr>
      <w:tr w:rsidR="00B33542" w:rsidRPr="005071A1" w14:paraId="13A41678" w14:textId="77777777" w:rsidTr="009B7AF5">
        <w:tc>
          <w:tcPr>
            <w:tcW w:w="2835" w:type="dxa"/>
            <w:shd w:val="clear" w:color="auto" w:fill="auto"/>
          </w:tcPr>
          <w:p w14:paraId="266241A9" w14:textId="77777777" w:rsidR="00B33542" w:rsidRPr="005071A1" w:rsidRDefault="00B33542" w:rsidP="009B7AF5">
            <w:pPr>
              <w:pStyle w:val="Tabletext"/>
            </w:pPr>
            <w:r w:rsidRPr="005071A1">
              <w:lastRenderedPageBreak/>
              <w:t>34</w:t>
            </w:r>
          </w:p>
        </w:tc>
        <w:tc>
          <w:tcPr>
            <w:tcW w:w="1276" w:type="dxa"/>
            <w:shd w:val="clear" w:color="auto" w:fill="auto"/>
          </w:tcPr>
          <w:p w14:paraId="227DA645" w14:textId="77777777" w:rsidR="00B33542" w:rsidRPr="005071A1" w:rsidRDefault="00B33542" w:rsidP="009B7AF5">
            <w:pPr>
              <w:pStyle w:val="Tabletext"/>
            </w:pPr>
            <w:r w:rsidRPr="005071A1">
              <w:t>0.01</w:t>
            </w:r>
          </w:p>
        </w:tc>
        <w:tc>
          <w:tcPr>
            <w:tcW w:w="1701" w:type="dxa"/>
            <w:shd w:val="clear" w:color="auto" w:fill="auto"/>
          </w:tcPr>
          <w:p w14:paraId="49606F8B" w14:textId="77777777" w:rsidR="00B33542" w:rsidRPr="005071A1" w:rsidRDefault="00B33542" w:rsidP="009B7AF5">
            <w:pPr>
              <w:pStyle w:val="Tabletext"/>
            </w:pPr>
            <w:r w:rsidRPr="005071A1">
              <w:t>0.01</w:t>
            </w:r>
          </w:p>
        </w:tc>
      </w:tr>
      <w:tr w:rsidR="00B33542" w:rsidRPr="005071A1" w14:paraId="58B03E1D" w14:textId="77777777" w:rsidTr="009B7AF5">
        <w:tc>
          <w:tcPr>
            <w:tcW w:w="2835" w:type="dxa"/>
            <w:shd w:val="clear" w:color="auto" w:fill="auto"/>
          </w:tcPr>
          <w:p w14:paraId="18FEAD72" w14:textId="77777777" w:rsidR="00B33542" w:rsidRPr="005071A1" w:rsidRDefault="00B33542" w:rsidP="009B7AF5">
            <w:pPr>
              <w:pStyle w:val="Tabletext"/>
            </w:pPr>
            <w:r w:rsidRPr="005071A1">
              <w:t>35</w:t>
            </w:r>
          </w:p>
        </w:tc>
        <w:tc>
          <w:tcPr>
            <w:tcW w:w="1276" w:type="dxa"/>
            <w:shd w:val="clear" w:color="auto" w:fill="auto"/>
          </w:tcPr>
          <w:p w14:paraId="7D50BC90" w14:textId="77777777" w:rsidR="00B33542" w:rsidRPr="005071A1" w:rsidRDefault="00B33542" w:rsidP="009B7AF5">
            <w:pPr>
              <w:pStyle w:val="Tabletext"/>
            </w:pPr>
            <w:r w:rsidRPr="005071A1">
              <w:t>0.02</w:t>
            </w:r>
          </w:p>
        </w:tc>
        <w:tc>
          <w:tcPr>
            <w:tcW w:w="1701" w:type="dxa"/>
            <w:shd w:val="clear" w:color="auto" w:fill="auto"/>
          </w:tcPr>
          <w:p w14:paraId="1D5ECB76" w14:textId="77777777" w:rsidR="00B33542" w:rsidRPr="005071A1" w:rsidRDefault="00B33542" w:rsidP="009B7AF5">
            <w:pPr>
              <w:pStyle w:val="Tabletext"/>
            </w:pPr>
            <w:r w:rsidRPr="005071A1">
              <w:t>0.02</w:t>
            </w:r>
          </w:p>
        </w:tc>
      </w:tr>
      <w:tr w:rsidR="00B33542" w:rsidRPr="005071A1" w14:paraId="6DCFDD1B" w14:textId="77777777" w:rsidTr="009B7AF5">
        <w:tc>
          <w:tcPr>
            <w:tcW w:w="2835" w:type="dxa"/>
            <w:shd w:val="clear" w:color="auto" w:fill="auto"/>
          </w:tcPr>
          <w:p w14:paraId="7C4BCCFA" w14:textId="77777777" w:rsidR="00B33542" w:rsidRPr="005071A1" w:rsidRDefault="00B33542" w:rsidP="009B7AF5">
            <w:pPr>
              <w:pStyle w:val="Tabletext"/>
            </w:pPr>
            <w:r w:rsidRPr="005071A1">
              <w:t>36</w:t>
            </w:r>
          </w:p>
        </w:tc>
        <w:tc>
          <w:tcPr>
            <w:tcW w:w="1276" w:type="dxa"/>
            <w:shd w:val="clear" w:color="auto" w:fill="auto"/>
          </w:tcPr>
          <w:p w14:paraId="030388FC" w14:textId="77777777" w:rsidR="00B33542" w:rsidRPr="005071A1" w:rsidRDefault="00B33542" w:rsidP="009B7AF5">
            <w:pPr>
              <w:pStyle w:val="Tabletext"/>
            </w:pPr>
            <w:r w:rsidRPr="005071A1">
              <w:t>0.02</w:t>
            </w:r>
          </w:p>
        </w:tc>
        <w:tc>
          <w:tcPr>
            <w:tcW w:w="1701" w:type="dxa"/>
            <w:shd w:val="clear" w:color="auto" w:fill="auto"/>
          </w:tcPr>
          <w:p w14:paraId="39AAF042" w14:textId="77777777" w:rsidR="00B33542" w:rsidRPr="005071A1" w:rsidRDefault="00B33542" w:rsidP="009B7AF5">
            <w:pPr>
              <w:pStyle w:val="Tabletext"/>
            </w:pPr>
            <w:r w:rsidRPr="005071A1">
              <w:t>0.02</w:t>
            </w:r>
          </w:p>
        </w:tc>
      </w:tr>
      <w:tr w:rsidR="00B33542" w:rsidRPr="005071A1" w14:paraId="3559F413" w14:textId="77777777" w:rsidTr="00D57394">
        <w:tc>
          <w:tcPr>
            <w:tcW w:w="2835" w:type="dxa"/>
            <w:tcBorders>
              <w:bottom w:val="single" w:sz="4" w:space="0" w:color="auto"/>
            </w:tcBorders>
            <w:shd w:val="clear" w:color="auto" w:fill="auto"/>
          </w:tcPr>
          <w:p w14:paraId="5A625070" w14:textId="77777777" w:rsidR="00B33542" w:rsidRPr="005071A1" w:rsidRDefault="00B33542" w:rsidP="009B7AF5">
            <w:pPr>
              <w:pStyle w:val="Tabletext"/>
            </w:pPr>
            <w:r w:rsidRPr="005071A1">
              <w:t>37</w:t>
            </w:r>
          </w:p>
        </w:tc>
        <w:tc>
          <w:tcPr>
            <w:tcW w:w="1276" w:type="dxa"/>
            <w:tcBorders>
              <w:bottom w:val="single" w:sz="4" w:space="0" w:color="auto"/>
            </w:tcBorders>
            <w:shd w:val="clear" w:color="auto" w:fill="auto"/>
          </w:tcPr>
          <w:p w14:paraId="08B4CDCE" w14:textId="77777777" w:rsidR="00B33542" w:rsidRPr="005071A1" w:rsidRDefault="00B33542" w:rsidP="009B7AF5">
            <w:pPr>
              <w:pStyle w:val="Tabletext"/>
            </w:pPr>
            <w:r w:rsidRPr="005071A1">
              <w:t>0.02</w:t>
            </w:r>
          </w:p>
        </w:tc>
        <w:tc>
          <w:tcPr>
            <w:tcW w:w="1701" w:type="dxa"/>
            <w:tcBorders>
              <w:bottom w:val="single" w:sz="4" w:space="0" w:color="auto"/>
            </w:tcBorders>
            <w:shd w:val="clear" w:color="auto" w:fill="auto"/>
          </w:tcPr>
          <w:p w14:paraId="1B4807A5" w14:textId="77777777" w:rsidR="00B33542" w:rsidRPr="005071A1" w:rsidRDefault="00B33542" w:rsidP="009B7AF5">
            <w:pPr>
              <w:pStyle w:val="Tabletext"/>
            </w:pPr>
            <w:r w:rsidRPr="005071A1">
              <w:t>0.02</w:t>
            </w:r>
          </w:p>
        </w:tc>
      </w:tr>
      <w:tr w:rsidR="00B33542" w:rsidRPr="005071A1" w14:paraId="2C2A5FA7" w14:textId="77777777" w:rsidTr="00D57394">
        <w:tc>
          <w:tcPr>
            <w:tcW w:w="2835" w:type="dxa"/>
            <w:tcBorders>
              <w:bottom w:val="single" w:sz="4" w:space="0" w:color="auto"/>
            </w:tcBorders>
            <w:shd w:val="clear" w:color="auto" w:fill="auto"/>
          </w:tcPr>
          <w:p w14:paraId="56F53A0B" w14:textId="77777777" w:rsidR="00B33542" w:rsidRPr="005071A1" w:rsidRDefault="00B33542" w:rsidP="009B7AF5">
            <w:pPr>
              <w:pStyle w:val="Tabletext"/>
            </w:pPr>
            <w:r w:rsidRPr="005071A1">
              <w:t>38</w:t>
            </w:r>
          </w:p>
        </w:tc>
        <w:tc>
          <w:tcPr>
            <w:tcW w:w="1276" w:type="dxa"/>
            <w:tcBorders>
              <w:bottom w:val="single" w:sz="4" w:space="0" w:color="auto"/>
            </w:tcBorders>
            <w:shd w:val="clear" w:color="auto" w:fill="auto"/>
          </w:tcPr>
          <w:p w14:paraId="18C09A3B" w14:textId="77777777" w:rsidR="00B33542" w:rsidRPr="005071A1" w:rsidRDefault="00B33542" w:rsidP="009B7AF5">
            <w:pPr>
              <w:pStyle w:val="Tabletext"/>
            </w:pPr>
            <w:r w:rsidRPr="005071A1">
              <w:t>0.02</w:t>
            </w:r>
          </w:p>
        </w:tc>
        <w:tc>
          <w:tcPr>
            <w:tcW w:w="1701" w:type="dxa"/>
            <w:tcBorders>
              <w:bottom w:val="single" w:sz="4" w:space="0" w:color="auto"/>
            </w:tcBorders>
            <w:shd w:val="clear" w:color="auto" w:fill="auto"/>
          </w:tcPr>
          <w:p w14:paraId="2FE981EE" w14:textId="77777777" w:rsidR="00B33542" w:rsidRPr="005071A1" w:rsidRDefault="00B33542" w:rsidP="009B7AF5">
            <w:pPr>
              <w:pStyle w:val="Tabletext"/>
            </w:pPr>
            <w:r w:rsidRPr="005071A1">
              <w:t>0.02</w:t>
            </w:r>
          </w:p>
        </w:tc>
      </w:tr>
      <w:tr w:rsidR="00B33542" w:rsidRPr="005071A1" w14:paraId="32641764" w14:textId="77777777" w:rsidTr="00D57394">
        <w:tc>
          <w:tcPr>
            <w:tcW w:w="2835" w:type="dxa"/>
            <w:tcBorders>
              <w:top w:val="single" w:sz="4" w:space="0" w:color="auto"/>
            </w:tcBorders>
            <w:shd w:val="clear" w:color="auto" w:fill="auto"/>
          </w:tcPr>
          <w:p w14:paraId="70A45B7D" w14:textId="77777777" w:rsidR="00B33542" w:rsidRPr="005071A1" w:rsidRDefault="00B33542" w:rsidP="009B7AF5">
            <w:pPr>
              <w:pStyle w:val="Tabletext"/>
            </w:pPr>
            <w:r w:rsidRPr="005071A1">
              <w:t>39</w:t>
            </w:r>
          </w:p>
        </w:tc>
        <w:tc>
          <w:tcPr>
            <w:tcW w:w="1276" w:type="dxa"/>
            <w:tcBorders>
              <w:top w:val="single" w:sz="4" w:space="0" w:color="auto"/>
            </w:tcBorders>
            <w:shd w:val="clear" w:color="auto" w:fill="auto"/>
          </w:tcPr>
          <w:p w14:paraId="6C56B1BC" w14:textId="77777777" w:rsidR="00B33542" w:rsidRPr="005071A1" w:rsidRDefault="00B33542" w:rsidP="009B7AF5">
            <w:pPr>
              <w:pStyle w:val="Tabletext"/>
            </w:pPr>
            <w:r w:rsidRPr="005071A1">
              <w:t>0.02</w:t>
            </w:r>
          </w:p>
        </w:tc>
        <w:tc>
          <w:tcPr>
            <w:tcW w:w="1701" w:type="dxa"/>
            <w:tcBorders>
              <w:top w:val="single" w:sz="4" w:space="0" w:color="auto"/>
            </w:tcBorders>
            <w:shd w:val="clear" w:color="auto" w:fill="auto"/>
          </w:tcPr>
          <w:p w14:paraId="54ED65B8" w14:textId="77777777" w:rsidR="00B33542" w:rsidRPr="005071A1" w:rsidRDefault="00B33542" w:rsidP="009B7AF5">
            <w:pPr>
              <w:pStyle w:val="Tabletext"/>
            </w:pPr>
            <w:r w:rsidRPr="005071A1">
              <w:t>0.02</w:t>
            </w:r>
          </w:p>
        </w:tc>
      </w:tr>
      <w:tr w:rsidR="00B33542" w:rsidRPr="005071A1" w14:paraId="549B4893" w14:textId="77777777" w:rsidTr="009B7AF5">
        <w:tc>
          <w:tcPr>
            <w:tcW w:w="2835" w:type="dxa"/>
            <w:shd w:val="clear" w:color="auto" w:fill="auto"/>
          </w:tcPr>
          <w:p w14:paraId="44E21F1C" w14:textId="77777777" w:rsidR="00B33542" w:rsidRPr="005071A1" w:rsidRDefault="00B33542" w:rsidP="009B7AF5">
            <w:pPr>
              <w:pStyle w:val="Tabletext"/>
            </w:pPr>
            <w:r w:rsidRPr="005071A1">
              <w:t>40</w:t>
            </w:r>
          </w:p>
        </w:tc>
        <w:tc>
          <w:tcPr>
            <w:tcW w:w="1276" w:type="dxa"/>
            <w:shd w:val="clear" w:color="auto" w:fill="auto"/>
          </w:tcPr>
          <w:p w14:paraId="31D04F76" w14:textId="77777777" w:rsidR="00B33542" w:rsidRPr="005071A1" w:rsidRDefault="00B33542" w:rsidP="009B7AF5">
            <w:pPr>
              <w:pStyle w:val="Tabletext"/>
            </w:pPr>
            <w:r w:rsidRPr="005071A1">
              <w:t>0.02</w:t>
            </w:r>
          </w:p>
        </w:tc>
        <w:tc>
          <w:tcPr>
            <w:tcW w:w="1701" w:type="dxa"/>
            <w:shd w:val="clear" w:color="auto" w:fill="auto"/>
          </w:tcPr>
          <w:p w14:paraId="1F8536FD" w14:textId="77777777" w:rsidR="00B33542" w:rsidRPr="005071A1" w:rsidRDefault="00B33542" w:rsidP="009B7AF5">
            <w:pPr>
              <w:pStyle w:val="Tabletext"/>
            </w:pPr>
            <w:r w:rsidRPr="005071A1">
              <w:t>0.02</w:t>
            </w:r>
          </w:p>
        </w:tc>
      </w:tr>
      <w:tr w:rsidR="00B33542" w:rsidRPr="005071A1" w14:paraId="1C68B078" w14:textId="77777777" w:rsidTr="009B7AF5">
        <w:tc>
          <w:tcPr>
            <w:tcW w:w="2835" w:type="dxa"/>
            <w:shd w:val="clear" w:color="auto" w:fill="auto"/>
          </w:tcPr>
          <w:p w14:paraId="643BFFE0" w14:textId="77777777" w:rsidR="00B33542" w:rsidRPr="005071A1" w:rsidRDefault="00B33542" w:rsidP="009B7AF5">
            <w:pPr>
              <w:pStyle w:val="Tabletext"/>
            </w:pPr>
            <w:r w:rsidRPr="005071A1">
              <w:t>41</w:t>
            </w:r>
          </w:p>
        </w:tc>
        <w:tc>
          <w:tcPr>
            <w:tcW w:w="1276" w:type="dxa"/>
            <w:shd w:val="clear" w:color="auto" w:fill="auto"/>
          </w:tcPr>
          <w:p w14:paraId="6CD4115C" w14:textId="77777777" w:rsidR="00B33542" w:rsidRPr="005071A1" w:rsidRDefault="00B33542" w:rsidP="009B7AF5">
            <w:pPr>
              <w:pStyle w:val="Tabletext"/>
            </w:pPr>
            <w:r w:rsidRPr="005071A1">
              <w:t>0.02</w:t>
            </w:r>
          </w:p>
        </w:tc>
        <w:tc>
          <w:tcPr>
            <w:tcW w:w="1701" w:type="dxa"/>
            <w:shd w:val="clear" w:color="auto" w:fill="auto"/>
          </w:tcPr>
          <w:p w14:paraId="1EAAE039" w14:textId="77777777" w:rsidR="00B33542" w:rsidRPr="005071A1" w:rsidRDefault="00B33542" w:rsidP="009B7AF5">
            <w:pPr>
              <w:pStyle w:val="Tabletext"/>
            </w:pPr>
            <w:r w:rsidRPr="005071A1">
              <w:t>0.02</w:t>
            </w:r>
          </w:p>
        </w:tc>
      </w:tr>
      <w:tr w:rsidR="00B33542" w:rsidRPr="005071A1" w14:paraId="0012820E" w14:textId="77777777" w:rsidTr="009B7AF5">
        <w:tc>
          <w:tcPr>
            <w:tcW w:w="2835" w:type="dxa"/>
            <w:shd w:val="clear" w:color="auto" w:fill="auto"/>
          </w:tcPr>
          <w:p w14:paraId="7746A330" w14:textId="77777777" w:rsidR="00B33542" w:rsidRPr="005071A1" w:rsidRDefault="00B33542" w:rsidP="009B7AF5">
            <w:pPr>
              <w:pStyle w:val="Tabletext"/>
            </w:pPr>
            <w:r w:rsidRPr="005071A1">
              <w:t>42</w:t>
            </w:r>
          </w:p>
        </w:tc>
        <w:tc>
          <w:tcPr>
            <w:tcW w:w="1276" w:type="dxa"/>
            <w:shd w:val="clear" w:color="auto" w:fill="auto"/>
          </w:tcPr>
          <w:p w14:paraId="6BEF6018" w14:textId="77777777" w:rsidR="00B33542" w:rsidRPr="005071A1" w:rsidRDefault="00B33542" w:rsidP="009B7AF5">
            <w:pPr>
              <w:pStyle w:val="Tabletext"/>
            </w:pPr>
            <w:r w:rsidRPr="005071A1">
              <w:t>0.02</w:t>
            </w:r>
          </w:p>
        </w:tc>
        <w:tc>
          <w:tcPr>
            <w:tcW w:w="1701" w:type="dxa"/>
            <w:shd w:val="clear" w:color="auto" w:fill="auto"/>
          </w:tcPr>
          <w:p w14:paraId="59467C11" w14:textId="77777777" w:rsidR="00B33542" w:rsidRPr="005071A1" w:rsidRDefault="00B33542" w:rsidP="009B7AF5">
            <w:pPr>
              <w:pStyle w:val="Tabletext"/>
            </w:pPr>
            <w:r w:rsidRPr="005071A1">
              <w:t>0.02</w:t>
            </w:r>
          </w:p>
        </w:tc>
      </w:tr>
      <w:tr w:rsidR="00B33542" w:rsidRPr="005071A1" w14:paraId="4A423164" w14:textId="77777777" w:rsidTr="009B7AF5">
        <w:tc>
          <w:tcPr>
            <w:tcW w:w="2835" w:type="dxa"/>
            <w:shd w:val="clear" w:color="auto" w:fill="auto"/>
          </w:tcPr>
          <w:p w14:paraId="6113F973" w14:textId="77777777" w:rsidR="00B33542" w:rsidRPr="005071A1" w:rsidRDefault="00B33542" w:rsidP="009B7AF5">
            <w:pPr>
              <w:pStyle w:val="Tabletext"/>
            </w:pPr>
            <w:r w:rsidRPr="005071A1">
              <w:t>43</w:t>
            </w:r>
          </w:p>
        </w:tc>
        <w:tc>
          <w:tcPr>
            <w:tcW w:w="1276" w:type="dxa"/>
            <w:shd w:val="clear" w:color="auto" w:fill="auto"/>
          </w:tcPr>
          <w:p w14:paraId="56558A9E" w14:textId="77777777" w:rsidR="00B33542" w:rsidRPr="005071A1" w:rsidRDefault="00B33542" w:rsidP="009B7AF5">
            <w:pPr>
              <w:pStyle w:val="Tabletext"/>
            </w:pPr>
            <w:r w:rsidRPr="005071A1">
              <w:t>0.02</w:t>
            </w:r>
          </w:p>
        </w:tc>
        <w:tc>
          <w:tcPr>
            <w:tcW w:w="1701" w:type="dxa"/>
            <w:shd w:val="clear" w:color="auto" w:fill="auto"/>
          </w:tcPr>
          <w:p w14:paraId="2AB3AEB5" w14:textId="77777777" w:rsidR="00B33542" w:rsidRPr="005071A1" w:rsidRDefault="00B33542" w:rsidP="009B7AF5">
            <w:pPr>
              <w:pStyle w:val="Tabletext"/>
            </w:pPr>
            <w:r w:rsidRPr="005071A1">
              <w:t>0.03</w:t>
            </w:r>
          </w:p>
        </w:tc>
      </w:tr>
      <w:tr w:rsidR="00B33542" w:rsidRPr="005071A1" w14:paraId="7F9782A5" w14:textId="77777777" w:rsidTr="009B7AF5">
        <w:tc>
          <w:tcPr>
            <w:tcW w:w="2835" w:type="dxa"/>
            <w:shd w:val="clear" w:color="auto" w:fill="auto"/>
          </w:tcPr>
          <w:p w14:paraId="686DA8C9" w14:textId="77777777" w:rsidR="00B33542" w:rsidRPr="005071A1" w:rsidRDefault="00B33542" w:rsidP="009B7AF5">
            <w:pPr>
              <w:pStyle w:val="Tabletext"/>
            </w:pPr>
            <w:r w:rsidRPr="005071A1">
              <w:t>44</w:t>
            </w:r>
          </w:p>
        </w:tc>
        <w:tc>
          <w:tcPr>
            <w:tcW w:w="1276" w:type="dxa"/>
            <w:shd w:val="clear" w:color="auto" w:fill="auto"/>
          </w:tcPr>
          <w:p w14:paraId="51F11098" w14:textId="77777777" w:rsidR="00B33542" w:rsidRPr="005071A1" w:rsidRDefault="00B33542" w:rsidP="009B7AF5">
            <w:pPr>
              <w:pStyle w:val="Tabletext"/>
            </w:pPr>
            <w:r w:rsidRPr="005071A1">
              <w:t>0.03</w:t>
            </w:r>
          </w:p>
        </w:tc>
        <w:tc>
          <w:tcPr>
            <w:tcW w:w="1701" w:type="dxa"/>
            <w:shd w:val="clear" w:color="auto" w:fill="auto"/>
          </w:tcPr>
          <w:p w14:paraId="28166E70" w14:textId="77777777" w:rsidR="00B33542" w:rsidRPr="005071A1" w:rsidRDefault="00B33542" w:rsidP="009B7AF5">
            <w:pPr>
              <w:pStyle w:val="Tabletext"/>
            </w:pPr>
            <w:r w:rsidRPr="005071A1">
              <w:t>0.03</w:t>
            </w:r>
          </w:p>
        </w:tc>
      </w:tr>
      <w:tr w:rsidR="00B33542" w:rsidRPr="005071A1" w14:paraId="12F031D2" w14:textId="77777777" w:rsidTr="009B7AF5">
        <w:tc>
          <w:tcPr>
            <w:tcW w:w="2835" w:type="dxa"/>
            <w:shd w:val="clear" w:color="auto" w:fill="auto"/>
          </w:tcPr>
          <w:p w14:paraId="727BEA7A" w14:textId="77777777" w:rsidR="00B33542" w:rsidRPr="005071A1" w:rsidRDefault="00B33542" w:rsidP="009B7AF5">
            <w:pPr>
              <w:pStyle w:val="Tabletext"/>
            </w:pPr>
            <w:r w:rsidRPr="005071A1">
              <w:t>45</w:t>
            </w:r>
          </w:p>
        </w:tc>
        <w:tc>
          <w:tcPr>
            <w:tcW w:w="1276" w:type="dxa"/>
            <w:shd w:val="clear" w:color="auto" w:fill="auto"/>
          </w:tcPr>
          <w:p w14:paraId="16DF31F3" w14:textId="77777777" w:rsidR="00B33542" w:rsidRPr="005071A1" w:rsidRDefault="00B33542" w:rsidP="009B7AF5">
            <w:pPr>
              <w:pStyle w:val="Tabletext"/>
            </w:pPr>
            <w:r w:rsidRPr="005071A1">
              <w:t>0.03</w:t>
            </w:r>
          </w:p>
        </w:tc>
        <w:tc>
          <w:tcPr>
            <w:tcW w:w="1701" w:type="dxa"/>
            <w:shd w:val="clear" w:color="auto" w:fill="auto"/>
          </w:tcPr>
          <w:p w14:paraId="0B8BF2D9" w14:textId="77777777" w:rsidR="00B33542" w:rsidRPr="005071A1" w:rsidRDefault="00B33542" w:rsidP="009B7AF5">
            <w:pPr>
              <w:pStyle w:val="Tabletext"/>
            </w:pPr>
            <w:r w:rsidRPr="005071A1">
              <w:t>0.03</w:t>
            </w:r>
          </w:p>
        </w:tc>
      </w:tr>
      <w:tr w:rsidR="00B33542" w:rsidRPr="005071A1" w14:paraId="699C3F93" w14:textId="77777777" w:rsidTr="009B7AF5">
        <w:tc>
          <w:tcPr>
            <w:tcW w:w="2835" w:type="dxa"/>
            <w:shd w:val="clear" w:color="auto" w:fill="auto"/>
          </w:tcPr>
          <w:p w14:paraId="23B4079A" w14:textId="77777777" w:rsidR="00B33542" w:rsidRPr="005071A1" w:rsidRDefault="00B33542" w:rsidP="009B7AF5">
            <w:pPr>
              <w:pStyle w:val="Tabletext"/>
            </w:pPr>
            <w:r w:rsidRPr="005071A1">
              <w:t>46</w:t>
            </w:r>
          </w:p>
        </w:tc>
        <w:tc>
          <w:tcPr>
            <w:tcW w:w="1276" w:type="dxa"/>
            <w:shd w:val="clear" w:color="auto" w:fill="auto"/>
          </w:tcPr>
          <w:p w14:paraId="4C946F45" w14:textId="77777777" w:rsidR="00B33542" w:rsidRPr="005071A1" w:rsidRDefault="00B33542" w:rsidP="009B7AF5">
            <w:pPr>
              <w:pStyle w:val="Tabletext"/>
            </w:pPr>
            <w:r w:rsidRPr="005071A1">
              <w:t>0.03</w:t>
            </w:r>
          </w:p>
        </w:tc>
        <w:tc>
          <w:tcPr>
            <w:tcW w:w="1701" w:type="dxa"/>
            <w:shd w:val="clear" w:color="auto" w:fill="auto"/>
          </w:tcPr>
          <w:p w14:paraId="757D791D" w14:textId="77777777" w:rsidR="00B33542" w:rsidRPr="005071A1" w:rsidRDefault="00B33542" w:rsidP="009B7AF5">
            <w:pPr>
              <w:pStyle w:val="Tabletext"/>
            </w:pPr>
            <w:r w:rsidRPr="005071A1">
              <w:t>0.03</w:t>
            </w:r>
          </w:p>
        </w:tc>
      </w:tr>
      <w:tr w:rsidR="00B33542" w:rsidRPr="005071A1" w14:paraId="2C3070BE" w14:textId="77777777" w:rsidTr="009B7AF5">
        <w:tc>
          <w:tcPr>
            <w:tcW w:w="2835" w:type="dxa"/>
            <w:shd w:val="clear" w:color="auto" w:fill="auto"/>
          </w:tcPr>
          <w:p w14:paraId="2A3FD5ED" w14:textId="77777777" w:rsidR="00B33542" w:rsidRPr="005071A1" w:rsidRDefault="00B33542" w:rsidP="009B7AF5">
            <w:pPr>
              <w:pStyle w:val="Tabletext"/>
            </w:pPr>
            <w:r w:rsidRPr="005071A1">
              <w:t>47</w:t>
            </w:r>
          </w:p>
        </w:tc>
        <w:tc>
          <w:tcPr>
            <w:tcW w:w="1276" w:type="dxa"/>
            <w:shd w:val="clear" w:color="auto" w:fill="auto"/>
          </w:tcPr>
          <w:p w14:paraId="6DFEB1AC" w14:textId="77777777" w:rsidR="00B33542" w:rsidRPr="005071A1" w:rsidRDefault="00B33542" w:rsidP="009B7AF5">
            <w:pPr>
              <w:pStyle w:val="Tabletext"/>
            </w:pPr>
            <w:r w:rsidRPr="005071A1">
              <w:t>0.03</w:t>
            </w:r>
          </w:p>
        </w:tc>
        <w:tc>
          <w:tcPr>
            <w:tcW w:w="1701" w:type="dxa"/>
            <w:shd w:val="clear" w:color="auto" w:fill="auto"/>
          </w:tcPr>
          <w:p w14:paraId="5EF305C0" w14:textId="77777777" w:rsidR="00B33542" w:rsidRPr="005071A1" w:rsidRDefault="00B33542" w:rsidP="009B7AF5">
            <w:pPr>
              <w:pStyle w:val="Tabletext"/>
            </w:pPr>
            <w:r w:rsidRPr="005071A1">
              <w:t>0.03</w:t>
            </w:r>
          </w:p>
        </w:tc>
      </w:tr>
      <w:tr w:rsidR="00B33542" w:rsidRPr="005071A1" w14:paraId="44CEA9B7" w14:textId="77777777" w:rsidTr="009B7AF5">
        <w:tc>
          <w:tcPr>
            <w:tcW w:w="2835" w:type="dxa"/>
            <w:shd w:val="clear" w:color="auto" w:fill="auto"/>
          </w:tcPr>
          <w:p w14:paraId="5961E244" w14:textId="77777777" w:rsidR="00B33542" w:rsidRPr="005071A1" w:rsidRDefault="00B33542" w:rsidP="009B7AF5">
            <w:pPr>
              <w:pStyle w:val="Tabletext"/>
            </w:pPr>
            <w:r w:rsidRPr="005071A1">
              <w:t>48</w:t>
            </w:r>
          </w:p>
        </w:tc>
        <w:tc>
          <w:tcPr>
            <w:tcW w:w="1276" w:type="dxa"/>
            <w:shd w:val="clear" w:color="auto" w:fill="auto"/>
          </w:tcPr>
          <w:p w14:paraId="1B324237" w14:textId="77777777" w:rsidR="00B33542" w:rsidRPr="005071A1" w:rsidRDefault="00B33542" w:rsidP="009B7AF5">
            <w:pPr>
              <w:pStyle w:val="Tabletext"/>
            </w:pPr>
            <w:r w:rsidRPr="005071A1">
              <w:t>0.03</w:t>
            </w:r>
          </w:p>
        </w:tc>
        <w:tc>
          <w:tcPr>
            <w:tcW w:w="1701" w:type="dxa"/>
            <w:shd w:val="clear" w:color="auto" w:fill="auto"/>
          </w:tcPr>
          <w:p w14:paraId="722306F4" w14:textId="77777777" w:rsidR="00B33542" w:rsidRPr="005071A1" w:rsidRDefault="00B33542" w:rsidP="009B7AF5">
            <w:pPr>
              <w:pStyle w:val="Tabletext"/>
            </w:pPr>
            <w:r w:rsidRPr="005071A1">
              <w:t>0.04</w:t>
            </w:r>
          </w:p>
        </w:tc>
      </w:tr>
      <w:tr w:rsidR="00B33542" w:rsidRPr="005071A1" w14:paraId="39061730" w14:textId="77777777" w:rsidTr="009B7AF5">
        <w:tc>
          <w:tcPr>
            <w:tcW w:w="2835" w:type="dxa"/>
            <w:shd w:val="clear" w:color="auto" w:fill="auto"/>
          </w:tcPr>
          <w:p w14:paraId="47519AAF" w14:textId="77777777" w:rsidR="00B33542" w:rsidRPr="005071A1" w:rsidRDefault="00B33542" w:rsidP="009B7AF5">
            <w:pPr>
              <w:pStyle w:val="Tabletext"/>
            </w:pPr>
            <w:r w:rsidRPr="005071A1">
              <w:t>49</w:t>
            </w:r>
          </w:p>
        </w:tc>
        <w:tc>
          <w:tcPr>
            <w:tcW w:w="1276" w:type="dxa"/>
            <w:shd w:val="clear" w:color="auto" w:fill="auto"/>
          </w:tcPr>
          <w:p w14:paraId="20A8172C" w14:textId="77777777" w:rsidR="00B33542" w:rsidRPr="005071A1" w:rsidRDefault="00B33542" w:rsidP="009B7AF5">
            <w:pPr>
              <w:pStyle w:val="Tabletext"/>
            </w:pPr>
            <w:r w:rsidRPr="005071A1">
              <w:t>0.03</w:t>
            </w:r>
          </w:p>
        </w:tc>
        <w:tc>
          <w:tcPr>
            <w:tcW w:w="1701" w:type="dxa"/>
            <w:shd w:val="clear" w:color="auto" w:fill="auto"/>
          </w:tcPr>
          <w:p w14:paraId="6B8DC687" w14:textId="77777777" w:rsidR="00B33542" w:rsidRPr="005071A1" w:rsidRDefault="00B33542" w:rsidP="009B7AF5">
            <w:pPr>
              <w:pStyle w:val="Tabletext"/>
            </w:pPr>
            <w:r w:rsidRPr="005071A1">
              <w:t>0.04</w:t>
            </w:r>
          </w:p>
        </w:tc>
      </w:tr>
      <w:tr w:rsidR="00B33542" w:rsidRPr="005071A1" w14:paraId="2182349C" w14:textId="77777777" w:rsidTr="009B7AF5">
        <w:tc>
          <w:tcPr>
            <w:tcW w:w="2835" w:type="dxa"/>
            <w:shd w:val="clear" w:color="auto" w:fill="auto"/>
          </w:tcPr>
          <w:p w14:paraId="39B466E0" w14:textId="77777777" w:rsidR="00B33542" w:rsidRPr="005071A1" w:rsidRDefault="00B33542" w:rsidP="009B7AF5">
            <w:pPr>
              <w:pStyle w:val="Tabletext"/>
            </w:pPr>
            <w:r w:rsidRPr="005071A1">
              <w:t>50</w:t>
            </w:r>
          </w:p>
        </w:tc>
        <w:tc>
          <w:tcPr>
            <w:tcW w:w="1276" w:type="dxa"/>
            <w:shd w:val="clear" w:color="auto" w:fill="auto"/>
          </w:tcPr>
          <w:p w14:paraId="58DB826E" w14:textId="77777777" w:rsidR="00B33542" w:rsidRPr="005071A1" w:rsidRDefault="00B33542" w:rsidP="009B7AF5">
            <w:pPr>
              <w:pStyle w:val="Tabletext"/>
            </w:pPr>
            <w:r w:rsidRPr="005071A1">
              <w:t>0.04</w:t>
            </w:r>
          </w:p>
        </w:tc>
        <w:tc>
          <w:tcPr>
            <w:tcW w:w="1701" w:type="dxa"/>
            <w:shd w:val="clear" w:color="auto" w:fill="auto"/>
          </w:tcPr>
          <w:p w14:paraId="782794BE" w14:textId="77777777" w:rsidR="00B33542" w:rsidRPr="005071A1" w:rsidRDefault="00B33542" w:rsidP="009B7AF5">
            <w:pPr>
              <w:pStyle w:val="Tabletext"/>
            </w:pPr>
            <w:r w:rsidRPr="005071A1">
              <w:t>0.04</w:t>
            </w:r>
          </w:p>
        </w:tc>
      </w:tr>
      <w:tr w:rsidR="00B33542" w:rsidRPr="005071A1" w14:paraId="1C49E19E" w14:textId="77777777" w:rsidTr="009B7AF5">
        <w:tc>
          <w:tcPr>
            <w:tcW w:w="2835" w:type="dxa"/>
            <w:shd w:val="clear" w:color="auto" w:fill="auto"/>
          </w:tcPr>
          <w:p w14:paraId="1B291A9E" w14:textId="77777777" w:rsidR="00B33542" w:rsidRPr="005071A1" w:rsidRDefault="00B33542" w:rsidP="009B7AF5">
            <w:pPr>
              <w:pStyle w:val="Tabletext"/>
            </w:pPr>
            <w:r w:rsidRPr="005071A1">
              <w:t>51</w:t>
            </w:r>
          </w:p>
        </w:tc>
        <w:tc>
          <w:tcPr>
            <w:tcW w:w="1276" w:type="dxa"/>
            <w:shd w:val="clear" w:color="auto" w:fill="auto"/>
          </w:tcPr>
          <w:p w14:paraId="12EEDFFD" w14:textId="77777777" w:rsidR="00B33542" w:rsidRPr="005071A1" w:rsidRDefault="00B33542" w:rsidP="009B7AF5">
            <w:pPr>
              <w:pStyle w:val="Tabletext"/>
            </w:pPr>
            <w:r w:rsidRPr="005071A1">
              <w:t>0.04</w:t>
            </w:r>
          </w:p>
        </w:tc>
        <w:tc>
          <w:tcPr>
            <w:tcW w:w="1701" w:type="dxa"/>
            <w:shd w:val="clear" w:color="auto" w:fill="auto"/>
          </w:tcPr>
          <w:p w14:paraId="7113B66A" w14:textId="77777777" w:rsidR="00B33542" w:rsidRPr="005071A1" w:rsidRDefault="00B33542" w:rsidP="009B7AF5">
            <w:pPr>
              <w:pStyle w:val="Tabletext"/>
            </w:pPr>
            <w:r w:rsidRPr="005071A1">
              <w:t>0.05</w:t>
            </w:r>
          </w:p>
        </w:tc>
      </w:tr>
      <w:tr w:rsidR="00B33542" w:rsidRPr="005071A1" w14:paraId="420AFB27" w14:textId="77777777" w:rsidTr="009B7AF5">
        <w:tc>
          <w:tcPr>
            <w:tcW w:w="2835" w:type="dxa"/>
            <w:shd w:val="clear" w:color="auto" w:fill="auto"/>
          </w:tcPr>
          <w:p w14:paraId="59612D75" w14:textId="77777777" w:rsidR="00B33542" w:rsidRPr="005071A1" w:rsidRDefault="00B33542" w:rsidP="009B7AF5">
            <w:pPr>
              <w:pStyle w:val="Tabletext"/>
            </w:pPr>
            <w:r w:rsidRPr="005071A1">
              <w:t>52</w:t>
            </w:r>
          </w:p>
        </w:tc>
        <w:tc>
          <w:tcPr>
            <w:tcW w:w="1276" w:type="dxa"/>
            <w:shd w:val="clear" w:color="auto" w:fill="auto"/>
          </w:tcPr>
          <w:p w14:paraId="0019D127" w14:textId="77777777" w:rsidR="00B33542" w:rsidRPr="005071A1" w:rsidRDefault="00B33542" w:rsidP="009B7AF5">
            <w:pPr>
              <w:pStyle w:val="Tabletext"/>
            </w:pPr>
            <w:r w:rsidRPr="005071A1">
              <w:t>0.04</w:t>
            </w:r>
          </w:p>
        </w:tc>
        <w:tc>
          <w:tcPr>
            <w:tcW w:w="1701" w:type="dxa"/>
            <w:shd w:val="clear" w:color="auto" w:fill="auto"/>
          </w:tcPr>
          <w:p w14:paraId="79796B01" w14:textId="77777777" w:rsidR="00B33542" w:rsidRPr="005071A1" w:rsidRDefault="00B33542" w:rsidP="009B7AF5">
            <w:pPr>
              <w:pStyle w:val="Tabletext"/>
            </w:pPr>
            <w:r w:rsidRPr="005071A1">
              <w:t>0.06</w:t>
            </w:r>
          </w:p>
        </w:tc>
      </w:tr>
      <w:tr w:rsidR="00B33542" w:rsidRPr="005071A1" w14:paraId="52B5E62B" w14:textId="77777777" w:rsidTr="009B7AF5">
        <w:tc>
          <w:tcPr>
            <w:tcW w:w="2835" w:type="dxa"/>
            <w:shd w:val="clear" w:color="auto" w:fill="auto"/>
          </w:tcPr>
          <w:p w14:paraId="3A51DD1D" w14:textId="77777777" w:rsidR="00B33542" w:rsidRPr="005071A1" w:rsidRDefault="00B33542" w:rsidP="009B7AF5">
            <w:pPr>
              <w:pStyle w:val="Tabletext"/>
            </w:pPr>
            <w:r w:rsidRPr="005071A1">
              <w:t>53</w:t>
            </w:r>
          </w:p>
        </w:tc>
        <w:tc>
          <w:tcPr>
            <w:tcW w:w="1276" w:type="dxa"/>
            <w:shd w:val="clear" w:color="auto" w:fill="auto"/>
          </w:tcPr>
          <w:p w14:paraId="719C621F" w14:textId="77777777" w:rsidR="00B33542" w:rsidRPr="005071A1" w:rsidRDefault="00B33542" w:rsidP="009B7AF5">
            <w:pPr>
              <w:pStyle w:val="Tabletext"/>
            </w:pPr>
            <w:r w:rsidRPr="005071A1">
              <w:t>0.05</w:t>
            </w:r>
          </w:p>
        </w:tc>
        <w:tc>
          <w:tcPr>
            <w:tcW w:w="1701" w:type="dxa"/>
            <w:shd w:val="clear" w:color="auto" w:fill="auto"/>
          </w:tcPr>
          <w:p w14:paraId="176D2F22" w14:textId="77777777" w:rsidR="00B33542" w:rsidRPr="005071A1" w:rsidRDefault="00B33542" w:rsidP="009B7AF5">
            <w:pPr>
              <w:pStyle w:val="Tabletext"/>
            </w:pPr>
            <w:r w:rsidRPr="005071A1">
              <w:t>0.06</w:t>
            </w:r>
          </w:p>
        </w:tc>
      </w:tr>
      <w:tr w:rsidR="00B33542" w:rsidRPr="005071A1" w14:paraId="0188F7F1" w14:textId="77777777" w:rsidTr="009B7AF5">
        <w:tc>
          <w:tcPr>
            <w:tcW w:w="2835" w:type="dxa"/>
            <w:shd w:val="clear" w:color="auto" w:fill="auto"/>
          </w:tcPr>
          <w:p w14:paraId="274BF004" w14:textId="77777777" w:rsidR="00B33542" w:rsidRPr="005071A1" w:rsidRDefault="00B33542" w:rsidP="009B7AF5">
            <w:pPr>
              <w:pStyle w:val="Tabletext"/>
            </w:pPr>
            <w:r w:rsidRPr="005071A1">
              <w:t>54</w:t>
            </w:r>
          </w:p>
        </w:tc>
        <w:tc>
          <w:tcPr>
            <w:tcW w:w="1276" w:type="dxa"/>
            <w:shd w:val="clear" w:color="auto" w:fill="auto"/>
          </w:tcPr>
          <w:p w14:paraId="27438E9D" w14:textId="77777777" w:rsidR="00B33542" w:rsidRPr="005071A1" w:rsidRDefault="00B33542" w:rsidP="009B7AF5">
            <w:pPr>
              <w:pStyle w:val="Tabletext"/>
            </w:pPr>
            <w:r w:rsidRPr="005071A1">
              <w:t>0.05</w:t>
            </w:r>
          </w:p>
        </w:tc>
        <w:tc>
          <w:tcPr>
            <w:tcW w:w="1701" w:type="dxa"/>
            <w:shd w:val="clear" w:color="auto" w:fill="auto"/>
          </w:tcPr>
          <w:p w14:paraId="65C2E99C" w14:textId="77777777" w:rsidR="00B33542" w:rsidRPr="005071A1" w:rsidRDefault="00B33542" w:rsidP="009B7AF5">
            <w:pPr>
              <w:pStyle w:val="Tabletext"/>
            </w:pPr>
            <w:r w:rsidRPr="005071A1">
              <w:t>0.07</w:t>
            </w:r>
          </w:p>
        </w:tc>
      </w:tr>
      <w:tr w:rsidR="00B33542" w:rsidRPr="005071A1" w14:paraId="5F704BE4" w14:textId="77777777" w:rsidTr="009B7AF5">
        <w:tc>
          <w:tcPr>
            <w:tcW w:w="2835" w:type="dxa"/>
            <w:shd w:val="clear" w:color="auto" w:fill="auto"/>
          </w:tcPr>
          <w:p w14:paraId="7E9C8C19" w14:textId="77777777" w:rsidR="00B33542" w:rsidRPr="005071A1" w:rsidRDefault="00B33542" w:rsidP="009B7AF5">
            <w:pPr>
              <w:pStyle w:val="Tabletext"/>
            </w:pPr>
            <w:r w:rsidRPr="005071A1">
              <w:t>55</w:t>
            </w:r>
          </w:p>
        </w:tc>
        <w:tc>
          <w:tcPr>
            <w:tcW w:w="1276" w:type="dxa"/>
            <w:shd w:val="clear" w:color="auto" w:fill="auto"/>
          </w:tcPr>
          <w:p w14:paraId="56B79A16" w14:textId="77777777" w:rsidR="00B33542" w:rsidRPr="005071A1" w:rsidRDefault="00B33542" w:rsidP="009B7AF5">
            <w:pPr>
              <w:pStyle w:val="Tabletext"/>
            </w:pPr>
            <w:r w:rsidRPr="005071A1">
              <w:t>0.05</w:t>
            </w:r>
          </w:p>
        </w:tc>
        <w:tc>
          <w:tcPr>
            <w:tcW w:w="1701" w:type="dxa"/>
            <w:shd w:val="clear" w:color="auto" w:fill="auto"/>
          </w:tcPr>
          <w:p w14:paraId="5C9F1EE0" w14:textId="77777777" w:rsidR="00B33542" w:rsidRPr="005071A1" w:rsidRDefault="00B33542" w:rsidP="009B7AF5">
            <w:pPr>
              <w:pStyle w:val="Tabletext"/>
            </w:pPr>
            <w:r w:rsidRPr="005071A1">
              <w:t>0.09</w:t>
            </w:r>
          </w:p>
        </w:tc>
      </w:tr>
      <w:tr w:rsidR="00B33542" w:rsidRPr="005071A1" w14:paraId="4F7DC224" w14:textId="77777777" w:rsidTr="009B7AF5">
        <w:tc>
          <w:tcPr>
            <w:tcW w:w="2835" w:type="dxa"/>
            <w:shd w:val="clear" w:color="auto" w:fill="auto"/>
          </w:tcPr>
          <w:p w14:paraId="721C65D5" w14:textId="77777777" w:rsidR="00B33542" w:rsidRPr="005071A1" w:rsidRDefault="00B33542" w:rsidP="009B7AF5">
            <w:pPr>
              <w:pStyle w:val="Tabletext"/>
            </w:pPr>
            <w:r w:rsidRPr="005071A1">
              <w:t>56</w:t>
            </w:r>
          </w:p>
        </w:tc>
        <w:tc>
          <w:tcPr>
            <w:tcW w:w="1276" w:type="dxa"/>
            <w:shd w:val="clear" w:color="auto" w:fill="auto"/>
          </w:tcPr>
          <w:p w14:paraId="467B8DD2" w14:textId="77777777" w:rsidR="00B33542" w:rsidRPr="005071A1" w:rsidRDefault="00B33542" w:rsidP="009B7AF5">
            <w:pPr>
              <w:pStyle w:val="Tabletext"/>
            </w:pPr>
            <w:r w:rsidRPr="005071A1">
              <w:t>0.06</w:t>
            </w:r>
          </w:p>
        </w:tc>
        <w:tc>
          <w:tcPr>
            <w:tcW w:w="1701" w:type="dxa"/>
            <w:shd w:val="clear" w:color="auto" w:fill="auto"/>
          </w:tcPr>
          <w:p w14:paraId="0CFC8B6E" w14:textId="77777777" w:rsidR="00B33542" w:rsidRPr="005071A1" w:rsidRDefault="00B33542" w:rsidP="009B7AF5">
            <w:pPr>
              <w:pStyle w:val="Tabletext"/>
            </w:pPr>
            <w:r w:rsidRPr="005071A1">
              <w:t>0.11</w:t>
            </w:r>
          </w:p>
        </w:tc>
      </w:tr>
      <w:tr w:rsidR="00B33542" w:rsidRPr="005071A1" w14:paraId="6C5C0A2E" w14:textId="77777777" w:rsidTr="009B7AF5">
        <w:tc>
          <w:tcPr>
            <w:tcW w:w="2835" w:type="dxa"/>
            <w:shd w:val="clear" w:color="auto" w:fill="auto"/>
          </w:tcPr>
          <w:p w14:paraId="268DCE59" w14:textId="77777777" w:rsidR="00B33542" w:rsidRPr="005071A1" w:rsidRDefault="00B33542" w:rsidP="009B7AF5">
            <w:pPr>
              <w:pStyle w:val="Tabletext"/>
            </w:pPr>
            <w:r w:rsidRPr="005071A1">
              <w:t>57</w:t>
            </w:r>
          </w:p>
        </w:tc>
        <w:tc>
          <w:tcPr>
            <w:tcW w:w="1276" w:type="dxa"/>
            <w:shd w:val="clear" w:color="auto" w:fill="auto"/>
          </w:tcPr>
          <w:p w14:paraId="2931FC0F" w14:textId="77777777" w:rsidR="00B33542" w:rsidRPr="005071A1" w:rsidRDefault="00B33542" w:rsidP="009B7AF5">
            <w:pPr>
              <w:pStyle w:val="Tabletext"/>
            </w:pPr>
            <w:r w:rsidRPr="005071A1">
              <w:t>0.07</w:t>
            </w:r>
          </w:p>
        </w:tc>
        <w:tc>
          <w:tcPr>
            <w:tcW w:w="1701" w:type="dxa"/>
            <w:shd w:val="clear" w:color="auto" w:fill="auto"/>
          </w:tcPr>
          <w:p w14:paraId="7D9F891D" w14:textId="77777777" w:rsidR="00B33542" w:rsidRPr="005071A1" w:rsidRDefault="00B33542" w:rsidP="009B7AF5">
            <w:pPr>
              <w:pStyle w:val="Tabletext"/>
            </w:pPr>
            <w:r w:rsidRPr="005071A1">
              <w:t>0.14</w:t>
            </w:r>
          </w:p>
        </w:tc>
      </w:tr>
      <w:tr w:rsidR="00B33542" w:rsidRPr="005071A1" w14:paraId="288317FD" w14:textId="77777777" w:rsidTr="009B7AF5">
        <w:tc>
          <w:tcPr>
            <w:tcW w:w="2835" w:type="dxa"/>
            <w:shd w:val="clear" w:color="auto" w:fill="auto"/>
          </w:tcPr>
          <w:p w14:paraId="21FF6F3D" w14:textId="77777777" w:rsidR="00B33542" w:rsidRPr="005071A1" w:rsidRDefault="00B33542" w:rsidP="009B7AF5">
            <w:pPr>
              <w:pStyle w:val="Tabletext"/>
            </w:pPr>
            <w:r w:rsidRPr="005071A1">
              <w:lastRenderedPageBreak/>
              <w:t>58</w:t>
            </w:r>
          </w:p>
        </w:tc>
        <w:tc>
          <w:tcPr>
            <w:tcW w:w="1276" w:type="dxa"/>
            <w:shd w:val="clear" w:color="auto" w:fill="auto"/>
          </w:tcPr>
          <w:p w14:paraId="5F5B399F" w14:textId="77777777" w:rsidR="00B33542" w:rsidRPr="005071A1" w:rsidRDefault="00B33542" w:rsidP="009B7AF5">
            <w:pPr>
              <w:pStyle w:val="Tabletext"/>
            </w:pPr>
            <w:r w:rsidRPr="005071A1">
              <w:t>0.08</w:t>
            </w:r>
          </w:p>
        </w:tc>
        <w:tc>
          <w:tcPr>
            <w:tcW w:w="1701" w:type="dxa"/>
            <w:shd w:val="clear" w:color="auto" w:fill="auto"/>
          </w:tcPr>
          <w:p w14:paraId="49BE6705" w14:textId="77777777" w:rsidR="00B33542" w:rsidRPr="005071A1" w:rsidRDefault="00B33542" w:rsidP="009B7AF5">
            <w:pPr>
              <w:pStyle w:val="Tabletext"/>
            </w:pPr>
            <w:r w:rsidRPr="005071A1">
              <w:t>0.20</w:t>
            </w:r>
          </w:p>
        </w:tc>
      </w:tr>
      <w:tr w:rsidR="00B33542" w:rsidRPr="005071A1" w14:paraId="4143C10E" w14:textId="77777777" w:rsidTr="009B7AF5">
        <w:tc>
          <w:tcPr>
            <w:tcW w:w="2835" w:type="dxa"/>
            <w:shd w:val="clear" w:color="auto" w:fill="auto"/>
          </w:tcPr>
          <w:p w14:paraId="483C1156" w14:textId="77777777" w:rsidR="00B33542" w:rsidRPr="005071A1" w:rsidRDefault="00B33542" w:rsidP="009B7AF5">
            <w:pPr>
              <w:pStyle w:val="Tabletext"/>
            </w:pPr>
            <w:r w:rsidRPr="005071A1">
              <w:t>59</w:t>
            </w:r>
          </w:p>
        </w:tc>
        <w:tc>
          <w:tcPr>
            <w:tcW w:w="1276" w:type="dxa"/>
            <w:shd w:val="clear" w:color="auto" w:fill="auto"/>
          </w:tcPr>
          <w:p w14:paraId="4371F492" w14:textId="77777777" w:rsidR="00B33542" w:rsidRPr="005071A1" w:rsidRDefault="00B33542" w:rsidP="009B7AF5">
            <w:pPr>
              <w:pStyle w:val="Tabletext"/>
            </w:pPr>
            <w:r w:rsidRPr="005071A1">
              <w:t>0.09</w:t>
            </w:r>
          </w:p>
        </w:tc>
        <w:tc>
          <w:tcPr>
            <w:tcW w:w="1701" w:type="dxa"/>
            <w:shd w:val="clear" w:color="auto" w:fill="auto"/>
          </w:tcPr>
          <w:p w14:paraId="05C06733" w14:textId="77777777" w:rsidR="00B33542" w:rsidRPr="005071A1" w:rsidRDefault="00B33542" w:rsidP="009B7AF5">
            <w:pPr>
              <w:pStyle w:val="Tabletext"/>
            </w:pPr>
            <w:r w:rsidRPr="005071A1">
              <w:t>0.39</w:t>
            </w:r>
          </w:p>
        </w:tc>
      </w:tr>
      <w:tr w:rsidR="00B33542" w:rsidRPr="005071A1" w14:paraId="786609EB" w14:textId="77777777" w:rsidTr="009B7AF5">
        <w:tc>
          <w:tcPr>
            <w:tcW w:w="2835" w:type="dxa"/>
            <w:shd w:val="clear" w:color="auto" w:fill="auto"/>
          </w:tcPr>
          <w:p w14:paraId="5F521265" w14:textId="77777777" w:rsidR="00B33542" w:rsidRPr="005071A1" w:rsidRDefault="00B33542" w:rsidP="009B7AF5">
            <w:pPr>
              <w:pStyle w:val="Tabletext"/>
            </w:pPr>
            <w:r w:rsidRPr="005071A1">
              <w:t>60</w:t>
            </w:r>
          </w:p>
        </w:tc>
        <w:tc>
          <w:tcPr>
            <w:tcW w:w="1276" w:type="dxa"/>
            <w:shd w:val="clear" w:color="auto" w:fill="auto"/>
          </w:tcPr>
          <w:p w14:paraId="6A98A480" w14:textId="77777777" w:rsidR="00B33542" w:rsidRPr="005071A1" w:rsidRDefault="00B33542" w:rsidP="009B7AF5">
            <w:pPr>
              <w:pStyle w:val="Tabletext"/>
            </w:pPr>
            <w:r w:rsidRPr="005071A1">
              <w:t>0.10</w:t>
            </w:r>
          </w:p>
        </w:tc>
        <w:tc>
          <w:tcPr>
            <w:tcW w:w="1701" w:type="dxa"/>
            <w:shd w:val="clear" w:color="auto" w:fill="auto"/>
          </w:tcPr>
          <w:p w14:paraId="7CEBAD58" w14:textId="77777777" w:rsidR="00B33542" w:rsidRPr="005071A1" w:rsidRDefault="00B33542" w:rsidP="009B7AF5">
            <w:pPr>
              <w:pStyle w:val="Tabletext"/>
            </w:pPr>
            <w:r w:rsidRPr="005071A1">
              <w:t>0.39</w:t>
            </w:r>
          </w:p>
        </w:tc>
      </w:tr>
      <w:tr w:rsidR="00B33542" w:rsidRPr="005071A1" w14:paraId="08B08347" w14:textId="77777777" w:rsidTr="009B7AF5">
        <w:tc>
          <w:tcPr>
            <w:tcW w:w="2835" w:type="dxa"/>
            <w:shd w:val="clear" w:color="auto" w:fill="auto"/>
          </w:tcPr>
          <w:p w14:paraId="7D976D6F" w14:textId="77777777" w:rsidR="00B33542" w:rsidRPr="005071A1" w:rsidRDefault="00B33542" w:rsidP="009B7AF5">
            <w:pPr>
              <w:pStyle w:val="Tabletext"/>
            </w:pPr>
            <w:r w:rsidRPr="005071A1">
              <w:t>61</w:t>
            </w:r>
          </w:p>
        </w:tc>
        <w:tc>
          <w:tcPr>
            <w:tcW w:w="1276" w:type="dxa"/>
            <w:shd w:val="clear" w:color="auto" w:fill="auto"/>
          </w:tcPr>
          <w:p w14:paraId="354E3F46" w14:textId="77777777" w:rsidR="00B33542" w:rsidRPr="005071A1" w:rsidRDefault="00B33542" w:rsidP="009B7AF5">
            <w:pPr>
              <w:pStyle w:val="Tabletext"/>
            </w:pPr>
            <w:r w:rsidRPr="005071A1">
              <w:t>0.12</w:t>
            </w:r>
          </w:p>
        </w:tc>
        <w:tc>
          <w:tcPr>
            <w:tcW w:w="1701" w:type="dxa"/>
            <w:shd w:val="clear" w:color="auto" w:fill="auto"/>
          </w:tcPr>
          <w:p w14:paraId="15DE3554" w14:textId="77777777" w:rsidR="00B33542" w:rsidRPr="005071A1" w:rsidRDefault="00B33542" w:rsidP="009B7AF5">
            <w:pPr>
              <w:pStyle w:val="Tabletext"/>
            </w:pPr>
            <w:r w:rsidRPr="005071A1">
              <w:t>0.41</w:t>
            </w:r>
          </w:p>
        </w:tc>
      </w:tr>
      <w:tr w:rsidR="00B33542" w:rsidRPr="005071A1" w14:paraId="447112CD" w14:textId="77777777" w:rsidTr="009B7AF5">
        <w:tc>
          <w:tcPr>
            <w:tcW w:w="2835" w:type="dxa"/>
            <w:shd w:val="clear" w:color="auto" w:fill="auto"/>
          </w:tcPr>
          <w:p w14:paraId="76A8F143" w14:textId="77777777" w:rsidR="00B33542" w:rsidRPr="005071A1" w:rsidRDefault="00B33542" w:rsidP="009B7AF5">
            <w:pPr>
              <w:pStyle w:val="Tabletext"/>
            </w:pPr>
            <w:r w:rsidRPr="005071A1">
              <w:t>62</w:t>
            </w:r>
          </w:p>
        </w:tc>
        <w:tc>
          <w:tcPr>
            <w:tcW w:w="1276" w:type="dxa"/>
            <w:shd w:val="clear" w:color="auto" w:fill="auto"/>
          </w:tcPr>
          <w:p w14:paraId="4A3C9991" w14:textId="77777777" w:rsidR="00B33542" w:rsidRPr="005071A1" w:rsidRDefault="00B33542" w:rsidP="009B7AF5">
            <w:pPr>
              <w:pStyle w:val="Tabletext"/>
            </w:pPr>
            <w:r w:rsidRPr="005071A1">
              <w:t>0.16</w:t>
            </w:r>
          </w:p>
        </w:tc>
        <w:tc>
          <w:tcPr>
            <w:tcW w:w="1701" w:type="dxa"/>
            <w:shd w:val="clear" w:color="auto" w:fill="auto"/>
          </w:tcPr>
          <w:p w14:paraId="11DC1DD4" w14:textId="77777777" w:rsidR="00B33542" w:rsidRPr="005071A1" w:rsidRDefault="00B33542" w:rsidP="009B7AF5">
            <w:pPr>
              <w:pStyle w:val="Tabletext"/>
            </w:pPr>
            <w:r w:rsidRPr="005071A1">
              <w:t>0.44</w:t>
            </w:r>
          </w:p>
        </w:tc>
      </w:tr>
      <w:tr w:rsidR="00B33542" w:rsidRPr="005071A1" w14:paraId="32128ECE" w14:textId="77777777" w:rsidTr="009B7AF5">
        <w:tc>
          <w:tcPr>
            <w:tcW w:w="2835" w:type="dxa"/>
            <w:shd w:val="clear" w:color="auto" w:fill="auto"/>
          </w:tcPr>
          <w:p w14:paraId="40EB1292" w14:textId="77777777" w:rsidR="00B33542" w:rsidRPr="005071A1" w:rsidRDefault="00B33542" w:rsidP="009B7AF5">
            <w:pPr>
              <w:pStyle w:val="Tabletext"/>
            </w:pPr>
            <w:r w:rsidRPr="005071A1">
              <w:t>63</w:t>
            </w:r>
          </w:p>
        </w:tc>
        <w:tc>
          <w:tcPr>
            <w:tcW w:w="1276" w:type="dxa"/>
            <w:shd w:val="clear" w:color="auto" w:fill="auto"/>
          </w:tcPr>
          <w:p w14:paraId="15344B8D" w14:textId="77777777" w:rsidR="00B33542" w:rsidRPr="005071A1" w:rsidRDefault="00B33542" w:rsidP="009B7AF5">
            <w:pPr>
              <w:pStyle w:val="Tabletext"/>
            </w:pPr>
            <w:r w:rsidRPr="005071A1">
              <w:t>0.23</w:t>
            </w:r>
          </w:p>
        </w:tc>
        <w:tc>
          <w:tcPr>
            <w:tcW w:w="1701" w:type="dxa"/>
            <w:shd w:val="clear" w:color="auto" w:fill="auto"/>
          </w:tcPr>
          <w:p w14:paraId="124311E7" w14:textId="77777777" w:rsidR="00B33542" w:rsidRPr="005071A1" w:rsidRDefault="00B33542" w:rsidP="009B7AF5">
            <w:pPr>
              <w:pStyle w:val="Tabletext"/>
            </w:pPr>
            <w:r w:rsidRPr="005071A1">
              <w:t>0.46</w:t>
            </w:r>
          </w:p>
        </w:tc>
      </w:tr>
      <w:tr w:rsidR="00B33542" w:rsidRPr="005071A1" w14:paraId="15005FF8" w14:textId="77777777" w:rsidTr="00D57394">
        <w:tc>
          <w:tcPr>
            <w:tcW w:w="2835" w:type="dxa"/>
            <w:tcBorders>
              <w:bottom w:val="single" w:sz="4" w:space="0" w:color="auto"/>
            </w:tcBorders>
            <w:shd w:val="clear" w:color="auto" w:fill="auto"/>
          </w:tcPr>
          <w:p w14:paraId="0CFD3E0B" w14:textId="77777777" w:rsidR="00B33542" w:rsidRPr="005071A1" w:rsidRDefault="00B33542" w:rsidP="009B7AF5">
            <w:pPr>
              <w:pStyle w:val="Tabletext"/>
            </w:pPr>
            <w:r w:rsidRPr="005071A1">
              <w:t>64</w:t>
            </w:r>
          </w:p>
        </w:tc>
        <w:tc>
          <w:tcPr>
            <w:tcW w:w="1276" w:type="dxa"/>
            <w:tcBorders>
              <w:bottom w:val="single" w:sz="4" w:space="0" w:color="auto"/>
            </w:tcBorders>
            <w:shd w:val="clear" w:color="auto" w:fill="auto"/>
          </w:tcPr>
          <w:p w14:paraId="6A41F13A" w14:textId="77777777" w:rsidR="00B33542" w:rsidRPr="005071A1" w:rsidRDefault="00B33542" w:rsidP="009B7AF5">
            <w:pPr>
              <w:pStyle w:val="Tabletext"/>
            </w:pPr>
            <w:r w:rsidRPr="005071A1">
              <w:t>0.43</w:t>
            </w:r>
          </w:p>
        </w:tc>
        <w:tc>
          <w:tcPr>
            <w:tcW w:w="1701" w:type="dxa"/>
            <w:tcBorders>
              <w:bottom w:val="single" w:sz="4" w:space="0" w:color="auto"/>
            </w:tcBorders>
            <w:shd w:val="clear" w:color="auto" w:fill="auto"/>
          </w:tcPr>
          <w:p w14:paraId="7ED037FA" w14:textId="77777777" w:rsidR="00B33542" w:rsidRPr="005071A1" w:rsidRDefault="00B33542" w:rsidP="009B7AF5">
            <w:pPr>
              <w:pStyle w:val="Tabletext"/>
            </w:pPr>
            <w:r w:rsidRPr="005071A1">
              <w:t>0.49</w:t>
            </w:r>
          </w:p>
        </w:tc>
      </w:tr>
      <w:tr w:rsidR="00B33542" w:rsidRPr="005071A1" w14:paraId="107FB014" w14:textId="77777777" w:rsidTr="009B7AF5">
        <w:tc>
          <w:tcPr>
            <w:tcW w:w="2835" w:type="dxa"/>
            <w:tcBorders>
              <w:bottom w:val="single" w:sz="4" w:space="0" w:color="auto"/>
            </w:tcBorders>
            <w:shd w:val="clear" w:color="auto" w:fill="auto"/>
          </w:tcPr>
          <w:p w14:paraId="4A6E612B" w14:textId="77777777" w:rsidR="00B33542" w:rsidRPr="005071A1" w:rsidRDefault="00B33542" w:rsidP="009B7AF5">
            <w:pPr>
              <w:pStyle w:val="Tabletext"/>
            </w:pPr>
            <w:r w:rsidRPr="005071A1">
              <w:t>65</w:t>
            </w:r>
          </w:p>
        </w:tc>
        <w:tc>
          <w:tcPr>
            <w:tcW w:w="1276" w:type="dxa"/>
            <w:tcBorders>
              <w:bottom w:val="single" w:sz="4" w:space="0" w:color="auto"/>
            </w:tcBorders>
            <w:shd w:val="clear" w:color="auto" w:fill="auto"/>
          </w:tcPr>
          <w:p w14:paraId="079291AE" w14:textId="77777777" w:rsidR="00B33542" w:rsidRPr="005071A1" w:rsidRDefault="00B33542" w:rsidP="009B7AF5">
            <w:pPr>
              <w:pStyle w:val="Tabletext"/>
            </w:pPr>
            <w:r w:rsidRPr="005071A1">
              <w:t>0.43</w:t>
            </w:r>
          </w:p>
        </w:tc>
        <w:tc>
          <w:tcPr>
            <w:tcW w:w="1701" w:type="dxa"/>
            <w:tcBorders>
              <w:bottom w:val="single" w:sz="4" w:space="0" w:color="auto"/>
            </w:tcBorders>
            <w:shd w:val="clear" w:color="auto" w:fill="auto"/>
          </w:tcPr>
          <w:p w14:paraId="1CEB78A2" w14:textId="77777777" w:rsidR="00B33542" w:rsidRPr="005071A1" w:rsidRDefault="00B33542" w:rsidP="009B7AF5">
            <w:pPr>
              <w:pStyle w:val="Tabletext"/>
            </w:pPr>
            <w:r w:rsidRPr="005071A1">
              <w:t>0.56</w:t>
            </w:r>
          </w:p>
        </w:tc>
      </w:tr>
      <w:tr w:rsidR="00B33542" w:rsidRPr="005071A1" w14:paraId="08488EC5" w14:textId="77777777" w:rsidTr="009B7AF5">
        <w:tc>
          <w:tcPr>
            <w:tcW w:w="2835" w:type="dxa"/>
            <w:tcBorders>
              <w:bottom w:val="single" w:sz="12" w:space="0" w:color="auto"/>
            </w:tcBorders>
            <w:shd w:val="clear" w:color="auto" w:fill="auto"/>
          </w:tcPr>
          <w:p w14:paraId="0D929ED9" w14:textId="77777777" w:rsidR="00B33542" w:rsidRPr="005071A1" w:rsidRDefault="00B33542" w:rsidP="009B7AF5">
            <w:pPr>
              <w:pStyle w:val="Tabletext"/>
            </w:pPr>
            <w:r w:rsidRPr="005071A1">
              <w:t>66</w:t>
            </w:r>
          </w:p>
        </w:tc>
        <w:tc>
          <w:tcPr>
            <w:tcW w:w="1276" w:type="dxa"/>
            <w:tcBorders>
              <w:bottom w:val="single" w:sz="12" w:space="0" w:color="auto"/>
            </w:tcBorders>
            <w:shd w:val="clear" w:color="auto" w:fill="auto"/>
          </w:tcPr>
          <w:p w14:paraId="4CE4AB6B" w14:textId="77777777" w:rsidR="00B33542" w:rsidRPr="005071A1" w:rsidRDefault="00B33542" w:rsidP="009B7AF5">
            <w:pPr>
              <w:pStyle w:val="Tabletext"/>
            </w:pPr>
            <w:r w:rsidRPr="005071A1">
              <w:t>0.43</w:t>
            </w:r>
          </w:p>
        </w:tc>
        <w:tc>
          <w:tcPr>
            <w:tcW w:w="1701" w:type="dxa"/>
            <w:tcBorders>
              <w:bottom w:val="single" w:sz="12" w:space="0" w:color="auto"/>
            </w:tcBorders>
            <w:shd w:val="clear" w:color="auto" w:fill="auto"/>
          </w:tcPr>
          <w:p w14:paraId="7B9117BC" w14:textId="77777777" w:rsidR="00B33542" w:rsidRPr="005071A1" w:rsidRDefault="00B33542" w:rsidP="009B7AF5">
            <w:pPr>
              <w:pStyle w:val="Tabletext"/>
            </w:pPr>
            <w:r w:rsidRPr="005071A1">
              <w:t>0.56</w:t>
            </w:r>
          </w:p>
        </w:tc>
      </w:tr>
    </w:tbl>
    <w:p w14:paraId="6299DEA0" w14:textId="77777777" w:rsidR="00B33542" w:rsidRPr="005071A1" w:rsidRDefault="00B33542" w:rsidP="00504468">
      <w:pPr>
        <w:pStyle w:val="ActHead1"/>
        <w:pageBreakBefore/>
      </w:pPr>
      <w:bookmarkStart w:id="310" w:name="_Toc185577692"/>
      <w:r w:rsidRPr="004510F0">
        <w:rPr>
          <w:rStyle w:val="CharChapNo"/>
        </w:rPr>
        <w:lastRenderedPageBreak/>
        <w:t>Sixth Schedule</w:t>
      </w:r>
      <w:r w:rsidRPr="005071A1">
        <w:t>—</w:t>
      </w:r>
      <w:r w:rsidRPr="004510F0">
        <w:rPr>
          <w:rStyle w:val="CharChapText"/>
        </w:rPr>
        <w:t>Reduction in rates of contribution</w:t>
      </w:r>
      <w:bookmarkEnd w:id="310"/>
    </w:p>
    <w:p w14:paraId="43FE8FC5" w14:textId="77777777" w:rsidR="00B33542" w:rsidRPr="005071A1" w:rsidRDefault="00B33542" w:rsidP="00B33542">
      <w:pPr>
        <w:pStyle w:val="notemargin"/>
      </w:pPr>
      <w:r w:rsidRPr="005071A1">
        <w:t>Section</w:t>
      </w:r>
      <w:r w:rsidR="008B2950" w:rsidRPr="005071A1">
        <w:t> </w:t>
      </w:r>
      <w:r w:rsidRPr="005071A1">
        <w:t>23(1)</w:t>
      </w:r>
    </w:p>
    <w:p w14:paraId="17DE44C5" w14:textId="77777777" w:rsidR="00674A0D" w:rsidRPr="005071A1" w:rsidRDefault="00674A0D" w:rsidP="00674A0D">
      <w:pPr>
        <w:pStyle w:val="Header"/>
        <w:tabs>
          <w:tab w:val="clear" w:pos="4150"/>
          <w:tab w:val="clear" w:pos="8307"/>
        </w:tabs>
      </w:pPr>
      <w:r w:rsidRPr="004510F0">
        <w:rPr>
          <w:rStyle w:val="CharPartNo"/>
        </w:rPr>
        <w:t xml:space="preserve"> </w:t>
      </w:r>
      <w:r w:rsidRPr="004510F0">
        <w:rPr>
          <w:rStyle w:val="CharPartText"/>
        </w:rPr>
        <w:t xml:space="preserve"> </w:t>
      </w:r>
    </w:p>
    <w:p w14:paraId="450108FE" w14:textId="77777777" w:rsidR="00B33542" w:rsidRPr="005071A1" w:rsidRDefault="00B33542" w:rsidP="00B33542">
      <w:pPr>
        <w:pStyle w:val="ActHead5"/>
      </w:pPr>
      <w:bookmarkStart w:id="311" w:name="_Toc185577693"/>
      <w:r w:rsidRPr="005071A1">
        <w:t>Table I</w:t>
      </w:r>
      <w:bookmarkEnd w:id="311"/>
    </w:p>
    <w:p w14:paraId="53C2C06E" w14:textId="77777777" w:rsidR="00B33542" w:rsidRPr="005071A1" w:rsidRDefault="00B33542" w:rsidP="00B33542">
      <w:pPr>
        <w:spacing w:before="120"/>
      </w:pPr>
      <w:r w:rsidRPr="005071A1">
        <w:t>Reductions in fortnightly rates of contribution payable on or after 1st July, 1962, by male contributors (other than contributors who have elected that section</w:t>
      </w:r>
      <w:r w:rsidR="008B2950" w:rsidRPr="005071A1">
        <w:t> </w:t>
      </w:r>
      <w:r w:rsidRPr="005071A1">
        <w:t>26 shall not apply to them) for units of pension where the obligation to contribute for those units existed on or before 2nd November, 1942, based on a retiring age of 65 years and the age next birthday of the contributor when that obligation came into existence</w:t>
      </w:r>
    </w:p>
    <w:p w14:paraId="715D12BA" w14:textId="77777777" w:rsidR="009B7AF5" w:rsidRPr="005071A1" w:rsidRDefault="009B7AF5" w:rsidP="009B7AF5">
      <w:pPr>
        <w:pStyle w:val="Tabletext"/>
      </w:pPr>
    </w:p>
    <w:tbl>
      <w:tblPr>
        <w:tblW w:w="0" w:type="auto"/>
        <w:tblInd w:w="25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701"/>
        <w:gridCol w:w="1701"/>
        <w:gridCol w:w="1985"/>
        <w:gridCol w:w="1660"/>
      </w:tblGrid>
      <w:tr w:rsidR="00B33542" w:rsidRPr="005071A1" w14:paraId="75CD48D3" w14:textId="77777777" w:rsidTr="009B7AF5">
        <w:trPr>
          <w:tblHeader/>
        </w:trPr>
        <w:tc>
          <w:tcPr>
            <w:tcW w:w="1701" w:type="dxa"/>
            <w:tcBorders>
              <w:top w:val="single" w:sz="12" w:space="0" w:color="auto"/>
              <w:bottom w:val="single" w:sz="6" w:space="0" w:color="auto"/>
            </w:tcBorders>
            <w:shd w:val="clear" w:color="auto" w:fill="auto"/>
          </w:tcPr>
          <w:p w14:paraId="1AA45073" w14:textId="77777777" w:rsidR="00B33542" w:rsidRPr="005071A1" w:rsidRDefault="00B33542" w:rsidP="009B7AF5">
            <w:pPr>
              <w:pStyle w:val="TableHeading"/>
            </w:pPr>
            <w:r w:rsidRPr="005071A1">
              <w:t>Column 1</w:t>
            </w:r>
          </w:p>
        </w:tc>
        <w:tc>
          <w:tcPr>
            <w:tcW w:w="1701" w:type="dxa"/>
            <w:tcBorders>
              <w:top w:val="single" w:sz="12" w:space="0" w:color="auto"/>
              <w:bottom w:val="single" w:sz="6" w:space="0" w:color="auto"/>
            </w:tcBorders>
            <w:shd w:val="clear" w:color="auto" w:fill="auto"/>
          </w:tcPr>
          <w:p w14:paraId="2CAF0E64" w14:textId="77777777" w:rsidR="00B33542" w:rsidRPr="005071A1" w:rsidRDefault="00B33542" w:rsidP="009B7AF5">
            <w:pPr>
              <w:pStyle w:val="TableHeading"/>
            </w:pPr>
            <w:r w:rsidRPr="005071A1">
              <w:t>Column 2</w:t>
            </w:r>
          </w:p>
        </w:tc>
        <w:tc>
          <w:tcPr>
            <w:tcW w:w="1985" w:type="dxa"/>
            <w:tcBorders>
              <w:top w:val="single" w:sz="12" w:space="0" w:color="auto"/>
              <w:bottom w:val="single" w:sz="6" w:space="0" w:color="auto"/>
            </w:tcBorders>
            <w:shd w:val="clear" w:color="auto" w:fill="auto"/>
          </w:tcPr>
          <w:p w14:paraId="52C7D829" w14:textId="77777777" w:rsidR="00B33542" w:rsidRPr="005071A1" w:rsidRDefault="00B33542" w:rsidP="009B7AF5">
            <w:pPr>
              <w:pStyle w:val="TableHeading"/>
            </w:pPr>
            <w:r w:rsidRPr="005071A1">
              <w:t>Column 3</w:t>
            </w:r>
          </w:p>
        </w:tc>
        <w:tc>
          <w:tcPr>
            <w:tcW w:w="1660" w:type="dxa"/>
            <w:tcBorders>
              <w:top w:val="single" w:sz="12" w:space="0" w:color="auto"/>
              <w:bottom w:val="single" w:sz="6" w:space="0" w:color="auto"/>
            </w:tcBorders>
            <w:shd w:val="clear" w:color="auto" w:fill="auto"/>
          </w:tcPr>
          <w:p w14:paraId="57BC81D2" w14:textId="77777777" w:rsidR="00B33542" w:rsidRPr="005071A1" w:rsidRDefault="00B33542" w:rsidP="009B7AF5">
            <w:pPr>
              <w:pStyle w:val="TableHeading"/>
            </w:pPr>
            <w:r w:rsidRPr="005071A1">
              <w:t>Column 4</w:t>
            </w:r>
          </w:p>
        </w:tc>
      </w:tr>
      <w:tr w:rsidR="00B33542" w:rsidRPr="005071A1" w14:paraId="08AAC7AC" w14:textId="77777777" w:rsidTr="009B7AF5">
        <w:trPr>
          <w:tblHeader/>
        </w:trPr>
        <w:tc>
          <w:tcPr>
            <w:tcW w:w="1701" w:type="dxa"/>
            <w:tcBorders>
              <w:top w:val="single" w:sz="6" w:space="0" w:color="auto"/>
              <w:bottom w:val="single" w:sz="6" w:space="0" w:color="auto"/>
            </w:tcBorders>
            <w:shd w:val="clear" w:color="auto" w:fill="auto"/>
          </w:tcPr>
          <w:p w14:paraId="5F6FCA4D" w14:textId="77777777" w:rsidR="00B33542" w:rsidRPr="005071A1" w:rsidRDefault="00B33542" w:rsidP="00FE2F9A">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701" w:type="dxa"/>
            <w:tcBorders>
              <w:top w:val="single" w:sz="6" w:space="0" w:color="auto"/>
              <w:bottom w:val="single" w:sz="6" w:space="0" w:color="auto"/>
            </w:tcBorders>
            <w:shd w:val="clear" w:color="auto" w:fill="auto"/>
          </w:tcPr>
          <w:p w14:paraId="5EB0CB5B" w14:textId="77777777" w:rsidR="00B33542" w:rsidRPr="005071A1" w:rsidRDefault="00B33542" w:rsidP="00FE2F9A">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First Two Units</w:t>
            </w:r>
          </w:p>
        </w:tc>
        <w:tc>
          <w:tcPr>
            <w:tcW w:w="1985" w:type="dxa"/>
            <w:tcBorders>
              <w:top w:val="single" w:sz="6" w:space="0" w:color="auto"/>
              <w:bottom w:val="single" w:sz="6" w:space="0" w:color="auto"/>
            </w:tcBorders>
            <w:shd w:val="clear" w:color="auto" w:fill="auto"/>
          </w:tcPr>
          <w:p w14:paraId="3F7644AA" w14:textId="77777777" w:rsidR="00B33542" w:rsidRPr="005071A1" w:rsidRDefault="00B33542" w:rsidP="00FE2F9A">
            <w:pPr>
              <w:pStyle w:val="TableHeading"/>
              <w:spacing w:before="40" w:after="40" w:line="180" w:lineRule="atLeast"/>
              <w:rPr>
                <w:sz w:val="16"/>
                <w:szCs w:val="16"/>
              </w:rPr>
            </w:pPr>
            <w:r w:rsidRPr="005071A1">
              <w:rPr>
                <w:sz w:val="16"/>
                <w:szCs w:val="16"/>
              </w:rPr>
              <w:t>Reduction in Contribution for Additional Unit where Contributor did not become liable to Contribute for other Additional Units at the same time; and Reduction in Contribution for One of a number of Additional Units for which Contributor became liable to Contribute at the same time, being a number that is not two or a multiple of two</w:t>
            </w:r>
          </w:p>
        </w:tc>
        <w:tc>
          <w:tcPr>
            <w:tcW w:w="1660" w:type="dxa"/>
            <w:tcBorders>
              <w:top w:val="single" w:sz="6" w:space="0" w:color="auto"/>
              <w:bottom w:val="single" w:sz="6" w:space="0" w:color="auto"/>
            </w:tcBorders>
            <w:shd w:val="clear" w:color="auto" w:fill="auto"/>
          </w:tcPr>
          <w:p w14:paraId="37350919" w14:textId="77777777" w:rsidR="00B33542" w:rsidRPr="005071A1" w:rsidRDefault="00B33542" w:rsidP="00FE2F9A">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t>Reduction in Contribution for each Additional Two Units included in a number of Additional Units for which Contributor became liable to Contribute at the same time, excluding any Unit to which Column 3 of this Table applies</w:t>
            </w:r>
          </w:p>
        </w:tc>
      </w:tr>
      <w:tr w:rsidR="00B33542" w:rsidRPr="005071A1" w14:paraId="22491947" w14:textId="77777777" w:rsidTr="009B7AF5">
        <w:trPr>
          <w:tblHeader/>
        </w:trPr>
        <w:tc>
          <w:tcPr>
            <w:tcW w:w="1701" w:type="dxa"/>
            <w:tcBorders>
              <w:top w:val="single" w:sz="6" w:space="0" w:color="auto"/>
              <w:bottom w:val="single" w:sz="12" w:space="0" w:color="auto"/>
            </w:tcBorders>
            <w:shd w:val="clear" w:color="auto" w:fill="auto"/>
          </w:tcPr>
          <w:p w14:paraId="1ABABED2" w14:textId="77777777" w:rsidR="00B33542" w:rsidRPr="005071A1" w:rsidRDefault="00B33542" w:rsidP="00FE2F9A">
            <w:pPr>
              <w:pStyle w:val="TableHeading"/>
            </w:pPr>
          </w:p>
        </w:tc>
        <w:tc>
          <w:tcPr>
            <w:tcW w:w="1701" w:type="dxa"/>
            <w:tcBorders>
              <w:top w:val="single" w:sz="6" w:space="0" w:color="auto"/>
              <w:bottom w:val="single" w:sz="12" w:space="0" w:color="auto"/>
            </w:tcBorders>
            <w:shd w:val="clear" w:color="auto" w:fill="auto"/>
          </w:tcPr>
          <w:p w14:paraId="09372DA6" w14:textId="77777777" w:rsidR="00B33542" w:rsidRPr="005071A1" w:rsidRDefault="00B33542" w:rsidP="00FE2F9A">
            <w:pPr>
              <w:pStyle w:val="TableHeading"/>
            </w:pPr>
            <w:r w:rsidRPr="005071A1">
              <w:t>$</w:t>
            </w:r>
          </w:p>
        </w:tc>
        <w:tc>
          <w:tcPr>
            <w:tcW w:w="1985" w:type="dxa"/>
            <w:tcBorders>
              <w:top w:val="single" w:sz="6" w:space="0" w:color="auto"/>
              <w:bottom w:val="single" w:sz="12" w:space="0" w:color="auto"/>
            </w:tcBorders>
            <w:shd w:val="clear" w:color="auto" w:fill="auto"/>
          </w:tcPr>
          <w:p w14:paraId="24DEE4FD" w14:textId="77777777" w:rsidR="00B33542" w:rsidRPr="005071A1" w:rsidRDefault="00B33542" w:rsidP="00FE2F9A">
            <w:pPr>
              <w:pStyle w:val="TableHeading"/>
            </w:pPr>
            <w:r w:rsidRPr="005071A1">
              <w:t>$</w:t>
            </w:r>
          </w:p>
        </w:tc>
        <w:tc>
          <w:tcPr>
            <w:tcW w:w="1660" w:type="dxa"/>
            <w:tcBorders>
              <w:top w:val="single" w:sz="6" w:space="0" w:color="auto"/>
              <w:bottom w:val="single" w:sz="12" w:space="0" w:color="auto"/>
            </w:tcBorders>
            <w:shd w:val="clear" w:color="auto" w:fill="auto"/>
          </w:tcPr>
          <w:p w14:paraId="160393C8" w14:textId="77777777" w:rsidR="00B33542" w:rsidRPr="005071A1" w:rsidRDefault="00B33542" w:rsidP="00FE2F9A">
            <w:pPr>
              <w:pStyle w:val="TableHeading"/>
            </w:pPr>
            <w:r w:rsidRPr="005071A1">
              <w:t>$</w:t>
            </w:r>
          </w:p>
        </w:tc>
      </w:tr>
      <w:tr w:rsidR="00B33542" w:rsidRPr="005071A1" w14:paraId="18F2D18E" w14:textId="77777777" w:rsidTr="009B7AF5">
        <w:tc>
          <w:tcPr>
            <w:tcW w:w="1701" w:type="dxa"/>
            <w:tcBorders>
              <w:top w:val="single" w:sz="12" w:space="0" w:color="auto"/>
            </w:tcBorders>
            <w:shd w:val="clear" w:color="auto" w:fill="auto"/>
          </w:tcPr>
          <w:p w14:paraId="695B866B" w14:textId="77777777" w:rsidR="00B33542" w:rsidRPr="005071A1" w:rsidRDefault="00B33542" w:rsidP="009B7AF5">
            <w:pPr>
              <w:pStyle w:val="Tabletext"/>
            </w:pPr>
            <w:r w:rsidRPr="005071A1">
              <w:t>15</w:t>
            </w:r>
          </w:p>
        </w:tc>
        <w:tc>
          <w:tcPr>
            <w:tcW w:w="1701" w:type="dxa"/>
            <w:tcBorders>
              <w:top w:val="single" w:sz="12" w:space="0" w:color="auto"/>
            </w:tcBorders>
            <w:shd w:val="clear" w:color="auto" w:fill="auto"/>
          </w:tcPr>
          <w:p w14:paraId="7740979A" w14:textId="77777777" w:rsidR="00B33542" w:rsidRPr="005071A1" w:rsidRDefault="00B33542" w:rsidP="009B7AF5">
            <w:pPr>
              <w:pStyle w:val="Tabletext"/>
            </w:pPr>
            <w:r w:rsidRPr="005071A1">
              <w:t>0.08</w:t>
            </w:r>
          </w:p>
        </w:tc>
        <w:tc>
          <w:tcPr>
            <w:tcW w:w="1985" w:type="dxa"/>
            <w:tcBorders>
              <w:top w:val="single" w:sz="12" w:space="0" w:color="auto"/>
            </w:tcBorders>
            <w:shd w:val="clear" w:color="auto" w:fill="auto"/>
          </w:tcPr>
          <w:p w14:paraId="0404DBE5" w14:textId="77777777" w:rsidR="00B33542" w:rsidRPr="005071A1" w:rsidRDefault="00B33542" w:rsidP="009B7AF5">
            <w:pPr>
              <w:pStyle w:val="Tabletext"/>
            </w:pPr>
            <w:r w:rsidRPr="005071A1">
              <w:t>0.03</w:t>
            </w:r>
          </w:p>
        </w:tc>
        <w:tc>
          <w:tcPr>
            <w:tcW w:w="1660" w:type="dxa"/>
            <w:tcBorders>
              <w:top w:val="single" w:sz="12" w:space="0" w:color="auto"/>
            </w:tcBorders>
            <w:shd w:val="clear" w:color="auto" w:fill="auto"/>
          </w:tcPr>
          <w:p w14:paraId="497497DD" w14:textId="77777777" w:rsidR="00B33542" w:rsidRPr="005071A1" w:rsidRDefault="00B33542" w:rsidP="009B7AF5">
            <w:pPr>
              <w:pStyle w:val="Tabletext"/>
            </w:pPr>
            <w:r w:rsidRPr="005071A1">
              <w:t>0.06</w:t>
            </w:r>
          </w:p>
        </w:tc>
      </w:tr>
      <w:tr w:rsidR="00B33542" w:rsidRPr="005071A1" w14:paraId="78916C97" w14:textId="77777777" w:rsidTr="009B7AF5">
        <w:tc>
          <w:tcPr>
            <w:tcW w:w="1701" w:type="dxa"/>
            <w:shd w:val="clear" w:color="auto" w:fill="auto"/>
          </w:tcPr>
          <w:p w14:paraId="365DE703" w14:textId="77777777" w:rsidR="00B33542" w:rsidRPr="005071A1" w:rsidRDefault="00B33542" w:rsidP="009B7AF5">
            <w:pPr>
              <w:pStyle w:val="Tabletext"/>
            </w:pPr>
            <w:r w:rsidRPr="005071A1">
              <w:t>16</w:t>
            </w:r>
          </w:p>
        </w:tc>
        <w:tc>
          <w:tcPr>
            <w:tcW w:w="1701" w:type="dxa"/>
            <w:shd w:val="clear" w:color="auto" w:fill="auto"/>
          </w:tcPr>
          <w:p w14:paraId="4B74414B" w14:textId="77777777" w:rsidR="00B33542" w:rsidRPr="005071A1" w:rsidRDefault="00B33542" w:rsidP="009B7AF5">
            <w:pPr>
              <w:pStyle w:val="Tabletext"/>
            </w:pPr>
            <w:r w:rsidRPr="005071A1">
              <w:t>0.08</w:t>
            </w:r>
          </w:p>
        </w:tc>
        <w:tc>
          <w:tcPr>
            <w:tcW w:w="1985" w:type="dxa"/>
            <w:shd w:val="clear" w:color="auto" w:fill="auto"/>
          </w:tcPr>
          <w:p w14:paraId="45F9C6F8" w14:textId="77777777" w:rsidR="00B33542" w:rsidRPr="005071A1" w:rsidRDefault="00B33542" w:rsidP="009B7AF5">
            <w:pPr>
              <w:pStyle w:val="Tabletext"/>
            </w:pPr>
            <w:r w:rsidRPr="005071A1">
              <w:t>0.03</w:t>
            </w:r>
          </w:p>
        </w:tc>
        <w:tc>
          <w:tcPr>
            <w:tcW w:w="1660" w:type="dxa"/>
            <w:shd w:val="clear" w:color="auto" w:fill="auto"/>
          </w:tcPr>
          <w:p w14:paraId="1A52E114" w14:textId="77777777" w:rsidR="00B33542" w:rsidRPr="005071A1" w:rsidRDefault="00B33542" w:rsidP="009B7AF5">
            <w:pPr>
              <w:pStyle w:val="Tabletext"/>
            </w:pPr>
            <w:r w:rsidRPr="005071A1">
              <w:t>0.06</w:t>
            </w:r>
          </w:p>
        </w:tc>
      </w:tr>
      <w:tr w:rsidR="00B33542" w:rsidRPr="005071A1" w14:paraId="08B35FBA" w14:textId="77777777" w:rsidTr="009B7AF5">
        <w:tc>
          <w:tcPr>
            <w:tcW w:w="1701" w:type="dxa"/>
            <w:shd w:val="clear" w:color="auto" w:fill="auto"/>
          </w:tcPr>
          <w:p w14:paraId="7DFFE320" w14:textId="77777777" w:rsidR="00B33542" w:rsidRPr="005071A1" w:rsidRDefault="00B33542" w:rsidP="009B7AF5">
            <w:pPr>
              <w:pStyle w:val="Tabletext"/>
            </w:pPr>
            <w:r w:rsidRPr="005071A1">
              <w:t>17</w:t>
            </w:r>
          </w:p>
        </w:tc>
        <w:tc>
          <w:tcPr>
            <w:tcW w:w="1701" w:type="dxa"/>
            <w:shd w:val="clear" w:color="auto" w:fill="auto"/>
          </w:tcPr>
          <w:p w14:paraId="5CB92FA5" w14:textId="77777777" w:rsidR="00B33542" w:rsidRPr="005071A1" w:rsidRDefault="00B33542" w:rsidP="009B7AF5">
            <w:pPr>
              <w:pStyle w:val="Tabletext"/>
            </w:pPr>
            <w:r w:rsidRPr="005071A1">
              <w:t>0.08</w:t>
            </w:r>
          </w:p>
        </w:tc>
        <w:tc>
          <w:tcPr>
            <w:tcW w:w="1985" w:type="dxa"/>
            <w:shd w:val="clear" w:color="auto" w:fill="auto"/>
          </w:tcPr>
          <w:p w14:paraId="4765B1DF" w14:textId="77777777" w:rsidR="00B33542" w:rsidRPr="005071A1" w:rsidRDefault="00B33542" w:rsidP="009B7AF5">
            <w:pPr>
              <w:pStyle w:val="Tabletext"/>
            </w:pPr>
            <w:r w:rsidRPr="005071A1">
              <w:t>0.03</w:t>
            </w:r>
          </w:p>
        </w:tc>
        <w:tc>
          <w:tcPr>
            <w:tcW w:w="1660" w:type="dxa"/>
            <w:shd w:val="clear" w:color="auto" w:fill="auto"/>
          </w:tcPr>
          <w:p w14:paraId="23658531" w14:textId="77777777" w:rsidR="00B33542" w:rsidRPr="005071A1" w:rsidRDefault="00B33542" w:rsidP="009B7AF5">
            <w:pPr>
              <w:pStyle w:val="Tabletext"/>
            </w:pPr>
            <w:r w:rsidRPr="005071A1">
              <w:t>0.06</w:t>
            </w:r>
          </w:p>
        </w:tc>
      </w:tr>
      <w:tr w:rsidR="00B33542" w:rsidRPr="005071A1" w14:paraId="64CE8C6E" w14:textId="77777777" w:rsidTr="009B7AF5">
        <w:tc>
          <w:tcPr>
            <w:tcW w:w="1701" w:type="dxa"/>
            <w:shd w:val="clear" w:color="auto" w:fill="auto"/>
          </w:tcPr>
          <w:p w14:paraId="646C1B84" w14:textId="77777777" w:rsidR="00B33542" w:rsidRPr="005071A1" w:rsidRDefault="00B33542" w:rsidP="009B7AF5">
            <w:pPr>
              <w:pStyle w:val="Tabletext"/>
            </w:pPr>
            <w:r w:rsidRPr="005071A1">
              <w:t>18</w:t>
            </w:r>
          </w:p>
        </w:tc>
        <w:tc>
          <w:tcPr>
            <w:tcW w:w="1701" w:type="dxa"/>
            <w:shd w:val="clear" w:color="auto" w:fill="auto"/>
          </w:tcPr>
          <w:p w14:paraId="22687298" w14:textId="77777777" w:rsidR="00B33542" w:rsidRPr="005071A1" w:rsidRDefault="00B33542" w:rsidP="009B7AF5">
            <w:pPr>
              <w:pStyle w:val="Tabletext"/>
            </w:pPr>
            <w:r w:rsidRPr="005071A1">
              <w:t>0.10</w:t>
            </w:r>
          </w:p>
        </w:tc>
        <w:tc>
          <w:tcPr>
            <w:tcW w:w="1985" w:type="dxa"/>
            <w:shd w:val="clear" w:color="auto" w:fill="auto"/>
          </w:tcPr>
          <w:p w14:paraId="1C00EA51" w14:textId="77777777" w:rsidR="00B33542" w:rsidRPr="005071A1" w:rsidRDefault="00B33542" w:rsidP="009B7AF5">
            <w:pPr>
              <w:pStyle w:val="Tabletext"/>
            </w:pPr>
            <w:r w:rsidRPr="005071A1">
              <w:t>0.03</w:t>
            </w:r>
          </w:p>
        </w:tc>
        <w:tc>
          <w:tcPr>
            <w:tcW w:w="1660" w:type="dxa"/>
            <w:shd w:val="clear" w:color="auto" w:fill="auto"/>
          </w:tcPr>
          <w:p w14:paraId="6A29E8A2" w14:textId="77777777" w:rsidR="00B33542" w:rsidRPr="005071A1" w:rsidRDefault="00B33542" w:rsidP="009B7AF5">
            <w:pPr>
              <w:pStyle w:val="Tabletext"/>
            </w:pPr>
            <w:r w:rsidRPr="005071A1">
              <w:t>0.06</w:t>
            </w:r>
          </w:p>
        </w:tc>
      </w:tr>
      <w:tr w:rsidR="00B33542" w:rsidRPr="005071A1" w14:paraId="452D873D" w14:textId="77777777" w:rsidTr="009B7AF5">
        <w:tc>
          <w:tcPr>
            <w:tcW w:w="1701" w:type="dxa"/>
            <w:shd w:val="clear" w:color="auto" w:fill="auto"/>
          </w:tcPr>
          <w:p w14:paraId="62EE4248" w14:textId="77777777" w:rsidR="00B33542" w:rsidRPr="005071A1" w:rsidRDefault="00B33542" w:rsidP="009B7AF5">
            <w:pPr>
              <w:pStyle w:val="Tabletext"/>
            </w:pPr>
            <w:r w:rsidRPr="005071A1">
              <w:t>19</w:t>
            </w:r>
          </w:p>
        </w:tc>
        <w:tc>
          <w:tcPr>
            <w:tcW w:w="1701" w:type="dxa"/>
            <w:shd w:val="clear" w:color="auto" w:fill="auto"/>
          </w:tcPr>
          <w:p w14:paraId="6971BAB1" w14:textId="77777777" w:rsidR="00B33542" w:rsidRPr="005071A1" w:rsidRDefault="00B33542" w:rsidP="009B7AF5">
            <w:pPr>
              <w:pStyle w:val="Tabletext"/>
            </w:pPr>
            <w:r w:rsidRPr="005071A1">
              <w:t>0.08</w:t>
            </w:r>
          </w:p>
        </w:tc>
        <w:tc>
          <w:tcPr>
            <w:tcW w:w="1985" w:type="dxa"/>
            <w:shd w:val="clear" w:color="auto" w:fill="auto"/>
          </w:tcPr>
          <w:p w14:paraId="4B13FFC7" w14:textId="77777777" w:rsidR="00B33542" w:rsidRPr="005071A1" w:rsidRDefault="00B33542" w:rsidP="009B7AF5">
            <w:pPr>
              <w:pStyle w:val="Tabletext"/>
            </w:pPr>
            <w:r w:rsidRPr="005071A1">
              <w:t>0.03</w:t>
            </w:r>
          </w:p>
        </w:tc>
        <w:tc>
          <w:tcPr>
            <w:tcW w:w="1660" w:type="dxa"/>
            <w:shd w:val="clear" w:color="auto" w:fill="auto"/>
          </w:tcPr>
          <w:p w14:paraId="59484936" w14:textId="77777777" w:rsidR="00B33542" w:rsidRPr="005071A1" w:rsidRDefault="00B33542" w:rsidP="009B7AF5">
            <w:pPr>
              <w:pStyle w:val="Tabletext"/>
            </w:pPr>
            <w:r w:rsidRPr="005071A1">
              <w:t>0.06</w:t>
            </w:r>
          </w:p>
        </w:tc>
      </w:tr>
      <w:tr w:rsidR="00B33542" w:rsidRPr="005071A1" w14:paraId="4BB78041" w14:textId="77777777" w:rsidTr="00D57394">
        <w:tc>
          <w:tcPr>
            <w:tcW w:w="1701" w:type="dxa"/>
            <w:tcBorders>
              <w:bottom w:val="single" w:sz="4" w:space="0" w:color="auto"/>
            </w:tcBorders>
            <w:shd w:val="clear" w:color="auto" w:fill="auto"/>
          </w:tcPr>
          <w:p w14:paraId="7EAA1B34" w14:textId="77777777" w:rsidR="00B33542" w:rsidRPr="005071A1" w:rsidRDefault="00B33542" w:rsidP="009B7AF5">
            <w:pPr>
              <w:pStyle w:val="Tabletext"/>
            </w:pPr>
            <w:r w:rsidRPr="005071A1">
              <w:lastRenderedPageBreak/>
              <w:t>20</w:t>
            </w:r>
          </w:p>
        </w:tc>
        <w:tc>
          <w:tcPr>
            <w:tcW w:w="1701" w:type="dxa"/>
            <w:tcBorders>
              <w:bottom w:val="single" w:sz="4" w:space="0" w:color="auto"/>
            </w:tcBorders>
            <w:shd w:val="clear" w:color="auto" w:fill="auto"/>
          </w:tcPr>
          <w:p w14:paraId="5EE2973E" w14:textId="77777777" w:rsidR="00B33542" w:rsidRPr="005071A1" w:rsidRDefault="00B33542" w:rsidP="009B7AF5">
            <w:pPr>
              <w:pStyle w:val="Tabletext"/>
            </w:pPr>
            <w:r w:rsidRPr="005071A1">
              <w:t>0.10</w:t>
            </w:r>
          </w:p>
        </w:tc>
        <w:tc>
          <w:tcPr>
            <w:tcW w:w="1985" w:type="dxa"/>
            <w:tcBorders>
              <w:bottom w:val="single" w:sz="4" w:space="0" w:color="auto"/>
            </w:tcBorders>
            <w:shd w:val="clear" w:color="auto" w:fill="auto"/>
          </w:tcPr>
          <w:p w14:paraId="35D12161" w14:textId="77777777" w:rsidR="00B33542" w:rsidRPr="005071A1" w:rsidRDefault="00B33542" w:rsidP="009B7AF5">
            <w:pPr>
              <w:pStyle w:val="Tabletext"/>
            </w:pPr>
            <w:r w:rsidRPr="005071A1">
              <w:t>0.03</w:t>
            </w:r>
          </w:p>
        </w:tc>
        <w:tc>
          <w:tcPr>
            <w:tcW w:w="1660" w:type="dxa"/>
            <w:tcBorders>
              <w:bottom w:val="single" w:sz="4" w:space="0" w:color="auto"/>
            </w:tcBorders>
            <w:shd w:val="clear" w:color="auto" w:fill="auto"/>
          </w:tcPr>
          <w:p w14:paraId="32FA69BF" w14:textId="77777777" w:rsidR="00B33542" w:rsidRPr="005071A1" w:rsidRDefault="00B33542" w:rsidP="009B7AF5">
            <w:pPr>
              <w:pStyle w:val="Tabletext"/>
            </w:pPr>
            <w:r w:rsidRPr="005071A1">
              <w:t>0.06</w:t>
            </w:r>
          </w:p>
        </w:tc>
      </w:tr>
      <w:tr w:rsidR="00B33542" w:rsidRPr="005071A1" w14:paraId="742F7E1F" w14:textId="77777777" w:rsidTr="00D57394">
        <w:tc>
          <w:tcPr>
            <w:tcW w:w="1701" w:type="dxa"/>
            <w:tcBorders>
              <w:bottom w:val="single" w:sz="4" w:space="0" w:color="auto"/>
            </w:tcBorders>
            <w:shd w:val="clear" w:color="auto" w:fill="auto"/>
          </w:tcPr>
          <w:p w14:paraId="59C01C79" w14:textId="77777777" w:rsidR="00B33542" w:rsidRPr="005071A1" w:rsidRDefault="00B33542" w:rsidP="009B7AF5">
            <w:pPr>
              <w:pStyle w:val="Tabletext"/>
            </w:pPr>
            <w:r w:rsidRPr="005071A1">
              <w:t>21</w:t>
            </w:r>
          </w:p>
        </w:tc>
        <w:tc>
          <w:tcPr>
            <w:tcW w:w="1701" w:type="dxa"/>
            <w:tcBorders>
              <w:bottom w:val="single" w:sz="4" w:space="0" w:color="auto"/>
            </w:tcBorders>
            <w:shd w:val="clear" w:color="auto" w:fill="auto"/>
          </w:tcPr>
          <w:p w14:paraId="3A112626" w14:textId="77777777" w:rsidR="00B33542" w:rsidRPr="005071A1" w:rsidRDefault="00B33542" w:rsidP="009B7AF5">
            <w:pPr>
              <w:pStyle w:val="Tabletext"/>
            </w:pPr>
            <w:r w:rsidRPr="005071A1">
              <w:t>0.10</w:t>
            </w:r>
          </w:p>
        </w:tc>
        <w:tc>
          <w:tcPr>
            <w:tcW w:w="1985" w:type="dxa"/>
            <w:tcBorders>
              <w:bottom w:val="single" w:sz="4" w:space="0" w:color="auto"/>
            </w:tcBorders>
            <w:shd w:val="clear" w:color="auto" w:fill="auto"/>
          </w:tcPr>
          <w:p w14:paraId="3EF151A0" w14:textId="77777777" w:rsidR="00B33542" w:rsidRPr="005071A1" w:rsidRDefault="00B33542" w:rsidP="009B7AF5">
            <w:pPr>
              <w:pStyle w:val="Tabletext"/>
            </w:pPr>
            <w:r w:rsidRPr="005071A1">
              <w:t>0.03</w:t>
            </w:r>
          </w:p>
        </w:tc>
        <w:tc>
          <w:tcPr>
            <w:tcW w:w="1660" w:type="dxa"/>
            <w:tcBorders>
              <w:bottom w:val="single" w:sz="4" w:space="0" w:color="auto"/>
            </w:tcBorders>
            <w:shd w:val="clear" w:color="auto" w:fill="auto"/>
          </w:tcPr>
          <w:p w14:paraId="4AD54E73" w14:textId="77777777" w:rsidR="00B33542" w:rsidRPr="005071A1" w:rsidRDefault="00B33542" w:rsidP="009B7AF5">
            <w:pPr>
              <w:pStyle w:val="Tabletext"/>
            </w:pPr>
            <w:r w:rsidRPr="005071A1">
              <w:t>0.06</w:t>
            </w:r>
          </w:p>
        </w:tc>
      </w:tr>
      <w:tr w:rsidR="00B33542" w:rsidRPr="005071A1" w14:paraId="61A57C72" w14:textId="77777777" w:rsidTr="00640BB6">
        <w:tc>
          <w:tcPr>
            <w:tcW w:w="1701" w:type="dxa"/>
            <w:tcBorders>
              <w:top w:val="single" w:sz="4" w:space="0" w:color="auto"/>
              <w:bottom w:val="single" w:sz="4" w:space="0" w:color="auto"/>
            </w:tcBorders>
            <w:shd w:val="clear" w:color="auto" w:fill="auto"/>
          </w:tcPr>
          <w:p w14:paraId="5D065E20" w14:textId="77777777" w:rsidR="00B33542" w:rsidRPr="005071A1" w:rsidRDefault="00B33542" w:rsidP="009B7AF5">
            <w:pPr>
              <w:pStyle w:val="Tabletext"/>
            </w:pPr>
            <w:r w:rsidRPr="005071A1">
              <w:t>22</w:t>
            </w:r>
          </w:p>
        </w:tc>
        <w:tc>
          <w:tcPr>
            <w:tcW w:w="1701" w:type="dxa"/>
            <w:tcBorders>
              <w:top w:val="single" w:sz="4" w:space="0" w:color="auto"/>
              <w:bottom w:val="single" w:sz="4" w:space="0" w:color="auto"/>
            </w:tcBorders>
            <w:shd w:val="clear" w:color="auto" w:fill="auto"/>
          </w:tcPr>
          <w:p w14:paraId="5855DCFF" w14:textId="77777777" w:rsidR="00B33542" w:rsidRPr="005071A1" w:rsidRDefault="00B33542" w:rsidP="009B7AF5">
            <w:pPr>
              <w:pStyle w:val="Tabletext"/>
            </w:pPr>
            <w:r w:rsidRPr="005071A1">
              <w:t>0.10</w:t>
            </w:r>
          </w:p>
        </w:tc>
        <w:tc>
          <w:tcPr>
            <w:tcW w:w="1985" w:type="dxa"/>
            <w:tcBorders>
              <w:top w:val="single" w:sz="4" w:space="0" w:color="auto"/>
              <w:bottom w:val="single" w:sz="4" w:space="0" w:color="auto"/>
            </w:tcBorders>
            <w:shd w:val="clear" w:color="auto" w:fill="auto"/>
          </w:tcPr>
          <w:p w14:paraId="710C07A3" w14:textId="77777777" w:rsidR="00B33542" w:rsidRPr="005071A1" w:rsidRDefault="00B33542" w:rsidP="009B7AF5">
            <w:pPr>
              <w:pStyle w:val="Tabletext"/>
            </w:pPr>
            <w:r w:rsidRPr="005071A1">
              <w:t>0.03</w:t>
            </w:r>
          </w:p>
        </w:tc>
        <w:tc>
          <w:tcPr>
            <w:tcW w:w="1660" w:type="dxa"/>
            <w:tcBorders>
              <w:top w:val="single" w:sz="4" w:space="0" w:color="auto"/>
              <w:bottom w:val="single" w:sz="4" w:space="0" w:color="auto"/>
            </w:tcBorders>
            <w:shd w:val="clear" w:color="auto" w:fill="auto"/>
          </w:tcPr>
          <w:p w14:paraId="758DF2B8" w14:textId="77777777" w:rsidR="00B33542" w:rsidRPr="005071A1" w:rsidRDefault="00B33542" w:rsidP="009B7AF5">
            <w:pPr>
              <w:pStyle w:val="Tabletext"/>
            </w:pPr>
            <w:r w:rsidRPr="005071A1">
              <w:t>0.06</w:t>
            </w:r>
          </w:p>
        </w:tc>
      </w:tr>
      <w:tr w:rsidR="00B33542" w:rsidRPr="005071A1" w14:paraId="18FC493C" w14:textId="77777777" w:rsidTr="00640BB6">
        <w:tc>
          <w:tcPr>
            <w:tcW w:w="1701" w:type="dxa"/>
            <w:tcBorders>
              <w:bottom w:val="single" w:sz="4" w:space="0" w:color="auto"/>
            </w:tcBorders>
            <w:shd w:val="clear" w:color="auto" w:fill="auto"/>
          </w:tcPr>
          <w:p w14:paraId="24A40825" w14:textId="77777777" w:rsidR="00B33542" w:rsidRPr="005071A1" w:rsidRDefault="00B33542" w:rsidP="009B7AF5">
            <w:pPr>
              <w:pStyle w:val="Tabletext"/>
            </w:pPr>
            <w:r w:rsidRPr="005071A1">
              <w:t>23</w:t>
            </w:r>
          </w:p>
        </w:tc>
        <w:tc>
          <w:tcPr>
            <w:tcW w:w="1701" w:type="dxa"/>
            <w:tcBorders>
              <w:bottom w:val="single" w:sz="4" w:space="0" w:color="auto"/>
            </w:tcBorders>
            <w:shd w:val="clear" w:color="auto" w:fill="auto"/>
          </w:tcPr>
          <w:p w14:paraId="43D9280B" w14:textId="77777777" w:rsidR="00B33542" w:rsidRPr="005071A1" w:rsidRDefault="00B33542" w:rsidP="009B7AF5">
            <w:pPr>
              <w:pStyle w:val="Tabletext"/>
            </w:pPr>
            <w:r w:rsidRPr="005071A1">
              <w:t>0.10</w:t>
            </w:r>
          </w:p>
        </w:tc>
        <w:tc>
          <w:tcPr>
            <w:tcW w:w="1985" w:type="dxa"/>
            <w:tcBorders>
              <w:bottom w:val="single" w:sz="4" w:space="0" w:color="auto"/>
            </w:tcBorders>
            <w:shd w:val="clear" w:color="auto" w:fill="auto"/>
          </w:tcPr>
          <w:p w14:paraId="7CE1F51A" w14:textId="77777777" w:rsidR="00B33542" w:rsidRPr="005071A1" w:rsidRDefault="00B33542" w:rsidP="009B7AF5">
            <w:pPr>
              <w:pStyle w:val="Tabletext"/>
            </w:pPr>
            <w:r w:rsidRPr="005071A1">
              <w:t>0.03</w:t>
            </w:r>
          </w:p>
        </w:tc>
        <w:tc>
          <w:tcPr>
            <w:tcW w:w="1660" w:type="dxa"/>
            <w:tcBorders>
              <w:bottom w:val="single" w:sz="4" w:space="0" w:color="auto"/>
            </w:tcBorders>
            <w:shd w:val="clear" w:color="auto" w:fill="auto"/>
          </w:tcPr>
          <w:p w14:paraId="0384CEC0" w14:textId="77777777" w:rsidR="00B33542" w:rsidRPr="005071A1" w:rsidRDefault="00B33542" w:rsidP="009B7AF5">
            <w:pPr>
              <w:pStyle w:val="Tabletext"/>
            </w:pPr>
            <w:r w:rsidRPr="005071A1">
              <w:t>0.06</w:t>
            </w:r>
          </w:p>
        </w:tc>
      </w:tr>
      <w:tr w:rsidR="00B33542" w:rsidRPr="005071A1" w14:paraId="3C971430" w14:textId="77777777" w:rsidTr="00640BB6">
        <w:tc>
          <w:tcPr>
            <w:tcW w:w="1701" w:type="dxa"/>
            <w:tcBorders>
              <w:top w:val="single" w:sz="4" w:space="0" w:color="auto"/>
            </w:tcBorders>
            <w:shd w:val="clear" w:color="auto" w:fill="auto"/>
          </w:tcPr>
          <w:p w14:paraId="21924017" w14:textId="77777777" w:rsidR="00B33542" w:rsidRPr="005071A1" w:rsidRDefault="00B33542" w:rsidP="009B7AF5">
            <w:pPr>
              <w:pStyle w:val="Tabletext"/>
            </w:pPr>
            <w:r w:rsidRPr="005071A1">
              <w:t>24</w:t>
            </w:r>
          </w:p>
        </w:tc>
        <w:tc>
          <w:tcPr>
            <w:tcW w:w="1701" w:type="dxa"/>
            <w:tcBorders>
              <w:top w:val="single" w:sz="4" w:space="0" w:color="auto"/>
            </w:tcBorders>
            <w:shd w:val="clear" w:color="auto" w:fill="auto"/>
          </w:tcPr>
          <w:p w14:paraId="02B17C2A" w14:textId="77777777" w:rsidR="00B33542" w:rsidRPr="005071A1" w:rsidRDefault="00B33542" w:rsidP="009B7AF5">
            <w:pPr>
              <w:pStyle w:val="Tabletext"/>
            </w:pPr>
            <w:r w:rsidRPr="005071A1">
              <w:t>0.10</w:t>
            </w:r>
          </w:p>
        </w:tc>
        <w:tc>
          <w:tcPr>
            <w:tcW w:w="1985" w:type="dxa"/>
            <w:tcBorders>
              <w:top w:val="single" w:sz="4" w:space="0" w:color="auto"/>
            </w:tcBorders>
            <w:shd w:val="clear" w:color="auto" w:fill="auto"/>
          </w:tcPr>
          <w:p w14:paraId="6DF50782" w14:textId="77777777" w:rsidR="00B33542" w:rsidRPr="005071A1" w:rsidRDefault="00B33542" w:rsidP="009B7AF5">
            <w:pPr>
              <w:pStyle w:val="Tabletext"/>
            </w:pPr>
            <w:r w:rsidRPr="005071A1">
              <w:t>0.03</w:t>
            </w:r>
          </w:p>
        </w:tc>
        <w:tc>
          <w:tcPr>
            <w:tcW w:w="1660" w:type="dxa"/>
            <w:tcBorders>
              <w:top w:val="single" w:sz="4" w:space="0" w:color="auto"/>
            </w:tcBorders>
            <w:shd w:val="clear" w:color="auto" w:fill="auto"/>
          </w:tcPr>
          <w:p w14:paraId="6C2E0588" w14:textId="77777777" w:rsidR="00B33542" w:rsidRPr="005071A1" w:rsidRDefault="00B33542" w:rsidP="009B7AF5">
            <w:pPr>
              <w:pStyle w:val="Tabletext"/>
            </w:pPr>
            <w:r w:rsidRPr="005071A1">
              <w:t>0.06</w:t>
            </w:r>
          </w:p>
        </w:tc>
      </w:tr>
      <w:tr w:rsidR="00B33542" w:rsidRPr="005071A1" w14:paraId="34FDFAA7" w14:textId="77777777" w:rsidTr="009B7AF5">
        <w:tc>
          <w:tcPr>
            <w:tcW w:w="1701" w:type="dxa"/>
            <w:shd w:val="clear" w:color="auto" w:fill="auto"/>
          </w:tcPr>
          <w:p w14:paraId="0AEE50EE" w14:textId="77777777" w:rsidR="00B33542" w:rsidRPr="005071A1" w:rsidRDefault="00B33542" w:rsidP="009B7AF5">
            <w:pPr>
              <w:pStyle w:val="Tabletext"/>
            </w:pPr>
            <w:r w:rsidRPr="005071A1">
              <w:t>25</w:t>
            </w:r>
          </w:p>
        </w:tc>
        <w:tc>
          <w:tcPr>
            <w:tcW w:w="1701" w:type="dxa"/>
            <w:shd w:val="clear" w:color="auto" w:fill="auto"/>
          </w:tcPr>
          <w:p w14:paraId="73A3659E" w14:textId="77777777" w:rsidR="00B33542" w:rsidRPr="005071A1" w:rsidRDefault="00B33542" w:rsidP="009B7AF5">
            <w:pPr>
              <w:pStyle w:val="Tabletext"/>
            </w:pPr>
            <w:r w:rsidRPr="005071A1">
              <w:t>0.12</w:t>
            </w:r>
          </w:p>
        </w:tc>
        <w:tc>
          <w:tcPr>
            <w:tcW w:w="1985" w:type="dxa"/>
            <w:shd w:val="clear" w:color="auto" w:fill="auto"/>
          </w:tcPr>
          <w:p w14:paraId="5E7E5037" w14:textId="77777777" w:rsidR="00B33542" w:rsidRPr="005071A1" w:rsidRDefault="00B33542" w:rsidP="009B7AF5">
            <w:pPr>
              <w:pStyle w:val="Tabletext"/>
            </w:pPr>
            <w:r w:rsidRPr="005071A1">
              <w:t>0.04</w:t>
            </w:r>
          </w:p>
        </w:tc>
        <w:tc>
          <w:tcPr>
            <w:tcW w:w="1660" w:type="dxa"/>
            <w:shd w:val="clear" w:color="auto" w:fill="auto"/>
          </w:tcPr>
          <w:p w14:paraId="2ED82486" w14:textId="77777777" w:rsidR="00B33542" w:rsidRPr="005071A1" w:rsidRDefault="00B33542" w:rsidP="009B7AF5">
            <w:pPr>
              <w:pStyle w:val="Tabletext"/>
            </w:pPr>
            <w:r w:rsidRPr="005071A1">
              <w:t>0.08</w:t>
            </w:r>
          </w:p>
        </w:tc>
      </w:tr>
      <w:tr w:rsidR="00B33542" w:rsidRPr="005071A1" w14:paraId="3FD284F5" w14:textId="77777777" w:rsidTr="009B7AF5">
        <w:tc>
          <w:tcPr>
            <w:tcW w:w="1701" w:type="dxa"/>
            <w:shd w:val="clear" w:color="auto" w:fill="auto"/>
          </w:tcPr>
          <w:p w14:paraId="0E85A792" w14:textId="77777777" w:rsidR="00B33542" w:rsidRPr="005071A1" w:rsidRDefault="00B33542" w:rsidP="009B7AF5">
            <w:pPr>
              <w:pStyle w:val="Tabletext"/>
            </w:pPr>
            <w:r w:rsidRPr="005071A1">
              <w:t>26</w:t>
            </w:r>
          </w:p>
        </w:tc>
        <w:tc>
          <w:tcPr>
            <w:tcW w:w="1701" w:type="dxa"/>
            <w:shd w:val="clear" w:color="auto" w:fill="auto"/>
          </w:tcPr>
          <w:p w14:paraId="387A49C8" w14:textId="77777777" w:rsidR="00B33542" w:rsidRPr="005071A1" w:rsidRDefault="00B33542" w:rsidP="009B7AF5">
            <w:pPr>
              <w:pStyle w:val="Tabletext"/>
            </w:pPr>
            <w:r w:rsidRPr="005071A1">
              <w:t>0.12</w:t>
            </w:r>
          </w:p>
        </w:tc>
        <w:tc>
          <w:tcPr>
            <w:tcW w:w="1985" w:type="dxa"/>
            <w:shd w:val="clear" w:color="auto" w:fill="auto"/>
          </w:tcPr>
          <w:p w14:paraId="466D4AE8" w14:textId="77777777" w:rsidR="00B33542" w:rsidRPr="005071A1" w:rsidRDefault="00B33542" w:rsidP="009B7AF5">
            <w:pPr>
              <w:pStyle w:val="Tabletext"/>
            </w:pPr>
            <w:r w:rsidRPr="005071A1">
              <w:t>0.04</w:t>
            </w:r>
          </w:p>
        </w:tc>
        <w:tc>
          <w:tcPr>
            <w:tcW w:w="1660" w:type="dxa"/>
            <w:shd w:val="clear" w:color="auto" w:fill="auto"/>
          </w:tcPr>
          <w:p w14:paraId="69DF8A88" w14:textId="77777777" w:rsidR="00B33542" w:rsidRPr="005071A1" w:rsidRDefault="00B33542" w:rsidP="009B7AF5">
            <w:pPr>
              <w:pStyle w:val="Tabletext"/>
            </w:pPr>
            <w:r w:rsidRPr="005071A1">
              <w:t>0.08</w:t>
            </w:r>
          </w:p>
        </w:tc>
      </w:tr>
      <w:tr w:rsidR="00B33542" w:rsidRPr="005071A1" w14:paraId="331F10BE" w14:textId="77777777" w:rsidTr="009B7AF5">
        <w:tc>
          <w:tcPr>
            <w:tcW w:w="1701" w:type="dxa"/>
            <w:shd w:val="clear" w:color="auto" w:fill="auto"/>
          </w:tcPr>
          <w:p w14:paraId="0A438705" w14:textId="77777777" w:rsidR="00B33542" w:rsidRPr="005071A1" w:rsidRDefault="00B33542" w:rsidP="009B7AF5">
            <w:pPr>
              <w:pStyle w:val="Tabletext"/>
            </w:pPr>
            <w:r w:rsidRPr="005071A1">
              <w:t>27</w:t>
            </w:r>
          </w:p>
        </w:tc>
        <w:tc>
          <w:tcPr>
            <w:tcW w:w="1701" w:type="dxa"/>
            <w:shd w:val="clear" w:color="auto" w:fill="auto"/>
          </w:tcPr>
          <w:p w14:paraId="5B9F8064" w14:textId="77777777" w:rsidR="00B33542" w:rsidRPr="005071A1" w:rsidRDefault="00B33542" w:rsidP="009B7AF5">
            <w:pPr>
              <w:pStyle w:val="Tabletext"/>
            </w:pPr>
            <w:r w:rsidRPr="005071A1">
              <w:t>0.12</w:t>
            </w:r>
          </w:p>
        </w:tc>
        <w:tc>
          <w:tcPr>
            <w:tcW w:w="1985" w:type="dxa"/>
            <w:shd w:val="clear" w:color="auto" w:fill="auto"/>
          </w:tcPr>
          <w:p w14:paraId="110D514D" w14:textId="77777777" w:rsidR="00B33542" w:rsidRPr="005071A1" w:rsidRDefault="00B33542" w:rsidP="009B7AF5">
            <w:pPr>
              <w:pStyle w:val="Tabletext"/>
            </w:pPr>
            <w:r w:rsidRPr="005071A1">
              <w:t>0.04</w:t>
            </w:r>
          </w:p>
        </w:tc>
        <w:tc>
          <w:tcPr>
            <w:tcW w:w="1660" w:type="dxa"/>
            <w:shd w:val="clear" w:color="auto" w:fill="auto"/>
          </w:tcPr>
          <w:p w14:paraId="46F4A9B3" w14:textId="77777777" w:rsidR="00B33542" w:rsidRPr="005071A1" w:rsidRDefault="00B33542" w:rsidP="009B7AF5">
            <w:pPr>
              <w:pStyle w:val="Tabletext"/>
            </w:pPr>
            <w:r w:rsidRPr="005071A1">
              <w:t>0.08</w:t>
            </w:r>
          </w:p>
        </w:tc>
      </w:tr>
      <w:tr w:rsidR="00B33542" w:rsidRPr="005071A1" w14:paraId="47249BEE" w14:textId="77777777" w:rsidTr="009B7AF5">
        <w:tc>
          <w:tcPr>
            <w:tcW w:w="1701" w:type="dxa"/>
            <w:shd w:val="clear" w:color="auto" w:fill="auto"/>
          </w:tcPr>
          <w:p w14:paraId="49D22543" w14:textId="77777777" w:rsidR="00B33542" w:rsidRPr="005071A1" w:rsidRDefault="00B33542" w:rsidP="009B7AF5">
            <w:pPr>
              <w:pStyle w:val="Tabletext"/>
            </w:pPr>
            <w:r w:rsidRPr="005071A1">
              <w:t>28</w:t>
            </w:r>
          </w:p>
        </w:tc>
        <w:tc>
          <w:tcPr>
            <w:tcW w:w="1701" w:type="dxa"/>
            <w:shd w:val="clear" w:color="auto" w:fill="auto"/>
          </w:tcPr>
          <w:p w14:paraId="1DEC45D2" w14:textId="77777777" w:rsidR="00B33542" w:rsidRPr="005071A1" w:rsidRDefault="00B33542" w:rsidP="009B7AF5">
            <w:pPr>
              <w:pStyle w:val="Tabletext"/>
            </w:pPr>
            <w:r w:rsidRPr="005071A1">
              <w:t>0.12</w:t>
            </w:r>
          </w:p>
        </w:tc>
        <w:tc>
          <w:tcPr>
            <w:tcW w:w="1985" w:type="dxa"/>
            <w:shd w:val="clear" w:color="auto" w:fill="auto"/>
          </w:tcPr>
          <w:p w14:paraId="0C3F51E6" w14:textId="77777777" w:rsidR="00B33542" w:rsidRPr="005071A1" w:rsidRDefault="00B33542" w:rsidP="009B7AF5">
            <w:pPr>
              <w:pStyle w:val="Tabletext"/>
            </w:pPr>
            <w:r w:rsidRPr="005071A1">
              <w:t>0.04</w:t>
            </w:r>
          </w:p>
        </w:tc>
        <w:tc>
          <w:tcPr>
            <w:tcW w:w="1660" w:type="dxa"/>
            <w:shd w:val="clear" w:color="auto" w:fill="auto"/>
          </w:tcPr>
          <w:p w14:paraId="74359867" w14:textId="77777777" w:rsidR="00B33542" w:rsidRPr="005071A1" w:rsidRDefault="00B33542" w:rsidP="009B7AF5">
            <w:pPr>
              <w:pStyle w:val="Tabletext"/>
            </w:pPr>
            <w:r w:rsidRPr="005071A1">
              <w:t>0.08</w:t>
            </w:r>
          </w:p>
        </w:tc>
      </w:tr>
      <w:tr w:rsidR="00B33542" w:rsidRPr="005071A1" w14:paraId="5AC5F92B" w14:textId="77777777" w:rsidTr="009B7AF5">
        <w:tc>
          <w:tcPr>
            <w:tcW w:w="1701" w:type="dxa"/>
            <w:shd w:val="clear" w:color="auto" w:fill="auto"/>
          </w:tcPr>
          <w:p w14:paraId="627EE4AE" w14:textId="77777777" w:rsidR="00B33542" w:rsidRPr="005071A1" w:rsidRDefault="00B33542" w:rsidP="009B7AF5">
            <w:pPr>
              <w:pStyle w:val="Tabletext"/>
            </w:pPr>
            <w:r w:rsidRPr="005071A1">
              <w:t>29</w:t>
            </w:r>
          </w:p>
        </w:tc>
        <w:tc>
          <w:tcPr>
            <w:tcW w:w="1701" w:type="dxa"/>
            <w:shd w:val="clear" w:color="auto" w:fill="auto"/>
          </w:tcPr>
          <w:p w14:paraId="3917E4A4" w14:textId="77777777" w:rsidR="00B33542" w:rsidRPr="005071A1" w:rsidRDefault="00B33542" w:rsidP="009B7AF5">
            <w:pPr>
              <w:pStyle w:val="Tabletext"/>
            </w:pPr>
            <w:r w:rsidRPr="005071A1">
              <w:t>0.14</w:t>
            </w:r>
          </w:p>
        </w:tc>
        <w:tc>
          <w:tcPr>
            <w:tcW w:w="1985" w:type="dxa"/>
            <w:shd w:val="clear" w:color="auto" w:fill="auto"/>
          </w:tcPr>
          <w:p w14:paraId="64AB43F6" w14:textId="77777777" w:rsidR="00B33542" w:rsidRPr="005071A1" w:rsidRDefault="00B33542" w:rsidP="009B7AF5">
            <w:pPr>
              <w:pStyle w:val="Tabletext"/>
            </w:pPr>
            <w:r w:rsidRPr="005071A1">
              <w:t>0.04</w:t>
            </w:r>
          </w:p>
        </w:tc>
        <w:tc>
          <w:tcPr>
            <w:tcW w:w="1660" w:type="dxa"/>
            <w:shd w:val="clear" w:color="auto" w:fill="auto"/>
          </w:tcPr>
          <w:p w14:paraId="195B3326" w14:textId="77777777" w:rsidR="00B33542" w:rsidRPr="005071A1" w:rsidRDefault="00B33542" w:rsidP="009B7AF5">
            <w:pPr>
              <w:pStyle w:val="Tabletext"/>
            </w:pPr>
            <w:r w:rsidRPr="005071A1">
              <w:t>0.08</w:t>
            </w:r>
          </w:p>
        </w:tc>
      </w:tr>
      <w:tr w:rsidR="00B33542" w:rsidRPr="005071A1" w14:paraId="3407F176" w14:textId="77777777" w:rsidTr="009B7AF5">
        <w:tc>
          <w:tcPr>
            <w:tcW w:w="1701" w:type="dxa"/>
            <w:shd w:val="clear" w:color="auto" w:fill="auto"/>
          </w:tcPr>
          <w:p w14:paraId="77F4C195" w14:textId="77777777" w:rsidR="00B33542" w:rsidRPr="005071A1" w:rsidRDefault="00B33542" w:rsidP="009B7AF5">
            <w:pPr>
              <w:pStyle w:val="Tabletext"/>
            </w:pPr>
            <w:r w:rsidRPr="005071A1">
              <w:t>30</w:t>
            </w:r>
          </w:p>
        </w:tc>
        <w:tc>
          <w:tcPr>
            <w:tcW w:w="1701" w:type="dxa"/>
            <w:shd w:val="clear" w:color="auto" w:fill="auto"/>
          </w:tcPr>
          <w:p w14:paraId="03B35E9A" w14:textId="77777777" w:rsidR="00B33542" w:rsidRPr="005071A1" w:rsidRDefault="00B33542" w:rsidP="009B7AF5">
            <w:pPr>
              <w:pStyle w:val="Tabletext"/>
            </w:pPr>
            <w:r w:rsidRPr="005071A1">
              <w:t>0.14</w:t>
            </w:r>
          </w:p>
        </w:tc>
        <w:tc>
          <w:tcPr>
            <w:tcW w:w="1985" w:type="dxa"/>
            <w:shd w:val="clear" w:color="auto" w:fill="auto"/>
          </w:tcPr>
          <w:p w14:paraId="1340FBF6" w14:textId="77777777" w:rsidR="00B33542" w:rsidRPr="005071A1" w:rsidRDefault="00B33542" w:rsidP="009B7AF5">
            <w:pPr>
              <w:pStyle w:val="Tabletext"/>
            </w:pPr>
            <w:r w:rsidRPr="005071A1">
              <w:t>0.04</w:t>
            </w:r>
          </w:p>
        </w:tc>
        <w:tc>
          <w:tcPr>
            <w:tcW w:w="1660" w:type="dxa"/>
            <w:shd w:val="clear" w:color="auto" w:fill="auto"/>
          </w:tcPr>
          <w:p w14:paraId="3F0EC0D1" w14:textId="77777777" w:rsidR="00B33542" w:rsidRPr="005071A1" w:rsidRDefault="00B33542" w:rsidP="009B7AF5">
            <w:pPr>
              <w:pStyle w:val="Tabletext"/>
            </w:pPr>
            <w:r w:rsidRPr="005071A1">
              <w:t>0.08</w:t>
            </w:r>
          </w:p>
        </w:tc>
      </w:tr>
      <w:tr w:rsidR="00B33542" w:rsidRPr="005071A1" w14:paraId="5B6911D9" w14:textId="77777777" w:rsidTr="009B7AF5">
        <w:tc>
          <w:tcPr>
            <w:tcW w:w="1701" w:type="dxa"/>
            <w:shd w:val="clear" w:color="auto" w:fill="auto"/>
          </w:tcPr>
          <w:p w14:paraId="2FC7060C" w14:textId="77777777" w:rsidR="00B33542" w:rsidRPr="005071A1" w:rsidRDefault="00B33542" w:rsidP="009B7AF5">
            <w:pPr>
              <w:pStyle w:val="Tabletext"/>
            </w:pPr>
            <w:r w:rsidRPr="005071A1">
              <w:t>31</w:t>
            </w:r>
          </w:p>
        </w:tc>
        <w:tc>
          <w:tcPr>
            <w:tcW w:w="1701" w:type="dxa"/>
            <w:shd w:val="clear" w:color="auto" w:fill="auto"/>
          </w:tcPr>
          <w:p w14:paraId="013FCD76" w14:textId="77777777" w:rsidR="00B33542" w:rsidRPr="005071A1" w:rsidRDefault="00B33542" w:rsidP="009B7AF5">
            <w:pPr>
              <w:pStyle w:val="Tabletext"/>
            </w:pPr>
            <w:r w:rsidRPr="005071A1">
              <w:t>0.14</w:t>
            </w:r>
          </w:p>
        </w:tc>
        <w:tc>
          <w:tcPr>
            <w:tcW w:w="1985" w:type="dxa"/>
            <w:shd w:val="clear" w:color="auto" w:fill="auto"/>
          </w:tcPr>
          <w:p w14:paraId="07B9C5D8" w14:textId="77777777" w:rsidR="00B33542" w:rsidRPr="005071A1" w:rsidRDefault="00B33542" w:rsidP="009B7AF5">
            <w:pPr>
              <w:pStyle w:val="Tabletext"/>
            </w:pPr>
            <w:r w:rsidRPr="005071A1">
              <w:t>0.04</w:t>
            </w:r>
          </w:p>
        </w:tc>
        <w:tc>
          <w:tcPr>
            <w:tcW w:w="1660" w:type="dxa"/>
            <w:shd w:val="clear" w:color="auto" w:fill="auto"/>
          </w:tcPr>
          <w:p w14:paraId="7CE795C1" w14:textId="77777777" w:rsidR="00B33542" w:rsidRPr="005071A1" w:rsidRDefault="00B33542" w:rsidP="009B7AF5">
            <w:pPr>
              <w:pStyle w:val="Tabletext"/>
            </w:pPr>
            <w:r w:rsidRPr="005071A1">
              <w:t>0.08</w:t>
            </w:r>
          </w:p>
        </w:tc>
      </w:tr>
      <w:tr w:rsidR="00B33542" w:rsidRPr="005071A1" w14:paraId="60EE0084" w14:textId="77777777" w:rsidTr="009B7AF5">
        <w:tc>
          <w:tcPr>
            <w:tcW w:w="1701" w:type="dxa"/>
            <w:shd w:val="clear" w:color="auto" w:fill="auto"/>
          </w:tcPr>
          <w:p w14:paraId="68DE964F" w14:textId="77777777" w:rsidR="00B33542" w:rsidRPr="005071A1" w:rsidRDefault="00B33542" w:rsidP="009B7AF5">
            <w:pPr>
              <w:pStyle w:val="Tabletext"/>
            </w:pPr>
            <w:r w:rsidRPr="005071A1">
              <w:t>32</w:t>
            </w:r>
          </w:p>
        </w:tc>
        <w:tc>
          <w:tcPr>
            <w:tcW w:w="1701" w:type="dxa"/>
            <w:shd w:val="clear" w:color="auto" w:fill="auto"/>
          </w:tcPr>
          <w:p w14:paraId="3E3944CB" w14:textId="77777777" w:rsidR="00B33542" w:rsidRPr="005071A1" w:rsidRDefault="00B33542" w:rsidP="009B7AF5">
            <w:pPr>
              <w:pStyle w:val="Tabletext"/>
            </w:pPr>
            <w:r w:rsidRPr="005071A1">
              <w:t>0.14</w:t>
            </w:r>
          </w:p>
        </w:tc>
        <w:tc>
          <w:tcPr>
            <w:tcW w:w="1985" w:type="dxa"/>
            <w:shd w:val="clear" w:color="auto" w:fill="auto"/>
          </w:tcPr>
          <w:p w14:paraId="3610EF65" w14:textId="77777777" w:rsidR="00B33542" w:rsidRPr="005071A1" w:rsidRDefault="00B33542" w:rsidP="009B7AF5">
            <w:pPr>
              <w:pStyle w:val="Tabletext"/>
            </w:pPr>
            <w:r w:rsidRPr="005071A1">
              <w:t>0.04</w:t>
            </w:r>
          </w:p>
        </w:tc>
        <w:tc>
          <w:tcPr>
            <w:tcW w:w="1660" w:type="dxa"/>
            <w:shd w:val="clear" w:color="auto" w:fill="auto"/>
          </w:tcPr>
          <w:p w14:paraId="42BCD2C1" w14:textId="77777777" w:rsidR="00B33542" w:rsidRPr="005071A1" w:rsidRDefault="00B33542" w:rsidP="009B7AF5">
            <w:pPr>
              <w:pStyle w:val="Tabletext"/>
            </w:pPr>
            <w:r w:rsidRPr="005071A1">
              <w:t>0.08</w:t>
            </w:r>
          </w:p>
        </w:tc>
      </w:tr>
      <w:tr w:rsidR="00B33542" w:rsidRPr="005071A1" w14:paraId="7706132A" w14:textId="77777777" w:rsidTr="009B7AF5">
        <w:tc>
          <w:tcPr>
            <w:tcW w:w="1701" w:type="dxa"/>
            <w:shd w:val="clear" w:color="auto" w:fill="auto"/>
          </w:tcPr>
          <w:p w14:paraId="2596AFF5" w14:textId="77777777" w:rsidR="00B33542" w:rsidRPr="005071A1" w:rsidRDefault="00B33542" w:rsidP="009B7AF5">
            <w:pPr>
              <w:pStyle w:val="Tabletext"/>
            </w:pPr>
            <w:r w:rsidRPr="005071A1">
              <w:t>33</w:t>
            </w:r>
          </w:p>
        </w:tc>
        <w:tc>
          <w:tcPr>
            <w:tcW w:w="1701" w:type="dxa"/>
            <w:shd w:val="clear" w:color="auto" w:fill="auto"/>
          </w:tcPr>
          <w:p w14:paraId="20E901FA" w14:textId="77777777" w:rsidR="00B33542" w:rsidRPr="005071A1" w:rsidRDefault="00B33542" w:rsidP="009B7AF5">
            <w:pPr>
              <w:pStyle w:val="Tabletext"/>
            </w:pPr>
            <w:r w:rsidRPr="005071A1">
              <w:t>0.14</w:t>
            </w:r>
          </w:p>
        </w:tc>
        <w:tc>
          <w:tcPr>
            <w:tcW w:w="1985" w:type="dxa"/>
            <w:shd w:val="clear" w:color="auto" w:fill="auto"/>
          </w:tcPr>
          <w:p w14:paraId="25FDA199" w14:textId="77777777" w:rsidR="00B33542" w:rsidRPr="005071A1" w:rsidRDefault="00B33542" w:rsidP="009B7AF5">
            <w:pPr>
              <w:pStyle w:val="Tabletext"/>
            </w:pPr>
            <w:r w:rsidRPr="005071A1">
              <w:t>0.04</w:t>
            </w:r>
          </w:p>
        </w:tc>
        <w:tc>
          <w:tcPr>
            <w:tcW w:w="1660" w:type="dxa"/>
            <w:shd w:val="clear" w:color="auto" w:fill="auto"/>
          </w:tcPr>
          <w:p w14:paraId="0E2D32E4" w14:textId="77777777" w:rsidR="00B33542" w:rsidRPr="005071A1" w:rsidRDefault="00B33542" w:rsidP="009B7AF5">
            <w:pPr>
              <w:pStyle w:val="Tabletext"/>
            </w:pPr>
            <w:r w:rsidRPr="005071A1">
              <w:t>0.08</w:t>
            </w:r>
          </w:p>
        </w:tc>
      </w:tr>
      <w:tr w:rsidR="00B33542" w:rsidRPr="005071A1" w14:paraId="744CE297" w14:textId="77777777" w:rsidTr="009B7AF5">
        <w:tc>
          <w:tcPr>
            <w:tcW w:w="1701" w:type="dxa"/>
            <w:shd w:val="clear" w:color="auto" w:fill="auto"/>
          </w:tcPr>
          <w:p w14:paraId="3F1A3742" w14:textId="77777777" w:rsidR="00B33542" w:rsidRPr="005071A1" w:rsidRDefault="00B33542" w:rsidP="009B7AF5">
            <w:pPr>
              <w:pStyle w:val="Tabletext"/>
            </w:pPr>
            <w:r w:rsidRPr="005071A1">
              <w:t>34</w:t>
            </w:r>
          </w:p>
        </w:tc>
        <w:tc>
          <w:tcPr>
            <w:tcW w:w="1701" w:type="dxa"/>
            <w:shd w:val="clear" w:color="auto" w:fill="auto"/>
          </w:tcPr>
          <w:p w14:paraId="6BC6A256" w14:textId="77777777" w:rsidR="00B33542" w:rsidRPr="005071A1" w:rsidRDefault="00B33542" w:rsidP="009B7AF5">
            <w:pPr>
              <w:pStyle w:val="Tabletext"/>
            </w:pPr>
            <w:r w:rsidRPr="005071A1">
              <w:t>0.14</w:t>
            </w:r>
          </w:p>
        </w:tc>
        <w:tc>
          <w:tcPr>
            <w:tcW w:w="1985" w:type="dxa"/>
            <w:shd w:val="clear" w:color="auto" w:fill="auto"/>
          </w:tcPr>
          <w:p w14:paraId="3E4EA265" w14:textId="77777777" w:rsidR="00B33542" w:rsidRPr="005071A1" w:rsidRDefault="00B33542" w:rsidP="009B7AF5">
            <w:pPr>
              <w:pStyle w:val="Tabletext"/>
            </w:pPr>
            <w:r w:rsidRPr="005071A1">
              <w:t>0.04</w:t>
            </w:r>
          </w:p>
        </w:tc>
        <w:tc>
          <w:tcPr>
            <w:tcW w:w="1660" w:type="dxa"/>
            <w:shd w:val="clear" w:color="auto" w:fill="auto"/>
          </w:tcPr>
          <w:p w14:paraId="69B8DEEC" w14:textId="77777777" w:rsidR="00B33542" w:rsidRPr="005071A1" w:rsidRDefault="00B33542" w:rsidP="009B7AF5">
            <w:pPr>
              <w:pStyle w:val="Tabletext"/>
            </w:pPr>
            <w:r w:rsidRPr="005071A1">
              <w:t>0.08</w:t>
            </w:r>
          </w:p>
        </w:tc>
      </w:tr>
      <w:tr w:rsidR="00B33542" w:rsidRPr="005071A1" w14:paraId="5E36DD07" w14:textId="77777777" w:rsidTr="009B7AF5">
        <w:tc>
          <w:tcPr>
            <w:tcW w:w="1701" w:type="dxa"/>
            <w:shd w:val="clear" w:color="auto" w:fill="auto"/>
          </w:tcPr>
          <w:p w14:paraId="449DB969" w14:textId="77777777" w:rsidR="00B33542" w:rsidRPr="005071A1" w:rsidRDefault="00B33542" w:rsidP="009B7AF5">
            <w:pPr>
              <w:pStyle w:val="Tabletext"/>
            </w:pPr>
            <w:r w:rsidRPr="005071A1">
              <w:t>35</w:t>
            </w:r>
          </w:p>
        </w:tc>
        <w:tc>
          <w:tcPr>
            <w:tcW w:w="1701" w:type="dxa"/>
            <w:shd w:val="clear" w:color="auto" w:fill="auto"/>
          </w:tcPr>
          <w:p w14:paraId="71DEC30A" w14:textId="77777777" w:rsidR="00B33542" w:rsidRPr="005071A1" w:rsidRDefault="00B33542" w:rsidP="009B7AF5">
            <w:pPr>
              <w:pStyle w:val="Tabletext"/>
            </w:pPr>
            <w:r w:rsidRPr="005071A1">
              <w:t>0.14</w:t>
            </w:r>
          </w:p>
        </w:tc>
        <w:tc>
          <w:tcPr>
            <w:tcW w:w="1985" w:type="dxa"/>
            <w:shd w:val="clear" w:color="auto" w:fill="auto"/>
          </w:tcPr>
          <w:p w14:paraId="09ED44EE" w14:textId="77777777" w:rsidR="00B33542" w:rsidRPr="005071A1" w:rsidRDefault="00B33542" w:rsidP="009B7AF5">
            <w:pPr>
              <w:pStyle w:val="Tabletext"/>
            </w:pPr>
            <w:r w:rsidRPr="005071A1">
              <w:t>0.04</w:t>
            </w:r>
          </w:p>
        </w:tc>
        <w:tc>
          <w:tcPr>
            <w:tcW w:w="1660" w:type="dxa"/>
            <w:shd w:val="clear" w:color="auto" w:fill="auto"/>
          </w:tcPr>
          <w:p w14:paraId="6E7A2052" w14:textId="77777777" w:rsidR="00B33542" w:rsidRPr="005071A1" w:rsidRDefault="00B33542" w:rsidP="009B7AF5">
            <w:pPr>
              <w:pStyle w:val="Tabletext"/>
            </w:pPr>
            <w:r w:rsidRPr="005071A1">
              <w:t>0.08</w:t>
            </w:r>
          </w:p>
        </w:tc>
      </w:tr>
      <w:tr w:rsidR="00B33542" w:rsidRPr="005071A1" w14:paraId="6F606901" w14:textId="77777777" w:rsidTr="009B7AF5">
        <w:tc>
          <w:tcPr>
            <w:tcW w:w="1701" w:type="dxa"/>
            <w:shd w:val="clear" w:color="auto" w:fill="auto"/>
          </w:tcPr>
          <w:p w14:paraId="79CA3D77" w14:textId="77777777" w:rsidR="00B33542" w:rsidRPr="005071A1" w:rsidRDefault="00B33542" w:rsidP="009B7AF5">
            <w:pPr>
              <w:pStyle w:val="Tabletext"/>
            </w:pPr>
            <w:r w:rsidRPr="005071A1">
              <w:lastRenderedPageBreak/>
              <w:t>36</w:t>
            </w:r>
          </w:p>
        </w:tc>
        <w:tc>
          <w:tcPr>
            <w:tcW w:w="1701" w:type="dxa"/>
            <w:shd w:val="clear" w:color="auto" w:fill="auto"/>
          </w:tcPr>
          <w:p w14:paraId="5EA4FBF5" w14:textId="77777777" w:rsidR="00B33542" w:rsidRPr="005071A1" w:rsidRDefault="00B33542" w:rsidP="009B7AF5">
            <w:pPr>
              <w:pStyle w:val="Tabletext"/>
            </w:pPr>
            <w:r w:rsidRPr="005071A1">
              <w:t>0.14</w:t>
            </w:r>
          </w:p>
        </w:tc>
        <w:tc>
          <w:tcPr>
            <w:tcW w:w="1985" w:type="dxa"/>
            <w:shd w:val="clear" w:color="auto" w:fill="auto"/>
          </w:tcPr>
          <w:p w14:paraId="7A62DE69" w14:textId="77777777" w:rsidR="00B33542" w:rsidRPr="005071A1" w:rsidRDefault="00B33542" w:rsidP="009B7AF5">
            <w:pPr>
              <w:pStyle w:val="Tabletext"/>
            </w:pPr>
            <w:r w:rsidRPr="005071A1">
              <w:t>0.04</w:t>
            </w:r>
          </w:p>
        </w:tc>
        <w:tc>
          <w:tcPr>
            <w:tcW w:w="1660" w:type="dxa"/>
            <w:shd w:val="clear" w:color="auto" w:fill="auto"/>
          </w:tcPr>
          <w:p w14:paraId="3DFB5E60" w14:textId="77777777" w:rsidR="00B33542" w:rsidRPr="005071A1" w:rsidRDefault="00B33542" w:rsidP="009B7AF5">
            <w:pPr>
              <w:pStyle w:val="Tabletext"/>
            </w:pPr>
            <w:r w:rsidRPr="005071A1">
              <w:t>0.08</w:t>
            </w:r>
          </w:p>
        </w:tc>
      </w:tr>
      <w:tr w:rsidR="00B33542" w:rsidRPr="005071A1" w14:paraId="199E50F9" w14:textId="77777777" w:rsidTr="009B7AF5">
        <w:tc>
          <w:tcPr>
            <w:tcW w:w="1701" w:type="dxa"/>
            <w:shd w:val="clear" w:color="auto" w:fill="auto"/>
          </w:tcPr>
          <w:p w14:paraId="60A94D4A" w14:textId="77777777" w:rsidR="00B33542" w:rsidRPr="005071A1" w:rsidRDefault="00B33542" w:rsidP="009B7AF5">
            <w:pPr>
              <w:pStyle w:val="Tabletext"/>
            </w:pPr>
            <w:r w:rsidRPr="005071A1">
              <w:t>37</w:t>
            </w:r>
          </w:p>
        </w:tc>
        <w:tc>
          <w:tcPr>
            <w:tcW w:w="1701" w:type="dxa"/>
            <w:shd w:val="clear" w:color="auto" w:fill="auto"/>
          </w:tcPr>
          <w:p w14:paraId="5A06E886" w14:textId="77777777" w:rsidR="00B33542" w:rsidRPr="005071A1" w:rsidRDefault="00B33542" w:rsidP="009B7AF5">
            <w:pPr>
              <w:pStyle w:val="Tabletext"/>
            </w:pPr>
            <w:r w:rsidRPr="005071A1">
              <w:t>0.14</w:t>
            </w:r>
          </w:p>
        </w:tc>
        <w:tc>
          <w:tcPr>
            <w:tcW w:w="1985" w:type="dxa"/>
            <w:shd w:val="clear" w:color="auto" w:fill="auto"/>
          </w:tcPr>
          <w:p w14:paraId="561331F2" w14:textId="77777777" w:rsidR="00B33542" w:rsidRPr="005071A1" w:rsidRDefault="00B33542" w:rsidP="009B7AF5">
            <w:pPr>
              <w:pStyle w:val="Tabletext"/>
            </w:pPr>
            <w:r w:rsidRPr="005071A1">
              <w:t>0.04</w:t>
            </w:r>
          </w:p>
        </w:tc>
        <w:tc>
          <w:tcPr>
            <w:tcW w:w="1660" w:type="dxa"/>
            <w:shd w:val="clear" w:color="auto" w:fill="auto"/>
          </w:tcPr>
          <w:p w14:paraId="397005E1" w14:textId="77777777" w:rsidR="00B33542" w:rsidRPr="005071A1" w:rsidRDefault="00B33542" w:rsidP="009B7AF5">
            <w:pPr>
              <w:pStyle w:val="Tabletext"/>
            </w:pPr>
            <w:r w:rsidRPr="005071A1">
              <w:t>0.08</w:t>
            </w:r>
          </w:p>
        </w:tc>
      </w:tr>
      <w:tr w:rsidR="00B33542" w:rsidRPr="005071A1" w14:paraId="041A7D03" w14:textId="77777777" w:rsidTr="009B7AF5">
        <w:tc>
          <w:tcPr>
            <w:tcW w:w="1701" w:type="dxa"/>
            <w:shd w:val="clear" w:color="auto" w:fill="auto"/>
          </w:tcPr>
          <w:p w14:paraId="699517D4" w14:textId="77777777" w:rsidR="00B33542" w:rsidRPr="005071A1" w:rsidRDefault="00B33542" w:rsidP="009B7AF5">
            <w:pPr>
              <w:pStyle w:val="Tabletext"/>
            </w:pPr>
            <w:r w:rsidRPr="005071A1">
              <w:t>38</w:t>
            </w:r>
          </w:p>
        </w:tc>
        <w:tc>
          <w:tcPr>
            <w:tcW w:w="1701" w:type="dxa"/>
            <w:shd w:val="clear" w:color="auto" w:fill="auto"/>
          </w:tcPr>
          <w:p w14:paraId="17C002C6" w14:textId="77777777" w:rsidR="00B33542" w:rsidRPr="005071A1" w:rsidRDefault="00B33542" w:rsidP="009B7AF5">
            <w:pPr>
              <w:pStyle w:val="Tabletext"/>
            </w:pPr>
            <w:r w:rsidRPr="005071A1">
              <w:t>0.14</w:t>
            </w:r>
          </w:p>
        </w:tc>
        <w:tc>
          <w:tcPr>
            <w:tcW w:w="1985" w:type="dxa"/>
            <w:shd w:val="clear" w:color="auto" w:fill="auto"/>
          </w:tcPr>
          <w:p w14:paraId="3C3728D7" w14:textId="77777777" w:rsidR="00B33542" w:rsidRPr="005071A1" w:rsidRDefault="00B33542" w:rsidP="009B7AF5">
            <w:pPr>
              <w:pStyle w:val="Tabletext"/>
            </w:pPr>
            <w:r w:rsidRPr="005071A1">
              <w:t>0.04</w:t>
            </w:r>
          </w:p>
        </w:tc>
        <w:tc>
          <w:tcPr>
            <w:tcW w:w="1660" w:type="dxa"/>
            <w:shd w:val="clear" w:color="auto" w:fill="auto"/>
          </w:tcPr>
          <w:p w14:paraId="2B26A1D0" w14:textId="77777777" w:rsidR="00B33542" w:rsidRPr="005071A1" w:rsidRDefault="00B33542" w:rsidP="009B7AF5">
            <w:pPr>
              <w:pStyle w:val="Tabletext"/>
            </w:pPr>
            <w:r w:rsidRPr="005071A1">
              <w:t>0.08</w:t>
            </w:r>
          </w:p>
        </w:tc>
      </w:tr>
      <w:tr w:rsidR="00B33542" w:rsidRPr="005071A1" w14:paraId="0DE9811A" w14:textId="77777777" w:rsidTr="009B7AF5">
        <w:tc>
          <w:tcPr>
            <w:tcW w:w="1701" w:type="dxa"/>
            <w:shd w:val="clear" w:color="auto" w:fill="auto"/>
          </w:tcPr>
          <w:p w14:paraId="073A8468" w14:textId="77777777" w:rsidR="00B33542" w:rsidRPr="005071A1" w:rsidRDefault="00B33542" w:rsidP="009B7AF5">
            <w:pPr>
              <w:pStyle w:val="Tabletext"/>
            </w:pPr>
            <w:r w:rsidRPr="005071A1">
              <w:t>39</w:t>
            </w:r>
          </w:p>
        </w:tc>
        <w:tc>
          <w:tcPr>
            <w:tcW w:w="1701" w:type="dxa"/>
            <w:shd w:val="clear" w:color="auto" w:fill="auto"/>
          </w:tcPr>
          <w:p w14:paraId="6AF6329D" w14:textId="77777777" w:rsidR="00B33542" w:rsidRPr="005071A1" w:rsidRDefault="00B33542" w:rsidP="009B7AF5">
            <w:pPr>
              <w:pStyle w:val="Tabletext"/>
            </w:pPr>
            <w:r w:rsidRPr="005071A1">
              <w:t>0.14</w:t>
            </w:r>
          </w:p>
        </w:tc>
        <w:tc>
          <w:tcPr>
            <w:tcW w:w="1985" w:type="dxa"/>
            <w:shd w:val="clear" w:color="auto" w:fill="auto"/>
          </w:tcPr>
          <w:p w14:paraId="0200B104" w14:textId="77777777" w:rsidR="00B33542" w:rsidRPr="005071A1" w:rsidRDefault="00B33542" w:rsidP="009B7AF5">
            <w:pPr>
              <w:pStyle w:val="Tabletext"/>
            </w:pPr>
            <w:r w:rsidRPr="005071A1">
              <w:t>0.04</w:t>
            </w:r>
          </w:p>
        </w:tc>
        <w:tc>
          <w:tcPr>
            <w:tcW w:w="1660" w:type="dxa"/>
            <w:shd w:val="clear" w:color="auto" w:fill="auto"/>
          </w:tcPr>
          <w:p w14:paraId="6F93A338" w14:textId="77777777" w:rsidR="00B33542" w:rsidRPr="005071A1" w:rsidRDefault="00B33542" w:rsidP="009B7AF5">
            <w:pPr>
              <w:pStyle w:val="Tabletext"/>
            </w:pPr>
            <w:r w:rsidRPr="005071A1">
              <w:t>0.08</w:t>
            </w:r>
          </w:p>
        </w:tc>
      </w:tr>
      <w:tr w:rsidR="00B33542" w:rsidRPr="005071A1" w14:paraId="3687812A" w14:textId="77777777" w:rsidTr="00D57394">
        <w:tc>
          <w:tcPr>
            <w:tcW w:w="1701" w:type="dxa"/>
            <w:tcBorders>
              <w:bottom w:val="single" w:sz="4" w:space="0" w:color="auto"/>
            </w:tcBorders>
            <w:shd w:val="clear" w:color="auto" w:fill="auto"/>
          </w:tcPr>
          <w:p w14:paraId="520A8043" w14:textId="77777777" w:rsidR="00B33542" w:rsidRPr="005071A1" w:rsidRDefault="00B33542" w:rsidP="009B7AF5">
            <w:pPr>
              <w:pStyle w:val="Tabletext"/>
            </w:pPr>
            <w:r w:rsidRPr="005071A1">
              <w:t>40</w:t>
            </w:r>
          </w:p>
        </w:tc>
        <w:tc>
          <w:tcPr>
            <w:tcW w:w="1701" w:type="dxa"/>
            <w:tcBorders>
              <w:bottom w:val="single" w:sz="4" w:space="0" w:color="auto"/>
            </w:tcBorders>
            <w:shd w:val="clear" w:color="auto" w:fill="auto"/>
          </w:tcPr>
          <w:p w14:paraId="77E75E8E" w14:textId="77777777" w:rsidR="00B33542" w:rsidRPr="005071A1" w:rsidRDefault="00B33542" w:rsidP="009B7AF5">
            <w:pPr>
              <w:pStyle w:val="Tabletext"/>
            </w:pPr>
            <w:r w:rsidRPr="005071A1">
              <w:t>0.14</w:t>
            </w:r>
          </w:p>
        </w:tc>
        <w:tc>
          <w:tcPr>
            <w:tcW w:w="1985" w:type="dxa"/>
            <w:tcBorders>
              <w:bottom w:val="single" w:sz="4" w:space="0" w:color="auto"/>
            </w:tcBorders>
            <w:shd w:val="clear" w:color="auto" w:fill="auto"/>
          </w:tcPr>
          <w:p w14:paraId="02237416" w14:textId="77777777" w:rsidR="00B33542" w:rsidRPr="005071A1" w:rsidRDefault="00B33542" w:rsidP="009B7AF5">
            <w:pPr>
              <w:pStyle w:val="Tabletext"/>
            </w:pPr>
            <w:r w:rsidRPr="005071A1">
              <w:t>0.04</w:t>
            </w:r>
          </w:p>
        </w:tc>
        <w:tc>
          <w:tcPr>
            <w:tcW w:w="1660" w:type="dxa"/>
            <w:tcBorders>
              <w:bottom w:val="single" w:sz="4" w:space="0" w:color="auto"/>
            </w:tcBorders>
            <w:shd w:val="clear" w:color="auto" w:fill="auto"/>
          </w:tcPr>
          <w:p w14:paraId="25292545" w14:textId="77777777" w:rsidR="00B33542" w:rsidRPr="005071A1" w:rsidRDefault="00B33542" w:rsidP="009B7AF5">
            <w:pPr>
              <w:pStyle w:val="Tabletext"/>
            </w:pPr>
            <w:r w:rsidRPr="005071A1">
              <w:t>0.08</w:t>
            </w:r>
          </w:p>
        </w:tc>
      </w:tr>
      <w:tr w:rsidR="00B33542" w:rsidRPr="005071A1" w14:paraId="43D548F4" w14:textId="77777777" w:rsidTr="00D57394">
        <w:tc>
          <w:tcPr>
            <w:tcW w:w="1701" w:type="dxa"/>
            <w:tcBorders>
              <w:bottom w:val="single" w:sz="4" w:space="0" w:color="auto"/>
            </w:tcBorders>
            <w:shd w:val="clear" w:color="auto" w:fill="auto"/>
          </w:tcPr>
          <w:p w14:paraId="0773027A" w14:textId="77777777" w:rsidR="00B33542" w:rsidRPr="005071A1" w:rsidRDefault="00B33542" w:rsidP="009B7AF5">
            <w:pPr>
              <w:pStyle w:val="Tabletext"/>
            </w:pPr>
            <w:r w:rsidRPr="005071A1">
              <w:t>41</w:t>
            </w:r>
          </w:p>
        </w:tc>
        <w:tc>
          <w:tcPr>
            <w:tcW w:w="1701" w:type="dxa"/>
            <w:tcBorders>
              <w:bottom w:val="single" w:sz="4" w:space="0" w:color="auto"/>
            </w:tcBorders>
            <w:shd w:val="clear" w:color="auto" w:fill="auto"/>
          </w:tcPr>
          <w:p w14:paraId="6232AA1B" w14:textId="77777777" w:rsidR="00B33542" w:rsidRPr="005071A1" w:rsidRDefault="00B33542" w:rsidP="009B7AF5">
            <w:pPr>
              <w:pStyle w:val="Tabletext"/>
            </w:pPr>
            <w:r w:rsidRPr="005071A1">
              <w:t>0.16</w:t>
            </w:r>
          </w:p>
        </w:tc>
        <w:tc>
          <w:tcPr>
            <w:tcW w:w="1985" w:type="dxa"/>
            <w:tcBorders>
              <w:bottom w:val="single" w:sz="4" w:space="0" w:color="auto"/>
            </w:tcBorders>
            <w:shd w:val="clear" w:color="auto" w:fill="auto"/>
          </w:tcPr>
          <w:p w14:paraId="4CB4B8F5" w14:textId="77777777" w:rsidR="00B33542" w:rsidRPr="005071A1" w:rsidRDefault="00B33542" w:rsidP="009B7AF5">
            <w:pPr>
              <w:pStyle w:val="Tabletext"/>
            </w:pPr>
            <w:r w:rsidRPr="005071A1">
              <w:t>0.04</w:t>
            </w:r>
          </w:p>
        </w:tc>
        <w:tc>
          <w:tcPr>
            <w:tcW w:w="1660" w:type="dxa"/>
            <w:tcBorders>
              <w:bottom w:val="single" w:sz="4" w:space="0" w:color="auto"/>
            </w:tcBorders>
            <w:shd w:val="clear" w:color="auto" w:fill="auto"/>
          </w:tcPr>
          <w:p w14:paraId="4C285F1A" w14:textId="77777777" w:rsidR="00B33542" w:rsidRPr="005071A1" w:rsidRDefault="00B33542" w:rsidP="009B7AF5">
            <w:pPr>
              <w:pStyle w:val="Tabletext"/>
            </w:pPr>
            <w:r w:rsidRPr="005071A1">
              <w:t>0.08</w:t>
            </w:r>
          </w:p>
        </w:tc>
      </w:tr>
      <w:tr w:rsidR="00B33542" w:rsidRPr="005071A1" w14:paraId="08A33143" w14:textId="77777777" w:rsidTr="00D57394">
        <w:tc>
          <w:tcPr>
            <w:tcW w:w="1701" w:type="dxa"/>
            <w:tcBorders>
              <w:top w:val="single" w:sz="4" w:space="0" w:color="auto"/>
            </w:tcBorders>
            <w:shd w:val="clear" w:color="auto" w:fill="auto"/>
          </w:tcPr>
          <w:p w14:paraId="685C90AE" w14:textId="77777777" w:rsidR="00B33542" w:rsidRPr="005071A1" w:rsidRDefault="00B33542" w:rsidP="009B7AF5">
            <w:pPr>
              <w:pStyle w:val="Tabletext"/>
            </w:pPr>
            <w:r w:rsidRPr="005071A1">
              <w:t>42</w:t>
            </w:r>
          </w:p>
        </w:tc>
        <w:tc>
          <w:tcPr>
            <w:tcW w:w="1701" w:type="dxa"/>
            <w:tcBorders>
              <w:top w:val="single" w:sz="4" w:space="0" w:color="auto"/>
            </w:tcBorders>
            <w:shd w:val="clear" w:color="auto" w:fill="auto"/>
          </w:tcPr>
          <w:p w14:paraId="42274D76" w14:textId="77777777" w:rsidR="00B33542" w:rsidRPr="005071A1" w:rsidRDefault="00B33542" w:rsidP="009B7AF5">
            <w:pPr>
              <w:pStyle w:val="Tabletext"/>
            </w:pPr>
            <w:r w:rsidRPr="005071A1">
              <w:t>0.16</w:t>
            </w:r>
          </w:p>
        </w:tc>
        <w:tc>
          <w:tcPr>
            <w:tcW w:w="1985" w:type="dxa"/>
            <w:tcBorders>
              <w:top w:val="single" w:sz="4" w:space="0" w:color="auto"/>
            </w:tcBorders>
            <w:shd w:val="clear" w:color="auto" w:fill="auto"/>
          </w:tcPr>
          <w:p w14:paraId="78D37112" w14:textId="77777777" w:rsidR="00B33542" w:rsidRPr="005071A1" w:rsidRDefault="00B33542" w:rsidP="009B7AF5">
            <w:pPr>
              <w:pStyle w:val="Tabletext"/>
            </w:pPr>
            <w:r w:rsidRPr="005071A1">
              <w:t>0.04</w:t>
            </w:r>
          </w:p>
        </w:tc>
        <w:tc>
          <w:tcPr>
            <w:tcW w:w="1660" w:type="dxa"/>
            <w:tcBorders>
              <w:top w:val="single" w:sz="4" w:space="0" w:color="auto"/>
            </w:tcBorders>
            <w:shd w:val="clear" w:color="auto" w:fill="auto"/>
          </w:tcPr>
          <w:p w14:paraId="62A5AB22" w14:textId="77777777" w:rsidR="00B33542" w:rsidRPr="005071A1" w:rsidRDefault="00B33542" w:rsidP="009B7AF5">
            <w:pPr>
              <w:pStyle w:val="Tabletext"/>
            </w:pPr>
            <w:r w:rsidRPr="005071A1">
              <w:t>0.08</w:t>
            </w:r>
          </w:p>
        </w:tc>
      </w:tr>
      <w:tr w:rsidR="00B33542" w:rsidRPr="005071A1" w14:paraId="367F2137" w14:textId="77777777" w:rsidTr="00640BB6">
        <w:tc>
          <w:tcPr>
            <w:tcW w:w="1701" w:type="dxa"/>
            <w:tcBorders>
              <w:bottom w:val="single" w:sz="4" w:space="0" w:color="auto"/>
            </w:tcBorders>
            <w:shd w:val="clear" w:color="auto" w:fill="auto"/>
          </w:tcPr>
          <w:p w14:paraId="77A59F1E" w14:textId="77777777" w:rsidR="00B33542" w:rsidRPr="005071A1" w:rsidRDefault="00B33542" w:rsidP="009B7AF5">
            <w:pPr>
              <w:pStyle w:val="Tabletext"/>
            </w:pPr>
            <w:r w:rsidRPr="005071A1">
              <w:t>43</w:t>
            </w:r>
          </w:p>
        </w:tc>
        <w:tc>
          <w:tcPr>
            <w:tcW w:w="1701" w:type="dxa"/>
            <w:tcBorders>
              <w:bottom w:val="single" w:sz="4" w:space="0" w:color="auto"/>
            </w:tcBorders>
            <w:shd w:val="clear" w:color="auto" w:fill="auto"/>
          </w:tcPr>
          <w:p w14:paraId="27D6428D" w14:textId="77777777" w:rsidR="00B33542" w:rsidRPr="005071A1" w:rsidRDefault="00B33542" w:rsidP="009B7AF5">
            <w:pPr>
              <w:pStyle w:val="Tabletext"/>
            </w:pPr>
            <w:r w:rsidRPr="005071A1">
              <w:t>0.16</w:t>
            </w:r>
          </w:p>
        </w:tc>
        <w:tc>
          <w:tcPr>
            <w:tcW w:w="1985" w:type="dxa"/>
            <w:tcBorders>
              <w:bottom w:val="single" w:sz="4" w:space="0" w:color="auto"/>
            </w:tcBorders>
            <w:shd w:val="clear" w:color="auto" w:fill="auto"/>
          </w:tcPr>
          <w:p w14:paraId="61C3F06A" w14:textId="77777777" w:rsidR="00B33542" w:rsidRPr="005071A1" w:rsidRDefault="00B33542" w:rsidP="009B7AF5">
            <w:pPr>
              <w:pStyle w:val="Tabletext"/>
            </w:pPr>
            <w:r w:rsidRPr="005071A1">
              <w:t>0.05</w:t>
            </w:r>
          </w:p>
        </w:tc>
        <w:tc>
          <w:tcPr>
            <w:tcW w:w="1660" w:type="dxa"/>
            <w:tcBorders>
              <w:bottom w:val="single" w:sz="4" w:space="0" w:color="auto"/>
            </w:tcBorders>
            <w:shd w:val="clear" w:color="auto" w:fill="auto"/>
          </w:tcPr>
          <w:p w14:paraId="34EB0081" w14:textId="77777777" w:rsidR="00B33542" w:rsidRPr="005071A1" w:rsidRDefault="00B33542" w:rsidP="009B7AF5">
            <w:pPr>
              <w:pStyle w:val="Tabletext"/>
            </w:pPr>
            <w:r w:rsidRPr="005071A1">
              <w:t>0.10</w:t>
            </w:r>
          </w:p>
        </w:tc>
      </w:tr>
      <w:tr w:rsidR="00B33542" w:rsidRPr="005071A1" w14:paraId="41D7567C" w14:textId="77777777" w:rsidTr="00640BB6">
        <w:tc>
          <w:tcPr>
            <w:tcW w:w="1701" w:type="dxa"/>
            <w:tcBorders>
              <w:bottom w:val="single" w:sz="4" w:space="0" w:color="auto"/>
            </w:tcBorders>
            <w:shd w:val="clear" w:color="auto" w:fill="auto"/>
          </w:tcPr>
          <w:p w14:paraId="462A1857" w14:textId="77777777" w:rsidR="00B33542" w:rsidRPr="005071A1" w:rsidRDefault="00B33542" w:rsidP="009B7AF5">
            <w:pPr>
              <w:pStyle w:val="Tabletext"/>
            </w:pPr>
            <w:r w:rsidRPr="005071A1">
              <w:t>44</w:t>
            </w:r>
          </w:p>
        </w:tc>
        <w:tc>
          <w:tcPr>
            <w:tcW w:w="1701" w:type="dxa"/>
            <w:tcBorders>
              <w:bottom w:val="single" w:sz="4" w:space="0" w:color="auto"/>
            </w:tcBorders>
            <w:shd w:val="clear" w:color="auto" w:fill="auto"/>
          </w:tcPr>
          <w:p w14:paraId="57F4A7E2" w14:textId="77777777" w:rsidR="00B33542" w:rsidRPr="005071A1" w:rsidRDefault="00B33542" w:rsidP="009B7AF5">
            <w:pPr>
              <w:pStyle w:val="Tabletext"/>
            </w:pPr>
            <w:r w:rsidRPr="005071A1">
              <w:t>0.16</w:t>
            </w:r>
          </w:p>
        </w:tc>
        <w:tc>
          <w:tcPr>
            <w:tcW w:w="1985" w:type="dxa"/>
            <w:tcBorders>
              <w:bottom w:val="single" w:sz="4" w:space="0" w:color="auto"/>
            </w:tcBorders>
            <w:shd w:val="clear" w:color="auto" w:fill="auto"/>
          </w:tcPr>
          <w:p w14:paraId="5FD9609E" w14:textId="77777777" w:rsidR="00B33542" w:rsidRPr="005071A1" w:rsidRDefault="00B33542" w:rsidP="009B7AF5">
            <w:pPr>
              <w:pStyle w:val="Tabletext"/>
            </w:pPr>
            <w:r w:rsidRPr="005071A1">
              <w:t>0.05</w:t>
            </w:r>
          </w:p>
        </w:tc>
        <w:tc>
          <w:tcPr>
            <w:tcW w:w="1660" w:type="dxa"/>
            <w:tcBorders>
              <w:bottom w:val="single" w:sz="4" w:space="0" w:color="auto"/>
            </w:tcBorders>
            <w:shd w:val="clear" w:color="auto" w:fill="auto"/>
          </w:tcPr>
          <w:p w14:paraId="315C6D3C" w14:textId="77777777" w:rsidR="00B33542" w:rsidRPr="005071A1" w:rsidRDefault="00B33542" w:rsidP="009B7AF5">
            <w:pPr>
              <w:pStyle w:val="Tabletext"/>
            </w:pPr>
            <w:r w:rsidRPr="005071A1">
              <w:t>0.10</w:t>
            </w:r>
          </w:p>
        </w:tc>
      </w:tr>
      <w:tr w:rsidR="00B33542" w:rsidRPr="005071A1" w14:paraId="46EA996E" w14:textId="77777777" w:rsidTr="00640BB6">
        <w:tc>
          <w:tcPr>
            <w:tcW w:w="1701" w:type="dxa"/>
            <w:tcBorders>
              <w:top w:val="single" w:sz="4" w:space="0" w:color="auto"/>
            </w:tcBorders>
            <w:shd w:val="clear" w:color="auto" w:fill="auto"/>
          </w:tcPr>
          <w:p w14:paraId="7D1DBC05" w14:textId="77777777" w:rsidR="00B33542" w:rsidRPr="005071A1" w:rsidRDefault="00B33542" w:rsidP="009B7AF5">
            <w:pPr>
              <w:pStyle w:val="Tabletext"/>
            </w:pPr>
            <w:r w:rsidRPr="005071A1">
              <w:t>45</w:t>
            </w:r>
          </w:p>
        </w:tc>
        <w:tc>
          <w:tcPr>
            <w:tcW w:w="1701" w:type="dxa"/>
            <w:tcBorders>
              <w:top w:val="single" w:sz="4" w:space="0" w:color="auto"/>
            </w:tcBorders>
            <w:shd w:val="clear" w:color="auto" w:fill="auto"/>
          </w:tcPr>
          <w:p w14:paraId="78C2F802" w14:textId="77777777" w:rsidR="00B33542" w:rsidRPr="005071A1" w:rsidRDefault="00B33542" w:rsidP="009B7AF5">
            <w:pPr>
              <w:pStyle w:val="Tabletext"/>
            </w:pPr>
            <w:r w:rsidRPr="005071A1">
              <w:t>0.16</w:t>
            </w:r>
          </w:p>
        </w:tc>
        <w:tc>
          <w:tcPr>
            <w:tcW w:w="1985" w:type="dxa"/>
            <w:tcBorders>
              <w:top w:val="single" w:sz="4" w:space="0" w:color="auto"/>
            </w:tcBorders>
            <w:shd w:val="clear" w:color="auto" w:fill="auto"/>
          </w:tcPr>
          <w:p w14:paraId="6AB17004" w14:textId="77777777" w:rsidR="00B33542" w:rsidRPr="005071A1" w:rsidRDefault="00B33542" w:rsidP="009B7AF5">
            <w:pPr>
              <w:pStyle w:val="Tabletext"/>
            </w:pPr>
            <w:r w:rsidRPr="005071A1">
              <w:t>0.05</w:t>
            </w:r>
          </w:p>
        </w:tc>
        <w:tc>
          <w:tcPr>
            <w:tcW w:w="1660" w:type="dxa"/>
            <w:tcBorders>
              <w:top w:val="single" w:sz="4" w:space="0" w:color="auto"/>
            </w:tcBorders>
            <w:shd w:val="clear" w:color="auto" w:fill="auto"/>
          </w:tcPr>
          <w:p w14:paraId="34233D12" w14:textId="77777777" w:rsidR="00B33542" w:rsidRPr="005071A1" w:rsidRDefault="00B33542" w:rsidP="009B7AF5">
            <w:pPr>
              <w:pStyle w:val="Tabletext"/>
            </w:pPr>
            <w:r w:rsidRPr="005071A1">
              <w:t>0.10</w:t>
            </w:r>
          </w:p>
        </w:tc>
      </w:tr>
      <w:tr w:rsidR="00B33542" w:rsidRPr="005071A1" w14:paraId="4DC79FB4" w14:textId="77777777" w:rsidTr="009B7AF5">
        <w:tc>
          <w:tcPr>
            <w:tcW w:w="1701" w:type="dxa"/>
            <w:shd w:val="clear" w:color="auto" w:fill="auto"/>
          </w:tcPr>
          <w:p w14:paraId="310CEC26" w14:textId="77777777" w:rsidR="00B33542" w:rsidRPr="005071A1" w:rsidRDefault="00B33542" w:rsidP="009B7AF5">
            <w:pPr>
              <w:pStyle w:val="Tabletext"/>
            </w:pPr>
            <w:r w:rsidRPr="005071A1">
              <w:t>46</w:t>
            </w:r>
          </w:p>
        </w:tc>
        <w:tc>
          <w:tcPr>
            <w:tcW w:w="1701" w:type="dxa"/>
            <w:shd w:val="clear" w:color="auto" w:fill="auto"/>
          </w:tcPr>
          <w:p w14:paraId="57CC49D1" w14:textId="77777777" w:rsidR="00B33542" w:rsidRPr="005071A1" w:rsidRDefault="00B33542" w:rsidP="009B7AF5">
            <w:pPr>
              <w:pStyle w:val="Tabletext"/>
            </w:pPr>
            <w:r w:rsidRPr="005071A1">
              <w:t>0.16</w:t>
            </w:r>
          </w:p>
        </w:tc>
        <w:tc>
          <w:tcPr>
            <w:tcW w:w="1985" w:type="dxa"/>
            <w:shd w:val="clear" w:color="auto" w:fill="auto"/>
          </w:tcPr>
          <w:p w14:paraId="5338B2DD" w14:textId="77777777" w:rsidR="00B33542" w:rsidRPr="005071A1" w:rsidRDefault="00B33542" w:rsidP="009B7AF5">
            <w:pPr>
              <w:pStyle w:val="Tabletext"/>
            </w:pPr>
            <w:r w:rsidRPr="005071A1">
              <w:t>0.05</w:t>
            </w:r>
          </w:p>
        </w:tc>
        <w:tc>
          <w:tcPr>
            <w:tcW w:w="1660" w:type="dxa"/>
            <w:shd w:val="clear" w:color="auto" w:fill="auto"/>
          </w:tcPr>
          <w:p w14:paraId="41329D41" w14:textId="77777777" w:rsidR="00B33542" w:rsidRPr="005071A1" w:rsidRDefault="00B33542" w:rsidP="009B7AF5">
            <w:pPr>
              <w:pStyle w:val="Tabletext"/>
            </w:pPr>
            <w:r w:rsidRPr="005071A1">
              <w:t>0.10</w:t>
            </w:r>
          </w:p>
        </w:tc>
      </w:tr>
      <w:tr w:rsidR="00B33542" w:rsidRPr="005071A1" w14:paraId="16235D18" w14:textId="77777777" w:rsidTr="009B7AF5">
        <w:tc>
          <w:tcPr>
            <w:tcW w:w="1701" w:type="dxa"/>
            <w:shd w:val="clear" w:color="auto" w:fill="auto"/>
          </w:tcPr>
          <w:p w14:paraId="7E46951A" w14:textId="77777777" w:rsidR="00B33542" w:rsidRPr="005071A1" w:rsidRDefault="00B33542" w:rsidP="009B7AF5">
            <w:pPr>
              <w:pStyle w:val="Tabletext"/>
            </w:pPr>
            <w:r w:rsidRPr="005071A1">
              <w:t>47</w:t>
            </w:r>
          </w:p>
        </w:tc>
        <w:tc>
          <w:tcPr>
            <w:tcW w:w="1701" w:type="dxa"/>
            <w:shd w:val="clear" w:color="auto" w:fill="auto"/>
          </w:tcPr>
          <w:p w14:paraId="74D3090B" w14:textId="77777777" w:rsidR="00B33542" w:rsidRPr="005071A1" w:rsidRDefault="00B33542" w:rsidP="009B7AF5">
            <w:pPr>
              <w:pStyle w:val="Tabletext"/>
            </w:pPr>
            <w:r w:rsidRPr="005071A1">
              <w:t>0.16</w:t>
            </w:r>
          </w:p>
        </w:tc>
        <w:tc>
          <w:tcPr>
            <w:tcW w:w="1985" w:type="dxa"/>
            <w:shd w:val="clear" w:color="auto" w:fill="auto"/>
          </w:tcPr>
          <w:p w14:paraId="5F0EDBE9" w14:textId="77777777" w:rsidR="00B33542" w:rsidRPr="005071A1" w:rsidRDefault="00B33542" w:rsidP="009B7AF5">
            <w:pPr>
              <w:pStyle w:val="Tabletext"/>
            </w:pPr>
            <w:r w:rsidRPr="005071A1">
              <w:t>0.05</w:t>
            </w:r>
          </w:p>
        </w:tc>
        <w:tc>
          <w:tcPr>
            <w:tcW w:w="1660" w:type="dxa"/>
            <w:shd w:val="clear" w:color="auto" w:fill="auto"/>
          </w:tcPr>
          <w:p w14:paraId="58176FA8" w14:textId="77777777" w:rsidR="00B33542" w:rsidRPr="005071A1" w:rsidRDefault="00B33542" w:rsidP="009B7AF5">
            <w:pPr>
              <w:pStyle w:val="Tabletext"/>
            </w:pPr>
            <w:r w:rsidRPr="005071A1">
              <w:t>0.10</w:t>
            </w:r>
          </w:p>
        </w:tc>
      </w:tr>
      <w:tr w:rsidR="00B33542" w:rsidRPr="005071A1" w14:paraId="2FD52995" w14:textId="77777777" w:rsidTr="009B7AF5">
        <w:tc>
          <w:tcPr>
            <w:tcW w:w="1701" w:type="dxa"/>
            <w:shd w:val="clear" w:color="auto" w:fill="auto"/>
          </w:tcPr>
          <w:p w14:paraId="65B72C1F" w14:textId="77777777" w:rsidR="00B33542" w:rsidRPr="005071A1" w:rsidRDefault="00B33542" w:rsidP="009B7AF5">
            <w:pPr>
              <w:pStyle w:val="Tabletext"/>
            </w:pPr>
            <w:r w:rsidRPr="005071A1">
              <w:t>48</w:t>
            </w:r>
          </w:p>
        </w:tc>
        <w:tc>
          <w:tcPr>
            <w:tcW w:w="1701" w:type="dxa"/>
            <w:shd w:val="clear" w:color="auto" w:fill="auto"/>
          </w:tcPr>
          <w:p w14:paraId="3F248943" w14:textId="77777777" w:rsidR="00B33542" w:rsidRPr="005071A1" w:rsidRDefault="00B33542" w:rsidP="009B7AF5">
            <w:pPr>
              <w:pStyle w:val="Tabletext"/>
            </w:pPr>
            <w:r w:rsidRPr="005071A1">
              <w:t>0.16</w:t>
            </w:r>
          </w:p>
        </w:tc>
        <w:tc>
          <w:tcPr>
            <w:tcW w:w="1985" w:type="dxa"/>
            <w:shd w:val="clear" w:color="auto" w:fill="auto"/>
          </w:tcPr>
          <w:p w14:paraId="77B2ADAC" w14:textId="77777777" w:rsidR="00B33542" w:rsidRPr="005071A1" w:rsidRDefault="00B33542" w:rsidP="009B7AF5">
            <w:pPr>
              <w:pStyle w:val="Tabletext"/>
            </w:pPr>
            <w:r w:rsidRPr="005071A1">
              <w:t>0.06</w:t>
            </w:r>
          </w:p>
        </w:tc>
        <w:tc>
          <w:tcPr>
            <w:tcW w:w="1660" w:type="dxa"/>
            <w:shd w:val="clear" w:color="auto" w:fill="auto"/>
          </w:tcPr>
          <w:p w14:paraId="1CBD93A0" w14:textId="77777777" w:rsidR="00B33542" w:rsidRPr="005071A1" w:rsidRDefault="00B33542" w:rsidP="009B7AF5">
            <w:pPr>
              <w:pStyle w:val="Tabletext"/>
            </w:pPr>
            <w:r w:rsidRPr="005071A1">
              <w:t>0.12</w:t>
            </w:r>
          </w:p>
        </w:tc>
      </w:tr>
      <w:tr w:rsidR="00B33542" w:rsidRPr="005071A1" w14:paraId="6B464D60" w14:textId="77777777" w:rsidTr="009B7AF5">
        <w:tc>
          <w:tcPr>
            <w:tcW w:w="1701" w:type="dxa"/>
            <w:shd w:val="clear" w:color="auto" w:fill="auto"/>
          </w:tcPr>
          <w:p w14:paraId="1FA90569" w14:textId="77777777" w:rsidR="00B33542" w:rsidRPr="005071A1" w:rsidRDefault="00B33542" w:rsidP="009B7AF5">
            <w:pPr>
              <w:pStyle w:val="Tabletext"/>
            </w:pPr>
            <w:r w:rsidRPr="005071A1">
              <w:t>49</w:t>
            </w:r>
          </w:p>
        </w:tc>
        <w:tc>
          <w:tcPr>
            <w:tcW w:w="1701" w:type="dxa"/>
            <w:shd w:val="clear" w:color="auto" w:fill="auto"/>
          </w:tcPr>
          <w:p w14:paraId="32413D2D" w14:textId="77777777" w:rsidR="00B33542" w:rsidRPr="005071A1" w:rsidRDefault="00B33542" w:rsidP="009B7AF5">
            <w:pPr>
              <w:pStyle w:val="Tabletext"/>
            </w:pPr>
            <w:r w:rsidRPr="005071A1">
              <w:t>0.16</w:t>
            </w:r>
          </w:p>
        </w:tc>
        <w:tc>
          <w:tcPr>
            <w:tcW w:w="1985" w:type="dxa"/>
            <w:shd w:val="clear" w:color="auto" w:fill="auto"/>
          </w:tcPr>
          <w:p w14:paraId="0BD4AB63" w14:textId="77777777" w:rsidR="00B33542" w:rsidRPr="005071A1" w:rsidRDefault="00B33542" w:rsidP="009B7AF5">
            <w:pPr>
              <w:pStyle w:val="Tabletext"/>
            </w:pPr>
            <w:r w:rsidRPr="005071A1">
              <w:t>0.06</w:t>
            </w:r>
          </w:p>
        </w:tc>
        <w:tc>
          <w:tcPr>
            <w:tcW w:w="1660" w:type="dxa"/>
            <w:shd w:val="clear" w:color="auto" w:fill="auto"/>
          </w:tcPr>
          <w:p w14:paraId="78BFA5BD" w14:textId="77777777" w:rsidR="00B33542" w:rsidRPr="005071A1" w:rsidRDefault="00B33542" w:rsidP="009B7AF5">
            <w:pPr>
              <w:pStyle w:val="Tabletext"/>
            </w:pPr>
            <w:r w:rsidRPr="005071A1">
              <w:t>0.12</w:t>
            </w:r>
          </w:p>
        </w:tc>
      </w:tr>
      <w:tr w:rsidR="00B33542" w:rsidRPr="005071A1" w14:paraId="0330BCF6" w14:textId="77777777" w:rsidTr="009B7AF5">
        <w:tc>
          <w:tcPr>
            <w:tcW w:w="1701" w:type="dxa"/>
            <w:shd w:val="clear" w:color="auto" w:fill="auto"/>
          </w:tcPr>
          <w:p w14:paraId="031356B0" w14:textId="77777777" w:rsidR="00B33542" w:rsidRPr="005071A1" w:rsidRDefault="00B33542" w:rsidP="009B7AF5">
            <w:pPr>
              <w:pStyle w:val="Tabletext"/>
            </w:pPr>
            <w:r w:rsidRPr="005071A1">
              <w:t>50</w:t>
            </w:r>
          </w:p>
        </w:tc>
        <w:tc>
          <w:tcPr>
            <w:tcW w:w="1701" w:type="dxa"/>
            <w:shd w:val="clear" w:color="auto" w:fill="auto"/>
          </w:tcPr>
          <w:p w14:paraId="17F14654" w14:textId="77777777" w:rsidR="00B33542" w:rsidRPr="005071A1" w:rsidRDefault="00B33542" w:rsidP="009B7AF5">
            <w:pPr>
              <w:pStyle w:val="Tabletext"/>
            </w:pPr>
            <w:r w:rsidRPr="005071A1">
              <w:t>0.18</w:t>
            </w:r>
          </w:p>
        </w:tc>
        <w:tc>
          <w:tcPr>
            <w:tcW w:w="1985" w:type="dxa"/>
            <w:shd w:val="clear" w:color="auto" w:fill="auto"/>
          </w:tcPr>
          <w:p w14:paraId="1E23B453" w14:textId="77777777" w:rsidR="00B33542" w:rsidRPr="005071A1" w:rsidRDefault="00B33542" w:rsidP="009B7AF5">
            <w:pPr>
              <w:pStyle w:val="Tabletext"/>
            </w:pPr>
            <w:r w:rsidRPr="005071A1">
              <w:t>0.06</w:t>
            </w:r>
          </w:p>
        </w:tc>
        <w:tc>
          <w:tcPr>
            <w:tcW w:w="1660" w:type="dxa"/>
            <w:shd w:val="clear" w:color="auto" w:fill="auto"/>
          </w:tcPr>
          <w:p w14:paraId="5AC99A49" w14:textId="77777777" w:rsidR="00B33542" w:rsidRPr="005071A1" w:rsidRDefault="00B33542" w:rsidP="009B7AF5">
            <w:pPr>
              <w:pStyle w:val="Tabletext"/>
            </w:pPr>
            <w:r w:rsidRPr="005071A1">
              <w:t>0.12</w:t>
            </w:r>
          </w:p>
        </w:tc>
      </w:tr>
      <w:tr w:rsidR="00B33542" w:rsidRPr="005071A1" w14:paraId="7FF8F9DC" w14:textId="77777777" w:rsidTr="009B7AF5">
        <w:tc>
          <w:tcPr>
            <w:tcW w:w="1701" w:type="dxa"/>
            <w:shd w:val="clear" w:color="auto" w:fill="auto"/>
          </w:tcPr>
          <w:p w14:paraId="7FCDE60E" w14:textId="77777777" w:rsidR="00B33542" w:rsidRPr="005071A1" w:rsidRDefault="00B33542" w:rsidP="009B7AF5">
            <w:pPr>
              <w:pStyle w:val="Tabletext"/>
            </w:pPr>
            <w:r w:rsidRPr="005071A1">
              <w:t>51</w:t>
            </w:r>
          </w:p>
        </w:tc>
        <w:tc>
          <w:tcPr>
            <w:tcW w:w="1701" w:type="dxa"/>
            <w:shd w:val="clear" w:color="auto" w:fill="auto"/>
          </w:tcPr>
          <w:p w14:paraId="18FFAC3D" w14:textId="77777777" w:rsidR="00B33542" w:rsidRPr="005071A1" w:rsidRDefault="00B33542" w:rsidP="009B7AF5">
            <w:pPr>
              <w:pStyle w:val="Tabletext"/>
            </w:pPr>
            <w:r w:rsidRPr="005071A1">
              <w:t>0.18</w:t>
            </w:r>
          </w:p>
        </w:tc>
        <w:tc>
          <w:tcPr>
            <w:tcW w:w="1985" w:type="dxa"/>
            <w:shd w:val="clear" w:color="auto" w:fill="auto"/>
          </w:tcPr>
          <w:p w14:paraId="237F6206" w14:textId="77777777" w:rsidR="00B33542" w:rsidRPr="005071A1" w:rsidRDefault="00B33542" w:rsidP="009B7AF5">
            <w:pPr>
              <w:pStyle w:val="Tabletext"/>
            </w:pPr>
            <w:r w:rsidRPr="005071A1">
              <w:t>0.07</w:t>
            </w:r>
          </w:p>
        </w:tc>
        <w:tc>
          <w:tcPr>
            <w:tcW w:w="1660" w:type="dxa"/>
            <w:shd w:val="clear" w:color="auto" w:fill="auto"/>
          </w:tcPr>
          <w:p w14:paraId="68E04D0E" w14:textId="77777777" w:rsidR="00B33542" w:rsidRPr="005071A1" w:rsidRDefault="00B33542" w:rsidP="009B7AF5">
            <w:pPr>
              <w:pStyle w:val="Tabletext"/>
            </w:pPr>
            <w:r w:rsidRPr="005071A1">
              <w:t>0.14</w:t>
            </w:r>
          </w:p>
        </w:tc>
      </w:tr>
      <w:tr w:rsidR="00B33542" w:rsidRPr="005071A1" w14:paraId="46730803" w14:textId="77777777" w:rsidTr="009B7AF5">
        <w:tc>
          <w:tcPr>
            <w:tcW w:w="1701" w:type="dxa"/>
            <w:shd w:val="clear" w:color="auto" w:fill="auto"/>
          </w:tcPr>
          <w:p w14:paraId="0D965CB8" w14:textId="77777777" w:rsidR="00B33542" w:rsidRPr="005071A1" w:rsidRDefault="00B33542" w:rsidP="009B7AF5">
            <w:pPr>
              <w:pStyle w:val="Tabletext"/>
            </w:pPr>
            <w:r w:rsidRPr="005071A1">
              <w:t>52</w:t>
            </w:r>
          </w:p>
        </w:tc>
        <w:tc>
          <w:tcPr>
            <w:tcW w:w="1701" w:type="dxa"/>
            <w:shd w:val="clear" w:color="auto" w:fill="auto"/>
          </w:tcPr>
          <w:p w14:paraId="5C6FB29E" w14:textId="77777777" w:rsidR="00B33542" w:rsidRPr="005071A1" w:rsidRDefault="00B33542" w:rsidP="009B7AF5">
            <w:pPr>
              <w:pStyle w:val="Tabletext"/>
            </w:pPr>
            <w:r w:rsidRPr="005071A1">
              <w:t>0.18</w:t>
            </w:r>
          </w:p>
        </w:tc>
        <w:tc>
          <w:tcPr>
            <w:tcW w:w="1985" w:type="dxa"/>
            <w:shd w:val="clear" w:color="auto" w:fill="auto"/>
          </w:tcPr>
          <w:p w14:paraId="442444F2" w14:textId="77777777" w:rsidR="00B33542" w:rsidRPr="005071A1" w:rsidRDefault="00B33542" w:rsidP="009B7AF5">
            <w:pPr>
              <w:pStyle w:val="Tabletext"/>
            </w:pPr>
            <w:r w:rsidRPr="005071A1">
              <w:t>0.07</w:t>
            </w:r>
          </w:p>
        </w:tc>
        <w:tc>
          <w:tcPr>
            <w:tcW w:w="1660" w:type="dxa"/>
            <w:shd w:val="clear" w:color="auto" w:fill="auto"/>
          </w:tcPr>
          <w:p w14:paraId="3E75C0D2" w14:textId="77777777" w:rsidR="00B33542" w:rsidRPr="005071A1" w:rsidRDefault="00B33542" w:rsidP="009B7AF5">
            <w:pPr>
              <w:pStyle w:val="Tabletext"/>
            </w:pPr>
            <w:r w:rsidRPr="005071A1">
              <w:t>0.14</w:t>
            </w:r>
          </w:p>
        </w:tc>
      </w:tr>
      <w:tr w:rsidR="00B33542" w:rsidRPr="005071A1" w14:paraId="1CB4B130" w14:textId="77777777" w:rsidTr="009B7AF5">
        <w:tc>
          <w:tcPr>
            <w:tcW w:w="1701" w:type="dxa"/>
            <w:shd w:val="clear" w:color="auto" w:fill="auto"/>
          </w:tcPr>
          <w:p w14:paraId="46073F1E" w14:textId="77777777" w:rsidR="00B33542" w:rsidRPr="005071A1" w:rsidRDefault="00B33542" w:rsidP="009B7AF5">
            <w:pPr>
              <w:pStyle w:val="Tabletext"/>
            </w:pPr>
            <w:r w:rsidRPr="005071A1">
              <w:t>53</w:t>
            </w:r>
          </w:p>
        </w:tc>
        <w:tc>
          <w:tcPr>
            <w:tcW w:w="1701" w:type="dxa"/>
            <w:shd w:val="clear" w:color="auto" w:fill="auto"/>
          </w:tcPr>
          <w:p w14:paraId="1F0D4E8C" w14:textId="77777777" w:rsidR="00B33542" w:rsidRPr="005071A1" w:rsidRDefault="00B33542" w:rsidP="009B7AF5">
            <w:pPr>
              <w:pStyle w:val="Tabletext"/>
            </w:pPr>
            <w:r w:rsidRPr="005071A1">
              <w:t>0.20</w:t>
            </w:r>
          </w:p>
        </w:tc>
        <w:tc>
          <w:tcPr>
            <w:tcW w:w="1985" w:type="dxa"/>
            <w:shd w:val="clear" w:color="auto" w:fill="auto"/>
          </w:tcPr>
          <w:p w14:paraId="5C8B12DF" w14:textId="77777777" w:rsidR="00B33542" w:rsidRPr="005071A1" w:rsidRDefault="00B33542" w:rsidP="009B7AF5">
            <w:pPr>
              <w:pStyle w:val="Tabletext"/>
            </w:pPr>
            <w:r w:rsidRPr="005071A1">
              <w:t>0.09</w:t>
            </w:r>
          </w:p>
        </w:tc>
        <w:tc>
          <w:tcPr>
            <w:tcW w:w="1660" w:type="dxa"/>
            <w:shd w:val="clear" w:color="auto" w:fill="auto"/>
          </w:tcPr>
          <w:p w14:paraId="5E5FCFD3" w14:textId="77777777" w:rsidR="00B33542" w:rsidRPr="005071A1" w:rsidRDefault="00B33542" w:rsidP="009B7AF5">
            <w:pPr>
              <w:pStyle w:val="Tabletext"/>
            </w:pPr>
            <w:r w:rsidRPr="005071A1">
              <w:t>0.18</w:t>
            </w:r>
          </w:p>
        </w:tc>
      </w:tr>
      <w:tr w:rsidR="00B33542" w:rsidRPr="005071A1" w14:paraId="2A8F1D8B" w14:textId="77777777" w:rsidTr="009B7AF5">
        <w:tc>
          <w:tcPr>
            <w:tcW w:w="1701" w:type="dxa"/>
            <w:shd w:val="clear" w:color="auto" w:fill="auto"/>
          </w:tcPr>
          <w:p w14:paraId="5AFE489D" w14:textId="77777777" w:rsidR="00B33542" w:rsidRPr="005071A1" w:rsidRDefault="00B33542" w:rsidP="009B7AF5">
            <w:pPr>
              <w:pStyle w:val="Tabletext"/>
            </w:pPr>
            <w:r w:rsidRPr="005071A1">
              <w:lastRenderedPageBreak/>
              <w:t>54</w:t>
            </w:r>
          </w:p>
        </w:tc>
        <w:tc>
          <w:tcPr>
            <w:tcW w:w="1701" w:type="dxa"/>
            <w:shd w:val="clear" w:color="auto" w:fill="auto"/>
          </w:tcPr>
          <w:p w14:paraId="6834A87E" w14:textId="77777777" w:rsidR="00B33542" w:rsidRPr="005071A1" w:rsidRDefault="00B33542" w:rsidP="009B7AF5">
            <w:pPr>
              <w:pStyle w:val="Tabletext"/>
            </w:pPr>
            <w:r w:rsidRPr="005071A1">
              <w:t>0.20</w:t>
            </w:r>
          </w:p>
        </w:tc>
        <w:tc>
          <w:tcPr>
            <w:tcW w:w="1985" w:type="dxa"/>
            <w:shd w:val="clear" w:color="auto" w:fill="auto"/>
          </w:tcPr>
          <w:p w14:paraId="4730D479" w14:textId="77777777" w:rsidR="00B33542" w:rsidRPr="005071A1" w:rsidRDefault="00B33542" w:rsidP="009B7AF5">
            <w:pPr>
              <w:pStyle w:val="Tabletext"/>
            </w:pPr>
            <w:r w:rsidRPr="005071A1">
              <w:t>0.09</w:t>
            </w:r>
          </w:p>
        </w:tc>
        <w:tc>
          <w:tcPr>
            <w:tcW w:w="1660" w:type="dxa"/>
            <w:shd w:val="clear" w:color="auto" w:fill="auto"/>
          </w:tcPr>
          <w:p w14:paraId="3753F29C" w14:textId="77777777" w:rsidR="00B33542" w:rsidRPr="005071A1" w:rsidRDefault="00B33542" w:rsidP="009B7AF5">
            <w:pPr>
              <w:pStyle w:val="Tabletext"/>
            </w:pPr>
            <w:r w:rsidRPr="005071A1">
              <w:t>0.18</w:t>
            </w:r>
          </w:p>
        </w:tc>
      </w:tr>
      <w:tr w:rsidR="00B33542" w:rsidRPr="005071A1" w14:paraId="2994A7FC" w14:textId="77777777" w:rsidTr="009B7AF5">
        <w:tc>
          <w:tcPr>
            <w:tcW w:w="1701" w:type="dxa"/>
            <w:shd w:val="clear" w:color="auto" w:fill="auto"/>
          </w:tcPr>
          <w:p w14:paraId="4F6D334A" w14:textId="77777777" w:rsidR="00B33542" w:rsidRPr="005071A1" w:rsidRDefault="00B33542" w:rsidP="009B7AF5">
            <w:pPr>
              <w:pStyle w:val="Tabletext"/>
            </w:pPr>
            <w:r w:rsidRPr="005071A1">
              <w:t>55</w:t>
            </w:r>
          </w:p>
        </w:tc>
        <w:tc>
          <w:tcPr>
            <w:tcW w:w="1701" w:type="dxa"/>
            <w:shd w:val="clear" w:color="auto" w:fill="auto"/>
          </w:tcPr>
          <w:p w14:paraId="2B5576E6" w14:textId="77777777" w:rsidR="00B33542" w:rsidRPr="005071A1" w:rsidRDefault="00B33542" w:rsidP="009B7AF5">
            <w:pPr>
              <w:pStyle w:val="Tabletext"/>
            </w:pPr>
            <w:r w:rsidRPr="005071A1">
              <w:t>0.22</w:t>
            </w:r>
          </w:p>
        </w:tc>
        <w:tc>
          <w:tcPr>
            <w:tcW w:w="1985" w:type="dxa"/>
            <w:shd w:val="clear" w:color="auto" w:fill="auto"/>
          </w:tcPr>
          <w:p w14:paraId="08BF274E" w14:textId="77777777" w:rsidR="00B33542" w:rsidRPr="005071A1" w:rsidRDefault="00B33542" w:rsidP="009B7AF5">
            <w:pPr>
              <w:pStyle w:val="Tabletext"/>
            </w:pPr>
            <w:r w:rsidRPr="005071A1">
              <w:t>0.10</w:t>
            </w:r>
          </w:p>
        </w:tc>
        <w:tc>
          <w:tcPr>
            <w:tcW w:w="1660" w:type="dxa"/>
            <w:shd w:val="clear" w:color="auto" w:fill="auto"/>
          </w:tcPr>
          <w:p w14:paraId="28539555" w14:textId="77777777" w:rsidR="00B33542" w:rsidRPr="005071A1" w:rsidRDefault="00B33542" w:rsidP="009B7AF5">
            <w:pPr>
              <w:pStyle w:val="Tabletext"/>
            </w:pPr>
            <w:r w:rsidRPr="005071A1">
              <w:t>0.20</w:t>
            </w:r>
          </w:p>
        </w:tc>
      </w:tr>
      <w:tr w:rsidR="00B33542" w:rsidRPr="005071A1" w14:paraId="462807BD" w14:textId="77777777" w:rsidTr="009B7AF5">
        <w:tc>
          <w:tcPr>
            <w:tcW w:w="1701" w:type="dxa"/>
            <w:shd w:val="clear" w:color="auto" w:fill="auto"/>
          </w:tcPr>
          <w:p w14:paraId="46FD3AAD" w14:textId="77777777" w:rsidR="00B33542" w:rsidRPr="005071A1" w:rsidRDefault="00B33542" w:rsidP="009B7AF5">
            <w:pPr>
              <w:pStyle w:val="Tabletext"/>
            </w:pPr>
            <w:r w:rsidRPr="005071A1">
              <w:t>56</w:t>
            </w:r>
          </w:p>
        </w:tc>
        <w:tc>
          <w:tcPr>
            <w:tcW w:w="1701" w:type="dxa"/>
            <w:shd w:val="clear" w:color="auto" w:fill="auto"/>
          </w:tcPr>
          <w:p w14:paraId="7BC0C74D" w14:textId="77777777" w:rsidR="00B33542" w:rsidRPr="005071A1" w:rsidRDefault="00B33542" w:rsidP="009B7AF5">
            <w:pPr>
              <w:pStyle w:val="Tabletext"/>
            </w:pPr>
            <w:r w:rsidRPr="005071A1">
              <w:t>0.24</w:t>
            </w:r>
          </w:p>
        </w:tc>
        <w:tc>
          <w:tcPr>
            <w:tcW w:w="1985" w:type="dxa"/>
            <w:shd w:val="clear" w:color="auto" w:fill="auto"/>
          </w:tcPr>
          <w:p w14:paraId="2DAAC79D" w14:textId="77777777" w:rsidR="00B33542" w:rsidRPr="005071A1" w:rsidRDefault="00B33542" w:rsidP="009B7AF5">
            <w:pPr>
              <w:pStyle w:val="Tabletext"/>
            </w:pPr>
            <w:r w:rsidRPr="005071A1">
              <w:t>0.11</w:t>
            </w:r>
          </w:p>
        </w:tc>
        <w:tc>
          <w:tcPr>
            <w:tcW w:w="1660" w:type="dxa"/>
            <w:shd w:val="clear" w:color="auto" w:fill="auto"/>
          </w:tcPr>
          <w:p w14:paraId="0BB8A895" w14:textId="77777777" w:rsidR="00B33542" w:rsidRPr="005071A1" w:rsidRDefault="00B33542" w:rsidP="009B7AF5">
            <w:pPr>
              <w:pStyle w:val="Tabletext"/>
            </w:pPr>
            <w:r w:rsidRPr="005071A1">
              <w:t>0.22</w:t>
            </w:r>
          </w:p>
        </w:tc>
      </w:tr>
      <w:tr w:rsidR="00B33542" w:rsidRPr="005071A1" w14:paraId="0053AA33" w14:textId="77777777" w:rsidTr="009B7AF5">
        <w:tc>
          <w:tcPr>
            <w:tcW w:w="1701" w:type="dxa"/>
            <w:shd w:val="clear" w:color="auto" w:fill="auto"/>
          </w:tcPr>
          <w:p w14:paraId="08BDAC90" w14:textId="77777777" w:rsidR="00B33542" w:rsidRPr="005071A1" w:rsidRDefault="00B33542" w:rsidP="009B7AF5">
            <w:pPr>
              <w:pStyle w:val="Tabletext"/>
            </w:pPr>
            <w:r w:rsidRPr="005071A1">
              <w:t>57</w:t>
            </w:r>
          </w:p>
        </w:tc>
        <w:tc>
          <w:tcPr>
            <w:tcW w:w="1701" w:type="dxa"/>
            <w:shd w:val="clear" w:color="auto" w:fill="auto"/>
          </w:tcPr>
          <w:p w14:paraId="6F91CE0D" w14:textId="77777777" w:rsidR="00B33542" w:rsidRPr="005071A1" w:rsidRDefault="00B33542" w:rsidP="009B7AF5">
            <w:pPr>
              <w:pStyle w:val="Tabletext"/>
            </w:pPr>
            <w:r w:rsidRPr="005071A1">
              <w:t>0.26</w:t>
            </w:r>
          </w:p>
        </w:tc>
        <w:tc>
          <w:tcPr>
            <w:tcW w:w="1985" w:type="dxa"/>
            <w:shd w:val="clear" w:color="auto" w:fill="auto"/>
          </w:tcPr>
          <w:p w14:paraId="479ABC56" w14:textId="77777777" w:rsidR="00B33542" w:rsidRPr="005071A1" w:rsidRDefault="00B33542" w:rsidP="009B7AF5">
            <w:pPr>
              <w:pStyle w:val="Tabletext"/>
            </w:pPr>
            <w:r w:rsidRPr="005071A1">
              <w:t>0.12</w:t>
            </w:r>
          </w:p>
        </w:tc>
        <w:tc>
          <w:tcPr>
            <w:tcW w:w="1660" w:type="dxa"/>
            <w:shd w:val="clear" w:color="auto" w:fill="auto"/>
          </w:tcPr>
          <w:p w14:paraId="16381393" w14:textId="77777777" w:rsidR="00B33542" w:rsidRPr="005071A1" w:rsidRDefault="00B33542" w:rsidP="009B7AF5">
            <w:pPr>
              <w:pStyle w:val="Tabletext"/>
            </w:pPr>
            <w:r w:rsidRPr="005071A1">
              <w:t>0.24</w:t>
            </w:r>
          </w:p>
        </w:tc>
      </w:tr>
      <w:tr w:rsidR="00B33542" w:rsidRPr="005071A1" w14:paraId="56BE7BED" w14:textId="77777777" w:rsidTr="009B7AF5">
        <w:tc>
          <w:tcPr>
            <w:tcW w:w="1701" w:type="dxa"/>
            <w:shd w:val="clear" w:color="auto" w:fill="auto"/>
          </w:tcPr>
          <w:p w14:paraId="24B5180F" w14:textId="77777777" w:rsidR="00B33542" w:rsidRPr="005071A1" w:rsidRDefault="00B33542" w:rsidP="009B7AF5">
            <w:pPr>
              <w:pStyle w:val="Tabletext"/>
            </w:pPr>
            <w:r w:rsidRPr="005071A1">
              <w:t>58</w:t>
            </w:r>
          </w:p>
        </w:tc>
        <w:tc>
          <w:tcPr>
            <w:tcW w:w="1701" w:type="dxa"/>
            <w:shd w:val="clear" w:color="auto" w:fill="auto"/>
          </w:tcPr>
          <w:p w14:paraId="5268AD66" w14:textId="77777777" w:rsidR="00B33542" w:rsidRPr="005071A1" w:rsidRDefault="00B33542" w:rsidP="009B7AF5">
            <w:pPr>
              <w:pStyle w:val="Tabletext"/>
            </w:pPr>
            <w:r w:rsidRPr="005071A1">
              <w:t>0.30</w:t>
            </w:r>
          </w:p>
        </w:tc>
        <w:tc>
          <w:tcPr>
            <w:tcW w:w="1985" w:type="dxa"/>
            <w:shd w:val="clear" w:color="auto" w:fill="auto"/>
          </w:tcPr>
          <w:p w14:paraId="14D101E4" w14:textId="77777777" w:rsidR="00B33542" w:rsidRPr="005071A1" w:rsidRDefault="00B33542" w:rsidP="009B7AF5">
            <w:pPr>
              <w:pStyle w:val="Tabletext"/>
            </w:pPr>
            <w:r w:rsidRPr="005071A1">
              <w:t>0.13</w:t>
            </w:r>
          </w:p>
        </w:tc>
        <w:tc>
          <w:tcPr>
            <w:tcW w:w="1660" w:type="dxa"/>
            <w:shd w:val="clear" w:color="auto" w:fill="auto"/>
          </w:tcPr>
          <w:p w14:paraId="31424785" w14:textId="77777777" w:rsidR="00B33542" w:rsidRPr="005071A1" w:rsidRDefault="00B33542" w:rsidP="009B7AF5">
            <w:pPr>
              <w:pStyle w:val="Tabletext"/>
            </w:pPr>
            <w:r w:rsidRPr="005071A1">
              <w:t>0.26</w:t>
            </w:r>
          </w:p>
        </w:tc>
      </w:tr>
      <w:tr w:rsidR="00B33542" w:rsidRPr="005071A1" w14:paraId="21368C0B" w14:textId="77777777" w:rsidTr="009B7AF5">
        <w:tc>
          <w:tcPr>
            <w:tcW w:w="1701" w:type="dxa"/>
            <w:shd w:val="clear" w:color="auto" w:fill="auto"/>
          </w:tcPr>
          <w:p w14:paraId="64A51F4B" w14:textId="77777777" w:rsidR="00B33542" w:rsidRPr="005071A1" w:rsidRDefault="00B33542" w:rsidP="009B7AF5">
            <w:pPr>
              <w:pStyle w:val="Tabletext"/>
            </w:pPr>
            <w:r w:rsidRPr="005071A1">
              <w:t>59</w:t>
            </w:r>
          </w:p>
        </w:tc>
        <w:tc>
          <w:tcPr>
            <w:tcW w:w="1701" w:type="dxa"/>
            <w:shd w:val="clear" w:color="auto" w:fill="auto"/>
          </w:tcPr>
          <w:p w14:paraId="2DAE652D" w14:textId="77777777" w:rsidR="00B33542" w:rsidRPr="005071A1" w:rsidRDefault="00B33542" w:rsidP="009B7AF5">
            <w:pPr>
              <w:pStyle w:val="Tabletext"/>
            </w:pPr>
            <w:r w:rsidRPr="005071A1">
              <w:t>0.32</w:t>
            </w:r>
          </w:p>
        </w:tc>
        <w:tc>
          <w:tcPr>
            <w:tcW w:w="1985" w:type="dxa"/>
            <w:shd w:val="clear" w:color="auto" w:fill="auto"/>
          </w:tcPr>
          <w:p w14:paraId="166C3C87" w14:textId="77777777" w:rsidR="00B33542" w:rsidRPr="005071A1" w:rsidRDefault="00B33542" w:rsidP="009B7AF5">
            <w:pPr>
              <w:pStyle w:val="Tabletext"/>
            </w:pPr>
            <w:r w:rsidRPr="005071A1">
              <w:t>0.15</w:t>
            </w:r>
          </w:p>
        </w:tc>
        <w:tc>
          <w:tcPr>
            <w:tcW w:w="1660" w:type="dxa"/>
            <w:shd w:val="clear" w:color="auto" w:fill="auto"/>
          </w:tcPr>
          <w:p w14:paraId="515ABDF7" w14:textId="77777777" w:rsidR="00B33542" w:rsidRPr="005071A1" w:rsidRDefault="00B33542" w:rsidP="009B7AF5">
            <w:pPr>
              <w:pStyle w:val="Tabletext"/>
            </w:pPr>
            <w:r w:rsidRPr="005071A1">
              <w:t>0.30</w:t>
            </w:r>
          </w:p>
        </w:tc>
      </w:tr>
      <w:tr w:rsidR="00B33542" w:rsidRPr="005071A1" w14:paraId="560ED656" w14:textId="77777777" w:rsidTr="00D57394">
        <w:tc>
          <w:tcPr>
            <w:tcW w:w="1701" w:type="dxa"/>
            <w:tcBorders>
              <w:bottom w:val="single" w:sz="4" w:space="0" w:color="auto"/>
            </w:tcBorders>
            <w:shd w:val="clear" w:color="auto" w:fill="auto"/>
          </w:tcPr>
          <w:p w14:paraId="44A73745" w14:textId="77777777" w:rsidR="00B33542" w:rsidRPr="005071A1" w:rsidRDefault="00B33542" w:rsidP="009B7AF5">
            <w:pPr>
              <w:pStyle w:val="Tabletext"/>
            </w:pPr>
            <w:r w:rsidRPr="005071A1">
              <w:t>60</w:t>
            </w:r>
          </w:p>
        </w:tc>
        <w:tc>
          <w:tcPr>
            <w:tcW w:w="1701" w:type="dxa"/>
            <w:tcBorders>
              <w:bottom w:val="single" w:sz="4" w:space="0" w:color="auto"/>
            </w:tcBorders>
            <w:shd w:val="clear" w:color="auto" w:fill="auto"/>
          </w:tcPr>
          <w:p w14:paraId="5E003186" w14:textId="77777777" w:rsidR="00B33542" w:rsidRPr="005071A1" w:rsidRDefault="00B33542" w:rsidP="009B7AF5">
            <w:pPr>
              <w:pStyle w:val="Tabletext"/>
            </w:pPr>
            <w:r w:rsidRPr="005071A1">
              <w:t>0.40</w:t>
            </w:r>
          </w:p>
        </w:tc>
        <w:tc>
          <w:tcPr>
            <w:tcW w:w="1985" w:type="dxa"/>
            <w:tcBorders>
              <w:bottom w:val="single" w:sz="4" w:space="0" w:color="auto"/>
            </w:tcBorders>
            <w:shd w:val="clear" w:color="auto" w:fill="auto"/>
          </w:tcPr>
          <w:p w14:paraId="4878CB41" w14:textId="77777777" w:rsidR="00B33542" w:rsidRPr="005071A1" w:rsidRDefault="00B33542" w:rsidP="009B7AF5">
            <w:pPr>
              <w:pStyle w:val="Tabletext"/>
            </w:pPr>
            <w:r w:rsidRPr="005071A1">
              <w:t>0.18</w:t>
            </w:r>
          </w:p>
        </w:tc>
        <w:tc>
          <w:tcPr>
            <w:tcW w:w="1660" w:type="dxa"/>
            <w:tcBorders>
              <w:bottom w:val="single" w:sz="4" w:space="0" w:color="auto"/>
            </w:tcBorders>
            <w:shd w:val="clear" w:color="auto" w:fill="auto"/>
          </w:tcPr>
          <w:p w14:paraId="5D1A53D4" w14:textId="77777777" w:rsidR="00B33542" w:rsidRPr="005071A1" w:rsidRDefault="00B33542" w:rsidP="009B7AF5">
            <w:pPr>
              <w:pStyle w:val="Tabletext"/>
            </w:pPr>
            <w:r w:rsidRPr="005071A1">
              <w:t>0.36</w:t>
            </w:r>
          </w:p>
        </w:tc>
      </w:tr>
      <w:tr w:rsidR="00B33542" w:rsidRPr="005071A1" w14:paraId="3011742B" w14:textId="77777777" w:rsidTr="00D57394">
        <w:tc>
          <w:tcPr>
            <w:tcW w:w="1701" w:type="dxa"/>
            <w:tcBorders>
              <w:bottom w:val="single" w:sz="4" w:space="0" w:color="auto"/>
            </w:tcBorders>
            <w:shd w:val="clear" w:color="auto" w:fill="auto"/>
          </w:tcPr>
          <w:p w14:paraId="124197C8" w14:textId="77777777" w:rsidR="00B33542" w:rsidRPr="005071A1" w:rsidRDefault="00B33542" w:rsidP="009B7AF5">
            <w:pPr>
              <w:pStyle w:val="Tabletext"/>
            </w:pPr>
            <w:r w:rsidRPr="005071A1">
              <w:t>61</w:t>
            </w:r>
          </w:p>
        </w:tc>
        <w:tc>
          <w:tcPr>
            <w:tcW w:w="1701" w:type="dxa"/>
            <w:tcBorders>
              <w:bottom w:val="single" w:sz="4" w:space="0" w:color="auto"/>
            </w:tcBorders>
            <w:shd w:val="clear" w:color="auto" w:fill="auto"/>
          </w:tcPr>
          <w:p w14:paraId="796894C4" w14:textId="77777777" w:rsidR="00B33542" w:rsidRPr="005071A1" w:rsidRDefault="00B33542" w:rsidP="009B7AF5">
            <w:pPr>
              <w:pStyle w:val="Tabletext"/>
            </w:pPr>
            <w:r w:rsidRPr="005071A1">
              <w:t>0.46</w:t>
            </w:r>
          </w:p>
        </w:tc>
        <w:tc>
          <w:tcPr>
            <w:tcW w:w="1985" w:type="dxa"/>
            <w:tcBorders>
              <w:bottom w:val="single" w:sz="4" w:space="0" w:color="auto"/>
            </w:tcBorders>
            <w:shd w:val="clear" w:color="auto" w:fill="auto"/>
          </w:tcPr>
          <w:p w14:paraId="3C201D7D" w14:textId="77777777" w:rsidR="00B33542" w:rsidRPr="005071A1" w:rsidRDefault="00B33542" w:rsidP="009B7AF5">
            <w:pPr>
              <w:pStyle w:val="Tabletext"/>
            </w:pPr>
            <w:r w:rsidRPr="005071A1">
              <w:t>0.21</w:t>
            </w:r>
          </w:p>
        </w:tc>
        <w:tc>
          <w:tcPr>
            <w:tcW w:w="1660" w:type="dxa"/>
            <w:tcBorders>
              <w:bottom w:val="single" w:sz="4" w:space="0" w:color="auto"/>
            </w:tcBorders>
            <w:shd w:val="clear" w:color="auto" w:fill="auto"/>
          </w:tcPr>
          <w:p w14:paraId="371808AC" w14:textId="77777777" w:rsidR="00B33542" w:rsidRPr="005071A1" w:rsidRDefault="00B33542" w:rsidP="009B7AF5">
            <w:pPr>
              <w:pStyle w:val="Tabletext"/>
            </w:pPr>
            <w:r w:rsidRPr="005071A1">
              <w:t>0.42</w:t>
            </w:r>
          </w:p>
        </w:tc>
      </w:tr>
      <w:tr w:rsidR="00B33542" w:rsidRPr="005071A1" w14:paraId="65ACAFE1" w14:textId="77777777" w:rsidTr="00D57394">
        <w:tc>
          <w:tcPr>
            <w:tcW w:w="1701" w:type="dxa"/>
            <w:tcBorders>
              <w:top w:val="single" w:sz="4" w:space="0" w:color="auto"/>
            </w:tcBorders>
            <w:shd w:val="clear" w:color="auto" w:fill="auto"/>
          </w:tcPr>
          <w:p w14:paraId="28A26C9D" w14:textId="77777777" w:rsidR="00B33542" w:rsidRPr="005071A1" w:rsidRDefault="00B33542" w:rsidP="009B7AF5">
            <w:pPr>
              <w:pStyle w:val="Tabletext"/>
            </w:pPr>
            <w:r w:rsidRPr="005071A1">
              <w:t>62</w:t>
            </w:r>
          </w:p>
        </w:tc>
        <w:tc>
          <w:tcPr>
            <w:tcW w:w="1701" w:type="dxa"/>
            <w:tcBorders>
              <w:top w:val="single" w:sz="4" w:space="0" w:color="auto"/>
            </w:tcBorders>
            <w:shd w:val="clear" w:color="auto" w:fill="auto"/>
          </w:tcPr>
          <w:p w14:paraId="7A2D9873" w14:textId="77777777" w:rsidR="00B33542" w:rsidRPr="005071A1" w:rsidRDefault="00B33542" w:rsidP="009B7AF5">
            <w:pPr>
              <w:pStyle w:val="Tabletext"/>
            </w:pPr>
            <w:r w:rsidRPr="005071A1">
              <w:t>0.64</w:t>
            </w:r>
          </w:p>
        </w:tc>
        <w:tc>
          <w:tcPr>
            <w:tcW w:w="1985" w:type="dxa"/>
            <w:tcBorders>
              <w:top w:val="single" w:sz="4" w:space="0" w:color="auto"/>
            </w:tcBorders>
            <w:shd w:val="clear" w:color="auto" w:fill="auto"/>
          </w:tcPr>
          <w:p w14:paraId="423E76AD" w14:textId="77777777" w:rsidR="00B33542" w:rsidRPr="005071A1" w:rsidRDefault="00B33542" w:rsidP="009B7AF5">
            <w:pPr>
              <w:pStyle w:val="Tabletext"/>
            </w:pPr>
            <w:r w:rsidRPr="005071A1">
              <w:t>0.30</w:t>
            </w:r>
          </w:p>
        </w:tc>
        <w:tc>
          <w:tcPr>
            <w:tcW w:w="1660" w:type="dxa"/>
            <w:tcBorders>
              <w:top w:val="single" w:sz="4" w:space="0" w:color="auto"/>
            </w:tcBorders>
            <w:shd w:val="clear" w:color="auto" w:fill="auto"/>
          </w:tcPr>
          <w:p w14:paraId="715BB146" w14:textId="77777777" w:rsidR="00B33542" w:rsidRPr="005071A1" w:rsidRDefault="00B33542" w:rsidP="009B7AF5">
            <w:pPr>
              <w:pStyle w:val="Tabletext"/>
            </w:pPr>
            <w:r w:rsidRPr="005071A1">
              <w:t>0.60</w:t>
            </w:r>
          </w:p>
        </w:tc>
      </w:tr>
      <w:tr w:rsidR="00B33542" w:rsidRPr="005071A1" w14:paraId="55E4E61E" w14:textId="77777777" w:rsidTr="009B7AF5">
        <w:tc>
          <w:tcPr>
            <w:tcW w:w="1701" w:type="dxa"/>
            <w:shd w:val="clear" w:color="auto" w:fill="auto"/>
          </w:tcPr>
          <w:p w14:paraId="2CE448D8" w14:textId="77777777" w:rsidR="00B33542" w:rsidRPr="005071A1" w:rsidRDefault="00B33542" w:rsidP="009B7AF5">
            <w:pPr>
              <w:pStyle w:val="Tabletext"/>
            </w:pPr>
            <w:r w:rsidRPr="005071A1">
              <w:t>63</w:t>
            </w:r>
          </w:p>
        </w:tc>
        <w:tc>
          <w:tcPr>
            <w:tcW w:w="1701" w:type="dxa"/>
            <w:shd w:val="clear" w:color="auto" w:fill="auto"/>
          </w:tcPr>
          <w:p w14:paraId="4CCB54D8" w14:textId="77777777" w:rsidR="00B33542" w:rsidRPr="005071A1" w:rsidRDefault="00B33542" w:rsidP="009B7AF5">
            <w:pPr>
              <w:pStyle w:val="Tabletext"/>
            </w:pPr>
            <w:r w:rsidRPr="005071A1">
              <w:t>0.92</w:t>
            </w:r>
          </w:p>
        </w:tc>
        <w:tc>
          <w:tcPr>
            <w:tcW w:w="1985" w:type="dxa"/>
            <w:shd w:val="clear" w:color="auto" w:fill="auto"/>
          </w:tcPr>
          <w:p w14:paraId="2F82BC29" w14:textId="77777777" w:rsidR="00B33542" w:rsidRPr="005071A1" w:rsidRDefault="00B33542" w:rsidP="009B7AF5">
            <w:pPr>
              <w:pStyle w:val="Tabletext"/>
            </w:pPr>
            <w:r w:rsidRPr="005071A1">
              <w:t>0.44</w:t>
            </w:r>
          </w:p>
        </w:tc>
        <w:tc>
          <w:tcPr>
            <w:tcW w:w="1660" w:type="dxa"/>
            <w:shd w:val="clear" w:color="auto" w:fill="auto"/>
          </w:tcPr>
          <w:p w14:paraId="457934A1" w14:textId="77777777" w:rsidR="00B33542" w:rsidRPr="005071A1" w:rsidRDefault="00B33542" w:rsidP="009B7AF5">
            <w:pPr>
              <w:pStyle w:val="Tabletext"/>
            </w:pPr>
            <w:r w:rsidRPr="005071A1">
              <w:t>0.88</w:t>
            </w:r>
          </w:p>
        </w:tc>
      </w:tr>
      <w:tr w:rsidR="00B33542" w:rsidRPr="005071A1" w14:paraId="5026A70A" w14:textId="77777777" w:rsidTr="00FE2F9A">
        <w:tc>
          <w:tcPr>
            <w:tcW w:w="1701" w:type="dxa"/>
            <w:tcBorders>
              <w:bottom w:val="single" w:sz="4" w:space="0" w:color="auto"/>
            </w:tcBorders>
            <w:shd w:val="clear" w:color="auto" w:fill="auto"/>
          </w:tcPr>
          <w:p w14:paraId="495D00BD" w14:textId="77777777" w:rsidR="00B33542" w:rsidRPr="005071A1" w:rsidRDefault="00B33542" w:rsidP="009B7AF5">
            <w:pPr>
              <w:pStyle w:val="Tabletext"/>
            </w:pPr>
            <w:r w:rsidRPr="005071A1">
              <w:t>64</w:t>
            </w:r>
          </w:p>
        </w:tc>
        <w:tc>
          <w:tcPr>
            <w:tcW w:w="1701" w:type="dxa"/>
            <w:tcBorders>
              <w:bottom w:val="single" w:sz="4" w:space="0" w:color="auto"/>
            </w:tcBorders>
            <w:shd w:val="clear" w:color="auto" w:fill="auto"/>
          </w:tcPr>
          <w:p w14:paraId="0FF22576" w14:textId="77777777" w:rsidR="00B33542" w:rsidRPr="005071A1" w:rsidRDefault="00B33542" w:rsidP="009B7AF5">
            <w:pPr>
              <w:pStyle w:val="Tabletext"/>
            </w:pPr>
            <w:r w:rsidRPr="005071A1">
              <w:t>1.92</w:t>
            </w:r>
          </w:p>
        </w:tc>
        <w:tc>
          <w:tcPr>
            <w:tcW w:w="1985" w:type="dxa"/>
            <w:tcBorders>
              <w:bottom w:val="single" w:sz="4" w:space="0" w:color="auto"/>
            </w:tcBorders>
            <w:shd w:val="clear" w:color="auto" w:fill="auto"/>
          </w:tcPr>
          <w:p w14:paraId="5793C854" w14:textId="77777777" w:rsidR="00B33542" w:rsidRPr="005071A1" w:rsidRDefault="00B33542" w:rsidP="009B7AF5">
            <w:pPr>
              <w:pStyle w:val="Tabletext"/>
            </w:pPr>
            <w:r w:rsidRPr="005071A1">
              <w:t>0.92</w:t>
            </w:r>
          </w:p>
        </w:tc>
        <w:tc>
          <w:tcPr>
            <w:tcW w:w="1660" w:type="dxa"/>
            <w:tcBorders>
              <w:bottom w:val="single" w:sz="4" w:space="0" w:color="auto"/>
            </w:tcBorders>
            <w:shd w:val="clear" w:color="auto" w:fill="auto"/>
          </w:tcPr>
          <w:p w14:paraId="5B791BA6" w14:textId="77777777" w:rsidR="00B33542" w:rsidRPr="005071A1" w:rsidRDefault="00B33542" w:rsidP="009B7AF5">
            <w:pPr>
              <w:pStyle w:val="Tabletext"/>
            </w:pPr>
            <w:r w:rsidRPr="005071A1">
              <w:t>1.84</w:t>
            </w:r>
          </w:p>
        </w:tc>
      </w:tr>
      <w:tr w:rsidR="00B33542" w:rsidRPr="005071A1" w14:paraId="51486014" w14:textId="77777777" w:rsidTr="00FE2F9A">
        <w:tc>
          <w:tcPr>
            <w:tcW w:w="1701" w:type="dxa"/>
            <w:tcBorders>
              <w:bottom w:val="single" w:sz="12" w:space="0" w:color="auto"/>
            </w:tcBorders>
            <w:shd w:val="clear" w:color="auto" w:fill="auto"/>
          </w:tcPr>
          <w:p w14:paraId="75E30E82" w14:textId="77777777" w:rsidR="00B33542" w:rsidRPr="005071A1" w:rsidRDefault="00B33542" w:rsidP="009B7AF5">
            <w:pPr>
              <w:pStyle w:val="Tabletext"/>
            </w:pPr>
            <w:r w:rsidRPr="005071A1">
              <w:t>65</w:t>
            </w:r>
          </w:p>
        </w:tc>
        <w:tc>
          <w:tcPr>
            <w:tcW w:w="1701" w:type="dxa"/>
            <w:tcBorders>
              <w:bottom w:val="single" w:sz="12" w:space="0" w:color="auto"/>
            </w:tcBorders>
            <w:shd w:val="clear" w:color="auto" w:fill="auto"/>
          </w:tcPr>
          <w:p w14:paraId="22B0964D" w14:textId="77777777" w:rsidR="00B33542" w:rsidRPr="005071A1" w:rsidRDefault="00B33542" w:rsidP="009B7AF5">
            <w:pPr>
              <w:pStyle w:val="Tabletext"/>
            </w:pPr>
            <w:r w:rsidRPr="005071A1">
              <w:t>1.56</w:t>
            </w:r>
          </w:p>
        </w:tc>
        <w:tc>
          <w:tcPr>
            <w:tcW w:w="1985" w:type="dxa"/>
            <w:tcBorders>
              <w:bottom w:val="single" w:sz="12" w:space="0" w:color="auto"/>
            </w:tcBorders>
            <w:shd w:val="clear" w:color="auto" w:fill="auto"/>
          </w:tcPr>
          <w:p w14:paraId="6B82D239" w14:textId="77777777" w:rsidR="00B33542" w:rsidRPr="005071A1" w:rsidRDefault="00B33542" w:rsidP="009B7AF5">
            <w:pPr>
              <w:pStyle w:val="Tabletext"/>
            </w:pPr>
            <w:r w:rsidRPr="005071A1">
              <w:t>0.74</w:t>
            </w:r>
          </w:p>
        </w:tc>
        <w:tc>
          <w:tcPr>
            <w:tcW w:w="1660" w:type="dxa"/>
            <w:tcBorders>
              <w:bottom w:val="single" w:sz="12" w:space="0" w:color="auto"/>
            </w:tcBorders>
            <w:shd w:val="clear" w:color="auto" w:fill="auto"/>
          </w:tcPr>
          <w:p w14:paraId="14C7D523" w14:textId="77777777" w:rsidR="00B33542" w:rsidRPr="005071A1" w:rsidRDefault="00B33542" w:rsidP="009B7AF5">
            <w:pPr>
              <w:pStyle w:val="Tabletext"/>
            </w:pPr>
            <w:r w:rsidRPr="005071A1">
              <w:t>1.48</w:t>
            </w:r>
          </w:p>
        </w:tc>
      </w:tr>
    </w:tbl>
    <w:p w14:paraId="609ABA3A" w14:textId="77777777" w:rsidR="00B33542" w:rsidRPr="005071A1" w:rsidRDefault="00B33542" w:rsidP="00674A0D">
      <w:pPr>
        <w:pStyle w:val="ActHead5"/>
        <w:pageBreakBefore/>
      </w:pPr>
      <w:bookmarkStart w:id="312" w:name="_Toc185577694"/>
      <w:r w:rsidRPr="005071A1">
        <w:lastRenderedPageBreak/>
        <w:t>Table II</w:t>
      </w:r>
      <w:bookmarkEnd w:id="312"/>
    </w:p>
    <w:p w14:paraId="2AE7308B" w14:textId="77777777" w:rsidR="00B33542" w:rsidRPr="005071A1" w:rsidRDefault="00B33542" w:rsidP="00B33542">
      <w:pPr>
        <w:spacing w:before="120"/>
      </w:pPr>
      <w:r w:rsidRPr="005071A1">
        <w:t>Reductions in fortnightly rates of contribution payable on or after 1st July, 1962, by male contributors (being contributors who have elected that section</w:t>
      </w:r>
      <w:r w:rsidR="008B2950" w:rsidRPr="005071A1">
        <w:t> </w:t>
      </w:r>
      <w:r w:rsidRPr="005071A1">
        <w:t>26 shall not apply to them) for units of pension where the obligation to contribute for those units existed on or before 2nd November, 1942, based on a retiring age of 65 years and the age next birthday of the contributor when that obligation came into existence</w:t>
      </w:r>
    </w:p>
    <w:p w14:paraId="023E0670" w14:textId="77777777" w:rsidR="009B7AF5" w:rsidRPr="005071A1" w:rsidRDefault="009B7AF5" w:rsidP="009B7AF5">
      <w:pPr>
        <w:pStyle w:val="Tabletext"/>
      </w:pPr>
    </w:p>
    <w:tbl>
      <w:tblPr>
        <w:tblW w:w="0" w:type="auto"/>
        <w:tblInd w:w="25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701"/>
        <w:gridCol w:w="1701"/>
        <w:gridCol w:w="1985"/>
        <w:gridCol w:w="1660"/>
      </w:tblGrid>
      <w:tr w:rsidR="00B33542" w:rsidRPr="005071A1" w14:paraId="0A9CCFE8" w14:textId="77777777" w:rsidTr="009B7AF5">
        <w:trPr>
          <w:tblHeader/>
        </w:trPr>
        <w:tc>
          <w:tcPr>
            <w:tcW w:w="1701" w:type="dxa"/>
            <w:tcBorders>
              <w:top w:val="single" w:sz="12" w:space="0" w:color="auto"/>
              <w:bottom w:val="single" w:sz="6" w:space="0" w:color="auto"/>
            </w:tcBorders>
            <w:shd w:val="clear" w:color="auto" w:fill="auto"/>
          </w:tcPr>
          <w:p w14:paraId="2089A42C" w14:textId="77777777" w:rsidR="00B33542" w:rsidRPr="005071A1" w:rsidRDefault="00B33542" w:rsidP="009B7AF5">
            <w:pPr>
              <w:pStyle w:val="TableHeading"/>
            </w:pPr>
            <w:r w:rsidRPr="005071A1">
              <w:t>Column 1</w:t>
            </w:r>
          </w:p>
        </w:tc>
        <w:tc>
          <w:tcPr>
            <w:tcW w:w="1701" w:type="dxa"/>
            <w:tcBorders>
              <w:top w:val="single" w:sz="12" w:space="0" w:color="auto"/>
              <w:bottom w:val="single" w:sz="6" w:space="0" w:color="auto"/>
            </w:tcBorders>
            <w:shd w:val="clear" w:color="auto" w:fill="auto"/>
          </w:tcPr>
          <w:p w14:paraId="5B6BE947" w14:textId="77777777" w:rsidR="00B33542" w:rsidRPr="005071A1" w:rsidRDefault="00B33542" w:rsidP="009B7AF5">
            <w:pPr>
              <w:pStyle w:val="TableHeading"/>
            </w:pPr>
            <w:r w:rsidRPr="005071A1">
              <w:t>Column 2</w:t>
            </w:r>
          </w:p>
        </w:tc>
        <w:tc>
          <w:tcPr>
            <w:tcW w:w="1985" w:type="dxa"/>
            <w:tcBorders>
              <w:top w:val="single" w:sz="12" w:space="0" w:color="auto"/>
              <w:bottom w:val="single" w:sz="6" w:space="0" w:color="auto"/>
            </w:tcBorders>
            <w:shd w:val="clear" w:color="auto" w:fill="auto"/>
          </w:tcPr>
          <w:p w14:paraId="55E12999" w14:textId="77777777" w:rsidR="00B33542" w:rsidRPr="005071A1" w:rsidRDefault="00B33542" w:rsidP="009B7AF5">
            <w:pPr>
              <w:pStyle w:val="TableHeading"/>
            </w:pPr>
            <w:r w:rsidRPr="005071A1">
              <w:t>Column 3</w:t>
            </w:r>
          </w:p>
        </w:tc>
        <w:tc>
          <w:tcPr>
            <w:tcW w:w="1660" w:type="dxa"/>
            <w:tcBorders>
              <w:top w:val="single" w:sz="12" w:space="0" w:color="auto"/>
              <w:bottom w:val="single" w:sz="6" w:space="0" w:color="auto"/>
            </w:tcBorders>
            <w:shd w:val="clear" w:color="auto" w:fill="auto"/>
          </w:tcPr>
          <w:p w14:paraId="3A05C67F" w14:textId="77777777" w:rsidR="00B33542" w:rsidRPr="005071A1" w:rsidRDefault="00B33542" w:rsidP="009B7AF5">
            <w:pPr>
              <w:pStyle w:val="TableHeading"/>
            </w:pPr>
            <w:r w:rsidRPr="005071A1">
              <w:t>Column 4</w:t>
            </w:r>
          </w:p>
        </w:tc>
      </w:tr>
      <w:tr w:rsidR="00B33542" w:rsidRPr="005071A1" w14:paraId="66C9D48B" w14:textId="77777777" w:rsidTr="009B7AF5">
        <w:trPr>
          <w:tblHeader/>
        </w:trPr>
        <w:tc>
          <w:tcPr>
            <w:tcW w:w="1701" w:type="dxa"/>
            <w:tcBorders>
              <w:top w:val="single" w:sz="6" w:space="0" w:color="auto"/>
              <w:bottom w:val="single" w:sz="6" w:space="0" w:color="auto"/>
            </w:tcBorders>
            <w:shd w:val="clear" w:color="auto" w:fill="auto"/>
          </w:tcPr>
          <w:p w14:paraId="3CE09B9F"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701" w:type="dxa"/>
            <w:tcBorders>
              <w:top w:val="single" w:sz="6" w:space="0" w:color="auto"/>
              <w:bottom w:val="single" w:sz="6" w:space="0" w:color="auto"/>
            </w:tcBorders>
            <w:shd w:val="clear" w:color="auto" w:fill="auto"/>
          </w:tcPr>
          <w:p w14:paraId="0FBF0047"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Reductions in Contribution for First Two Units</w:t>
            </w:r>
          </w:p>
        </w:tc>
        <w:tc>
          <w:tcPr>
            <w:tcW w:w="1985" w:type="dxa"/>
            <w:tcBorders>
              <w:top w:val="single" w:sz="6" w:space="0" w:color="auto"/>
              <w:bottom w:val="single" w:sz="6" w:space="0" w:color="auto"/>
            </w:tcBorders>
            <w:shd w:val="clear" w:color="auto" w:fill="auto"/>
          </w:tcPr>
          <w:p w14:paraId="2D7A4B48" w14:textId="77777777" w:rsidR="00B33542" w:rsidRPr="005071A1" w:rsidRDefault="00B33542" w:rsidP="005C01B5">
            <w:pPr>
              <w:pStyle w:val="TableHeading"/>
              <w:spacing w:before="40" w:after="40" w:line="180" w:lineRule="atLeast"/>
              <w:rPr>
                <w:sz w:val="16"/>
                <w:szCs w:val="16"/>
              </w:rPr>
            </w:pPr>
            <w:r w:rsidRPr="005071A1">
              <w:rPr>
                <w:sz w:val="16"/>
                <w:szCs w:val="16"/>
              </w:rPr>
              <w:t>Reduction in Contribution for Additional Unit where Contributor did not become liable to Contribute for other Additional Units at the same time; and Reduction in Contribution for One of a number of Additional Units for which Contributor became liable to Contribute at the same time, being a number that is not two or a multiple of two</w:t>
            </w:r>
          </w:p>
        </w:tc>
        <w:tc>
          <w:tcPr>
            <w:tcW w:w="1660" w:type="dxa"/>
            <w:tcBorders>
              <w:top w:val="single" w:sz="6" w:space="0" w:color="auto"/>
              <w:bottom w:val="single" w:sz="6" w:space="0" w:color="auto"/>
            </w:tcBorders>
            <w:shd w:val="clear" w:color="auto" w:fill="auto"/>
          </w:tcPr>
          <w:p w14:paraId="47A6D86E"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t>Reduction in Contribution for each Additional Two Units included in a number of Additional Units for which Contributor became liable to Contribute at the same time, excluding any Unit to which Column 3 of this Table applies</w:t>
            </w:r>
          </w:p>
        </w:tc>
      </w:tr>
      <w:tr w:rsidR="00B33542" w:rsidRPr="005071A1" w14:paraId="1B9B8D5F" w14:textId="77777777" w:rsidTr="009B7AF5">
        <w:trPr>
          <w:tblHeader/>
        </w:trPr>
        <w:tc>
          <w:tcPr>
            <w:tcW w:w="1701" w:type="dxa"/>
            <w:tcBorders>
              <w:top w:val="single" w:sz="6" w:space="0" w:color="auto"/>
              <w:bottom w:val="single" w:sz="12" w:space="0" w:color="auto"/>
            </w:tcBorders>
            <w:shd w:val="clear" w:color="auto" w:fill="auto"/>
          </w:tcPr>
          <w:p w14:paraId="67EBB781" w14:textId="77777777" w:rsidR="00B33542" w:rsidRPr="005071A1" w:rsidRDefault="00B33542" w:rsidP="005C01B5">
            <w:pPr>
              <w:pStyle w:val="TableHeading"/>
            </w:pPr>
          </w:p>
        </w:tc>
        <w:tc>
          <w:tcPr>
            <w:tcW w:w="1701" w:type="dxa"/>
            <w:tcBorders>
              <w:top w:val="single" w:sz="6" w:space="0" w:color="auto"/>
              <w:bottom w:val="single" w:sz="12" w:space="0" w:color="auto"/>
            </w:tcBorders>
            <w:shd w:val="clear" w:color="auto" w:fill="auto"/>
          </w:tcPr>
          <w:p w14:paraId="58EBB5FD" w14:textId="77777777" w:rsidR="00B33542" w:rsidRPr="005071A1" w:rsidRDefault="00B33542" w:rsidP="005C01B5">
            <w:pPr>
              <w:pStyle w:val="TableHeading"/>
            </w:pPr>
            <w:r w:rsidRPr="005071A1">
              <w:t>$</w:t>
            </w:r>
          </w:p>
        </w:tc>
        <w:tc>
          <w:tcPr>
            <w:tcW w:w="1985" w:type="dxa"/>
            <w:tcBorders>
              <w:top w:val="single" w:sz="6" w:space="0" w:color="auto"/>
              <w:bottom w:val="single" w:sz="12" w:space="0" w:color="auto"/>
            </w:tcBorders>
            <w:shd w:val="clear" w:color="auto" w:fill="auto"/>
          </w:tcPr>
          <w:p w14:paraId="65B19ADA" w14:textId="77777777" w:rsidR="00B33542" w:rsidRPr="005071A1" w:rsidRDefault="00B33542" w:rsidP="005C01B5">
            <w:pPr>
              <w:pStyle w:val="TableHeading"/>
            </w:pPr>
            <w:r w:rsidRPr="005071A1">
              <w:t>$</w:t>
            </w:r>
          </w:p>
        </w:tc>
        <w:tc>
          <w:tcPr>
            <w:tcW w:w="1660" w:type="dxa"/>
            <w:tcBorders>
              <w:top w:val="single" w:sz="6" w:space="0" w:color="auto"/>
              <w:bottom w:val="single" w:sz="12" w:space="0" w:color="auto"/>
            </w:tcBorders>
            <w:shd w:val="clear" w:color="auto" w:fill="auto"/>
          </w:tcPr>
          <w:p w14:paraId="698E8545" w14:textId="77777777" w:rsidR="00B33542" w:rsidRPr="005071A1" w:rsidRDefault="00B33542" w:rsidP="005C01B5">
            <w:pPr>
              <w:pStyle w:val="TableHeading"/>
            </w:pPr>
            <w:r w:rsidRPr="005071A1">
              <w:t>$</w:t>
            </w:r>
          </w:p>
        </w:tc>
      </w:tr>
      <w:tr w:rsidR="00B33542" w:rsidRPr="005071A1" w14:paraId="18879579" w14:textId="77777777" w:rsidTr="009B7AF5">
        <w:tc>
          <w:tcPr>
            <w:tcW w:w="1701" w:type="dxa"/>
            <w:tcBorders>
              <w:top w:val="single" w:sz="12" w:space="0" w:color="auto"/>
            </w:tcBorders>
            <w:shd w:val="clear" w:color="auto" w:fill="auto"/>
          </w:tcPr>
          <w:p w14:paraId="398B3F2B" w14:textId="77777777" w:rsidR="00B33542" w:rsidRPr="005071A1" w:rsidRDefault="00B33542" w:rsidP="009B7AF5">
            <w:pPr>
              <w:pStyle w:val="Tabletext"/>
            </w:pPr>
            <w:r w:rsidRPr="005071A1">
              <w:t>15</w:t>
            </w:r>
          </w:p>
        </w:tc>
        <w:tc>
          <w:tcPr>
            <w:tcW w:w="1701" w:type="dxa"/>
            <w:tcBorders>
              <w:top w:val="single" w:sz="12" w:space="0" w:color="auto"/>
            </w:tcBorders>
            <w:shd w:val="clear" w:color="auto" w:fill="auto"/>
          </w:tcPr>
          <w:p w14:paraId="2E031D4E" w14:textId="77777777" w:rsidR="00B33542" w:rsidRPr="005071A1" w:rsidRDefault="00B33542" w:rsidP="009B7AF5">
            <w:pPr>
              <w:pStyle w:val="Tabletext"/>
            </w:pPr>
            <w:r w:rsidRPr="005071A1">
              <w:t>0.08</w:t>
            </w:r>
          </w:p>
        </w:tc>
        <w:tc>
          <w:tcPr>
            <w:tcW w:w="1985" w:type="dxa"/>
            <w:tcBorders>
              <w:top w:val="single" w:sz="12" w:space="0" w:color="auto"/>
            </w:tcBorders>
            <w:shd w:val="clear" w:color="auto" w:fill="auto"/>
          </w:tcPr>
          <w:p w14:paraId="4887F428" w14:textId="77777777" w:rsidR="00B33542" w:rsidRPr="005071A1" w:rsidRDefault="00B33542" w:rsidP="009B7AF5">
            <w:pPr>
              <w:pStyle w:val="Tabletext"/>
            </w:pPr>
            <w:r w:rsidRPr="005071A1">
              <w:t>0.03</w:t>
            </w:r>
          </w:p>
        </w:tc>
        <w:tc>
          <w:tcPr>
            <w:tcW w:w="1660" w:type="dxa"/>
            <w:tcBorders>
              <w:top w:val="single" w:sz="12" w:space="0" w:color="auto"/>
            </w:tcBorders>
            <w:shd w:val="clear" w:color="auto" w:fill="auto"/>
          </w:tcPr>
          <w:p w14:paraId="22AE6C90" w14:textId="77777777" w:rsidR="00B33542" w:rsidRPr="005071A1" w:rsidRDefault="00B33542" w:rsidP="009B7AF5">
            <w:pPr>
              <w:pStyle w:val="Tabletext"/>
            </w:pPr>
            <w:r w:rsidRPr="005071A1">
              <w:t>0.06</w:t>
            </w:r>
          </w:p>
        </w:tc>
      </w:tr>
      <w:tr w:rsidR="00B33542" w:rsidRPr="005071A1" w14:paraId="332AFCEF" w14:textId="77777777" w:rsidTr="009B7AF5">
        <w:tc>
          <w:tcPr>
            <w:tcW w:w="1701" w:type="dxa"/>
            <w:shd w:val="clear" w:color="auto" w:fill="auto"/>
          </w:tcPr>
          <w:p w14:paraId="247E0F89" w14:textId="77777777" w:rsidR="00B33542" w:rsidRPr="005071A1" w:rsidRDefault="00B33542" w:rsidP="009B7AF5">
            <w:pPr>
              <w:pStyle w:val="Tabletext"/>
            </w:pPr>
            <w:r w:rsidRPr="005071A1">
              <w:t>16</w:t>
            </w:r>
          </w:p>
        </w:tc>
        <w:tc>
          <w:tcPr>
            <w:tcW w:w="1701" w:type="dxa"/>
            <w:shd w:val="clear" w:color="auto" w:fill="auto"/>
          </w:tcPr>
          <w:p w14:paraId="1326C6AD" w14:textId="77777777" w:rsidR="00B33542" w:rsidRPr="005071A1" w:rsidRDefault="00B33542" w:rsidP="009B7AF5">
            <w:pPr>
              <w:pStyle w:val="Tabletext"/>
            </w:pPr>
            <w:r w:rsidRPr="005071A1">
              <w:t>0.08</w:t>
            </w:r>
          </w:p>
        </w:tc>
        <w:tc>
          <w:tcPr>
            <w:tcW w:w="1985" w:type="dxa"/>
            <w:shd w:val="clear" w:color="auto" w:fill="auto"/>
          </w:tcPr>
          <w:p w14:paraId="51A08E66" w14:textId="77777777" w:rsidR="00B33542" w:rsidRPr="005071A1" w:rsidRDefault="00B33542" w:rsidP="009B7AF5">
            <w:pPr>
              <w:pStyle w:val="Tabletext"/>
            </w:pPr>
            <w:r w:rsidRPr="005071A1">
              <w:t>0.03</w:t>
            </w:r>
          </w:p>
        </w:tc>
        <w:tc>
          <w:tcPr>
            <w:tcW w:w="1660" w:type="dxa"/>
            <w:shd w:val="clear" w:color="auto" w:fill="auto"/>
          </w:tcPr>
          <w:p w14:paraId="1783B7B3" w14:textId="77777777" w:rsidR="00B33542" w:rsidRPr="005071A1" w:rsidRDefault="00B33542" w:rsidP="009B7AF5">
            <w:pPr>
              <w:pStyle w:val="Tabletext"/>
            </w:pPr>
            <w:r w:rsidRPr="005071A1">
              <w:t>0.06</w:t>
            </w:r>
          </w:p>
        </w:tc>
      </w:tr>
      <w:tr w:rsidR="00B33542" w:rsidRPr="005071A1" w14:paraId="57972449" w14:textId="77777777" w:rsidTr="009B7AF5">
        <w:tc>
          <w:tcPr>
            <w:tcW w:w="1701" w:type="dxa"/>
            <w:shd w:val="clear" w:color="auto" w:fill="auto"/>
          </w:tcPr>
          <w:p w14:paraId="13362B6D" w14:textId="77777777" w:rsidR="00B33542" w:rsidRPr="005071A1" w:rsidRDefault="00B33542" w:rsidP="009B7AF5">
            <w:pPr>
              <w:pStyle w:val="Tabletext"/>
            </w:pPr>
            <w:r w:rsidRPr="005071A1">
              <w:t>17</w:t>
            </w:r>
          </w:p>
        </w:tc>
        <w:tc>
          <w:tcPr>
            <w:tcW w:w="1701" w:type="dxa"/>
            <w:shd w:val="clear" w:color="auto" w:fill="auto"/>
          </w:tcPr>
          <w:p w14:paraId="202CBCD5" w14:textId="77777777" w:rsidR="00B33542" w:rsidRPr="005071A1" w:rsidRDefault="00B33542" w:rsidP="009B7AF5">
            <w:pPr>
              <w:pStyle w:val="Tabletext"/>
            </w:pPr>
            <w:r w:rsidRPr="005071A1">
              <w:t>0.08</w:t>
            </w:r>
          </w:p>
        </w:tc>
        <w:tc>
          <w:tcPr>
            <w:tcW w:w="1985" w:type="dxa"/>
            <w:shd w:val="clear" w:color="auto" w:fill="auto"/>
          </w:tcPr>
          <w:p w14:paraId="6F54EEC0" w14:textId="77777777" w:rsidR="00B33542" w:rsidRPr="005071A1" w:rsidRDefault="00B33542" w:rsidP="009B7AF5">
            <w:pPr>
              <w:pStyle w:val="Tabletext"/>
            </w:pPr>
            <w:r w:rsidRPr="005071A1">
              <w:t>0.03</w:t>
            </w:r>
          </w:p>
        </w:tc>
        <w:tc>
          <w:tcPr>
            <w:tcW w:w="1660" w:type="dxa"/>
            <w:shd w:val="clear" w:color="auto" w:fill="auto"/>
          </w:tcPr>
          <w:p w14:paraId="28581E82" w14:textId="77777777" w:rsidR="00B33542" w:rsidRPr="005071A1" w:rsidRDefault="00B33542" w:rsidP="009B7AF5">
            <w:pPr>
              <w:pStyle w:val="Tabletext"/>
            </w:pPr>
            <w:r w:rsidRPr="005071A1">
              <w:t>0.06</w:t>
            </w:r>
          </w:p>
        </w:tc>
      </w:tr>
      <w:tr w:rsidR="00B33542" w:rsidRPr="005071A1" w14:paraId="00DCAC30" w14:textId="77777777" w:rsidTr="009B7AF5">
        <w:tc>
          <w:tcPr>
            <w:tcW w:w="1701" w:type="dxa"/>
            <w:shd w:val="clear" w:color="auto" w:fill="auto"/>
          </w:tcPr>
          <w:p w14:paraId="5C57F429" w14:textId="77777777" w:rsidR="00B33542" w:rsidRPr="005071A1" w:rsidRDefault="00B33542" w:rsidP="009B7AF5">
            <w:pPr>
              <w:pStyle w:val="Tabletext"/>
            </w:pPr>
            <w:r w:rsidRPr="005071A1">
              <w:t>18</w:t>
            </w:r>
          </w:p>
        </w:tc>
        <w:tc>
          <w:tcPr>
            <w:tcW w:w="1701" w:type="dxa"/>
            <w:shd w:val="clear" w:color="auto" w:fill="auto"/>
          </w:tcPr>
          <w:p w14:paraId="353EBB76" w14:textId="77777777" w:rsidR="00B33542" w:rsidRPr="005071A1" w:rsidRDefault="00B33542" w:rsidP="009B7AF5">
            <w:pPr>
              <w:pStyle w:val="Tabletext"/>
            </w:pPr>
            <w:r w:rsidRPr="005071A1">
              <w:t>0.10</w:t>
            </w:r>
          </w:p>
        </w:tc>
        <w:tc>
          <w:tcPr>
            <w:tcW w:w="1985" w:type="dxa"/>
            <w:shd w:val="clear" w:color="auto" w:fill="auto"/>
          </w:tcPr>
          <w:p w14:paraId="42AA6D4B" w14:textId="77777777" w:rsidR="00B33542" w:rsidRPr="005071A1" w:rsidRDefault="00B33542" w:rsidP="009B7AF5">
            <w:pPr>
              <w:pStyle w:val="Tabletext"/>
            </w:pPr>
            <w:r w:rsidRPr="005071A1">
              <w:t>0.03</w:t>
            </w:r>
          </w:p>
        </w:tc>
        <w:tc>
          <w:tcPr>
            <w:tcW w:w="1660" w:type="dxa"/>
            <w:shd w:val="clear" w:color="auto" w:fill="auto"/>
          </w:tcPr>
          <w:p w14:paraId="1F2F9E68" w14:textId="77777777" w:rsidR="00B33542" w:rsidRPr="005071A1" w:rsidRDefault="00B33542" w:rsidP="009B7AF5">
            <w:pPr>
              <w:pStyle w:val="Tabletext"/>
            </w:pPr>
            <w:r w:rsidRPr="005071A1">
              <w:t>0.06</w:t>
            </w:r>
          </w:p>
        </w:tc>
      </w:tr>
      <w:tr w:rsidR="00B33542" w:rsidRPr="005071A1" w14:paraId="2213E419" w14:textId="77777777" w:rsidTr="009B7AF5">
        <w:tc>
          <w:tcPr>
            <w:tcW w:w="1701" w:type="dxa"/>
            <w:shd w:val="clear" w:color="auto" w:fill="auto"/>
          </w:tcPr>
          <w:p w14:paraId="2CC66DF4" w14:textId="77777777" w:rsidR="00B33542" w:rsidRPr="005071A1" w:rsidRDefault="00B33542" w:rsidP="009B7AF5">
            <w:pPr>
              <w:pStyle w:val="Tabletext"/>
            </w:pPr>
            <w:r w:rsidRPr="005071A1">
              <w:t>19</w:t>
            </w:r>
          </w:p>
        </w:tc>
        <w:tc>
          <w:tcPr>
            <w:tcW w:w="1701" w:type="dxa"/>
            <w:shd w:val="clear" w:color="auto" w:fill="auto"/>
          </w:tcPr>
          <w:p w14:paraId="5374EC2D" w14:textId="77777777" w:rsidR="00B33542" w:rsidRPr="005071A1" w:rsidRDefault="00B33542" w:rsidP="009B7AF5">
            <w:pPr>
              <w:pStyle w:val="Tabletext"/>
            </w:pPr>
            <w:r w:rsidRPr="005071A1">
              <w:t>0.10</w:t>
            </w:r>
          </w:p>
        </w:tc>
        <w:tc>
          <w:tcPr>
            <w:tcW w:w="1985" w:type="dxa"/>
            <w:shd w:val="clear" w:color="auto" w:fill="auto"/>
          </w:tcPr>
          <w:p w14:paraId="47956B14" w14:textId="77777777" w:rsidR="00B33542" w:rsidRPr="005071A1" w:rsidRDefault="00B33542" w:rsidP="009B7AF5">
            <w:pPr>
              <w:pStyle w:val="Tabletext"/>
            </w:pPr>
            <w:r w:rsidRPr="005071A1">
              <w:t>0.04</w:t>
            </w:r>
          </w:p>
        </w:tc>
        <w:tc>
          <w:tcPr>
            <w:tcW w:w="1660" w:type="dxa"/>
            <w:shd w:val="clear" w:color="auto" w:fill="auto"/>
          </w:tcPr>
          <w:p w14:paraId="4A39AFA3" w14:textId="77777777" w:rsidR="00B33542" w:rsidRPr="005071A1" w:rsidRDefault="00B33542" w:rsidP="009B7AF5">
            <w:pPr>
              <w:pStyle w:val="Tabletext"/>
            </w:pPr>
            <w:r w:rsidRPr="005071A1">
              <w:t>0.08</w:t>
            </w:r>
          </w:p>
        </w:tc>
      </w:tr>
      <w:tr w:rsidR="00B33542" w:rsidRPr="005071A1" w14:paraId="15336B31" w14:textId="77777777" w:rsidTr="009B7AF5">
        <w:tc>
          <w:tcPr>
            <w:tcW w:w="1701" w:type="dxa"/>
            <w:shd w:val="clear" w:color="auto" w:fill="auto"/>
          </w:tcPr>
          <w:p w14:paraId="70224B6D" w14:textId="77777777" w:rsidR="00B33542" w:rsidRPr="005071A1" w:rsidRDefault="00B33542" w:rsidP="009B7AF5">
            <w:pPr>
              <w:pStyle w:val="Tabletext"/>
            </w:pPr>
            <w:r w:rsidRPr="005071A1">
              <w:t>20</w:t>
            </w:r>
          </w:p>
        </w:tc>
        <w:tc>
          <w:tcPr>
            <w:tcW w:w="1701" w:type="dxa"/>
            <w:shd w:val="clear" w:color="auto" w:fill="auto"/>
          </w:tcPr>
          <w:p w14:paraId="6EB48536" w14:textId="77777777" w:rsidR="00B33542" w:rsidRPr="005071A1" w:rsidRDefault="00B33542" w:rsidP="009B7AF5">
            <w:pPr>
              <w:pStyle w:val="Tabletext"/>
            </w:pPr>
            <w:r w:rsidRPr="005071A1">
              <w:t>0.10</w:t>
            </w:r>
          </w:p>
        </w:tc>
        <w:tc>
          <w:tcPr>
            <w:tcW w:w="1985" w:type="dxa"/>
            <w:shd w:val="clear" w:color="auto" w:fill="auto"/>
          </w:tcPr>
          <w:p w14:paraId="1E67691F" w14:textId="77777777" w:rsidR="00B33542" w:rsidRPr="005071A1" w:rsidRDefault="00B33542" w:rsidP="009B7AF5">
            <w:pPr>
              <w:pStyle w:val="Tabletext"/>
            </w:pPr>
            <w:r w:rsidRPr="005071A1">
              <w:t>0.03</w:t>
            </w:r>
          </w:p>
        </w:tc>
        <w:tc>
          <w:tcPr>
            <w:tcW w:w="1660" w:type="dxa"/>
            <w:shd w:val="clear" w:color="auto" w:fill="auto"/>
          </w:tcPr>
          <w:p w14:paraId="00389186" w14:textId="77777777" w:rsidR="00B33542" w:rsidRPr="005071A1" w:rsidRDefault="00B33542" w:rsidP="009B7AF5">
            <w:pPr>
              <w:pStyle w:val="Tabletext"/>
            </w:pPr>
            <w:r w:rsidRPr="005071A1">
              <w:t>0.06</w:t>
            </w:r>
          </w:p>
        </w:tc>
      </w:tr>
      <w:tr w:rsidR="00B33542" w:rsidRPr="005071A1" w14:paraId="56591FB9" w14:textId="77777777" w:rsidTr="009B7AF5">
        <w:tc>
          <w:tcPr>
            <w:tcW w:w="1701" w:type="dxa"/>
            <w:shd w:val="clear" w:color="auto" w:fill="auto"/>
          </w:tcPr>
          <w:p w14:paraId="70A40267" w14:textId="77777777" w:rsidR="00B33542" w:rsidRPr="005071A1" w:rsidRDefault="00B33542" w:rsidP="009B7AF5">
            <w:pPr>
              <w:pStyle w:val="Tabletext"/>
            </w:pPr>
            <w:r w:rsidRPr="005071A1">
              <w:t>21</w:t>
            </w:r>
          </w:p>
        </w:tc>
        <w:tc>
          <w:tcPr>
            <w:tcW w:w="1701" w:type="dxa"/>
            <w:shd w:val="clear" w:color="auto" w:fill="auto"/>
          </w:tcPr>
          <w:p w14:paraId="5EFD1C30" w14:textId="77777777" w:rsidR="00B33542" w:rsidRPr="005071A1" w:rsidRDefault="00B33542" w:rsidP="009B7AF5">
            <w:pPr>
              <w:pStyle w:val="Tabletext"/>
            </w:pPr>
            <w:r w:rsidRPr="005071A1">
              <w:t>0.10</w:t>
            </w:r>
          </w:p>
        </w:tc>
        <w:tc>
          <w:tcPr>
            <w:tcW w:w="1985" w:type="dxa"/>
            <w:shd w:val="clear" w:color="auto" w:fill="auto"/>
          </w:tcPr>
          <w:p w14:paraId="2F2F49B6" w14:textId="77777777" w:rsidR="00B33542" w:rsidRPr="005071A1" w:rsidRDefault="00B33542" w:rsidP="009B7AF5">
            <w:pPr>
              <w:pStyle w:val="Tabletext"/>
            </w:pPr>
            <w:r w:rsidRPr="005071A1">
              <w:t>0.03</w:t>
            </w:r>
          </w:p>
        </w:tc>
        <w:tc>
          <w:tcPr>
            <w:tcW w:w="1660" w:type="dxa"/>
            <w:shd w:val="clear" w:color="auto" w:fill="auto"/>
          </w:tcPr>
          <w:p w14:paraId="442B90A7" w14:textId="77777777" w:rsidR="00B33542" w:rsidRPr="005071A1" w:rsidRDefault="00B33542" w:rsidP="009B7AF5">
            <w:pPr>
              <w:pStyle w:val="Tabletext"/>
            </w:pPr>
            <w:r w:rsidRPr="005071A1">
              <w:t>0.06</w:t>
            </w:r>
          </w:p>
        </w:tc>
      </w:tr>
      <w:tr w:rsidR="00B33542" w:rsidRPr="005071A1" w14:paraId="6E6ECA50" w14:textId="77777777" w:rsidTr="009B7AF5">
        <w:tc>
          <w:tcPr>
            <w:tcW w:w="1701" w:type="dxa"/>
            <w:shd w:val="clear" w:color="auto" w:fill="auto"/>
          </w:tcPr>
          <w:p w14:paraId="3422D9DE" w14:textId="77777777" w:rsidR="00B33542" w:rsidRPr="005071A1" w:rsidRDefault="00B33542" w:rsidP="009B7AF5">
            <w:pPr>
              <w:pStyle w:val="Tabletext"/>
            </w:pPr>
            <w:r w:rsidRPr="005071A1">
              <w:t>22</w:t>
            </w:r>
          </w:p>
        </w:tc>
        <w:tc>
          <w:tcPr>
            <w:tcW w:w="1701" w:type="dxa"/>
            <w:shd w:val="clear" w:color="auto" w:fill="auto"/>
          </w:tcPr>
          <w:p w14:paraId="380CF570" w14:textId="77777777" w:rsidR="00B33542" w:rsidRPr="005071A1" w:rsidRDefault="00B33542" w:rsidP="009B7AF5">
            <w:pPr>
              <w:pStyle w:val="Tabletext"/>
            </w:pPr>
            <w:r w:rsidRPr="005071A1">
              <w:t>0.10</w:t>
            </w:r>
          </w:p>
        </w:tc>
        <w:tc>
          <w:tcPr>
            <w:tcW w:w="1985" w:type="dxa"/>
            <w:shd w:val="clear" w:color="auto" w:fill="auto"/>
          </w:tcPr>
          <w:p w14:paraId="643090B8" w14:textId="77777777" w:rsidR="00B33542" w:rsidRPr="005071A1" w:rsidRDefault="00B33542" w:rsidP="009B7AF5">
            <w:pPr>
              <w:pStyle w:val="Tabletext"/>
            </w:pPr>
            <w:r w:rsidRPr="005071A1">
              <w:t>0.03</w:t>
            </w:r>
          </w:p>
        </w:tc>
        <w:tc>
          <w:tcPr>
            <w:tcW w:w="1660" w:type="dxa"/>
            <w:shd w:val="clear" w:color="auto" w:fill="auto"/>
          </w:tcPr>
          <w:p w14:paraId="362CC42D" w14:textId="77777777" w:rsidR="00B33542" w:rsidRPr="005071A1" w:rsidRDefault="00B33542" w:rsidP="009B7AF5">
            <w:pPr>
              <w:pStyle w:val="Tabletext"/>
            </w:pPr>
            <w:r w:rsidRPr="005071A1">
              <w:t>0.06</w:t>
            </w:r>
          </w:p>
        </w:tc>
      </w:tr>
      <w:tr w:rsidR="00B33542" w:rsidRPr="005071A1" w14:paraId="61D204FB" w14:textId="77777777" w:rsidTr="009B7AF5">
        <w:tc>
          <w:tcPr>
            <w:tcW w:w="1701" w:type="dxa"/>
            <w:shd w:val="clear" w:color="auto" w:fill="auto"/>
          </w:tcPr>
          <w:p w14:paraId="2B544258" w14:textId="77777777" w:rsidR="00B33542" w:rsidRPr="005071A1" w:rsidRDefault="00B33542" w:rsidP="009B7AF5">
            <w:pPr>
              <w:pStyle w:val="Tabletext"/>
            </w:pPr>
            <w:r w:rsidRPr="005071A1">
              <w:t>23</w:t>
            </w:r>
          </w:p>
        </w:tc>
        <w:tc>
          <w:tcPr>
            <w:tcW w:w="1701" w:type="dxa"/>
            <w:shd w:val="clear" w:color="auto" w:fill="auto"/>
          </w:tcPr>
          <w:p w14:paraId="5A81F75E" w14:textId="77777777" w:rsidR="00B33542" w:rsidRPr="005071A1" w:rsidRDefault="00B33542" w:rsidP="009B7AF5">
            <w:pPr>
              <w:pStyle w:val="Tabletext"/>
            </w:pPr>
            <w:r w:rsidRPr="005071A1">
              <w:t>0.10</w:t>
            </w:r>
          </w:p>
        </w:tc>
        <w:tc>
          <w:tcPr>
            <w:tcW w:w="1985" w:type="dxa"/>
            <w:shd w:val="clear" w:color="auto" w:fill="auto"/>
          </w:tcPr>
          <w:p w14:paraId="46FBC357" w14:textId="77777777" w:rsidR="00B33542" w:rsidRPr="005071A1" w:rsidRDefault="00B33542" w:rsidP="009B7AF5">
            <w:pPr>
              <w:pStyle w:val="Tabletext"/>
            </w:pPr>
            <w:r w:rsidRPr="005071A1">
              <w:t>0.03</w:t>
            </w:r>
          </w:p>
        </w:tc>
        <w:tc>
          <w:tcPr>
            <w:tcW w:w="1660" w:type="dxa"/>
            <w:shd w:val="clear" w:color="auto" w:fill="auto"/>
          </w:tcPr>
          <w:p w14:paraId="4381B38D" w14:textId="77777777" w:rsidR="00B33542" w:rsidRPr="005071A1" w:rsidRDefault="00B33542" w:rsidP="009B7AF5">
            <w:pPr>
              <w:pStyle w:val="Tabletext"/>
            </w:pPr>
            <w:r w:rsidRPr="005071A1">
              <w:t>0.06</w:t>
            </w:r>
          </w:p>
        </w:tc>
      </w:tr>
      <w:tr w:rsidR="00B33542" w:rsidRPr="005071A1" w14:paraId="24BFCF2C" w14:textId="77777777" w:rsidTr="00D57394">
        <w:tc>
          <w:tcPr>
            <w:tcW w:w="1701" w:type="dxa"/>
            <w:tcBorders>
              <w:bottom w:val="single" w:sz="4" w:space="0" w:color="auto"/>
            </w:tcBorders>
            <w:shd w:val="clear" w:color="auto" w:fill="auto"/>
          </w:tcPr>
          <w:p w14:paraId="51160C71" w14:textId="77777777" w:rsidR="00B33542" w:rsidRPr="005071A1" w:rsidRDefault="00B33542" w:rsidP="009B7AF5">
            <w:pPr>
              <w:pStyle w:val="Tabletext"/>
            </w:pPr>
            <w:r w:rsidRPr="005071A1">
              <w:lastRenderedPageBreak/>
              <w:t>24</w:t>
            </w:r>
          </w:p>
        </w:tc>
        <w:tc>
          <w:tcPr>
            <w:tcW w:w="1701" w:type="dxa"/>
            <w:tcBorders>
              <w:bottom w:val="single" w:sz="4" w:space="0" w:color="auto"/>
            </w:tcBorders>
            <w:shd w:val="clear" w:color="auto" w:fill="auto"/>
          </w:tcPr>
          <w:p w14:paraId="55E81D2C" w14:textId="77777777" w:rsidR="00B33542" w:rsidRPr="005071A1" w:rsidRDefault="00B33542" w:rsidP="009B7AF5">
            <w:pPr>
              <w:pStyle w:val="Tabletext"/>
            </w:pPr>
            <w:r w:rsidRPr="005071A1">
              <w:t>0.10</w:t>
            </w:r>
          </w:p>
        </w:tc>
        <w:tc>
          <w:tcPr>
            <w:tcW w:w="1985" w:type="dxa"/>
            <w:tcBorders>
              <w:bottom w:val="single" w:sz="4" w:space="0" w:color="auto"/>
            </w:tcBorders>
            <w:shd w:val="clear" w:color="auto" w:fill="auto"/>
          </w:tcPr>
          <w:p w14:paraId="44B3FDD2" w14:textId="77777777" w:rsidR="00B33542" w:rsidRPr="005071A1" w:rsidRDefault="00B33542" w:rsidP="009B7AF5">
            <w:pPr>
              <w:pStyle w:val="Tabletext"/>
            </w:pPr>
            <w:r w:rsidRPr="005071A1">
              <w:t>0.03</w:t>
            </w:r>
          </w:p>
        </w:tc>
        <w:tc>
          <w:tcPr>
            <w:tcW w:w="1660" w:type="dxa"/>
            <w:tcBorders>
              <w:bottom w:val="single" w:sz="4" w:space="0" w:color="auto"/>
            </w:tcBorders>
            <w:shd w:val="clear" w:color="auto" w:fill="auto"/>
          </w:tcPr>
          <w:p w14:paraId="481D3D27" w14:textId="77777777" w:rsidR="00B33542" w:rsidRPr="005071A1" w:rsidRDefault="00B33542" w:rsidP="009B7AF5">
            <w:pPr>
              <w:pStyle w:val="Tabletext"/>
            </w:pPr>
            <w:r w:rsidRPr="005071A1">
              <w:t>0.06</w:t>
            </w:r>
          </w:p>
        </w:tc>
      </w:tr>
      <w:tr w:rsidR="00B33542" w:rsidRPr="005071A1" w14:paraId="64544C88" w14:textId="77777777" w:rsidTr="00D57394">
        <w:tc>
          <w:tcPr>
            <w:tcW w:w="1701" w:type="dxa"/>
            <w:tcBorders>
              <w:bottom w:val="single" w:sz="4" w:space="0" w:color="auto"/>
            </w:tcBorders>
            <w:shd w:val="clear" w:color="auto" w:fill="auto"/>
          </w:tcPr>
          <w:p w14:paraId="6D7B81D4" w14:textId="77777777" w:rsidR="00B33542" w:rsidRPr="005071A1" w:rsidRDefault="00B33542" w:rsidP="009B7AF5">
            <w:pPr>
              <w:pStyle w:val="Tabletext"/>
            </w:pPr>
            <w:r w:rsidRPr="005071A1">
              <w:t>25</w:t>
            </w:r>
          </w:p>
        </w:tc>
        <w:tc>
          <w:tcPr>
            <w:tcW w:w="1701" w:type="dxa"/>
            <w:tcBorders>
              <w:bottom w:val="single" w:sz="4" w:space="0" w:color="auto"/>
            </w:tcBorders>
            <w:shd w:val="clear" w:color="auto" w:fill="auto"/>
          </w:tcPr>
          <w:p w14:paraId="3630A0B8" w14:textId="77777777" w:rsidR="00B33542" w:rsidRPr="005071A1" w:rsidRDefault="00B33542" w:rsidP="009B7AF5">
            <w:pPr>
              <w:pStyle w:val="Tabletext"/>
            </w:pPr>
            <w:r w:rsidRPr="005071A1">
              <w:t>0.10</w:t>
            </w:r>
          </w:p>
        </w:tc>
        <w:tc>
          <w:tcPr>
            <w:tcW w:w="1985" w:type="dxa"/>
            <w:tcBorders>
              <w:bottom w:val="single" w:sz="4" w:space="0" w:color="auto"/>
            </w:tcBorders>
            <w:shd w:val="clear" w:color="auto" w:fill="auto"/>
          </w:tcPr>
          <w:p w14:paraId="029292AE" w14:textId="77777777" w:rsidR="00B33542" w:rsidRPr="005071A1" w:rsidRDefault="00B33542" w:rsidP="009B7AF5">
            <w:pPr>
              <w:pStyle w:val="Tabletext"/>
            </w:pPr>
            <w:r w:rsidRPr="005071A1">
              <w:t>0.03</w:t>
            </w:r>
          </w:p>
        </w:tc>
        <w:tc>
          <w:tcPr>
            <w:tcW w:w="1660" w:type="dxa"/>
            <w:tcBorders>
              <w:bottom w:val="single" w:sz="4" w:space="0" w:color="auto"/>
            </w:tcBorders>
            <w:shd w:val="clear" w:color="auto" w:fill="auto"/>
          </w:tcPr>
          <w:p w14:paraId="4C11DCE6" w14:textId="77777777" w:rsidR="00B33542" w:rsidRPr="005071A1" w:rsidRDefault="00B33542" w:rsidP="009B7AF5">
            <w:pPr>
              <w:pStyle w:val="Tabletext"/>
            </w:pPr>
            <w:r w:rsidRPr="005071A1">
              <w:t>0.06</w:t>
            </w:r>
          </w:p>
        </w:tc>
      </w:tr>
      <w:tr w:rsidR="00B33542" w:rsidRPr="005071A1" w14:paraId="0FA808E5" w14:textId="77777777" w:rsidTr="00640BB6">
        <w:tc>
          <w:tcPr>
            <w:tcW w:w="1701" w:type="dxa"/>
            <w:tcBorders>
              <w:top w:val="single" w:sz="4" w:space="0" w:color="auto"/>
              <w:bottom w:val="single" w:sz="4" w:space="0" w:color="auto"/>
            </w:tcBorders>
            <w:shd w:val="clear" w:color="auto" w:fill="auto"/>
          </w:tcPr>
          <w:p w14:paraId="1108DA3F" w14:textId="77777777" w:rsidR="00B33542" w:rsidRPr="005071A1" w:rsidRDefault="00B33542" w:rsidP="009B7AF5">
            <w:pPr>
              <w:pStyle w:val="Tabletext"/>
            </w:pPr>
            <w:r w:rsidRPr="005071A1">
              <w:t>26</w:t>
            </w:r>
          </w:p>
        </w:tc>
        <w:tc>
          <w:tcPr>
            <w:tcW w:w="1701" w:type="dxa"/>
            <w:tcBorders>
              <w:top w:val="single" w:sz="4" w:space="0" w:color="auto"/>
              <w:bottom w:val="single" w:sz="4" w:space="0" w:color="auto"/>
            </w:tcBorders>
            <w:shd w:val="clear" w:color="auto" w:fill="auto"/>
          </w:tcPr>
          <w:p w14:paraId="1BA95863" w14:textId="77777777" w:rsidR="00B33542" w:rsidRPr="005071A1" w:rsidRDefault="00B33542" w:rsidP="009B7AF5">
            <w:pPr>
              <w:pStyle w:val="Tabletext"/>
            </w:pPr>
            <w:r w:rsidRPr="005071A1">
              <w:t>0.10</w:t>
            </w:r>
          </w:p>
        </w:tc>
        <w:tc>
          <w:tcPr>
            <w:tcW w:w="1985" w:type="dxa"/>
            <w:tcBorders>
              <w:top w:val="single" w:sz="4" w:space="0" w:color="auto"/>
              <w:bottom w:val="single" w:sz="4" w:space="0" w:color="auto"/>
            </w:tcBorders>
            <w:shd w:val="clear" w:color="auto" w:fill="auto"/>
          </w:tcPr>
          <w:p w14:paraId="4AB09BF7" w14:textId="77777777" w:rsidR="00B33542" w:rsidRPr="005071A1" w:rsidRDefault="00B33542" w:rsidP="009B7AF5">
            <w:pPr>
              <w:pStyle w:val="Tabletext"/>
            </w:pPr>
            <w:r w:rsidRPr="005071A1">
              <w:t>0.03</w:t>
            </w:r>
          </w:p>
        </w:tc>
        <w:tc>
          <w:tcPr>
            <w:tcW w:w="1660" w:type="dxa"/>
            <w:tcBorders>
              <w:top w:val="single" w:sz="4" w:space="0" w:color="auto"/>
              <w:bottom w:val="single" w:sz="4" w:space="0" w:color="auto"/>
            </w:tcBorders>
            <w:shd w:val="clear" w:color="auto" w:fill="auto"/>
          </w:tcPr>
          <w:p w14:paraId="745C2FF0" w14:textId="77777777" w:rsidR="00B33542" w:rsidRPr="005071A1" w:rsidRDefault="00B33542" w:rsidP="009B7AF5">
            <w:pPr>
              <w:pStyle w:val="Tabletext"/>
            </w:pPr>
            <w:r w:rsidRPr="005071A1">
              <w:t>0.06</w:t>
            </w:r>
          </w:p>
        </w:tc>
      </w:tr>
      <w:tr w:rsidR="00B33542" w:rsidRPr="005071A1" w14:paraId="162AA0D3" w14:textId="77777777" w:rsidTr="00640BB6">
        <w:tc>
          <w:tcPr>
            <w:tcW w:w="1701" w:type="dxa"/>
            <w:tcBorders>
              <w:bottom w:val="single" w:sz="4" w:space="0" w:color="auto"/>
            </w:tcBorders>
            <w:shd w:val="clear" w:color="auto" w:fill="auto"/>
          </w:tcPr>
          <w:p w14:paraId="3C69F2A9" w14:textId="77777777" w:rsidR="00B33542" w:rsidRPr="005071A1" w:rsidRDefault="00B33542" w:rsidP="009B7AF5">
            <w:pPr>
              <w:pStyle w:val="Tabletext"/>
            </w:pPr>
            <w:r w:rsidRPr="005071A1">
              <w:t>27</w:t>
            </w:r>
          </w:p>
        </w:tc>
        <w:tc>
          <w:tcPr>
            <w:tcW w:w="1701" w:type="dxa"/>
            <w:tcBorders>
              <w:bottom w:val="single" w:sz="4" w:space="0" w:color="auto"/>
            </w:tcBorders>
            <w:shd w:val="clear" w:color="auto" w:fill="auto"/>
          </w:tcPr>
          <w:p w14:paraId="478F2372" w14:textId="77777777" w:rsidR="00B33542" w:rsidRPr="005071A1" w:rsidRDefault="00B33542" w:rsidP="009B7AF5">
            <w:pPr>
              <w:pStyle w:val="Tabletext"/>
            </w:pPr>
            <w:r w:rsidRPr="005071A1">
              <w:t>0.12</w:t>
            </w:r>
          </w:p>
        </w:tc>
        <w:tc>
          <w:tcPr>
            <w:tcW w:w="1985" w:type="dxa"/>
            <w:tcBorders>
              <w:bottom w:val="single" w:sz="4" w:space="0" w:color="auto"/>
            </w:tcBorders>
            <w:shd w:val="clear" w:color="auto" w:fill="auto"/>
          </w:tcPr>
          <w:p w14:paraId="594FB563" w14:textId="77777777" w:rsidR="00B33542" w:rsidRPr="005071A1" w:rsidRDefault="00B33542" w:rsidP="009B7AF5">
            <w:pPr>
              <w:pStyle w:val="Tabletext"/>
            </w:pPr>
            <w:r w:rsidRPr="005071A1">
              <w:t>0.04</w:t>
            </w:r>
          </w:p>
        </w:tc>
        <w:tc>
          <w:tcPr>
            <w:tcW w:w="1660" w:type="dxa"/>
            <w:tcBorders>
              <w:bottom w:val="single" w:sz="4" w:space="0" w:color="auto"/>
            </w:tcBorders>
            <w:shd w:val="clear" w:color="auto" w:fill="auto"/>
          </w:tcPr>
          <w:p w14:paraId="61EE8329" w14:textId="77777777" w:rsidR="00B33542" w:rsidRPr="005071A1" w:rsidRDefault="00B33542" w:rsidP="009B7AF5">
            <w:pPr>
              <w:pStyle w:val="Tabletext"/>
            </w:pPr>
            <w:r w:rsidRPr="005071A1">
              <w:t>0.08</w:t>
            </w:r>
          </w:p>
        </w:tc>
      </w:tr>
      <w:tr w:rsidR="00B33542" w:rsidRPr="005071A1" w14:paraId="73EBBC18" w14:textId="77777777" w:rsidTr="00640BB6">
        <w:tc>
          <w:tcPr>
            <w:tcW w:w="1701" w:type="dxa"/>
            <w:tcBorders>
              <w:top w:val="single" w:sz="4" w:space="0" w:color="auto"/>
            </w:tcBorders>
            <w:shd w:val="clear" w:color="auto" w:fill="auto"/>
          </w:tcPr>
          <w:p w14:paraId="7C688BD3" w14:textId="77777777" w:rsidR="00B33542" w:rsidRPr="005071A1" w:rsidRDefault="00B33542" w:rsidP="009B7AF5">
            <w:pPr>
              <w:pStyle w:val="Tabletext"/>
            </w:pPr>
            <w:r w:rsidRPr="005071A1">
              <w:t>28</w:t>
            </w:r>
          </w:p>
        </w:tc>
        <w:tc>
          <w:tcPr>
            <w:tcW w:w="1701" w:type="dxa"/>
            <w:tcBorders>
              <w:top w:val="single" w:sz="4" w:space="0" w:color="auto"/>
            </w:tcBorders>
            <w:shd w:val="clear" w:color="auto" w:fill="auto"/>
          </w:tcPr>
          <w:p w14:paraId="51C9214D" w14:textId="77777777" w:rsidR="00B33542" w:rsidRPr="005071A1" w:rsidRDefault="00B33542" w:rsidP="009B7AF5">
            <w:pPr>
              <w:pStyle w:val="Tabletext"/>
            </w:pPr>
            <w:r w:rsidRPr="005071A1">
              <w:t>0.12</w:t>
            </w:r>
          </w:p>
        </w:tc>
        <w:tc>
          <w:tcPr>
            <w:tcW w:w="1985" w:type="dxa"/>
            <w:tcBorders>
              <w:top w:val="single" w:sz="4" w:space="0" w:color="auto"/>
            </w:tcBorders>
            <w:shd w:val="clear" w:color="auto" w:fill="auto"/>
          </w:tcPr>
          <w:p w14:paraId="2C0F665C" w14:textId="77777777" w:rsidR="00B33542" w:rsidRPr="005071A1" w:rsidRDefault="00B33542" w:rsidP="009B7AF5">
            <w:pPr>
              <w:pStyle w:val="Tabletext"/>
            </w:pPr>
            <w:r w:rsidRPr="005071A1">
              <w:t>0.04</w:t>
            </w:r>
          </w:p>
        </w:tc>
        <w:tc>
          <w:tcPr>
            <w:tcW w:w="1660" w:type="dxa"/>
            <w:tcBorders>
              <w:top w:val="single" w:sz="4" w:space="0" w:color="auto"/>
            </w:tcBorders>
            <w:shd w:val="clear" w:color="auto" w:fill="auto"/>
          </w:tcPr>
          <w:p w14:paraId="65D693AA" w14:textId="77777777" w:rsidR="00B33542" w:rsidRPr="005071A1" w:rsidRDefault="00B33542" w:rsidP="009B7AF5">
            <w:pPr>
              <w:pStyle w:val="Tabletext"/>
            </w:pPr>
            <w:r w:rsidRPr="005071A1">
              <w:t>0.08</w:t>
            </w:r>
          </w:p>
        </w:tc>
      </w:tr>
      <w:tr w:rsidR="00B33542" w:rsidRPr="005071A1" w14:paraId="2733EB43" w14:textId="77777777" w:rsidTr="009B7AF5">
        <w:tc>
          <w:tcPr>
            <w:tcW w:w="1701" w:type="dxa"/>
            <w:shd w:val="clear" w:color="auto" w:fill="auto"/>
          </w:tcPr>
          <w:p w14:paraId="359BCEAB" w14:textId="77777777" w:rsidR="00B33542" w:rsidRPr="005071A1" w:rsidRDefault="00B33542" w:rsidP="009B7AF5">
            <w:pPr>
              <w:pStyle w:val="Tabletext"/>
            </w:pPr>
            <w:r w:rsidRPr="005071A1">
              <w:t>29</w:t>
            </w:r>
          </w:p>
        </w:tc>
        <w:tc>
          <w:tcPr>
            <w:tcW w:w="1701" w:type="dxa"/>
            <w:shd w:val="clear" w:color="auto" w:fill="auto"/>
          </w:tcPr>
          <w:p w14:paraId="355449F8" w14:textId="77777777" w:rsidR="00B33542" w:rsidRPr="005071A1" w:rsidRDefault="00B33542" w:rsidP="009B7AF5">
            <w:pPr>
              <w:pStyle w:val="Tabletext"/>
            </w:pPr>
            <w:r w:rsidRPr="005071A1">
              <w:t>0.14</w:t>
            </w:r>
          </w:p>
        </w:tc>
        <w:tc>
          <w:tcPr>
            <w:tcW w:w="1985" w:type="dxa"/>
            <w:shd w:val="clear" w:color="auto" w:fill="auto"/>
          </w:tcPr>
          <w:p w14:paraId="7DA66C62" w14:textId="77777777" w:rsidR="00B33542" w:rsidRPr="005071A1" w:rsidRDefault="00B33542" w:rsidP="009B7AF5">
            <w:pPr>
              <w:pStyle w:val="Tabletext"/>
            </w:pPr>
            <w:r w:rsidRPr="005071A1">
              <w:t>0.04</w:t>
            </w:r>
          </w:p>
        </w:tc>
        <w:tc>
          <w:tcPr>
            <w:tcW w:w="1660" w:type="dxa"/>
            <w:shd w:val="clear" w:color="auto" w:fill="auto"/>
          </w:tcPr>
          <w:p w14:paraId="7498DBC4" w14:textId="77777777" w:rsidR="00B33542" w:rsidRPr="005071A1" w:rsidRDefault="00B33542" w:rsidP="009B7AF5">
            <w:pPr>
              <w:pStyle w:val="Tabletext"/>
            </w:pPr>
            <w:r w:rsidRPr="005071A1">
              <w:t>0.08</w:t>
            </w:r>
          </w:p>
        </w:tc>
      </w:tr>
      <w:tr w:rsidR="00B33542" w:rsidRPr="005071A1" w14:paraId="640DE8BB" w14:textId="77777777" w:rsidTr="009B7AF5">
        <w:tc>
          <w:tcPr>
            <w:tcW w:w="1701" w:type="dxa"/>
            <w:shd w:val="clear" w:color="auto" w:fill="auto"/>
          </w:tcPr>
          <w:p w14:paraId="0DD522F7" w14:textId="77777777" w:rsidR="00B33542" w:rsidRPr="005071A1" w:rsidRDefault="00B33542" w:rsidP="009B7AF5">
            <w:pPr>
              <w:pStyle w:val="Tabletext"/>
            </w:pPr>
            <w:r w:rsidRPr="005071A1">
              <w:t>30</w:t>
            </w:r>
          </w:p>
        </w:tc>
        <w:tc>
          <w:tcPr>
            <w:tcW w:w="1701" w:type="dxa"/>
            <w:shd w:val="clear" w:color="auto" w:fill="auto"/>
          </w:tcPr>
          <w:p w14:paraId="44AB04FE" w14:textId="77777777" w:rsidR="00B33542" w:rsidRPr="005071A1" w:rsidRDefault="00B33542" w:rsidP="009B7AF5">
            <w:pPr>
              <w:pStyle w:val="Tabletext"/>
            </w:pPr>
            <w:r w:rsidRPr="005071A1">
              <w:t>0.14</w:t>
            </w:r>
          </w:p>
        </w:tc>
        <w:tc>
          <w:tcPr>
            <w:tcW w:w="1985" w:type="dxa"/>
            <w:shd w:val="clear" w:color="auto" w:fill="auto"/>
          </w:tcPr>
          <w:p w14:paraId="6FEB6501" w14:textId="77777777" w:rsidR="00B33542" w:rsidRPr="005071A1" w:rsidRDefault="00B33542" w:rsidP="009B7AF5">
            <w:pPr>
              <w:pStyle w:val="Tabletext"/>
            </w:pPr>
            <w:r w:rsidRPr="005071A1">
              <w:t>0.04</w:t>
            </w:r>
          </w:p>
        </w:tc>
        <w:tc>
          <w:tcPr>
            <w:tcW w:w="1660" w:type="dxa"/>
            <w:shd w:val="clear" w:color="auto" w:fill="auto"/>
          </w:tcPr>
          <w:p w14:paraId="348EC44F" w14:textId="77777777" w:rsidR="00B33542" w:rsidRPr="005071A1" w:rsidRDefault="00B33542" w:rsidP="009B7AF5">
            <w:pPr>
              <w:pStyle w:val="Tabletext"/>
            </w:pPr>
            <w:r w:rsidRPr="005071A1">
              <w:t>0.08</w:t>
            </w:r>
          </w:p>
        </w:tc>
      </w:tr>
      <w:tr w:rsidR="00B33542" w:rsidRPr="005071A1" w14:paraId="68388385" w14:textId="77777777" w:rsidTr="009B7AF5">
        <w:tc>
          <w:tcPr>
            <w:tcW w:w="1701" w:type="dxa"/>
            <w:shd w:val="clear" w:color="auto" w:fill="auto"/>
          </w:tcPr>
          <w:p w14:paraId="04A64C91" w14:textId="77777777" w:rsidR="00B33542" w:rsidRPr="005071A1" w:rsidRDefault="00B33542" w:rsidP="009B7AF5">
            <w:pPr>
              <w:pStyle w:val="Tabletext"/>
            </w:pPr>
            <w:r w:rsidRPr="005071A1">
              <w:t>31</w:t>
            </w:r>
          </w:p>
        </w:tc>
        <w:tc>
          <w:tcPr>
            <w:tcW w:w="1701" w:type="dxa"/>
            <w:shd w:val="clear" w:color="auto" w:fill="auto"/>
          </w:tcPr>
          <w:p w14:paraId="7AD40919" w14:textId="77777777" w:rsidR="00B33542" w:rsidRPr="005071A1" w:rsidRDefault="00B33542" w:rsidP="009B7AF5">
            <w:pPr>
              <w:pStyle w:val="Tabletext"/>
            </w:pPr>
            <w:r w:rsidRPr="005071A1">
              <w:t>0.14</w:t>
            </w:r>
          </w:p>
        </w:tc>
        <w:tc>
          <w:tcPr>
            <w:tcW w:w="1985" w:type="dxa"/>
            <w:shd w:val="clear" w:color="auto" w:fill="auto"/>
          </w:tcPr>
          <w:p w14:paraId="336E0DA7" w14:textId="77777777" w:rsidR="00B33542" w:rsidRPr="005071A1" w:rsidRDefault="00B33542" w:rsidP="009B7AF5">
            <w:pPr>
              <w:pStyle w:val="Tabletext"/>
            </w:pPr>
            <w:r w:rsidRPr="005071A1">
              <w:t>0.04</w:t>
            </w:r>
          </w:p>
        </w:tc>
        <w:tc>
          <w:tcPr>
            <w:tcW w:w="1660" w:type="dxa"/>
            <w:shd w:val="clear" w:color="auto" w:fill="auto"/>
          </w:tcPr>
          <w:p w14:paraId="200E8607" w14:textId="77777777" w:rsidR="00B33542" w:rsidRPr="005071A1" w:rsidRDefault="00B33542" w:rsidP="009B7AF5">
            <w:pPr>
              <w:pStyle w:val="Tabletext"/>
            </w:pPr>
            <w:r w:rsidRPr="005071A1">
              <w:t>0.08</w:t>
            </w:r>
          </w:p>
        </w:tc>
      </w:tr>
      <w:tr w:rsidR="00B33542" w:rsidRPr="005071A1" w14:paraId="01707DC9" w14:textId="77777777" w:rsidTr="009B7AF5">
        <w:tc>
          <w:tcPr>
            <w:tcW w:w="1701" w:type="dxa"/>
            <w:shd w:val="clear" w:color="auto" w:fill="auto"/>
          </w:tcPr>
          <w:p w14:paraId="5B1A825F" w14:textId="77777777" w:rsidR="00B33542" w:rsidRPr="005071A1" w:rsidRDefault="00B33542" w:rsidP="009B7AF5">
            <w:pPr>
              <w:pStyle w:val="Tabletext"/>
            </w:pPr>
            <w:r w:rsidRPr="005071A1">
              <w:t>32</w:t>
            </w:r>
          </w:p>
        </w:tc>
        <w:tc>
          <w:tcPr>
            <w:tcW w:w="1701" w:type="dxa"/>
            <w:shd w:val="clear" w:color="auto" w:fill="auto"/>
          </w:tcPr>
          <w:p w14:paraId="2308566C" w14:textId="77777777" w:rsidR="00B33542" w:rsidRPr="005071A1" w:rsidRDefault="00B33542" w:rsidP="009B7AF5">
            <w:pPr>
              <w:pStyle w:val="Tabletext"/>
            </w:pPr>
            <w:r w:rsidRPr="005071A1">
              <w:t>0.16</w:t>
            </w:r>
          </w:p>
        </w:tc>
        <w:tc>
          <w:tcPr>
            <w:tcW w:w="1985" w:type="dxa"/>
            <w:shd w:val="clear" w:color="auto" w:fill="auto"/>
          </w:tcPr>
          <w:p w14:paraId="11E833E5" w14:textId="77777777" w:rsidR="00B33542" w:rsidRPr="005071A1" w:rsidRDefault="00B33542" w:rsidP="009B7AF5">
            <w:pPr>
              <w:pStyle w:val="Tabletext"/>
            </w:pPr>
            <w:r w:rsidRPr="005071A1">
              <w:t>0.05</w:t>
            </w:r>
          </w:p>
        </w:tc>
        <w:tc>
          <w:tcPr>
            <w:tcW w:w="1660" w:type="dxa"/>
            <w:shd w:val="clear" w:color="auto" w:fill="auto"/>
          </w:tcPr>
          <w:p w14:paraId="141B96AF" w14:textId="77777777" w:rsidR="00B33542" w:rsidRPr="005071A1" w:rsidRDefault="00B33542" w:rsidP="009B7AF5">
            <w:pPr>
              <w:pStyle w:val="Tabletext"/>
            </w:pPr>
            <w:r w:rsidRPr="005071A1">
              <w:t>0.10</w:t>
            </w:r>
          </w:p>
        </w:tc>
      </w:tr>
      <w:tr w:rsidR="00B33542" w:rsidRPr="005071A1" w14:paraId="6CD53BEB" w14:textId="77777777" w:rsidTr="009B7AF5">
        <w:tc>
          <w:tcPr>
            <w:tcW w:w="1701" w:type="dxa"/>
            <w:shd w:val="clear" w:color="auto" w:fill="auto"/>
          </w:tcPr>
          <w:p w14:paraId="53964310" w14:textId="77777777" w:rsidR="00B33542" w:rsidRPr="005071A1" w:rsidRDefault="00B33542" w:rsidP="009B7AF5">
            <w:pPr>
              <w:pStyle w:val="Tabletext"/>
            </w:pPr>
            <w:r w:rsidRPr="005071A1">
              <w:t>33</w:t>
            </w:r>
          </w:p>
        </w:tc>
        <w:tc>
          <w:tcPr>
            <w:tcW w:w="1701" w:type="dxa"/>
            <w:shd w:val="clear" w:color="auto" w:fill="auto"/>
          </w:tcPr>
          <w:p w14:paraId="46979BBF" w14:textId="77777777" w:rsidR="00B33542" w:rsidRPr="005071A1" w:rsidRDefault="00B33542" w:rsidP="009B7AF5">
            <w:pPr>
              <w:pStyle w:val="Tabletext"/>
            </w:pPr>
            <w:r w:rsidRPr="005071A1">
              <w:t>0.16</w:t>
            </w:r>
          </w:p>
        </w:tc>
        <w:tc>
          <w:tcPr>
            <w:tcW w:w="1985" w:type="dxa"/>
            <w:shd w:val="clear" w:color="auto" w:fill="auto"/>
          </w:tcPr>
          <w:p w14:paraId="413ED903" w14:textId="77777777" w:rsidR="00B33542" w:rsidRPr="005071A1" w:rsidRDefault="00B33542" w:rsidP="009B7AF5">
            <w:pPr>
              <w:pStyle w:val="Tabletext"/>
            </w:pPr>
            <w:r w:rsidRPr="005071A1">
              <w:t>0.05</w:t>
            </w:r>
          </w:p>
        </w:tc>
        <w:tc>
          <w:tcPr>
            <w:tcW w:w="1660" w:type="dxa"/>
            <w:shd w:val="clear" w:color="auto" w:fill="auto"/>
          </w:tcPr>
          <w:p w14:paraId="23180DC6" w14:textId="77777777" w:rsidR="00B33542" w:rsidRPr="005071A1" w:rsidRDefault="00B33542" w:rsidP="009B7AF5">
            <w:pPr>
              <w:pStyle w:val="Tabletext"/>
            </w:pPr>
            <w:r w:rsidRPr="005071A1">
              <w:t>0.10</w:t>
            </w:r>
          </w:p>
        </w:tc>
      </w:tr>
      <w:tr w:rsidR="00B33542" w:rsidRPr="005071A1" w14:paraId="2897CEF1" w14:textId="77777777" w:rsidTr="009B7AF5">
        <w:tc>
          <w:tcPr>
            <w:tcW w:w="1701" w:type="dxa"/>
            <w:shd w:val="clear" w:color="auto" w:fill="auto"/>
          </w:tcPr>
          <w:p w14:paraId="4B68A227" w14:textId="77777777" w:rsidR="00B33542" w:rsidRPr="005071A1" w:rsidRDefault="00B33542" w:rsidP="009B7AF5">
            <w:pPr>
              <w:pStyle w:val="Tabletext"/>
            </w:pPr>
            <w:r w:rsidRPr="005071A1">
              <w:t>34</w:t>
            </w:r>
          </w:p>
        </w:tc>
        <w:tc>
          <w:tcPr>
            <w:tcW w:w="1701" w:type="dxa"/>
            <w:shd w:val="clear" w:color="auto" w:fill="auto"/>
          </w:tcPr>
          <w:p w14:paraId="08218EB5" w14:textId="77777777" w:rsidR="00B33542" w:rsidRPr="005071A1" w:rsidRDefault="00B33542" w:rsidP="009B7AF5">
            <w:pPr>
              <w:pStyle w:val="Tabletext"/>
            </w:pPr>
            <w:r w:rsidRPr="005071A1">
              <w:t>0.16</w:t>
            </w:r>
          </w:p>
        </w:tc>
        <w:tc>
          <w:tcPr>
            <w:tcW w:w="1985" w:type="dxa"/>
            <w:shd w:val="clear" w:color="auto" w:fill="auto"/>
          </w:tcPr>
          <w:p w14:paraId="0A6C75BF" w14:textId="77777777" w:rsidR="00B33542" w:rsidRPr="005071A1" w:rsidRDefault="00B33542" w:rsidP="009B7AF5">
            <w:pPr>
              <w:pStyle w:val="Tabletext"/>
            </w:pPr>
            <w:r w:rsidRPr="005071A1">
              <w:t>0.05</w:t>
            </w:r>
          </w:p>
        </w:tc>
        <w:tc>
          <w:tcPr>
            <w:tcW w:w="1660" w:type="dxa"/>
            <w:shd w:val="clear" w:color="auto" w:fill="auto"/>
          </w:tcPr>
          <w:p w14:paraId="7DEDD881" w14:textId="77777777" w:rsidR="00B33542" w:rsidRPr="005071A1" w:rsidRDefault="00B33542" w:rsidP="009B7AF5">
            <w:pPr>
              <w:pStyle w:val="Tabletext"/>
            </w:pPr>
            <w:r w:rsidRPr="005071A1">
              <w:t>0.10</w:t>
            </w:r>
          </w:p>
        </w:tc>
      </w:tr>
      <w:tr w:rsidR="00B33542" w:rsidRPr="005071A1" w14:paraId="3107D268" w14:textId="77777777" w:rsidTr="009B7AF5">
        <w:tc>
          <w:tcPr>
            <w:tcW w:w="1701" w:type="dxa"/>
            <w:shd w:val="clear" w:color="auto" w:fill="auto"/>
          </w:tcPr>
          <w:p w14:paraId="62EAB39D" w14:textId="77777777" w:rsidR="00B33542" w:rsidRPr="005071A1" w:rsidRDefault="00B33542" w:rsidP="009B7AF5">
            <w:pPr>
              <w:pStyle w:val="Tabletext"/>
            </w:pPr>
            <w:r w:rsidRPr="005071A1">
              <w:t>35</w:t>
            </w:r>
          </w:p>
        </w:tc>
        <w:tc>
          <w:tcPr>
            <w:tcW w:w="1701" w:type="dxa"/>
            <w:shd w:val="clear" w:color="auto" w:fill="auto"/>
          </w:tcPr>
          <w:p w14:paraId="60F9737D" w14:textId="77777777" w:rsidR="00B33542" w:rsidRPr="005071A1" w:rsidRDefault="00B33542" w:rsidP="009B7AF5">
            <w:pPr>
              <w:pStyle w:val="Tabletext"/>
            </w:pPr>
            <w:r w:rsidRPr="005071A1">
              <w:t>0.16</w:t>
            </w:r>
          </w:p>
        </w:tc>
        <w:tc>
          <w:tcPr>
            <w:tcW w:w="1985" w:type="dxa"/>
            <w:shd w:val="clear" w:color="auto" w:fill="auto"/>
          </w:tcPr>
          <w:p w14:paraId="5CD05A00" w14:textId="77777777" w:rsidR="00B33542" w:rsidRPr="005071A1" w:rsidRDefault="00B33542" w:rsidP="009B7AF5">
            <w:pPr>
              <w:pStyle w:val="Tabletext"/>
            </w:pPr>
            <w:r w:rsidRPr="005071A1">
              <w:t>0.05</w:t>
            </w:r>
          </w:p>
        </w:tc>
        <w:tc>
          <w:tcPr>
            <w:tcW w:w="1660" w:type="dxa"/>
            <w:shd w:val="clear" w:color="auto" w:fill="auto"/>
          </w:tcPr>
          <w:p w14:paraId="401998CD" w14:textId="77777777" w:rsidR="00B33542" w:rsidRPr="005071A1" w:rsidRDefault="00B33542" w:rsidP="009B7AF5">
            <w:pPr>
              <w:pStyle w:val="Tabletext"/>
            </w:pPr>
            <w:r w:rsidRPr="005071A1">
              <w:t>0.10</w:t>
            </w:r>
          </w:p>
        </w:tc>
      </w:tr>
      <w:tr w:rsidR="00B33542" w:rsidRPr="005071A1" w14:paraId="57A93AF6" w14:textId="77777777" w:rsidTr="009B7AF5">
        <w:tc>
          <w:tcPr>
            <w:tcW w:w="1701" w:type="dxa"/>
            <w:shd w:val="clear" w:color="auto" w:fill="auto"/>
          </w:tcPr>
          <w:p w14:paraId="141FA2C5" w14:textId="77777777" w:rsidR="00B33542" w:rsidRPr="005071A1" w:rsidRDefault="00B33542" w:rsidP="009B7AF5">
            <w:pPr>
              <w:pStyle w:val="Tabletext"/>
            </w:pPr>
            <w:r w:rsidRPr="005071A1">
              <w:t>36</w:t>
            </w:r>
          </w:p>
        </w:tc>
        <w:tc>
          <w:tcPr>
            <w:tcW w:w="1701" w:type="dxa"/>
            <w:shd w:val="clear" w:color="auto" w:fill="auto"/>
          </w:tcPr>
          <w:p w14:paraId="1CB421E1" w14:textId="77777777" w:rsidR="00B33542" w:rsidRPr="005071A1" w:rsidRDefault="00B33542" w:rsidP="009B7AF5">
            <w:pPr>
              <w:pStyle w:val="Tabletext"/>
            </w:pPr>
            <w:r w:rsidRPr="005071A1">
              <w:t>0.16</w:t>
            </w:r>
          </w:p>
        </w:tc>
        <w:tc>
          <w:tcPr>
            <w:tcW w:w="1985" w:type="dxa"/>
            <w:shd w:val="clear" w:color="auto" w:fill="auto"/>
          </w:tcPr>
          <w:p w14:paraId="45848510" w14:textId="77777777" w:rsidR="00B33542" w:rsidRPr="005071A1" w:rsidRDefault="00B33542" w:rsidP="009B7AF5">
            <w:pPr>
              <w:pStyle w:val="Tabletext"/>
            </w:pPr>
            <w:r w:rsidRPr="005071A1">
              <w:t>0.05</w:t>
            </w:r>
          </w:p>
        </w:tc>
        <w:tc>
          <w:tcPr>
            <w:tcW w:w="1660" w:type="dxa"/>
            <w:shd w:val="clear" w:color="auto" w:fill="auto"/>
          </w:tcPr>
          <w:p w14:paraId="07F185DE" w14:textId="77777777" w:rsidR="00B33542" w:rsidRPr="005071A1" w:rsidRDefault="00B33542" w:rsidP="009B7AF5">
            <w:pPr>
              <w:pStyle w:val="Tabletext"/>
            </w:pPr>
            <w:r w:rsidRPr="005071A1">
              <w:t>0.10</w:t>
            </w:r>
          </w:p>
        </w:tc>
      </w:tr>
      <w:tr w:rsidR="00B33542" w:rsidRPr="005071A1" w14:paraId="3708C250" w14:textId="77777777" w:rsidTr="009B7AF5">
        <w:tc>
          <w:tcPr>
            <w:tcW w:w="1701" w:type="dxa"/>
            <w:shd w:val="clear" w:color="auto" w:fill="auto"/>
          </w:tcPr>
          <w:p w14:paraId="1247DABE" w14:textId="77777777" w:rsidR="00B33542" w:rsidRPr="005071A1" w:rsidRDefault="00B33542" w:rsidP="009B7AF5">
            <w:pPr>
              <w:pStyle w:val="Tabletext"/>
            </w:pPr>
            <w:r w:rsidRPr="005071A1">
              <w:t>37</w:t>
            </w:r>
          </w:p>
        </w:tc>
        <w:tc>
          <w:tcPr>
            <w:tcW w:w="1701" w:type="dxa"/>
            <w:shd w:val="clear" w:color="auto" w:fill="auto"/>
          </w:tcPr>
          <w:p w14:paraId="699F69A9" w14:textId="77777777" w:rsidR="00B33542" w:rsidRPr="005071A1" w:rsidRDefault="00B33542" w:rsidP="009B7AF5">
            <w:pPr>
              <w:pStyle w:val="Tabletext"/>
            </w:pPr>
            <w:r w:rsidRPr="005071A1">
              <w:t>0.16</w:t>
            </w:r>
          </w:p>
        </w:tc>
        <w:tc>
          <w:tcPr>
            <w:tcW w:w="1985" w:type="dxa"/>
            <w:shd w:val="clear" w:color="auto" w:fill="auto"/>
          </w:tcPr>
          <w:p w14:paraId="23A572E8" w14:textId="77777777" w:rsidR="00B33542" w:rsidRPr="005071A1" w:rsidRDefault="00B33542" w:rsidP="009B7AF5">
            <w:pPr>
              <w:pStyle w:val="Tabletext"/>
            </w:pPr>
            <w:r w:rsidRPr="005071A1">
              <w:t>0.05</w:t>
            </w:r>
          </w:p>
        </w:tc>
        <w:tc>
          <w:tcPr>
            <w:tcW w:w="1660" w:type="dxa"/>
            <w:shd w:val="clear" w:color="auto" w:fill="auto"/>
          </w:tcPr>
          <w:p w14:paraId="1D35E116" w14:textId="77777777" w:rsidR="00B33542" w:rsidRPr="005071A1" w:rsidRDefault="00B33542" w:rsidP="009B7AF5">
            <w:pPr>
              <w:pStyle w:val="Tabletext"/>
            </w:pPr>
            <w:r w:rsidRPr="005071A1">
              <w:t>0.10</w:t>
            </w:r>
          </w:p>
        </w:tc>
      </w:tr>
      <w:tr w:rsidR="00B33542" w:rsidRPr="005071A1" w14:paraId="5B92F2CD" w14:textId="77777777" w:rsidTr="009B7AF5">
        <w:tc>
          <w:tcPr>
            <w:tcW w:w="1701" w:type="dxa"/>
            <w:shd w:val="clear" w:color="auto" w:fill="auto"/>
          </w:tcPr>
          <w:p w14:paraId="66134F2D" w14:textId="77777777" w:rsidR="00B33542" w:rsidRPr="005071A1" w:rsidRDefault="00B33542" w:rsidP="009B7AF5">
            <w:pPr>
              <w:pStyle w:val="Tabletext"/>
            </w:pPr>
            <w:r w:rsidRPr="005071A1">
              <w:t>38</w:t>
            </w:r>
          </w:p>
        </w:tc>
        <w:tc>
          <w:tcPr>
            <w:tcW w:w="1701" w:type="dxa"/>
            <w:shd w:val="clear" w:color="auto" w:fill="auto"/>
          </w:tcPr>
          <w:p w14:paraId="0DD16291" w14:textId="77777777" w:rsidR="00B33542" w:rsidRPr="005071A1" w:rsidRDefault="00B33542" w:rsidP="009B7AF5">
            <w:pPr>
              <w:pStyle w:val="Tabletext"/>
            </w:pPr>
            <w:r w:rsidRPr="005071A1">
              <w:t>0.16</w:t>
            </w:r>
          </w:p>
        </w:tc>
        <w:tc>
          <w:tcPr>
            <w:tcW w:w="1985" w:type="dxa"/>
            <w:shd w:val="clear" w:color="auto" w:fill="auto"/>
          </w:tcPr>
          <w:p w14:paraId="34BF19C3" w14:textId="77777777" w:rsidR="00B33542" w:rsidRPr="005071A1" w:rsidRDefault="00B33542" w:rsidP="009B7AF5">
            <w:pPr>
              <w:pStyle w:val="Tabletext"/>
            </w:pPr>
            <w:r w:rsidRPr="005071A1">
              <w:t>0.05</w:t>
            </w:r>
          </w:p>
        </w:tc>
        <w:tc>
          <w:tcPr>
            <w:tcW w:w="1660" w:type="dxa"/>
            <w:shd w:val="clear" w:color="auto" w:fill="auto"/>
          </w:tcPr>
          <w:p w14:paraId="224C1373" w14:textId="77777777" w:rsidR="00B33542" w:rsidRPr="005071A1" w:rsidRDefault="00B33542" w:rsidP="009B7AF5">
            <w:pPr>
              <w:pStyle w:val="Tabletext"/>
            </w:pPr>
            <w:r w:rsidRPr="005071A1">
              <w:t>0.10</w:t>
            </w:r>
          </w:p>
        </w:tc>
      </w:tr>
      <w:tr w:rsidR="00B33542" w:rsidRPr="005071A1" w14:paraId="5B039E88" w14:textId="77777777" w:rsidTr="009B7AF5">
        <w:tc>
          <w:tcPr>
            <w:tcW w:w="1701" w:type="dxa"/>
            <w:shd w:val="clear" w:color="auto" w:fill="auto"/>
          </w:tcPr>
          <w:p w14:paraId="2F797C03" w14:textId="77777777" w:rsidR="00B33542" w:rsidRPr="005071A1" w:rsidRDefault="00B33542" w:rsidP="009B7AF5">
            <w:pPr>
              <w:pStyle w:val="Tabletext"/>
            </w:pPr>
            <w:r w:rsidRPr="005071A1">
              <w:t>39</w:t>
            </w:r>
          </w:p>
        </w:tc>
        <w:tc>
          <w:tcPr>
            <w:tcW w:w="1701" w:type="dxa"/>
            <w:shd w:val="clear" w:color="auto" w:fill="auto"/>
          </w:tcPr>
          <w:p w14:paraId="62975B40" w14:textId="77777777" w:rsidR="00B33542" w:rsidRPr="005071A1" w:rsidRDefault="00B33542" w:rsidP="009B7AF5">
            <w:pPr>
              <w:pStyle w:val="Tabletext"/>
            </w:pPr>
            <w:r w:rsidRPr="005071A1">
              <w:t>0.16</w:t>
            </w:r>
          </w:p>
        </w:tc>
        <w:tc>
          <w:tcPr>
            <w:tcW w:w="1985" w:type="dxa"/>
            <w:shd w:val="clear" w:color="auto" w:fill="auto"/>
          </w:tcPr>
          <w:p w14:paraId="6394901F" w14:textId="77777777" w:rsidR="00B33542" w:rsidRPr="005071A1" w:rsidRDefault="00B33542" w:rsidP="009B7AF5">
            <w:pPr>
              <w:pStyle w:val="Tabletext"/>
            </w:pPr>
            <w:r w:rsidRPr="005071A1">
              <w:t>0.05</w:t>
            </w:r>
          </w:p>
        </w:tc>
        <w:tc>
          <w:tcPr>
            <w:tcW w:w="1660" w:type="dxa"/>
            <w:shd w:val="clear" w:color="auto" w:fill="auto"/>
          </w:tcPr>
          <w:p w14:paraId="5569E85A" w14:textId="77777777" w:rsidR="00B33542" w:rsidRPr="005071A1" w:rsidRDefault="00B33542" w:rsidP="009B7AF5">
            <w:pPr>
              <w:pStyle w:val="Tabletext"/>
            </w:pPr>
            <w:r w:rsidRPr="005071A1">
              <w:t>0.10</w:t>
            </w:r>
          </w:p>
        </w:tc>
      </w:tr>
      <w:tr w:rsidR="00B33542" w:rsidRPr="005071A1" w14:paraId="524055D6" w14:textId="77777777" w:rsidTr="009B7AF5">
        <w:tc>
          <w:tcPr>
            <w:tcW w:w="1701" w:type="dxa"/>
            <w:shd w:val="clear" w:color="auto" w:fill="auto"/>
          </w:tcPr>
          <w:p w14:paraId="34E5BF71" w14:textId="77777777" w:rsidR="00B33542" w:rsidRPr="005071A1" w:rsidRDefault="00B33542" w:rsidP="009B7AF5">
            <w:pPr>
              <w:pStyle w:val="Tabletext"/>
            </w:pPr>
            <w:r w:rsidRPr="005071A1">
              <w:lastRenderedPageBreak/>
              <w:t>40</w:t>
            </w:r>
          </w:p>
        </w:tc>
        <w:tc>
          <w:tcPr>
            <w:tcW w:w="1701" w:type="dxa"/>
            <w:shd w:val="clear" w:color="auto" w:fill="auto"/>
          </w:tcPr>
          <w:p w14:paraId="6CEE2B70" w14:textId="77777777" w:rsidR="00B33542" w:rsidRPr="005071A1" w:rsidRDefault="00B33542" w:rsidP="009B7AF5">
            <w:pPr>
              <w:pStyle w:val="Tabletext"/>
            </w:pPr>
            <w:r w:rsidRPr="005071A1">
              <w:t>0.16</w:t>
            </w:r>
          </w:p>
        </w:tc>
        <w:tc>
          <w:tcPr>
            <w:tcW w:w="1985" w:type="dxa"/>
            <w:shd w:val="clear" w:color="auto" w:fill="auto"/>
          </w:tcPr>
          <w:p w14:paraId="08055C48" w14:textId="77777777" w:rsidR="00B33542" w:rsidRPr="005071A1" w:rsidRDefault="00B33542" w:rsidP="009B7AF5">
            <w:pPr>
              <w:pStyle w:val="Tabletext"/>
            </w:pPr>
            <w:r w:rsidRPr="005071A1">
              <w:t>0.05</w:t>
            </w:r>
          </w:p>
        </w:tc>
        <w:tc>
          <w:tcPr>
            <w:tcW w:w="1660" w:type="dxa"/>
            <w:shd w:val="clear" w:color="auto" w:fill="auto"/>
          </w:tcPr>
          <w:p w14:paraId="50B1DB8B" w14:textId="77777777" w:rsidR="00B33542" w:rsidRPr="005071A1" w:rsidRDefault="00B33542" w:rsidP="009B7AF5">
            <w:pPr>
              <w:pStyle w:val="Tabletext"/>
            </w:pPr>
            <w:r w:rsidRPr="005071A1">
              <w:t>0.10</w:t>
            </w:r>
          </w:p>
        </w:tc>
      </w:tr>
      <w:tr w:rsidR="00B33542" w:rsidRPr="005071A1" w14:paraId="30F35C2E" w14:textId="77777777" w:rsidTr="009B7AF5">
        <w:tc>
          <w:tcPr>
            <w:tcW w:w="1701" w:type="dxa"/>
            <w:shd w:val="clear" w:color="auto" w:fill="auto"/>
          </w:tcPr>
          <w:p w14:paraId="0929D3A1" w14:textId="77777777" w:rsidR="00B33542" w:rsidRPr="005071A1" w:rsidRDefault="00B33542" w:rsidP="009B7AF5">
            <w:pPr>
              <w:pStyle w:val="Tabletext"/>
            </w:pPr>
            <w:r w:rsidRPr="005071A1">
              <w:t>41</w:t>
            </w:r>
          </w:p>
        </w:tc>
        <w:tc>
          <w:tcPr>
            <w:tcW w:w="1701" w:type="dxa"/>
            <w:shd w:val="clear" w:color="auto" w:fill="auto"/>
          </w:tcPr>
          <w:p w14:paraId="24A875A5" w14:textId="77777777" w:rsidR="00B33542" w:rsidRPr="005071A1" w:rsidRDefault="00B33542" w:rsidP="009B7AF5">
            <w:pPr>
              <w:pStyle w:val="Tabletext"/>
            </w:pPr>
            <w:r w:rsidRPr="005071A1">
              <w:t>0.18</w:t>
            </w:r>
          </w:p>
        </w:tc>
        <w:tc>
          <w:tcPr>
            <w:tcW w:w="1985" w:type="dxa"/>
            <w:shd w:val="clear" w:color="auto" w:fill="auto"/>
          </w:tcPr>
          <w:p w14:paraId="6DB61095" w14:textId="77777777" w:rsidR="00B33542" w:rsidRPr="005071A1" w:rsidRDefault="00B33542" w:rsidP="009B7AF5">
            <w:pPr>
              <w:pStyle w:val="Tabletext"/>
            </w:pPr>
            <w:r w:rsidRPr="005071A1">
              <w:t>0.05</w:t>
            </w:r>
          </w:p>
        </w:tc>
        <w:tc>
          <w:tcPr>
            <w:tcW w:w="1660" w:type="dxa"/>
            <w:shd w:val="clear" w:color="auto" w:fill="auto"/>
          </w:tcPr>
          <w:p w14:paraId="7CA71591" w14:textId="77777777" w:rsidR="00B33542" w:rsidRPr="005071A1" w:rsidRDefault="00B33542" w:rsidP="009B7AF5">
            <w:pPr>
              <w:pStyle w:val="Tabletext"/>
            </w:pPr>
            <w:r w:rsidRPr="005071A1">
              <w:t>0.10</w:t>
            </w:r>
          </w:p>
        </w:tc>
      </w:tr>
      <w:tr w:rsidR="00B33542" w:rsidRPr="005071A1" w14:paraId="25BB9B99" w14:textId="77777777" w:rsidTr="009B7AF5">
        <w:tc>
          <w:tcPr>
            <w:tcW w:w="1701" w:type="dxa"/>
            <w:shd w:val="clear" w:color="auto" w:fill="auto"/>
          </w:tcPr>
          <w:p w14:paraId="032417F9" w14:textId="77777777" w:rsidR="00B33542" w:rsidRPr="005071A1" w:rsidRDefault="00B33542" w:rsidP="009B7AF5">
            <w:pPr>
              <w:pStyle w:val="Tabletext"/>
            </w:pPr>
            <w:r w:rsidRPr="005071A1">
              <w:t>42</w:t>
            </w:r>
          </w:p>
        </w:tc>
        <w:tc>
          <w:tcPr>
            <w:tcW w:w="1701" w:type="dxa"/>
            <w:shd w:val="clear" w:color="auto" w:fill="auto"/>
          </w:tcPr>
          <w:p w14:paraId="1AB854F8" w14:textId="77777777" w:rsidR="00B33542" w:rsidRPr="005071A1" w:rsidRDefault="00B33542" w:rsidP="009B7AF5">
            <w:pPr>
              <w:pStyle w:val="Tabletext"/>
            </w:pPr>
            <w:r w:rsidRPr="005071A1">
              <w:t>0.18</w:t>
            </w:r>
          </w:p>
        </w:tc>
        <w:tc>
          <w:tcPr>
            <w:tcW w:w="1985" w:type="dxa"/>
            <w:shd w:val="clear" w:color="auto" w:fill="auto"/>
          </w:tcPr>
          <w:p w14:paraId="2CA079B3" w14:textId="77777777" w:rsidR="00B33542" w:rsidRPr="005071A1" w:rsidRDefault="00B33542" w:rsidP="009B7AF5">
            <w:pPr>
              <w:pStyle w:val="Tabletext"/>
            </w:pPr>
            <w:r w:rsidRPr="005071A1">
              <w:t>0.05</w:t>
            </w:r>
          </w:p>
        </w:tc>
        <w:tc>
          <w:tcPr>
            <w:tcW w:w="1660" w:type="dxa"/>
            <w:shd w:val="clear" w:color="auto" w:fill="auto"/>
          </w:tcPr>
          <w:p w14:paraId="23699D13" w14:textId="77777777" w:rsidR="00B33542" w:rsidRPr="005071A1" w:rsidRDefault="00B33542" w:rsidP="009B7AF5">
            <w:pPr>
              <w:pStyle w:val="Tabletext"/>
            </w:pPr>
            <w:r w:rsidRPr="005071A1">
              <w:t>0.10</w:t>
            </w:r>
          </w:p>
        </w:tc>
      </w:tr>
      <w:tr w:rsidR="00B33542" w:rsidRPr="005071A1" w14:paraId="2FCE2D0B" w14:textId="77777777" w:rsidTr="009B7AF5">
        <w:tc>
          <w:tcPr>
            <w:tcW w:w="1701" w:type="dxa"/>
            <w:shd w:val="clear" w:color="auto" w:fill="auto"/>
          </w:tcPr>
          <w:p w14:paraId="294D112E" w14:textId="77777777" w:rsidR="00B33542" w:rsidRPr="005071A1" w:rsidRDefault="00B33542" w:rsidP="009B7AF5">
            <w:pPr>
              <w:pStyle w:val="Tabletext"/>
            </w:pPr>
            <w:r w:rsidRPr="005071A1">
              <w:t>43</w:t>
            </w:r>
          </w:p>
        </w:tc>
        <w:tc>
          <w:tcPr>
            <w:tcW w:w="1701" w:type="dxa"/>
            <w:shd w:val="clear" w:color="auto" w:fill="auto"/>
          </w:tcPr>
          <w:p w14:paraId="0C98C7F6" w14:textId="77777777" w:rsidR="00B33542" w:rsidRPr="005071A1" w:rsidRDefault="00B33542" w:rsidP="009B7AF5">
            <w:pPr>
              <w:pStyle w:val="Tabletext"/>
            </w:pPr>
            <w:r w:rsidRPr="005071A1">
              <w:t>0.18</w:t>
            </w:r>
          </w:p>
        </w:tc>
        <w:tc>
          <w:tcPr>
            <w:tcW w:w="1985" w:type="dxa"/>
            <w:shd w:val="clear" w:color="auto" w:fill="auto"/>
          </w:tcPr>
          <w:p w14:paraId="5C3BEF53" w14:textId="77777777" w:rsidR="00B33542" w:rsidRPr="005071A1" w:rsidRDefault="00B33542" w:rsidP="009B7AF5">
            <w:pPr>
              <w:pStyle w:val="Tabletext"/>
            </w:pPr>
            <w:r w:rsidRPr="005071A1">
              <w:t>0.06</w:t>
            </w:r>
          </w:p>
        </w:tc>
        <w:tc>
          <w:tcPr>
            <w:tcW w:w="1660" w:type="dxa"/>
            <w:shd w:val="clear" w:color="auto" w:fill="auto"/>
          </w:tcPr>
          <w:p w14:paraId="02591D85" w14:textId="77777777" w:rsidR="00B33542" w:rsidRPr="005071A1" w:rsidRDefault="00B33542" w:rsidP="009B7AF5">
            <w:pPr>
              <w:pStyle w:val="Tabletext"/>
            </w:pPr>
            <w:r w:rsidRPr="005071A1">
              <w:t>0.12</w:t>
            </w:r>
          </w:p>
        </w:tc>
      </w:tr>
      <w:tr w:rsidR="00B33542" w:rsidRPr="005071A1" w14:paraId="1820AC62" w14:textId="77777777" w:rsidTr="00D57394">
        <w:tc>
          <w:tcPr>
            <w:tcW w:w="1701" w:type="dxa"/>
            <w:tcBorders>
              <w:bottom w:val="single" w:sz="4" w:space="0" w:color="auto"/>
            </w:tcBorders>
            <w:shd w:val="clear" w:color="auto" w:fill="auto"/>
          </w:tcPr>
          <w:p w14:paraId="13A2BB8B" w14:textId="77777777" w:rsidR="00B33542" w:rsidRPr="005071A1" w:rsidRDefault="00B33542" w:rsidP="009B7AF5">
            <w:pPr>
              <w:pStyle w:val="Tabletext"/>
            </w:pPr>
            <w:r w:rsidRPr="005071A1">
              <w:t>44</w:t>
            </w:r>
          </w:p>
        </w:tc>
        <w:tc>
          <w:tcPr>
            <w:tcW w:w="1701" w:type="dxa"/>
            <w:tcBorders>
              <w:bottom w:val="single" w:sz="4" w:space="0" w:color="auto"/>
            </w:tcBorders>
            <w:shd w:val="clear" w:color="auto" w:fill="auto"/>
          </w:tcPr>
          <w:p w14:paraId="650184FB" w14:textId="77777777" w:rsidR="00B33542" w:rsidRPr="005071A1" w:rsidRDefault="00B33542" w:rsidP="009B7AF5">
            <w:pPr>
              <w:pStyle w:val="Tabletext"/>
            </w:pPr>
            <w:r w:rsidRPr="005071A1">
              <w:t>0.18</w:t>
            </w:r>
          </w:p>
        </w:tc>
        <w:tc>
          <w:tcPr>
            <w:tcW w:w="1985" w:type="dxa"/>
            <w:tcBorders>
              <w:bottom w:val="single" w:sz="4" w:space="0" w:color="auto"/>
            </w:tcBorders>
            <w:shd w:val="clear" w:color="auto" w:fill="auto"/>
          </w:tcPr>
          <w:p w14:paraId="065787F3" w14:textId="77777777" w:rsidR="00B33542" w:rsidRPr="005071A1" w:rsidRDefault="00B33542" w:rsidP="009B7AF5">
            <w:pPr>
              <w:pStyle w:val="Tabletext"/>
            </w:pPr>
            <w:r w:rsidRPr="005071A1">
              <w:t>0.06</w:t>
            </w:r>
          </w:p>
        </w:tc>
        <w:tc>
          <w:tcPr>
            <w:tcW w:w="1660" w:type="dxa"/>
            <w:tcBorders>
              <w:bottom w:val="single" w:sz="4" w:space="0" w:color="auto"/>
            </w:tcBorders>
            <w:shd w:val="clear" w:color="auto" w:fill="auto"/>
          </w:tcPr>
          <w:p w14:paraId="670724EE" w14:textId="77777777" w:rsidR="00B33542" w:rsidRPr="005071A1" w:rsidRDefault="00B33542" w:rsidP="009B7AF5">
            <w:pPr>
              <w:pStyle w:val="Tabletext"/>
            </w:pPr>
            <w:r w:rsidRPr="005071A1">
              <w:t>0.12</w:t>
            </w:r>
          </w:p>
        </w:tc>
      </w:tr>
      <w:tr w:rsidR="00B33542" w:rsidRPr="005071A1" w14:paraId="7FC58B36" w14:textId="77777777" w:rsidTr="00D57394">
        <w:tc>
          <w:tcPr>
            <w:tcW w:w="1701" w:type="dxa"/>
            <w:tcBorders>
              <w:bottom w:val="single" w:sz="4" w:space="0" w:color="auto"/>
            </w:tcBorders>
            <w:shd w:val="clear" w:color="auto" w:fill="auto"/>
          </w:tcPr>
          <w:p w14:paraId="3881F0FC" w14:textId="77777777" w:rsidR="00B33542" w:rsidRPr="005071A1" w:rsidRDefault="00B33542" w:rsidP="009B7AF5">
            <w:pPr>
              <w:pStyle w:val="Tabletext"/>
            </w:pPr>
            <w:r w:rsidRPr="005071A1">
              <w:t>45</w:t>
            </w:r>
          </w:p>
        </w:tc>
        <w:tc>
          <w:tcPr>
            <w:tcW w:w="1701" w:type="dxa"/>
            <w:tcBorders>
              <w:bottom w:val="single" w:sz="4" w:space="0" w:color="auto"/>
            </w:tcBorders>
            <w:shd w:val="clear" w:color="auto" w:fill="auto"/>
          </w:tcPr>
          <w:p w14:paraId="6C06D507" w14:textId="77777777" w:rsidR="00B33542" w:rsidRPr="005071A1" w:rsidRDefault="00B33542" w:rsidP="009B7AF5">
            <w:pPr>
              <w:pStyle w:val="Tabletext"/>
            </w:pPr>
            <w:r w:rsidRPr="005071A1">
              <w:t>0.20</w:t>
            </w:r>
          </w:p>
        </w:tc>
        <w:tc>
          <w:tcPr>
            <w:tcW w:w="1985" w:type="dxa"/>
            <w:tcBorders>
              <w:bottom w:val="single" w:sz="4" w:space="0" w:color="auto"/>
            </w:tcBorders>
            <w:shd w:val="clear" w:color="auto" w:fill="auto"/>
          </w:tcPr>
          <w:p w14:paraId="5D275372" w14:textId="77777777" w:rsidR="00B33542" w:rsidRPr="005071A1" w:rsidRDefault="00B33542" w:rsidP="009B7AF5">
            <w:pPr>
              <w:pStyle w:val="Tabletext"/>
            </w:pPr>
            <w:r w:rsidRPr="005071A1">
              <w:t>0.07</w:t>
            </w:r>
          </w:p>
        </w:tc>
        <w:tc>
          <w:tcPr>
            <w:tcW w:w="1660" w:type="dxa"/>
            <w:tcBorders>
              <w:bottom w:val="single" w:sz="4" w:space="0" w:color="auto"/>
            </w:tcBorders>
            <w:shd w:val="clear" w:color="auto" w:fill="auto"/>
          </w:tcPr>
          <w:p w14:paraId="48B91774" w14:textId="77777777" w:rsidR="00B33542" w:rsidRPr="005071A1" w:rsidRDefault="00B33542" w:rsidP="009B7AF5">
            <w:pPr>
              <w:pStyle w:val="Tabletext"/>
            </w:pPr>
            <w:r w:rsidRPr="005071A1">
              <w:t>0.14</w:t>
            </w:r>
          </w:p>
        </w:tc>
      </w:tr>
      <w:tr w:rsidR="00B33542" w:rsidRPr="005071A1" w14:paraId="38585745" w14:textId="77777777" w:rsidTr="00D57394">
        <w:tc>
          <w:tcPr>
            <w:tcW w:w="1701" w:type="dxa"/>
            <w:tcBorders>
              <w:top w:val="single" w:sz="4" w:space="0" w:color="auto"/>
            </w:tcBorders>
            <w:shd w:val="clear" w:color="auto" w:fill="auto"/>
          </w:tcPr>
          <w:p w14:paraId="587AA129" w14:textId="77777777" w:rsidR="00B33542" w:rsidRPr="005071A1" w:rsidRDefault="00B33542" w:rsidP="009B7AF5">
            <w:pPr>
              <w:pStyle w:val="Tabletext"/>
            </w:pPr>
            <w:r w:rsidRPr="005071A1">
              <w:t>46</w:t>
            </w:r>
          </w:p>
        </w:tc>
        <w:tc>
          <w:tcPr>
            <w:tcW w:w="1701" w:type="dxa"/>
            <w:tcBorders>
              <w:top w:val="single" w:sz="4" w:space="0" w:color="auto"/>
            </w:tcBorders>
            <w:shd w:val="clear" w:color="auto" w:fill="auto"/>
          </w:tcPr>
          <w:p w14:paraId="73857630" w14:textId="77777777" w:rsidR="00B33542" w:rsidRPr="005071A1" w:rsidRDefault="00B33542" w:rsidP="009B7AF5">
            <w:pPr>
              <w:pStyle w:val="Tabletext"/>
            </w:pPr>
            <w:r w:rsidRPr="005071A1">
              <w:t>0.20</w:t>
            </w:r>
          </w:p>
        </w:tc>
        <w:tc>
          <w:tcPr>
            <w:tcW w:w="1985" w:type="dxa"/>
            <w:tcBorders>
              <w:top w:val="single" w:sz="4" w:space="0" w:color="auto"/>
            </w:tcBorders>
            <w:shd w:val="clear" w:color="auto" w:fill="auto"/>
          </w:tcPr>
          <w:p w14:paraId="6213F689" w14:textId="77777777" w:rsidR="00B33542" w:rsidRPr="005071A1" w:rsidRDefault="00B33542" w:rsidP="009B7AF5">
            <w:pPr>
              <w:pStyle w:val="Tabletext"/>
            </w:pPr>
            <w:r w:rsidRPr="005071A1">
              <w:t>0.07</w:t>
            </w:r>
          </w:p>
        </w:tc>
        <w:tc>
          <w:tcPr>
            <w:tcW w:w="1660" w:type="dxa"/>
            <w:tcBorders>
              <w:top w:val="single" w:sz="4" w:space="0" w:color="auto"/>
            </w:tcBorders>
            <w:shd w:val="clear" w:color="auto" w:fill="auto"/>
          </w:tcPr>
          <w:p w14:paraId="32E5E393" w14:textId="77777777" w:rsidR="00B33542" w:rsidRPr="005071A1" w:rsidRDefault="00B33542" w:rsidP="009B7AF5">
            <w:pPr>
              <w:pStyle w:val="Tabletext"/>
            </w:pPr>
            <w:r w:rsidRPr="005071A1">
              <w:t>0.14</w:t>
            </w:r>
          </w:p>
        </w:tc>
      </w:tr>
      <w:tr w:rsidR="00B33542" w:rsidRPr="005071A1" w14:paraId="72E5C8C4" w14:textId="77777777" w:rsidTr="00640BB6">
        <w:tc>
          <w:tcPr>
            <w:tcW w:w="1701" w:type="dxa"/>
            <w:tcBorders>
              <w:bottom w:val="single" w:sz="4" w:space="0" w:color="auto"/>
            </w:tcBorders>
            <w:shd w:val="clear" w:color="auto" w:fill="auto"/>
          </w:tcPr>
          <w:p w14:paraId="3018B5E1" w14:textId="77777777" w:rsidR="00B33542" w:rsidRPr="005071A1" w:rsidRDefault="00B33542" w:rsidP="009B7AF5">
            <w:pPr>
              <w:pStyle w:val="Tabletext"/>
            </w:pPr>
            <w:r w:rsidRPr="005071A1">
              <w:t>47</w:t>
            </w:r>
          </w:p>
        </w:tc>
        <w:tc>
          <w:tcPr>
            <w:tcW w:w="1701" w:type="dxa"/>
            <w:tcBorders>
              <w:bottom w:val="single" w:sz="4" w:space="0" w:color="auto"/>
            </w:tcBorders>
            <w:shd w:val="clear" w:color="auto" w:fill="auto"/>
          </w:tcPr>
          <w:p w14:paraId="3F063AFA" w14:textId="77777777" w:rsidR="00B33542" w:rsidRPr="005071A1" w:rsidRDefault="00B33542" w:rsidP="009B7AF5">
            <w:pPr>
              <w:pStyle w:val="Tabletext"/>
            </w:pPr>
            <w:r w:rsidRPr="005071A1">
              <w:t>0.20</w:t>
            </w:r>
          </w:p>
        </w:tc>
        <w:tc>
          <w:tcPr>
            <w:tcW w:w="1985" w:type="dxa"/>
            <w:tcBorders>
              <w:bottom w:val="single" w:sz="4" w:space="0" w:color="auto"/>
            </w:tcBorders>
            <w:shd w:val="clear" w:color="auto" w:fill="auto"/>
          </w:tcPr>
          <w:p w14:paraId="6D11522C" w14:textId="77777777" w:rsidR="00B33542" w:rsidRPr="005071A1" w:rsidRDefault="00B33542" w:rsidP="009B7AF5">
            <w:pPr>
              <w:pStyle w:val="Tabletext"/>
            </w:pPr>
            <w:r w:rsidRPr="005071A1">
              <w:t>0.07</w:t>
            </w:r>
          </w:p>
        </w:tc>
        <w:tc>
          <w:tcPr>
            <w:tcW w:w="1660" w:type="dxa"/>
            <w:tcBorders>
              <w:bottom w:val="single" w:sz="4" w:space="0" w:color="auto"/>
            </w:tcBorders>
            <w:shd w:val="clear" w:color="auto" w:fill="auto"/>
          </w:tcPr>
          <w:p w14:paraId="4C8A5B85" w14:textId="77777777" w:rsidR="00B33542" w:rsidRPr="005071A1" w:rsidRDefault="00B33542" w:rsidP="009B7AF5">
            <w:pPr>
              <w:pStyle w:val="Tabletext"/>
            </w:pPr>
            <w:r w:rsidRPr="005071A1">
              <w:t>0.14</w:t>
            </w:r>
          </w:p>
        </w:tc>
      </w:tr>
      <w:tr w:rsidR="00B33542" w:rsidRPr="005071A1" w14:paraId="1382614C" w14:textId="77777777" w:rsidTr="00640BB6">
        <w:tc>
          <w:tcPr>
            <w:tcW w:w="1701" w:type="dxa"/>
            <w:tcBorders>
              <w:bottom w:val="single" w:sz="4" w:space="0" w:color="auto"/>
            </w:tcBorders>
            <w:shd w:val="clear" w:color="auto" w:fill="auto"/>
          </w:tcPr>
          <w:p w14:paraId="74540408" w14:textId="77777777" w:rsidR="00B33542" w:rsidRPr="005071A1" w:rsidRDefault="00B33542" w:rsidP="009B7AF5">
            <w:pPr>
              <w:pStyle w:val="Tabletext"/>
            </w:pPr>
            <w:r w:rsidRPr="005071A1">
              <w:t>48</w:t>
            </w:r>
          </w:p>
        </w:tc>
        <w:tc>
          <w:tcPr>
            <w:tcW w:w="1701" w:type="dxa"/>
            <w:tcBorders>
              <w:bottom w:val="single" w:sz="4" w:space="0" w:color="auto"/>
            </w:tcBorders>
            <w:shd w:val="clear" w:color="auto" w:fill="auto"/>
          </w:tcPr>
          <w:p w14:paraId="562B986C" w14:textId="77777777" w:rsidR="00B33542" w:rsidRPr="005071A1" w:rsidRDefault="00B33542" w:rsidP="009B7AF5">
            <w:pPr>
              <w:pStyle w:val="Tabletext"/>
            </w:pPr>
            <w:r w:rsidRPr="005071A1">
              <w:t>0.20</w:t>
            </w:r>
          </w:p>
        </w:tc>
        <w:tc>
          <w:tcPr>
            <w:tcW w:w="1985" w:type="dxa"/>
            <w:tcBorders>
              <w:bottom w:val="single" w:sz="4" w:space="0" w:color="auto"/>
            </w:tcBorders>
            <w:shd w:val="clear" w:color="auto" w:fill="auto"/>
          </w:tcPr>
          <w:p w14:paraId="61834844" w14:textId="77777777" w:rsidR="00B33542" w:rsidRPr="005071A1" w:rsidRDefault="00B33542" w:rsidP="009B7AF5">
            <w:pPr>
              <w:pStyle w:val="Tabletext"/>
            </w:pPr>
            <w:r w:rsidRPr="005071A1">
              <w:t>0.08</w:t>
            </w:r>
          </w:p>
        </w:tc>
        <w:tc>
          <w:tcPr>
            <w:tcW w:w="1660" w:type="dxa"/>
            <w:tcBorders>
              <w:bottom w:val="single" w:sz="4" w:space="0" w:color="auto"/>
            </w:tcBorders>
            <w:shd w:val="clear" w:color="auto" w:fill="auto"/>
          </w:tcPr>
          <w:p w14:paraId="04783B2A" w14:textId="77777777" w:rsidR="00B33542" w:rsidRPr="005071A1" w:rsidRDefault="00B33542" w:rsidP="009B7AF5">
            <w:pPr>
              <w:pStyle w:val="Tabletext"/>
            </w:pPr>
            <w:r w:rsidRPr="005071A1">
              <w:t>0.16</w:t>
            </w:r>
          </w:p>
        </w:tc>
      </w:tr>
      <w:tr w:rsidR="00B33542" w:rsidRPr="005071A1" w14:paraId="152FF954" w14:textId="77777777" w:rsidTr="00640BB6">
        <w:tc>
          <w:tcPr>
            <w:tcW w:w="1701" w:type="dxa"/>
            <w:tcBorders>
              <w:top w:val="single" w:sz="4" w:space="0" w:color="auto"/>
            </w:tcBorders>
            <w:shd w:val="clear" w:color="auto" w:fill="auto"/>
          </w:tcPr>
          <w:p w14:paraId="0BDB6C71" w14:textId="77777777" w:rsidR="00B33542" w:rsidRPr="005071A1" w:rsidRDefault="00B33542" w:rsidP="009B7AF5">
            <w:pPr>
              <w:pStyle w:val="Tabletext"/>
            </w:pPr>
            <w:r w:rsidRPr="005071A1">
              <w:t>49</w:t>
            </w:r>
          </w:p>
        </w:tc>
        <w:tc>
          <w:tcPr>
            <w:tcW w:w="1701" w:type="dxa"/>
            <w:tcBorders>
              <w:top w:val="single" w:sz="4" w:space="0" w:color="auto"/>
            </w:tcBorders>
            <w:shd w:val="clear" w:color="auto" w:fill="auto"/>
          </w:tcPr>
          <w:p w14:paraId="7BDBD7A1" w14:textId="77777777" w:rsidR="00B33542" w:rsidRPr="005071A1" w:rsidRDefault="00B33542" w:rsidP="009B7AF5">
            <w:pPr>
              <w:pStyle w:val="Tabletext"/>
            </w:pPr>
            <w:r w:rsidRPr="005071A1">
              <w:t>0.20</w:t>
            </w:r>
          </w:p>
        </w:tc>
        <w:tc>
          <w:tcPr>
            <w:tcW w:w="1985" w:type="dxa"/>
            <w:tcBorders>
              <w:top w:val="single" w:sz="4" w:space="0" w:color="auto"/>
            </w:tcBorders>
            <w:shd w:val="clear" w:color="auto" w:fill="auto"/>
          </w:tcPr>
          <w:p w14:paraId="3BEC3E9D" w14:textId="77777777" w:rsidR="00B33542" w:rsidRPr="005071A1" w:rsidRDefault="00B33542" w:rsidP="009B7AF5">
            <w:pPr>
              <w:pStyle w:val="Tabletext"/>
            </w:pPr>
            <w:r w:rsidRPr="005071A1">
              <w:t>0.08</w:t>
            </w:r>
          </w:p>
        </w:tc>
        <w:tc>
          <w:tcPr>
            <w:tcW w:w="1660" w:type="dxa"/>
            <w:tcBorders>
              <w:top w:val="single" w:sz="4" w:space="0" w:color="auto"/>
            </w:tcBorders>
            <w:shd w:val="clear" w:color="auto" w:fill="auto"/>
          </w:tcPr>
          <w:p w14:paraId="712AE213" w14:textId="77777777" w:rsidR="00B33542" w:rsidRPr="005071A1" w:rsidRDefault="00B33542" w:rsidP="009B7AF5">
            <w:pPr>
              <w:pStyle w:val="Tabletext"/>
            </w:pPr>
            <w:r w:rsidRPr="005071A1">
              <w:t>0.16</w:t>
            </w:r>
          </w:p>
        </w:tc>
      </w:tr>
      <w:tr w:rsidR="00B33542" w:rsidRPr="005071A1" w14:paraId="2B980CC2" w14:textId="77777777" w:rsidTr="009B7AF5">
        <w:tc>
          <w:tcPr>
            <w:tcW w:w="1701" w:type="dxa"/>
            <w:shd w:val="clear" w:color="auto" w:fill="auto"/>
          </w:tcPr>
          <w:p w14:paraId="6C7CB9E5" w14:textId="77777777" w:rsidR="00B33542" w:rsidRPr="005071A1" w:rsidRDefault="00B33542" w:rsidP="009B7AF5">
            <w:pPr>
              <w:pStyle w:val="Tabletext"/>
            </w:pPr>
            <w:r w:rsidRPr="005071A1">
              <w:t>50</w:t>
            </w:r>
          </w:p>
        </w:tc>
        <w:tc>
          <w:tcPr>
            <w:tcW w:w="1701" w:type="dxa"/>
            <w:shd w:val="clear" w:color="auto" w:fill="auto"/>
          </w:tcPr>
          <w:p w14:paraId="07F470BE" w14:textId="77777777" w:rsidR="00B33542" w:rsidRPr="005071A1" w:rsidRDefault="00B33542" w:rsidP="009B7AF5">
            <w:pPr>
              <w:pStyle w:val="Tabletext"/>
            </w:pPr>
            <w:r w:rsidRPr="005071A1">
              <w:t>0.22</w:t>
            </w:r>
          </w:p>
        </w:tc>
        <w:tc>
          <w:tcPr>
            <w:tcW w:w="1985" w:type="dxa"/>
            <w:shd w:val="clear" w:color="auto" w:fill="auto"/>
          </w:tcPr>
          <w:p w14:paraId="4795E7E3" w14:textId="77777777" w:rsidR="00B33542" w:rsidRPr="005071A1" w:rsidRDefault="00B33542" w:rsidP="009B7AF5">
            <w:pPr>
              <w:pStyle w:val="Tabletext"/>
            </w:pPr>
            <w:r w:rsidRPr="005071A1">
              <w:t>0.08</w:t>
            </w:r>
          </w:p>
        </w:tc>
        <w:tc>
          <w:tcPr>
            <w:tcW w:w="1660" w:type="dxa"/>
            <w:shd w:val="clear" w:color="auto" w:fill="auto"/>
          </w:tcPr>
          <w:p w14:paraId="5CEDD883" w14:textId="77777777" w:rsidR="00B33542" w:rsidRPr="005071A1" w:rsidRDefault="00B33542" w:rsidP="009B7AF5">
            <w:pPr>
              <w:pStyle w:val="Tabletext"/>
            </w:pPr>
            <w:r w:rsidRPr="005071A1">
              <w:t>0.16</w:t>
            </w:r>
          </w:p>
        </w:tc>
      </w:tr>
      <w:tr w:rsidR="00B33542" w:rsidRPr="005071A1" w14:paraId="4D07E884" w14:textId="77777777" w:rsidTr="009B7AF5">
        <w:tc>
          <w:tcPr>
            <w:tcW w:w="1701" w:type="dxa"/>
            <w:shd w:val="clear" w:color="auto" w:fill="auto"/>
          </w:tcPr>
          <w:p w14:paraId="032E28ED" w14:textId="77777777" w:rsidR="00B33542" w:rsidRPr="005071A1" w:rsidRDefault="00B33542" w:rsidP="009B7AF5">
            <w:pPr>
              <w:pStyle w:val="Tabletext"/>
            </w:pPr>
            <w:r w:rsidRPr="005071A1">
              <w:t>51</w:t>
            </w:r>
          </w:p>
        </w:tc>
        <w:tc>
          <w:tcPr>
            <w:tcW w:w="1701" w:type="dxa"/>
            <w:shd w:val="clear" w:color="auto" w:fill="auto"/>
          </w:tcPr>
          <w:p w14:paraId="1CE4B34A" w14:textId="77777777" w:rsidR="00B33542" w:rsidRPr="005071A1" w:rsidRDefault="00B33542" w:rsidP="009B7AF5">
            <w:pPr>
              <w:pStyle w:val="Tabletext"/>
            </w:pPr>
            <w:r w:rsidRPr="005071A1">
              <w:t>0.22</w:t>
            </w:r>
          </w:p>
        </w:tc>
        <w:tc>
          <w:tcPr>
            <w:tcW w:w="1985" w:type="dxa"/>
            <w:shd w:val="clear" w:color="auto" w:fill="auto"/>
          </w:tcPr>
          <w:p w14:paraId="0CBED14A" w14:textId="77777777" w:rsidR="00B33542" w:rsidRPr="005071A1" w:rsidRDefault="00B33542" w:rsidP="009B7AF5">
            <w:pPr>
              <w:pStyle w:val="Tabletext"/>
            </w:pPr>
            <w:r w:rsidRPr="005071A1">
              <w:t>0.09</w:t>
            </w:r>
          </w:p>
        </w:tc>
        <w:tc>
          <w:tcPr>
            <w:tcW w:w="1660" w:type="dxa"/>
            <w:shd w:val="clear" w:color="auto" w:fill="auto"/>
          </w:tcPr>
          <w:p w14:paraId="0F6FBF3B" w14:textId="77777777" w:rsidR="00B33542" w:rsidRPr="005071A1" w:rsidRDefault="00B33542" w:rsidP="009B7AF5">
            <w:pPr>
              <w:pStyle w:val="Tabletext"/>
            </w:pPr>
            <w:r w:rsidRPr="005071A1">
              <w:t>0.18</w:t>
            </w:r>
          </w:p>
        </w:tc>
      </w:tr>
      <w:tr w:rsidR="00B33542" w:rsidRPr="005071A1" w14:paraId="01058074" w14:textId="77777777" w:rsidTr="009B7AF5">
        <w:tc>
          <w:tcPr>
            <w:tcW w:w="1701" w:type="dxa"/>
            <w:shd w:val="clear" w:color="auto" w:fill="auto"/>
          </w:tcPr>
          <w:p w14:paraId="436FDEA1" w14:textId="77777777" w:rsidR="00B33542" w:rsidRPr="005071A1" w:rsidRDefault="00B33542" w:rsidP="009B7AF5">
            <w:pPr>
              <w:pStyle w:val="Tabletext"/>
            </w:pPr>
            <w:r w:rsidRPr="005071A1">
              <w:t>52</w:t>
            </w:r>
          </w:p>
        </w:tc>
        <w:tc>
          <w:tcPr>
            <w:tcW w:w="1701" w:type="dxa"/>
            <w:shd w:val="clear" w:color="auto" w:fill="auto"/>
          </w:tcPr>
          <w:p w14:paraId="35BC95B0" w14:textId="77777777" w:rsidR="00B33542" w:rsidRPr="005071A1" w:rsidRDefault="00B33542" w:rsidP="009B7AF5">
            <w:pPr>
              <w:pStyle w:val="Tabletext"/>
            </w:pPr>
            <w:r w:rsidRPr="005071A1">
              <w:t>0.22</w:t>
            </w:r>
          </w:p>
        </w:tc>
        <w:tc>
          <w:tcPr>
            <w:tcW w:w="1985" w:type="dxa"/>
            <w:shd w:val="clear" w:color="auto" w:fill="auto"/>
          </w:tcPr>
          <w:p w14:paraId="1EC75A8E" w14:textId="77777777" w:rsidR="00B33542" w:rsidRPr="005071A1" w:rsidRDefault="00B33542" w:rsidP="009B7AF5">
            <w:pPr>
              <w:pStyle w:val="Tabletext"/>
            </w:pPr>
            <w:r w:rsidRPr="005071A1">
              <w:t>0.09</w:t>
            </w:r>
          </w:p>
        </w:tc>
        <w:tc>
          <w:tcPr>
            <w:tcW w:w="1660" w:type="dxa"/>
            <w:shd w:val="clear" w:color="auto" w:fill="auto"/>
          </w:tcPr>
          <w:p w14:paraId="60E9B65A" w14:textId="77777777" w:rsidR="00B33542" w:rsidRPr="005071A1" w:rsidRDefault="00B33542" w:rsidP="009B7AF5">
            <w:pPr>
              <w:pStyle w:val="Tabletext"/>
            </w:pPr>
            <w:r w:rsidRPr="005071A1">
              <w:t>0.18</w:t>
            </w:r>
          </w:p>
        </w:tc>
      </w:tr>
      <w:tr w:rsidR="00B33542" w:rsidRPr="005071A1" w14:paraId="2EB44B3C" w14:textId="77777777" w:rsidTr="009B7AF5">
        <w:tc>
          <w:tcPr>
            <w:tcW w:w="1701" w:type="dxa"/>
            <w:shd w:val="clear" w:color="auto" w:fill="auto"/>
          </w:tcPr>
          <w:p w14:paraId="4B1D88E1" w14:textId="77777777" w:rsidR="00B33542" w:rsidRPr="005071A1" w:rsidRDefault="00B33542" w:rsidP="009B7AF5">
            <w:pPr>
              <w:pStyle w:val="Tabletext"/>
            </w:pPr>
            <w:r w:rsidRPr="005071A1">
              <w:t>53</w:t>
            </w:r>
          </w:p>
        </w:tc>
        <w:tc>
          <w:tcPr>
            <w:tcW w:w="1701" w:type="dxa"/>
            <w:shd w:val="clear" w:color="auto" w:fill="auto"/>
          </w:tcPr>
          <w:p w14:paraId="4718F60F" w14:textId="77777777" w:rsidR="00B33542" w:rsidRPr="005071A1" w:rsidRDefault="00B33542" w:rsidP="009B7AF5">
            <w:pPr>
              <w:pStyle w:val="Tabletext"/>
            </w:pPr>
            <w:r w:rsidRPr="005071A1">
              <w:t>0.24</w:t>
            </w:r>
          </w:p>
        </w:tc>
        <w:tc>
          <w:tcPr>
            <w:tcW w:w="1985" w:type="dxa"/>
            <w:shd w:val="clear" w:color="auto" w:fill="auto"/>
          </w:tcPr>
          <w:p w14:paraId="23A465FB" w14:textId="77777777" w:rsidR="00B33542" w:rsidRPr="005071A1" w:rsidRDefault="00B33542" w:rsidP="009B7AF5">
            <w:pPr>
              <w:pStyle w:val="Tabletext"/>
            </w:pPr>
            <w:r w:rsidRPr="005071A1">
              <w:t>0.11</w:t>
            </w:r>
          </w:p>
        </w:tc>
        <w:tc>
          <w:tcPr>
            <w:tcW w:w="1660" w:type="dxa"/>
            <w:shd w:val="clear" w:color="auto" w:fill="auto"/>
          </w:tcPr>
          <w:p w14:paraId="74E9216D" w14:textId="77777777" w:rsidR="00B33542" w:rsidRPr="005071A1" w:rsidRDefault="00B33542" w:rsidP="009B7AF5">
            <w:pPr>
              <w:pStyle w:val="Tabletext"/>
            </w:pPr>
            <w:r w:rsidRPr="005071A1">
              <w:t>0.22</w:t>
            </w:r>
          </w:p>
        </w:tc>
      </w:tr>
      <w:tr w:rsidR="00B33542" w:rsidRPr="005071A1" w14:paraId="585A71FA" w14:textId="77777777" w:rsidTr="009B7AF5">
        <w:tc>
          <w:tcPr>
            <w:tcW w:w="1701" w:type="dxa"/>
            <w:shd w:val="clear" w:color="auto" w:fill="auto"/>
          </w:tcPr>
          <w:p w14:paraId="55B7015B" w14:textId="77777777" w:rsidR="00B33542" w:rsidRPr="005071A1" w:rsidRDefault="00B33542" w:rsidP="009B7AF5">
            <w:pPr>
              <w:pStyle w:val="Tabletext"/>
            </w:pPr>
            <w:r w:rsidRPr="005071A1">
              <w:t>54</w:t>
            </w:r>
          </w:p>
        </w:tc>
        <w:tc>
          <w:tcPr>
            <w:tcW w:w="1701" w:type="dxa"/>
            <w:shd w:val="clear" w:color="auto" w:fill="auto"/>
          </w:tcPr>
          <w:p w14:paraId="68BBE19D" w14:textId="77777777" w:rsidR="00B33542" w:rsidRPr="005071A1" w:rsidRDefault="00B33542" w:rsidP="009B7AF5">
            <w:pPr>
              <w:pStyle w:val="Tabletext"/>
            </w:pPr>
            <w:r w:rsidRPr="005071A1">
              <w:t>0.24</w:t>
            </w:r>
          </w:p>
        </w:tc>
        <w:tc>
          <w:tcPr>
            <w:tcW w:w="1985" w:type="dxa"/>
            <w:shd w:val="clear" w:color="auto" w:fill="auto"/>
          </w:tcPr>
          <w:p w14:paraId="0ACB30E9" w14:textId="77777777" w:rsidR="00B33542" w:rsidRPr="005071A1" w:rsidRDefault="00B33542" w:rsidP="009B7AF5">
            <w:pPr>
              <w:pStyle w:val="Tabletext"/>
            </w:pPr>
            <w:r w:rsidRPr="005071A1">
              <w:t>0.11</w:t>
            </w:r>
          </w:p>
        </w:tc>
        <w:tc>
          <w:tcPr>
            <w:tcW w:w="1660" w:type="dxa"/>
            <w:shd w:val="clear" w:color="auto" w:fill="auto"/>
          </w:tcPr>
          <w:p w14:paraId="30200B33" w14:textId="77777777" w:rsidR="00B33542" w:rsidRPr="005071A1" w:rsidRDefault="00B33542" w:rsidP="009B7AF5">
            <w:pPr>
              <w:pStyle w:val="Tabletext"/>
            </w:pPr>
            <w:r w:rsidRPr="005071A1">
              <w:t>0.22</w:t>
            </w:r>
          </w:p>
        </w:tc>
      </w:tr>
      <w:tr w:rsidR="00B33542" w:rsidRPr="005071A1" w14:paraId="345F5340" w14:textId="77777777" w:rsidTr="009B7AF5">
        <w:tc>
          <w:tcPr>
            <w:tcW w:w="1701" w:type="dxa"/>
            <w:shd w:val="clear" w:color="auto" w:fill="auto"/>
          </w:tcPr>
          <w:p w14:paraId="20D3647B" w14:textId="77777777" w:rsidR="00B33542" w:rsidRPr="005071A1" w:rsidRDefault="00B33542" w:rsidP="009B7AF5">
            <w:pPr>
              <w:pStyle w:val="Tabletext"/>
            </w:pPr>
            <w:r w:rsidRPr="005071A1">
              <w:t>55</w:t>
            </w:r>
          </w:p>
        </w:tc>
        <w:tc>
          <w:tcPr>
            <w:tcW w:w="1701" w:type="dxa"/>
            <w:shd w:val="clear" w:color="auto" w:fill="auto"/>
          </w:tcPr>
          <w:p w14:paraId="68C2824C" w14:textId="77777777" w:rsidR="00B33542" w:rsidRPr="005071A1" w:rsidRDefault="00B33542" w:rsidP="009B7AF5">
            <w:pPr>
              <w:pStyle w:val="Tabletext"/>
            </w:pPr>
            <w:r w:rsidRPr="005071A1">
              <w:t>0.26</w:t>
            </w:r>
          </w:p>
        </w:tc>
        <w:tc>
          <w:tcPr>
            <w:tcW w:w="1985" w:type="dxa"/>
            <w:shd w:val="clear" w:color="auto" w:fill="auto"/>
          </w:tcPr>
          <w:p w14:paraId="090D7F9F" w14:textId="77777777" w:rsidR="00B33542" w:rsidRPr="005071A1" w:rsidRDefault="00B33542" w:rsidP="009B7AF5">
            <w:pPr>
              <w:pStyle w:val="Tabletext"/>
            </w:pPr>
            <w:r w:rsidRPr="005071A1">
              <w:t>0.12</w:t>
            </w:r>
          </w:p>
        </w:tc>
        <w:tc>
          <w:tcPr>
            <w:tcW w:w="1660" w:type="dxa"/>
            <w:shd w:val="clear" w:color="auto" w:fill="auto"/>
          </w:tcPr>
          <w:p w14:paraId="65E59A5A" w14:textId="77777777" w:rsidR="00B33542" w:rsidRPr="005071A1" w:rsidRDefault="00B33542" w:rsidP="009B7AF5">
            <w:pPr>
              <w:pStyle w:val="Tabletext"/>
            </w:pPr>
            <w:r w:rsidRPr="005071A1">
              <w:t>0.24</w:t>
            </w:r>
          </w:p>
        </w:tc>
      </w:tr>
      <w:tr w:rsidR="00B33542" w:rsidRPr="005071A1" w14:paraId="5A141775" w14:textId="77777777" w:rsidTr="009B7AF5">
        <w:tc>
          <w:tcPr>
            <w:tcW w:w="1701" w:type="dxa"/>
            <w:shd w:val="clear" w:color="auto" w:fill="auto"/>
          </w:tcPr>
          <w:p w14:paraId="48098EF3" w14:textId="77777777" w:rsidR="00B33542" w:rsidRPr="005071A1" w:rsidRDefault="00B33542" w:rsidP="009B7AF5">
            <w:pPr>
              <w:pStyle w:val="Tabletext"/>
            </w:pPr>
            <w:r w:rsidRPr="005071A1">
              <w:t>56</w:t>
            </w:r>
          </w:p>
        </w:tc>
        <w:tc>
          <w:tcPr>
            <w:tcW w:w="1701" w:type="dxa"/>
            <w:shd w:val="clear" w:color="auto" w:fill="auto"/>
          </w:tcPr>
          <w:p w14:paraId="31BDCBCE" w14:textId="77777777" w:rsidR="00B33542" w:rsidRPr="005071A1" w:rsidRDefault="00B33542" w:rsidP="009B7AF5">
            <w:pPr>
              <w:pStyle w:val="Tabletext"/>
            </w:pPr>
            <w:r w:rsidRPr="005071A1">
              <w:t>0.30</w:t>
            </w:r>
          </w:p>
        </w:tc>
        <w:tc>
          <w:tcPr>
            <w:tcW w:w="1985" w:type="dxa"/>
            <w:shd w:val="clear" w:color="auto" w:fill="auto"/>
          </w:tcPr>
          <w:p w14:paraId="59407B45" w14:textId="77777777" w:rsidR="00B33542" w:rsidRPr="005071A1" w:rsidRDefault="00B33542" w:rsidP="009B7AF5">
            <w:pPr>
              <w:pStyle w:val="Tabletext"/>
            </w:pPr>
            <w:r w:rsidRPr="005071A1">
              <w:t>0.14</w:t>
            </w:r>
          </w:p>
        </w:tc>
        <w:tc>
          <w:tcPr>
            <w:tcW w:w="1660" w:type="dxa"/>
            <w:shd w:val="clear" w:color="auto" w:fill="auto"/>
          </w:tcPr>
          <w:p w14:paraId="19C5F351" w14:textId="77777777" w:rsidR="00B33542" w:rsidRPr="005071A1" w:rsidRDefault="00B33542" w:rsidP="009B7AF5">
            <w:pPr>
              <w:pStyle w:val="Tabletext"/>
            </w:pPr>
            <w:r w:rsidRPr="005071A1">
              <w:t>0.28</w:t>
            </w:r>
          </w:p>
        </w:tc>
      </w:tr>
      <w:tr w:rsidR="00B33542" w:rsidRPr="005071A1" w14:paraId="2F98CDE8" w14:textId="77777777" w:rsidTr="009B7AF5">
        <w:tc>
          <w:tcPr>
            <w:tcW w:w="1701" w:type="dxa"/>
            <w:shd w:val="clear" w:color="auto" w:fill="auto"/>
          </w:tcPr>
          <w:p w14:paraId="4FD4C3B6" w14:textId="77777777" w:rsidR="00B33542" w:rsidRPr="005071A1" w:rsidRDefault="00B33542" w:rsidP="009B7AF5">
            <w:pPr>
              <w:pStyle w:val="Tabletext"/>
            </w:pPr>
            <w:r w:rsidRPr="005071A1">
              <w:t>57</w:t>
            </w:r>
          </w:p>
        </w:tc>
        <w:tc>
          <w:tcPr>
            <w:tcW w:w="1701" w:type="dxa"/>
            <w:shd w:val="clear" w:color="auto" w:fill="auto"/>
          </w:tcPr>
          <w:p w14:paraId="3064FFA6" w14:textId="77777777" w:rsidR="00B33542" w:rsidRPr="005071A1" w:rsidRDefault="00B33542" w:rsidP="009B7AF5">
            <w:pPr>
              <w:pStyle w:val="Tabletext"/>
            </w:pPr>
            <w:r w:rsidRPr="005071A1">
              <w:t>0.34</w:t>
            </w:r>
          </w:p>
        </w:tc>
        <w:tc>
          <w:tcPr>
            <w:tcW w:w="1985" w:type="dxa"/>
            <w:shd w:val="clear" w:color="auto" w:fill="auto"/>
          </w:tcPr>
          <w:p w14:paraId="2DB057AD" w14:textId="77777777" w:rsidR="00B33542" w:rsidRPr="005071A1" w:rsidRDefault="00B33542" w:rsidP="009B7AF5">
            <w:pPr>
              <w:pStyle w:val="Tabletext"/>
            </w:pPr>
            <w:r w:rsidRPr="005071A1">
              <w:t>0.16</w:t>
            </w:r>
          </w:p>
        </w:tc>
        <w:tc>
          <w:tcPr>
            <w:tcW w:w="1660" w:type="dxa"/>
            <w:shd w:val="clear" w:color="auto" w:fill="auto"/>
          </w:tcPr>
          <w:p w14:paraId="61204F8D" w14:textId="77777777" w:rsidR="00B33542" w:rsidRPr="005071A1" w:rsidRDefault="00B33542" w:rsidP="009B7AF5">
            <w:pPr>
              <w:pStyle w:val="Tabletext"/>
            </w:pPr>
            <w:r w:rsidRPr="005071A1">
              <w:t>0.32</w:t>
            </w:r>
          </w:p>
        </w:tc>
      </w:tr>
      <w:tr w:rsidR="00B33542" w:rsidRPr="005071A1" w14:paraId="1E2DED0F" w14:textId="77777777" w:rsidTr="009B7AF5">
        <w:tc>
          <w:tcPr>
            <w:tcW w:w="1701" w:type="dxa"/>
            <w:shd w:val="clear" w:color="auto" w:fill="auto"/>
          </w:tcPr>
          <w:p w14:paraId="14201686" w14:textId="77777777" w:rsidR="00B33542" w:rsidRPr="005071A1" w:rsidRDefault="00B33542" w:rsidP="009B7AF5">
            <w:pPr>
              <w:pStyle w:val="Tabletext"/>
            </w:pPr>
            <w:r w:rsidRPr="005071A1">
              <w:lastRenderedPageBreak/>
              <w:t>58</w:t>
            </w:r>
          </w:p>
        </w:tc>
        <w:tc>
          <w:tcPr>
            <w:tcW w:w="1701" w:type="dxa"/>
            <w:shd w:val="clear" w:color="auto" w:fill="auto"/>
          </w:tcPr>
          <w:p w14:paraId="2E0CD2F8" w14:textId="77777777" w:rsidR="00B33542" w:rsidRPr="005071A1" w:rsidRDefault="00B33542" w:rsidP="009B7AF5">
            <w:pPr>
              <w:pStyle w:val="Tabletext"/>
            </w:pPr>
            <w:r w:rsidRPr="005071A1">
              <w:t>0.36</w:t>
            </w:r>
          </w:p>
        </w:tc>
        <w:tc>
          <w:tcPr>
            <w:tcW w:w="1985" w:type="dxa"/>
            <w:shd w:val="clear" w:color="auto" w:fill="auto"/>
          </w:tcPr>
          <w:p w14:paraId="3D064817" w14:textId="77777777" w:rsidR="00B33542" w:rsidRPr="005071A1" w:rsidRDefault="00B33542" w:rsidP="009B7AF5">
            <w:pPr>
              <w:pStyle w:val="Tabletext"/>
            </w:pPr>
            <w:r w:rsidRPr="005071A1">
              <w:t>0.16</w:t>
            </w:r>
          </w:p>
        </w:tc>
        <w:tc>
          <w:tcPr>
            <w:tcW w:w="1660" w:type="dxa"/>
            <w:shd w:val="clear" w:color="auto" w:fill="auto"/>
          </w:tcPr>
          <w:p w14:paraId="35086596" w14:textId="77777777" w:rsidR="00B33542" w:rsidRPr="005071A1" w:rsidRDefault="00B33542" w:rsidP="009B7AF5">
            <w:pPr>
              <w:pStyle w:val="Tabletext"/>
            </w:pPr>
            <w:r w:rsidRPr="005071A1">
              <w:t>0.32</w:t>
            </w:r>
          </w:p>
        </w:tc>
      </w:tr>
      <w:tr w:rsidR="00B33542" w:rsidRPr="005071A1" w14:paraId="2D3AA303" w14:textId="77777777" w:rsidTr="009B7AF5">
        <w:tc>
          <w:tcPr>
            <w:tcW w:w="1701" w:type="dxa"/>
            <w:shd w:val="clear" w:color="auto" w:fill="auto"/>
          </w:tcPr>
          <w:p w14:paraId="62EC0973" w14:textId="77777777" w:rsidR="00B33542" w:rsidRPr="005071A1" w:rsidRDefault="00B33542" w:rsidP="009B7AF5">
            <w:pPr>
              <w:pStyle w:val="Tabletext"/>
            </w:pPr>
            <w:r w:rsidRPr="005071A1">
              <w:t>59</w:t>
            </w:r>
          </w:p>
        </w:tc>
        <w:tc>
          <w:tcPr>
            <w:tcW w:w="1701" w:type="dxa"/>
            <w:shd w:val="clear" w:color="auto" w:fill="auto"/>
          </w:tcPr>
          <w:p w14:paraId="1433790A" w14:textId="77777777" w:rsidR="00B33542" w:rsidRPr="005071A1" w:rsidRDefault="00B33542" w:rsidP="009B7AF5">
            <w:pPr>
              <w:pStyle w:val="Tabletext"/>
            </w:pPr>
            <w:r w:rsidRPr="005071A1">
              <w:t>0.42</w:t>
            </w:r>
          </w:p>
        </w:tc>
        <w:tc>
          <w:tcPr>
            <w:tcW w:w="1985" w:type="dxa"/>
            <w:shd w:val="clear" w:color="auto" w:fill="auto"/>
          </w:tcPr>
          <w:p w14:paraId="15B73C91" w14:textId="77777777" w:rsidR="00B33542" w:rsidRPr="005071A1" w:rsidRDefault="00B33542" w:rsidP="009B7AF5">
            <w:pPr>
              <w:pStyle w:val="Tabletext"/>
            </w:pPr>
            <w:r w:rsidRPr="005071A1">
              <w:t>0.20</w:t>
            </w:r>
          </w:p>
        </w:tc>
        <w:tc>
          <w:tcPr>
            <w:tcW w:w="1660" w:type="dxa"/>
            <w:shd w:val="clear" w:color="auto" w:fill="auto"/>
          </w:tcPr>
          <w:p w14:paraId="319B488A" w14:textId="77777777" w:rsidR="00B33542" w:rsidRPr="005071A1" w:rsidRDefault="00B33542" w:rsidP="009B7AF5">
            <w:pPr>
              <w:pStyle w:val="Tabletext"/>
            </w:pPr>
            <w:r w:rsidRPr="005071A1">
              <w:t>0.40</w:t>
            </w:r>
          </w:p>
        </w:tc>
      </w:tr>
      <w:tr w:rsidR="00B33542" w:rsidRPr="005071A1" w14:paraId="3D0E83B6" w14:textId="77777777" w:rsidTr="009B7AF5">
        <w:tc>
          <w:tcPr>
            <w:tcW w:w="1701" w:type="dxa"/>
            <w:shd w:val="clear" w:color="auto" w:fill="auto"/>
          </w:tcPr>
          <w:p w14:paraId="3D8C6B81" w14:textId="77777777" w:rsidR="00B33542" w:rsidRPr="005071A1" w:rsidRDefault="00B33542" w:rsidP="009B7AF5">
            <w:pPr>
              <w:pStyle w:val="Tabletext"/>
            </w:pPr>
            <w:r w:rsidRPr="005071A1">
              <w:t>60</w:t>
            </w:r>
          </w:p>
        </w:tc>
        <w:tc>
          <w:tcPr>
            <w:tcW w:w="1701" w:type="dxa"/>
            <w:shd w:val="clear" w:color="auto" w:fill="auto"/>
          </w:tcPr>
          <w:p w14:paraId="4F04FD4B" w14:textId="77777777" w:rsidR="00B33542" w:rsidRPr="005071A1" w:rsidRDefault="00B33542" w:rsidP="009B7AF5">
            <w:pPr>
              <w:pStyle w:val="Tabletext"/>
            </w:pPr>
            <w:r w:rsidRPr="005071A1">
              <w:t>0.50</w:t>
            </w:r>
          </w:p>
        </w:tc>
        <w:tc>
          <w:tcPr>
            <w:tcW w:w="1985" w:type="dxa"/>
            <w:shd w:val="clear" w:color="auto" w:fill="auto"/>
          </w:tcPr>
          <w:p w14:paraId="0D760063" w14:textId="77777777" w:rsidR="00B33542" w:rsidRPr="005071A1" w:rsidRDefault="00B33542" w:rsidP="009B7AF5">
            <w:pPr>
              <w:pStyle w:val="Tabletext"/>
            </w:pPr>
            <w:r w:rsidRPr="005071A1">
              <w:t>0.23</w:t>
            </w:r>
          </w:p>
        </w:tc>
        <w:tc>
          <w:tcPr>
            <w:tcW w:w="1660" w:type="dxa"/>
            <w:shd w:val="clear" w:color="auto" w:fill="auto"/>
          </w:tcPr>
          <w:p w14:paraId="02F99D27" w14:textId="77777777" w:rsidR="00B33542" w:rsidRPr="005071A1" w:rsidRDefault="00B33542" w:rsidP="009B7AF5">
            <w:pPr>
              <w:pStyle w:val="Tabletext"/>
            </w:pPr>
            <w:r w:rsidRPr="005071A1">
              <w:t>0.46</w:t>
            </w:r>
          </w:p>
        </w:tc>
      </w:tr>
      <w:tr w:rsidR="00B33542" w:rsidRPr="005071A1" w14:paraId="6CF4AEEE" w14:textId="77777777" w:rsidTr="009B7AF5">
        <w:tc>
          <w:tcPr>
            <w:tcW w:w="1701" w:type="dxa"/>
            <w:shd w:val="clear" w:color="auto" w:fill="auto"/>
          </w:tcPr>
          <w:p w14:paraId="70DFACD7" w14:textId="77777777" w:rsidR="00B33542" w:rsidRPr="005071A1" w:rsidRDefault="00B33542" w:rsidP="009B7AF5">
            <w:pPr>
              <w:pStyle w:val="Tabletext"/>
            </w:pPr>
            <w:r w:rsidRPr="005071A1">
              <w:t>61</w:t>
            </w:r>
          </w:p>
        </w:tc>
        <w:tc>
          <w:tcPr>
            <w:tcW w:w="1701" w:type="dxa"/>
            <w:shd w:val="clear" w:color="auto" w:fill="auto"/>
          </w:tcPr>
          <w:p w14:paraId="4FF6AF23" w14:textId="77777777" w:rsidR="00B33542" w:rsidRPr="005071A1" w:rsidRDefault="00B33542" w:rsidP="009B7AF5">
            <w:pPr>
              <w:pStyle w:val="Tabletext"/>
            </w:pPr>
            <w:r w:rsidRPr="005071A1">
              <w:t>0.60</w:t>
            </w:r>
          </w:p>
        </w:tc>
        <w:tc>
          <w:tcPr>
            <w:tcW w:w="1985" w:type="dxa"/>
            <w:shd w:val="clear" w:color="auto" w:fill="auto"/>
          </w:tcPr>
          <w:p w14:paraId="45A9B572" w14:textId="77777777" w:rsidR="00B33542" w:rsidRPr="005071A1" w:rsidRDefault="00B33542" w:rsidP="009B7AF5">
            <w:pPr>
              <w:pStyle w:val="Tabletext"/>
            </w:pPr>
            <w:r w:rsidRPr="005071A1">
              <w:t>0.28</w:t>
            </w:r>
          </w:p>
        </w:tc>
        <w:tc>
          <w:tcPr>
            <w:tcW w:w="1660" w:type="dxa"/>
            <w:shd w:val="clear" w:color="auto" w:fill="auto"/>
          </w:tcPr>
          <w:p w14:paraId="1AA2A730" w14:textId="77777777" w:rsidR="00B33542" w:rsidRPr="005071A1" w:rsidRDefault="00B33542" w:rsidP="009B7AF5">
            <w:pPr>
              <w:pStyle w:val="Tabletext"/>
            </w:pPr>
            <w:r w:rsidRPr="005071A1">
              <w:t>0.56</w:t>
            </w:r>
          </w:p>
        </w:tc>
      </w:tr>
      <w:tr w:rsidR="00B33542" w:rsidRPr="005071A1" w14:paraId="2953B434" w14:textId="77777777" w:rsidTr="009B7AF5">
        <w:tc>
          <w:tcPr>
            <w:tcW w:w="1701" w:type="dxa"/>
            <w:shd w:val="clear" w:color="auto" w:fill="auto"/>
          </w:tcPr>
          <w:p w14:paraId="01E7E025" w14:textId="77777777" w:rsidR="00B33542" w:rsidRPr="005071A1" w:rsidRDefault="00B33542" w:rsidP="009B7AF5">
            <w:pPr>
              <w:pStyle w:val="Tabletext"/>
            </w:pPr>
            <w:r w:rsidRPr="005071A1">
              <w:t>62</w:t>
            </w:r>
          </w:p>
        </w:tc>
        <w:tc>
          <w:tcPr>
            <w:tcW w:w="1701" w:type="dxa"/>
            <w:shd w:val="clear" w:color="auto" w:fill="auto"/>
          </w:tcPr>
          <w:p w14:paraId="378E8C56" w14:textId="77777777" w:rsidR="00B33542" w:rsidRPr="005071A1" w:rsidRDefault="00B33542" w:rsidP="009B7AF5">
            <w:pPr>
              <w:pStyle w:val="Tabletext"/>
            </w:pPr>
            <w:r w:rsidRPr="005071A1">
              <w:t>0.78</w:t>
            </w:r>
          </w:p>
        </w:tc>
        <w:tc>
          <w:tcPr>
            <w:tcW w:w="1985" w:type="dxa"/>
            <w:shd w:val="clear" w:color="auto" w:fill="auto"/>
          </w:tcPr>
          <w:p w14:paraId="72AA8F1E" w14:textId="77777777" w:rsidR="00B33542" w:rsidRPr="005071A1" w:rsidRDefault="00B33542" w:rsidP="009B7AF5">
            <w:pPr>
              <w:pStyle w:val="Tabletext"/>
            </w:pPr>
            <w:r w:rsidRPr="005071A1">
              <w:t>0.37</w:t>
            </w:r>
          </w:p>
        </w:tc>
        <w:tc>
          <w:tcPr>
            <w:tcW w:w="1660" w:type="dxa"/>
            <w:shd w:val="clear" w:color="auto" w:fill="auto"/>
          </w:tcPr>
          <w:p w14:paraId="14415482" w14:textId="77777777" w:rsidR="00B33542" w:rsidRPr="005071A1" w:rsidRDefault="00B33542" w:rsidP="009B7AF5">
            <w:pPr>
              <w:pStyle w:val="Tabletext"/>
            </w:pPr>
            <w:r w:rsidRPr="005071A1">
              <w:t>0.74</w:t>
            </w:r>
          </w:p>
        </w:tc>
      </w:tr>
      <w:tr w:rsidR="00B33542" w:rsidRPr="005071A1" w14:paraId="6969CFC6" w14:textId="77777777" w:rsidTr="009B7AF5">
        <w:tc>
          <w:tcPr>
            <w:tcW w:w="1701" w:type="dxa"/>
            <w:shd w:val="clear" w:color="auto" w:fill="auto"/>
          </w:tcPr>
          <w:p w14:paraId="0B34F27B" w14:textId="77777777" w:rsidR="00B33542" w:rsidRPr="005071A1" w:rsidRDefault="00B33542" w:rsidP="009B7AF5">
            <w:pPr>
              <w:pStyle w:val="Tabletext"/>
            </w:pPr>
            <w:r w:rsidRPr="005071A1">
              <w:t>63</w:t>
            </w:r>
          </w:p>
        </w:tc>
        <w:tc>
          <w:tcPr>
            <w:tcW w:w="1701" w:type="dxa"/>
            <w:shd w:val="clear" w:color="auto" w:fill="auto"/>
          </w:tcPr>
          <w:p w14:paraId="09470605" w14:textId="77777777" w:rsidR="00B33542" w:rsidRPr="005071A1" w:rsidRDefault="00B33542" w:rsidP="009B7AF5">
            <w:pPr>
              <w:pStyle w:val="Tabletext"/>
            </w:pPr>
            <w:r w:rsidRPr="005071A1">
              <w:t>1.14</w:t>
            </w:r>
          </w:p>
        </w:tc>
        <w:tc>
          <w:tcPr>
            <w:tcW w:w="1985" w:type="dxa"/>
            <w:shd w:val="clear" w:color="auto" w:fill="auto"/>
          </w:tcPr>
          <w:p w14:paraId="04BE9D2D" w14:textId="77777777" w:rsidR="00B33542" w:rsidRPr="005071A1" w:rsidRDefault="00B33542" w:rsidP="009B7AF5">
            <w:pPr>
              <w:pStyle w:val="Tabletext"/>
            </w:pPr>
            <w:r w:rsidRPr="005071A1">
              <w:t>0.55</w:t>
            </w:r>
          </w:p>
        </w:tc>
        <w:tc>
          <w:tcPr>
            <w:tcW w:w="1660" w:type="dxa"/>
            <w:shd w:val="clear" w:color="auto" w:fill="auto"/>
          </w:tcPr>
          <w:p w14:paraId="1FA07308" w14:textId="77777777" w:rsidR="00B33542" w:rsidRPr="005071A1" w:rsidRDefault="00B33542" w:rsidP="009B7AF5">
            <w:pPr>
              <w:pStyle w:val="Tabletext"/>
            </w:pPr>
            <w:r w:rsidRPr="005071A1">
              <w:t>1.10</w:t>
            </w:r>
          </w:p>
        </w:tc>
      </w:tr>
      <w:tr w:rsidR="00B33542" w:rsidRPr="005071A1" w14:paraId="197B66CA" w14:textId="77777777" w:rsidTr="005C01B5">
        <w:tc>
          <w:tcPr>
            <w:tcW w:w="1701" w:type="dxa"/>
            <w:tcBorders>
              <w:bottom w:val="single" w:sz="4" w:space="0" w:color="auto"/>
            </w:tcBorders>
            <w:shd w:val="clear" w:color="auto" w:fill="auto"/>
          </w:tcPr>
          <w:p w14:paraId="1B54BEEA" w14:textId="77777777" w:rsidR="00B33542" w:rsidRPr="005071A1" w:rsidRDefault="00B33542" w:rsidP="009B7AF5">
            <w:pPr>
              <w:pStyle w:val="Tabletext"/>
            </w:pPr>
            <w:r w:rsidRPr="005071A1">
              <w:t>64</w:t>
            </w:r>
          </w:p>
        </w:tc>
        <w:tc>
          <w:tcPr>
            <w:tcW w:w="1701" w:type="dxa"/>
            <w:tcBorders>
              <w:bottom w:val="single" w:sz="4" w:space="0" w:color="auto"/>
            </w:tcBorders>
            <w:shd w:val="clear" w:color="auto" w:fill="auto"/>
          </w:tcPr>
          <w:p w14:paraId="1D2CE4A3" w14:textId="77777777" w:rsidR="00B33542" w:rsidRPr="005071A1" w:rsidRDefault="00B33542" w:rsidP="009B7AF5">
            <w:pPr>
              <w:pStyle w:val="Tabletext"/>
            </w:pPr>
            <w:r w:rsidRPr="005071A1">
              <w:t>2.36</w:t>
            </w:r>
          </w:p>
        </w:tc>
        <w:tc>
          <w:tcPr>
            <w:tcW w:w="1985" w:type="dxa"/>
            <w:tcBorders>
              <w:bottom w:val="single" w:sz="4" w:space="0" w:color="auto"/>
            </w:tcBorders>
            <w:shd w:val="clear" w:color="auto" w:fill="auto"/>
          </w:tcPr>
          <w:p w14:paraId="5E4BFB95" w14:textId="77777777" w:rsidR="00B33542" w:rsidRPr="005071A1" w:rsidRDefault="00B33542" w:rsidP="009B7AF5">
            <w:pPr>
              <w:pStyle w:val="Tabletext"/>
            </w:pPr>
            <w:r w:rsidRPr="005071A1">
              <w:t>1.14</w:t>
            </w:r>
          </w:p>
        </w:tc>
        <w:tc>
          <w:tcPr>
            <w:tcW w:w="1660" w:type="dxa"/>
            <w:tcBorders>
              <w:bottom w:val="single" w:sz="4" w:space="0" w:color="auto"/>
            </w:tcBorders>
            <w:shd w:val="clear" w:color="auto" w:fill="auto"/>
          </w:tcPr>
          <w:p w14:paraId="23FF7014" w14:textId="77777777" w:rsidR="00B33542" w:rsidRPr="005071A1" w:rsidRDefault="00B33542" w:rsidP="009B7AF5">
            <w:pPr>
              <w:pStyle w:val="Tabletext"/>
            </w:pPr>
            <w:r w:rsidRPr="005071A1">
              <w:t>2.28</w:t>
            </w:r>
          </w:p>
        </w:tc>
      </w:tr>
      <w:tr w:rsidR="00B33542" w:rsidRPr="005071A1" w14:paraId="31D003DA" w14:textId="77777777" w:rsidTr="005C01B5">
        <w:tc>
          <w:tcPr>
            <w:tcW w:w="1701" w:type="dxa"/>
            <w:tcBorders>
              <w:bottom w:val="single" w:sz="12" w:space="0" w:color="auto"/>
            </w:tcBorders>
            <w:shd w:val="clear" w:color="auto" w:fill="auto"/>
          </w:tcPr>
          <w:p w14:paraId="2E231DB7" w14:textId="77777777" w:rsidR="00B33542" w:rsidRPr="005071A1" w:rsidRDefault="00B33542" w:rsidP="009B7AF5">
            <w:pPr>
              <w:pStyle w:val="Tabletext"/>
            </w:pPr>
            <w:r w:rsidRPr="005071A1">
              <w:t>65</w:t>
            </w:r>
          </w:p>
        </w:tc>
        <w:tc>
          <w:tcPr>
            <w:tcW w:w="1701" w:type="dxa"/>
            <w:tcBorders>
              <w:bottom w:val="single" w:sz="12" w:space="0" w:color="auto"/>
            </w:tcBorders>
            <w:shd w:val="clear" w:color="auto" w:fill="auto"/>
          </w:tcPr>
          <w:p w14:paraId="1437B027" w14:textId="77777777" w:rsidR="00B33542" w:rsidRPr="005071A1" w:rsidRDefault="00B33542" w:rsidP="009B7AF5">
            <w:pPr>
              <w:pStyle w:val="Tabletext"/>
            </w:pPr>
            <w:r w:rsidRPr="005071A1">
              <w:t>1.96</w:t>
            </w:r>
          </w:p>
        </w:tc>
        <w:tc>
          <w:tcPr>
            <w:tcW w:w="1985" w:type="dxa"/>
            <w:tcBorders>
              <w:bottom w:val="single" w:sz="12" w:space="0" w:color="auto"/>
            </w:tcBorders>
            <w:shd w:val="clear" w:color="auto" w:fill="auto"/>
          </w:tcPr>
          <w:p w14:paraId="376D8443" w14:textId="77777777" w:rsidR="00B33542" w:rsidRPr="005071A1" w:rsidRDefault="00B33542" w:rsidP="009B7AF5">
            <w:pPr>
              <w:pStyle w:val="Tabletext"/>
            </w:pPr>
            <w:r w:rsidRPr="005071A1">
              <w:t>0.94</w:t>
            </w:r>
          </w:p>
        </w:tc>
        <w:tc>
          <w:tcPr>
            <w:tcW w:w="1660" w:type="dxa"/>
            <w:tcBorders>
              <w:bottom w:val="single" w:sz="12" w:space="0" w:color="auto"/>
            </w:tcBorders>
            <w:shd w:val="clear" w:color="auto" w:fill="auto"/>
          </w:tcPr>
          <w:p w14:paraId="7F77CBBD" w14:textId="77777777" w:rsidR="00B33542" w:rsidRPr="005071A1" w:rsidRDefault="00B33542" w:rsidP="009B7AF5">
            <w:pPr>
              <w:pStyle w:val="Tabletext"/>
            </w:pPr>
            <w:r w:rsidRPr="005071A1">
              <w:t>1.88</w:t>
            </w:r>
          </w:p>
        </w:tc>
      </w:tr>
    </w:tbl>
    <w:p w14:paraId="14309525" w14:textId="77777777" w:rsidR="00B33542" w:rsidRPr="005071A1" w:rsidRDefault="00B33542" w:rsidP="00674A0D">
      <w:pPr>
        <w:pStyle w:val="ActHead5"/>
        <w:pageBreakBefore/>
      </w:pPr>
      <w:bookmarkStart w:id="313" w:name="_Toc185577695"/>
      <w:r w:rsidRPr="005071A1">
        <w:lastRenderedPageBreak/>
        <w:t>Table III</w:t>
      </w:r>
      <w:bookmarkEnd w:id="313"/>
    </w:p>
    <w:p w14:paraId="26D662D7" w14:textId="77777777" w:rsidR="00B33542" w:rsidRPr="005071A1" w:rsidRDefault="00B33542" w:rsidP="00B33542">
      <w:pPr>
        <w:spacing w:before="120"/>
      </w:pPr>
      <w:r w:rsidRPr="005071A1">
        <w:t xml:space="preserve">Reductions in fortnightly rates of contribution payable on or after </w:t>
      </w:r>
      <w:smartTag w:uri="urn:schemas-microsoft-com:office:smarttags" w:element="date">
        <w:smartTagPr>
          <w:attr w:name="Year" w:val="1962"/>
          <w:attr w:name="Day" w:val="1"/>
          <w:attr w:name="Month" w:val="7"/>
        </w:smartTagPr>
        <w:r w:rsidRPr="005071A1">
          <w:t>1st July, 1962</w:t>
        </w:r>
      </w:smartTag>
      <w:r w:rsidRPr="005071A1">
        <w:t xml:space="preserve">, by female contributors for units of pension where the obligation to contribute for those units existed on or before </w:t>
      </w:r>
      <w:smartTag w:uri="urn:schemas-microsoft-com:office:smarttags" w:element="date">
        <w:smartTagPr>
          <w:attr w:name="Year" w:val="1942"/>
          <w:attr w:name="Day" w:val="2"/>
          <w:attr w:name="Month" w:val="11"/>
        </w:smartTagPr>
        <w:r w:rsidRPr="005071A1">
          <w:t>2nd November, 1942</w:t>
        </w:r>
      </w:smartTag>
      <w:r w:rsidRPr="005071A1">
        <w:t>, based on a retiring age of 65 years and the age next birthday of the contributor when that obligation came into existence</w:t>
      </w:r>
    </w:p>
    <w:p w14:paraId="099AA701"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32"/>
        <w:gridCol w:w="2432"/>
        <w:gridCol w:w="2432"/>
      </w:tblGrid>
      <w:tr w:rsidR="00B33542" w:rsidRPr="005071A1" w14:paraId="249186EB" w14:textId="77777777" w:rsidTr="009B7AF5">
        <w:trPr>
          <w:tblHeader/>
        </w:trPr>
        <w:tc>
          <w:tcPr>
            <w:tcW w:w="2432" w:type="dxa"/>
            <w:tcBorders>
              <w:top w:val="single" w:sz="12" w:space="0" w:color="auto"/>
              <w:bottom w:val="single" w:sz="6" w:space="0" w:color="auto"/>
            </w:tcBorders>
            <w:shd w:val="clear" w:color="auto" w:fill="auto"/>
          </w:tcPr>
          <w:p w14:paraId="0D057D20" w14:textId="77777777" w:rsidR="00B33542" w:rsidRPr="005071A1" w:rsidRDefault="00B33542" w:rsidP="009B7AF5">
            <w:pPr>
              <w:pStyle w:val="TableHeading"/>
            </w:pPr>
            <w:r w:rsidRPr="005071A1">
              <w:t>Column 1</w:t>
            </w:r>
          </w:p>
        </w:tc>
        <w:tc>
          <w:tcPr>
            <w:tcW w:w="2432" w:type="dxa"/>
            <w:tcBorders>
              <w:top w:val="single" w:sz="12" w:space="0" w:color="auto"/>
              <w:bottom w:val="single" w:sz="6" w:space="0" w:color="auto"/>
            </w:tcBorders>
            <w:shd w:val="clear" w:color="auto" w:fill="auto"/>
          </w:tcPr>
          <w:p w14:paraId="269DEB1A" w14:textId="77777777" w:rsidR="00B33542" w:rsidRPr="005071A1" w:rsidRDefault="00B33542" w:rsidP="009B7AF5">
            <w:pPr>
              <w:pStyle w:val="TableHeading"/>
            </w:pPr>
            <w:r w:rsidRPr="005071A1">
              <w:t>Column 2</w:t>
            </w:r>
          </w:p>
        </w:tc>
        <w:tc>
          <w:tcPr>
            <w:tcW w:w="2432" w:type="dxa"/>
            <w:tcBorders>
              <w:top w:val="single" w:sz="12" w:space="0" w:color="auto"/>
              <w:bottom w:val="single" w:sz="6" w:space="0" w:color="auto"/>
            </w:tcBorders>
            <w:shd w:val="clear" w:color="auto" w:fill="auto"/>
          </w:tcPr>
          <w:p w14:paraId="1350F9F2" w14:textId="77777777" w:rsidR="00B33542" w:rsidRPr="005071A1" w:rsidRDefault="00B33542" w:rsidP="009B7AF5">
            <w:pPr>
              <w:pStyle w:val="TableHeading"/>
            </w:pPr>
            <w:r w:rsidRPr="005071A1">
              <w:t>Column 3</w:t>
            </w:r>
          </w:p>
        </w:tc>
      </w:tr>
      <w:tr w:rsidR="00B33542" w:rsidRPr="005071A1" w14:paraId="4696B8D5" w14:textId="77777777" w:rsidTr="009B7AF5">
        <w:trPr>
          <w:tblHeader/>
        </w:trPr>
        <w:tc>
          <w:tcPr>
            <w:tcW w:w="2432" w:type="dxa"/>
            <w:tcBorders>
              <w:top w:val="single" w:sz="6" w:space="0" w:color="auto"/>
              <w:bottom w:val="single" w:sz="6" w:space="0" w:color="auto"/>
            </w:tcBorders>
            <w:shd w:val="clear" w:color="auto" w:fill="auto"/>
          </w:tcPr>
          <w:p w14:paraId="7DF19C37"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2432" w:type="dxa"/>
            <w:tcBorders>
              <w:top w:val="single" w:sz="6" w:space="0" w:color="auto"/>
              <w:bottom w:val="single" w:sz="6" w:space="0" w:color="auto"/>
            </w:tcBorders>
            <w:shd w:val="clear" w:color="auto" w:fill="auto"/>
          </w:tcPr>
          <w:p w14:paraId="3902E8AF"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t>Reduction in Contribution for First Two Units; and Reduction in Contribution for each Additional Two Units included in a number of Additional Units for which Contributor became liable to Contribute at the same time, excluding any Unit to which Column 3 of this Table applies</w:t>
            </w:r>
          </w:p>
        </w:tc>
        <w:tc>
          <w:tcPr>
            <w:tcW w:w="2432" w:type="dxa"/>
            <w:tcBorders>
              <w:top w:val="single" w:sz="6" w:space="0" w:color="auto"/>
              <w:bottom w:val="single" w:sz="6" w:space="0" w:color="auto"/>
            </w:tcBorders>
            <w:shd w:val="clear" w:color="auto" w:fill="auto"/>
          </w:tcPr>
          <w:p w14:paraId="3FA56168" w14:textId="77777777" w:rsidR="00B33542" w:rsidRPr="005071A1" w:rsidRDefault="00B33542" w:rsidP="005C01B5">
            <w:pPr>
              <w:pStyle w:val="TableHeading"/>
              <w:spacing w:before="40" w:after="40" w:line="180" w:lineRule="atLeast"/>
              <w:rPr>
                <w:sz w:val="16"/>
                <w:szCs w:val="16"/>
              </w:rPr>
            </w:pPr>
            <w:r w:rsidRPr="005071A1">
              <w:rPr>
                <w:sz w:val="16"/>
                <w:szCs w:val="16"/>
              </w:rPr>
              <w:br/>
              <w:t>Reduction in Contribution for Additional Unit where Contributor did not become liable to Contribute for other Additional Units at the same time; and Reduction in Contribution for One of a number of Additional Units for which Contributor became liable to Contribute at the same time, being a number that is not two or a multiple of two</w:t>
            </w:r>
          </w:p>
        </w:tc>
      </w:tr>
      <w:tr w:rsidR="00B33542" w:rsidRPr="005071A1" w14:paraId="649456A7" w14:textId="77777777" w:rsidTr="009B7AF5">
        <w:trPr>
          <w:tblHeader/>
        </w:trPr>
        <w:tc>
          <w:tcPr>
            <w:tcW w:w="2432" w:type="dxa"/>
            <w:tcBorders>
              <w:top w:val="single" w:sz="6" w:space="0" w:color="auto"/>
              <w:bottom w:val="single" w:sz="12" w:space="0" w:color="auto"/>
            </w:tcBorders>
            <w:shd w:val="clear" w:color="auto" w:fill="auto"/>
          </w:tcPr>
          <w:p w14:paraId="1F3DAC5B" w14:textId="77777777" w:rsidR="00B33542" w:rsidRPr="005071A1" w:rsidRDefault="00B33542" w:rsidP="005C01B5">
            <w:pPr>
              <w:pStyle w:val="TableHeading"/>
            </w:pPr>
          </w:p>
        </w:tc>
        <w:tc>
          <w:tcPr>
            <w:tcW w:w="2432" w:type="dxa"/>
            <w:tcBorders>
              <w:top w:val="single" w:sz="6" w:space="0" w:color="auto"/>
              <w:bottom w:val="single" w:sz="12" w:space="0" w:color="auto"/>
            </w:tcBorders>
            <w:shd w:val="clear" w:color="auto" w:fill="auto"/>
          </w:tcPr>
          <w:p w14:paraId="1C09E4E5" w14:textId="77777777" w:rsidR="00B33542" w:rsidRPr="005071A1" w:rsidRDefault="00B33542" w:rsidP="005C01B5">
            <w:pPr>
              <w:pStyle w:val="TableHeading"/>
            </w:pPr>
            <w:r w:rsidRPr="005071A1">
              <w:t>$</w:t>
            </w:r>
          </w:p>
        </w:tc>
        <w:tc>
          <w:tcPr>
            <w:tcW w:w="2432" w:type="dxa"/>
            <w:tcBorders>
              <w:top w:val="single" w:sz="6" w:space="0" w:color="auto"/>
              <w:bottom w:val="single" w:sz="12" w:space="0" w:color="auto"/>
            </w:tcBorders>
            <w:shd w:val="clear" w:color="auto" w:fill="auto"/>
          </w:tcPr>
          <w:p w14:paraId="429EE3C2" w14:textId="77777777" w:rsidR="00B33542" w:rsidRPr="005071A1" w:rsidRDefault="00B33542" w:rsidP="005C01B5">
            <w:pPr>
              <w:pStyle w:val="TableHeading"/>
            </w:pPr>
            <w:r w:rsidRPr="005071A1">
              <w:t>$</w:t>
            </w:r>
          </w:p>
        </w:tc>
      </w:tr>
      <w:tr w:rsidR="00B33542" w:rsidRPr="005071A1" w14:paraId="3BE0CD78" w14:textId="77777777" w:rsidTr="009B7AF5">
        <w:tc>
          <w:tcPr>
            <w:tcW w:w="2432" w:type="dxa"/>
            <w:tcBorders>
              <w:top w:val="single" w:sz="12" w:space="0" w:color="auto"/>
            </w:tcBorders>
            <w:shd w:val="clear" w:color="auto" w:fill="auto"/>
          </w:tcPr>
          <w:p w14:paraId="29CD21F5" w14:textId="77777777" w:rsidR="00B33542" w:rsidRPr="005071A1" w:rsidRDefault="00B33542" w:rsidP="009B7AF5">
            <w:pPr>
              <w:pStyle w:val="Tabletext"/>
            </w:pPr>
            <w:r w:rsidRPr="005071A1">
              <w:t>15</w:t>
            </w:r>
          </w:p>
        </w:tc>
        <w:tc>
          <w:tcPr>
            <w:tcW w:w="2432" w:type="dxa"/>
            <w:tcBorders>
              <w:top w:val="single" w:sz="12" w:space="0" w:color="auto"/>
            </w:tcBorders>
            <w:shd w:val="clear" w:color="auto" w:fill="auto"/>
          </w:tcPr>
          <w:p w14:paraId="3D9C6CF3" w14:textId="77777777" w:rsidR="00B33542" w:rsidRPr="005071A1" w:rsidRDefault="00B33542" w:rsidP="009B7AF5">
            <w:pPr>
              <w:pStyle w:val="Tabletext"/>
            </w:pPr>
            <w:r w:rsidRPr="005071A1">
              <w:t>0.04</w:t>
            </w:r>
          </w:p>
        </w:tc>
        <w:tc>
          <w:tcPr>
            <w:tcW w:w="2432" w:type="dxa"/>
            <w:tcBorders>
              <w:top w:val="single" w:sz="12" w:space="0" w:color="auto"/>
            </w:tcBorders>
            <w:shd w:val="clear" w:color="auto" w:fill="auto"/>
          </w:tcPr>
          <w:p w14:paraId="350C81EA" w14:textId="77777777" w:rsidR="00B33542" w:rsidRPr="005071A1" w:rsidRDefault="00B33542" w:rsidP="009B7AF5">
            <w:pPr>
              <w:pStyle w:val="Tabletext"/>
            </w:pPr>
            <w:r w:rsidRPr="005071A1">
              <w:t>0.02</w:t>
            </w:r>
          </w:p>
        </w:tc>
      </w:tr>
      <w:tr w:rsidR="00B33542" w:rsidRPr="005071A1" w14:paraId="23FEDE9C" w14:textId="77777777" w:rsidTr="009B7AF5">
        <w:tc>
          <w:tcPr>
            <w:tcW w:w="2432" w:type="dxa"/>
            <w:shd w:val="clear" w:color="auto" w:fill="auto"/>
          </w:tcPr>
          <w:p w14:paraId="3A3737CE" w14:textId="77777777" w:rsidR="00B33542" w:rsidRPr="005071A1" w:rsidRDefault="00B33542" w:rsidP="009B7AF5">
            <w:pPr>
              <w:pStyle w:val="Tabletext"/>
            </w:pPr>
            <w:r w:rsidRPr="005071A1">
              <w:t>16</w:t>
            </w:r>
          </w:p>
        </w:tc>
        <w:tc>
          <w:tcPr>
            <w:tcW w:w="2432" w:type="dxa"/>
            <w:shd w:val="clear" w:color="auto" w:fill="auto"/>
          </w:tcPr>
          <w:p w14:paraId="7364B10D" w14:textId="77777777" w:rsidR="00B33542" w:rsidRPr="005071A1" w:rsidRDefault="00B33542" w:rsidP="009B7AF5">
            <w:pPr>
              <w:pStyle w:val="Tabletext"/>
            </w:pPr>
            <w:r w:rsidRPr="005071A1">
              <w:t>0.04</w:t>
            </w:r>
          </w:p>
        </w:tc>
        <w:tc>
          <w:tcPr>
            <w:tcW w:w="2432" w:type="dxa"/>
            <w:shd w:val="clear" w:color="auto" w:fill="auto"/>
          </w:tcPr>
          <w:p w14:paraId="78E92A0B" w14:textId="77777777" w:rsidR="00B33542" w:rsidRPr="005071A1" w:rsidRDefault="00B33542" w:rsidP="009B7AF5">
            <w:pPr>
              <w:pStyle w:val="Tabletext"/>
            </w:pPr>
            <w:r w:rsidRPr="005071A1">
              <w:t>0.02</w:t>
            </w:r>
          </w:p>
        </w:tc>
      </w:tr>
      <w:tr w:rsidR="00B33542" w:rsidRPr="005071A1" w14:paraId="2D9D064F" w14:textId="77777777" w:rsidTr="009B7AF5">
        <w:tc>
          <w:tcPr>
            <w:tcW w:w="2432" w:type="dxa"/>
            <w:shd w:val="clear" w:color="auto" w:fill="auto"/>
          </w:tcPr>
          <w:p w14:paraId="03AECED5" w14:textId="77777777" w:rsidR="00B33542" w:rsidRPr="005071A1" w:rsidRDefault="00B33542" w:rsidP="009B7AF5">
            <w:pPr>
              <w:pStyle w:val="Tabletext"/>
            </w:pPr>
            <w:r w:rsidRPr="005071A1">
              <w:t>17</w:t>
            </w:r>
          </w:p>
        </w:tc>
        <w:tc>
          <w:tcPr>
            <w:tcW w:w="2432" w:type="dxa"/>
            <w:shd w:val="clear" w:color="auto" w:fill="auto"/>
          </w:tcPr>
          <w:p w14:paraId="644171C8" w14:textId="77777777" w:rsidR="00B33542" w:rsidRPr="005071A1" w:rsidRDefault="00B33542" w:rsidP="009B7AF5">
            <w:pPr>
              <w:pStyle w:val="Tabletext"/>
            </w:pPr>
            <w:r w:rsidRPr="005071A1">
              <w:t>0.04</w:t>
            </w:r>
          </w:p>
        </w:tc>
        <w:tc>
          <w:tcPr>
            <w:tcW w:w="2432" w:type="dxa"/>
            <w:shd w:val="clear" w:color="auto" w:fill="auto"/>
          </w:tcPr>
          <w:p w14:paraId="3DB6EC89" w14:textId="77777777" w:rsidR="00B33542" w:rsidRPr="005071A1" w:rsidRDefault="00B33542" w:rsidP="009B7AF5">
            <w:pPr>
              <w:pStyle w:val="Tabletext"/>
            </w:pPr>
            <w:r w:rsidRPr="005071A1">
              <w:t>0.02</w:t>
            </w:r>
          </w:p>
        </w:tc>
      </w:tr>
      <w:tr w:rsidR="00B33542" w:rsidRPr="005071A1" w14:paraId="28A35B0B" w14:textId="77777777" w:rsidTr="009B7AF5">
        <w:tc>
          <w:tcPr>
            <w:tcW w:w="2432" w:type="dxa"/>
            <w:shd w:val="clear" w:color="auto" w:fill="auto"/>
          </w:tcPr>
          <w:p w14:paraId="7C07C390" w14:textId="77777777" w:rsidR="00B33542" w:rsidRPr="005071A1" w:rsidRDefault="00B33542" w:rsidP="009B7AF5">
            <w:pPr>
              <w:pStyle w:val="Tabletext"/>
            </w:pPr>
            <w:r w:rsidRPr="005071A1">
              <w:t>18</w:t>
            </w:r>
          </w:p>
        </w:tc>
        <w:tc>
          <w:tcPr>
            <w:tcW w:w="2432" w:type="dxa"/>
            <w:shd w:val="clear" w:color="auto" w:fill="auto"/>
          </w:tcPr>
          <w:p w14:paraId="50E6545C" w14:textId="77777777" w:rsidR="00B33542" w:rsidRPr="005071A1" w:rsidRDefault="00B33542" w:rsidP="009B7AF5">
            <w:pPr>
              <w:pStyle w:val="Tabletext"/>
            </w:pPr>
            <w:r w:rsidRPr="005071A1">
              <w:t>0.04</w:t>
            </w:r>
          </w:p>
        </w:tc>
        <w:tc>
          <w:tcPr>
            <w:tcW w:w="2432" w:type="dxa"/>
            <w:shd w:val="clear" w:color="auto" w:fill="auto"/>
          </w:tcPr>
          <w:p w14:paraId="2F3F40BD" w14:textId="77777777" w:rsidR="00B33542" w:rsidRPr="005071A1" w:rsidRDefault="00B33542" w:rsidP="009B7AF5">
            <w:pPr>
              <w:pStyle w:val="Tabletext"/>
            </w:pPr>
            <w:r w:rsidRPr="005071A1">
              <w:t>0.02</w:t>
            </w:r>
          </w:p>
        </w:tc>
      </w:tr>
      <w:tr w:rsidR="00B33542" w:rsidRPr="005071A1" w14:paraId="56035E4C" w14:textId="77777777" w:rsidTr="009B7AF5">
        <w:tc>
          <w:tcPr>
            <w:tcW w:w="2432" w:type="dxa"/>
            <w:shd w:val="clear" w:color="auto" w:fill="auto"/>
          </w:tcPr>
          <w:p w14:paraId="1DE87A4F" w14:textId="77777777" w:rsidR="00B33542" w:rsidRPr="005071A1" w:rsidRDefault="00B33542" w:rsidP="009B7AF5">
            <w:pPr>
              <w:pStyle w:val="Tabletext"/>
            </w:pPr>
            <w:r w:rsidRPr="005071A1">
              <w:t>19</w:t>
            </w:r>
          </w:p>
        </w:tc>
        <w:tc>
          <w:tcPr>
            <w:tcW w:w="2432" w:type="dxa"/>
            <w:shd w:val="clear" w:color="auto" w:fill="auto"/>
          </w:tcPr>
          <w:p w14:paraId="7AA8DCD9" w14:textId="77777777" w:rsidR="00B33542" w:rsidRPr="005071A1" w:rsidRDefault="00B33542" w:rsidP="009B7AF5">
            <w:pPr>
              <w:pStyle w:val="Tabletext"/>
            </w:pPr>
            <w:r w:rsidRPr="005071A1">
              <w:t>0.04</w:t>
            </w:r>
          </w:p>
        </w:tc>
        <w:tc>
          <w:tcPr>
            <w:tcW w:w="2432" w:type="dxa"/>
            <w:shd w:val="clear" w:color="auto" w:fill="auto"/>
          </w:tcPr>
          <w:p w14:paraId="3B2D5ADB" w14:textId="77777777" w:rsidR="00B33542" w:rsidRPr="005071A1" w:rsidRDefault="00B33542" w:rsidP="009B7AF5">
            <w:pPr>
              <w:pStyle w:val="Tabletext"/>
            </w:pPr>
            <w:r w:rsidRPr="005071A1">
              <w:t>0.02</w:t>
            </w:r>
          </w:p>
        </w:tc>
      </w:tr>
      <w:tr w:rsidR="00B33542" w:rsidRPr="005071A1" w14:paraId="72F1B165" w14:textId="77777777" w:rsidTr="009B7AF5">
        <w:tc>
          <w:tcPr>
            <w:tcW w:w="2432" w:type="dxa"/>
            <w:shd w:val="clear" w:color="auto" w:fill="auto"/>
          </w:tcPr>
          <w:p w14:paraId="5A45622C" w14:textId="77777777" w:rsidR="00B33542" w:rsidRPr="005071A1" w:rsidRDefault="00B33542" w:rsidP="009B7AF5">
            <w:pPr>
              <w:pStyle w:val="Tabletext"/>
            </w:pPr>
            <w:r w:rsidRPr="005071A1">
              <w:t>20</w:t>
            </w:r>
          </w:p>
        </w:tc>
        <w:tc>
          <w:tcPr>
            <w:tcW w:w="2432" w:type="dxa"/>
            <w:shd w:val="clear" w:color="auto" w:fill="auto"/>
          </w:tcPr>
          <w:p w14:paraId="32D426A6" w14:textId="77777777" w:rsidR="00B33542" w:rsidRPr="005071A1" w:rsidRDefault="00B33542" w:rsidP="009B7AF5">
            <w:pPr>
              <w:pStyle w:val="Tabletext"/>
            </w:pPr>
            <w:r w:rsidRPr="005071A1">
              <w:t>0.04</w:t>
            </w:r>
          </w:p>
        </w:tc>
        <w:tc>
          <w:tcPr>
            <w:tcW w:w="2432" w:type="dxa"/>
            <w:shd w:val="clear" w:color="auto" w:fill="auto"/>
          </w:tcPr>
          <w:p w14:paraId="0FDB8107" w14:textId="77777777" w:rsidR="00B33542" w:rsidRPr="005071A1" w:rsidRDefault="00B33542" w:rsidP="009B7AF5">
            <w:pPr>
              <w:pStyle w:val="Tabletext"/>
            </w:pPr>
            <w:r w:rsidRPr="005071A1">
              <w:t>0.02</w:t>
            </w:r>
          </w:p>
        </w:tc>
      </w:tr>
      <w:tr w:rsidR="00B33542" w:rsidRPr="005071A1" w14:paraId="30542AEE" w14:textId="77777777" w:rsidTr="009B7AF5">
        <w:tc>
          <w:tcPr>
            <w:tcW w:w="2432" w:type="dxa"/>
            <w:shd w:val="clear" w:color="auto" w:fill="auto"/>
          </w:tcPr>
          <w:p w14:paraId="3D2F7750" w14:textId="77777777" w:rsidR="00B33542" w:rsidRPr="005071A1" w:rsidRDefault="00B33542" w:rsidP="009B7AF5">
            <w:pPr>
              <w:pStyle w:val="Tabletext"/>
            </w:pPr>
            <w:r w:rsidRPr="005071A1">
              <w:t>21</w:t>
            </w:r>
          </w:p>
        </w:tc>
        <w:tc>
          <w:tcPr>
            <w:tcW w:w="2432" w:type="dxa"/>
            <w:shd w:val="clear" w:color="auto" w:fill="auto"/>
          </w:tcPr>
          <w:p w14:paraId="61010935" w14:textId="77777777" w:rsidR="00B33542" w:rsidRPr="005071A1" w:rsidRDefault="00B33542" w:rsidP="009B7AF5">
            <w:pPr>
              <w:pStyle w:val="Tabletext"/>
            </w:pPr>
            <w:r w:rsidRPr="005071A1">
              <w:t>0.04</w:t>
            </w:r>
          </w:p>
        </w:tc>
        <w:tc>
          <w:tcPr>
            <w:tcW w:w="2432" w:type="dxa"/>
            <w:shd w:val="clear" w:color="auto" w:fill="auto"/>
          </w:tcPr>
          <w:p w14:paraId="7FCB2B97" w14:textId="77777777" w:rsidR="00B33542" w:rsidRPr="005071A1" w:rsidRDefault="00B33542" w:rsidP="009B7AF5">
            <w:pPr>
              <w:pStyle w:val="Tabletext"/>
            </w:pPr>
            <w:r w:rsidRPr="005071A1">
              <w:t>0.02</w:t>
            </w:r>
          </w:p>
        </w:tc>
      </w:tr>
      <w:tr w:rsidR="00B33542" w:rsidRPr="005071A1" w14:paraId="2261B618" w14:textId="77777777" w:rsidTr="009B7AF5">
        <w:tc>
          <w:tcPr>
            <w:tcW w:w="2432" w:type="dxa"/>
            <w:shd w:val="clear" w:color="auto" w:fill="auto"/>
          </w:tcPr>
          <w:p w14:paraId="27FFB5AB" w14:textId="77777777" w:rsidR="00B33542" w:rsidRPr="005071A1" w:rsidRDefault="00B33542" w:rsidP="009B7AF5">
            <w:pPr>
              <w:pStyle w:val="Tabletext"/>
            </w:pPr>
            <w:r w:rsidRPr="005071A1">
              <w:t>22</w:t>
            </w:r>
          </w:p>
        </w:tc>
        <w:tc>
          <w:tcPr>
            <w:tcW w:w="2432" w:type="dxa"/>
            <w:shd w:val="clear" w:color="auto" w:fill="auto"/>
          </w:tcPr>
          <w:p w14:paraId="17E9265C" w14:textId="77777777" w:rsidR="00B33542" w:rsidRPr="005071A1" w:rsidRDefault="00B33542" w:rsidP="009B7AF5">
            <w:pPr>
              <w:pStyle w:val="Tabletext"/>
            </w:pPr>
            <w:r w:rsidRPr="005071A1">
              <w:t>0.04</w:t>
            </w:r>
          </w:p>
        </w:tc>
        <w:tc>
          <w:tcPr>
            <w:tcW w:w="2432" w:type="dxa"/>
            <w:shd w:val="clear" w:color="auto" w:fill="auto"/>
          </w:tcPr>
          <w:p w14:paraId="6671449A" w14:textId="77777777" w:rsidR="00B33542" w:rsidRPr="005071A1" w:rsidRDefault="00B33542" w:rsidP="009B7AF5">
            <w:pPr>
              <w:pStyle w:val="Tabletext"/>
            </w:pPr>
            <w:r w:rsidRPr="005071A1">
              <w:t>0.02</w:t>
            </w:r>
          </w:p>
        </w:tc>
      </w:tr>
      <w:tr w:rsidR="00B33542" w:rsidRPr="005071A1" w14:paraId="74053FCA" w14:textId="77777777" w:rsidTr="009B7AF5">
        <w:tc>
          <w:tcPr>
            <w:tcW w:w="2432" w:type="dxa"/>
            <w:shd w:val="clear" w:color="auto" w:fill="auto"/>
          </w:tcPr>
          <w:p w14:paraId="19936AA6" w14:textId="77777777" w:rsidR="00B33542" w:rsidRPr="005071A1" w:rsidRDefault="00B33542" w:rsidP="009B7AF5">
            <w:pPr>
              <w:pStyle w:val="Tabletext"/>
            </w:pPr>
            <w:r w:rsidRPr="005071A1">
              <w:t>23</w:t>
            </w:r>
          </w:p>
        </w:tc>
        <w:tc>
          <w:tcPr>
            <w:tcW w:w="2432" w:type="dxa"/>
            <w:shd w:val="clear" w:color="auto" w:fill="auto"/>
          </w:tcPr>
          <w:p w14:paraId="476F110F" w14:textId="77777777" w:rsidR="00B33542" w:rsidRPr="005071A1" w:rsidRDefault="00B33542" w:rsidP="009B7AF5">
            <w:pPr>
              <w:pStyle w:val="Tabletext"/>
            </w:pPr>
            <w:r w:rsidRPr="005071A1">
              <w:t>0.04</w:t>
            </w:r>
          </w:p>
        </w:tc>
        <w:tc>
          <w:tcPr>
            <w:tcW w:w="2432" w:type="dxa"/>
            <w:shd w:val="clear" w:color="auto" w:fill="auto"/>
          </w:tcPr>
          <w:p w14:paraId="0AEE537B" w14:textId="77777777" w:rsidR="00B33542" w:rsidRPr="005071A1" w:rsidRDefault="00B33542" w:rsidP="009B7AF5">
            <w:pPr>
              <w:pStyle w:val="Tabletext"/>
            </w:pPr>
            <w:r w:rsidRPr="005071A1">
              <w:t>0.02</w:t>
            </w:r>
          </w:p>
        </w:tc>
      </w:tr>
      <w:tr w:rsidR="00B33542" w:rsidRPr="005071A1" w14:paraId="3C71C8F0" w14:textId="77777777" w:rsidTr="009B7AF5">
        <w:tc>
          <w:tcPr>
            <w:tcW w:w="2432" w:type="dxa"/>
            <w:shd w:val="clear" w:color="auto" w:fill="auto"/>
          </w:tcPr>
          <w:p w14:paraId="086D2BBC" w14:textId="77777777" w:rsidR="00B33542" w:rsidRPr="005071A1" w:rsidRDefault="00B33542" w:rsidP="009B7AF5">
            <w:pPr>
              <w:pStyle w:val="Tabletext"/>
            </w:pPr>
            <w:r w:rsidRPr="005071A1">
              <w:t>24</w:t>
            </w:r>
          </w:p>
        </w:tc>
        <w:tc>
          <w:tcPr>
            <w:tcW w:w="2432" w:type="dxa"/>
            <w:shd w:val="clear" w:color="auto" w:fill="auto"/>
          </w:tcPr>
          <w:p w14:paraId="5F338ECE" w14:textId="77777777" w:rsidR="00B33542" w:rsidRPr="005071A1" w:rsidRDefault="00B33542" w:rsidP="009B7AF5">
            <w:pPr>
              <w:pStyle w:val="Tabletext"/>
            </w:pPr>
            <w:r w:rsidRPr="005071A1">
              <w:t>0.04</w:t>
            </w:r>
          </w:p>
        </w:tc>
        <w:tc>
          <w:tcPr>
            <w:tcW w:w="2432" w:type="dxa"/>
            <w:shd w:val="clear" w:color="auto" w:fill="auto"/>
          </w:tcPr>
          <w:p w14:paraId="57FA67ED" w14:textId="77777777" w:rsidR="00B33542" w:rsidRPr="005071A1" w:rsidRDefault="00B33542" w:rsidP="009B7AF5">
            <w:pPr>
              <w:pStyle w:val="Tabletext"/>
            </w:pPr>
            <w:r w:rsidRPr="005071A1">
              <w:t>0.02</w:t>
            </w:r>
          </w:p>
        </w:tc>
      </w:tr>
      <w:tr w:rsidR="00B33542" w:rsidRPr="005071A1" w14:paraId="5714CA81" w14:textId="77777777" w:rsidTr="009B7AF5">
        <w:tc>
          <w:tcPr>
            <w:tcW w:w="2432" w:type="dxa"/>
            <w:shd w:val="clear" w:color="auto" w:fill="auto"/>
          </w:tcPr>
          <w:p w14:paraId="743670DB" w14:textId="77777777" w:rsidR="00B33542" w:rsidRPr="005071A1" w:rsidRDefault="00B33542" w:rsidP="009B7AF5">
            <w:pPr>
              <w:pStyle w:val="Tabletext"/>
            </w:pPr>
            <w:r w:rsidRPr="005071A1">
              <w:t>25</w:t>
            </w:r>
          </w:p>
        </w:tc>
        <w:tc>
          <w:tcPr>
            <w:tcW w:w="2432" w:type="dxa"/>
            <w:shd w:val="clear" w:color="auto" w:fill="auto"/>
          </w:tcPr>
          <w:p w14:paraId="6794814F" w14:textId="77777777" w:rsidR="00B33542" w:rsidRPr="005071A1" w:rsidRDefault="00B33542" w:rsidP="009B7AF5">
            <w:pPr>
              <w:pStyle w:val="Tabletext"/>
            </w:pPr>
            <w:r w:rsidRPr="005071A1">
              <w:t>0.04</w:t>
            </w:r>
          </w:p>
        </w:tc>
        <w:tc>
          <w:tcPr>
            <w:tcW w:w="2432" w:type="dxa"/>
            <w:shd w:val="clear" w:color="auto" w:fill="auto"/>
          </w:tcPr>
          <w:p w14:paraId="4731A85D" w14:textId="77777777" w:rsidR="00B33542" w:rsidRPr="005071A1" w:rsidRDefault="00B33542" w:rsidP="009B7AF5">
            <w:pPr>
              <w:pStyle w:val="Tabletext"/>
            </w:pPr>
            <w:r w:rsidRPr="005071A1">
              <w:t>0.02</w:t>
            </w:r>
          </w:p>
        </w:tc>
      </w:tr>
      <w:tr w:rsidR="00B33542" w:rsidRPr="005071A1" w14:paraId="26FAE645" w14:textId="77777777" w:rsidTr="009B7AF5">
        <w:tc>
          <w:tcPr>
            <w:tcW w:w="2432" w:type="dxa"/>
            <w:shd w:val="clear" w:color="auto" w:fill="auto"/>
          </w:tcPr>
          <w:p w14:paraId="53A9A515" w14:textId="77777777" w:rsidR="00B33542" w:rsidRPr="005071A1" w:rsidRDefault="00B33542" w:rsidP="009B7AF5">
            <w:pPr>
              <w:pStyle w:val="Tabletext"/>
            </w:pPr>
            <w:r w:rsidRPr="005071A1">
              <w:t>26</w:t>
            </w:r>
          </w:p>
        </w:tc>
        <w:tc>
          <w:tcPr>
            <w:tcW w:w="2432" w:type="dxa"/>
            <w:shd w:val="clear" w:color="auto" w:fill="auto"/>
          </w:tcPr>
          <w:p w14:paraId="2E2EF7E3" w14:textId="77777777" w:rsidR="00B33542" w:rsidRPr="005071A1" w:rsidRDefault="00B33542" w:rsidP="009B7AF5">
            <w:pPr>
              <w:pStyle w:val="Tabletext"/>
            </w:pPr>
            <w:r w:rsidRPr="005071A1">
              <w:t>0.04</w:t>
            </w:r>
          </w:p>
        </w:tc>
        <w:tc>
          <w:tcPr>
            <w:tcW w:w="2432" w:type="dxa"/>
            <w:shd w:val="clear" w:color="auto" w:fill="auto"/>
          </w:tcPr>
          <w:p w14:paraId="5AE89076" w14:textId="77777777" w:rsidR="00B33542" w:rsidRPr="005071A1" w:rsidRDefault="00B33542" w:rsidP="009B7AF5">
            <w:pPr>
              <w:pStyle w:val="Tabletext"/>
            </w:pPr>
            <w:r w:rsidRPr="005071A1">
              <w:t>0.02</w:t>
            </w:r>
          </w:p>
        </w:tc>
      </w:tr>
      <w:tr w:rsidR="00B33542" w:rsidRPr="005071A1" w14:paraId="79286A41" w14:textId="77777777" w:rsidTr="00D57394">
        <w:tc>
          <w:tcPr>
            <w:tcW w:w="2432" w:type="dxa"/>
            <w:tcBorders>
              <w:bottom w:val="single" w:sz="4" w:space="0" w:color="auto"/>
            </w:tcBorders>
            <w:shd w:val="clear" w:color="auto" w:fill="auto"/>
          </w:tcPr>
          <w:p w14:paraId="0260B206" w14:textId="77777777" w:rsidR="00B33542" w:rsidRPr="005071A1" w:rsidRDefault="00B33542" w:rsidP="009B7AF5">
            <w:pPr>
              <w:pStyle w:val="Tabletext"/>
            </w:pPr>
            <w:r w:rsidRPr="005071A1">
              <w:t>27</w:t>
            </w:r>
          </w:p>
        </w:tc>
        <w:tc>
          <w:tcPr>
            <w:tcW w:w="2432" w:type="dxa"/>
            <w:tcBorders>
              <w:bottom w:val="single" w:sz="4" w:space="0" w:color="auto"/>
            </w:tcBorders>
            <w:shd w:val="clear" w:color="auto" w:fill="auto"/>
          </w:tcPr>
          <w:p w14:paraId="529A3232" w14:textId="77777777" w:rsidR="00B33542" w:rsidRPr="005071A1" w:rsidRDefault="00B33542" w:rsidP="009B7AF5">
            <w:pPr>
              <w:pStyle w:val="Tabletext"/>
            </w:pPr>
            <w:r w:rsidRPr="005071A1">
              <w:t>0.04</w:t>
            </w:r>
          </w:p>
        </w:tc>
        <w:tc>
          <w:tcPr>
            <w:tcW w:w="2432" w:type="dxa"/>
            <w:tcBorders>
              <w:bottom w:val="single" w:sz="4" w:space="0" w:color="auto"/>
            </w:tcBorders>
            <w:shd w:val="clear" w:color="auto" w:fill="auto"/>
          </w:tcPr>
          <w:p w14:paraId="008493D8" w14:textId="77777777" w:rsidR="00B33542" w:rsidRPr="005071A1" w:rsidRDefault="00B33542" w:rsidP="009B7AF5">
            <w:pPr>
              <w:pStyle w:val="Tabletext"/>
            </w:pPr>
            <w:r w:rsidRPr="005071A1">
              <w:t>0.02</w:t>
            </w:r>
          </w:p>
        </w:tc>
      </w:tr>
      <w:tr w:rsidR="00B33542" w:rsidRPr="005071A1" w14:paraId="5D7F391B" w14:textId="77777777" w:rsidTr="00D57394">
        <w:tc>
          <w:tcPr>
            <w:tcW w:w="2432" w:type="dxa"/>
            <w:tcBorders>
              <w:bottom w:val="single" w:sz="4" w:space="0" w:color="auto"/>
            </w:tcBorders>
            <w:shd w:val="clear" w:color="auto" w:fill="auto"/>
          </w:tcPr>
          <w:p w14:paraId="1E8146F0" w14:textId="77777777" w:rsidR="00B33542" w:rsidRPr="005071A1" w:rsidRDefault="00B33542" w:rsidP="009B7AF5">
            <w:pPr>
              <w:pStyle w:val="Tabletext"/>
            </w:pPr>
            <w:r w:rsidRPr="005071A1">
              <w:lastRenderedPageBreak/>
              <w:t>28</w:t>
            </w:r>
          </w:p>
        </w:tc>
        <w:tc>
          <w:tcPr>
            <w:tcW w:w="2432" w:type="dxa"/>
            <w:tcBorders>
              <w:bottom w:val="single" w:sz="4" w:space="0" w:color="auto"/>
            </w:tcBorders>
            <w:shd w:val="clear" w:color="auto" w:fill="auto"/>
          </w:tcPr>
          <w:p w14:paraId="608B25D9" w14:textId="77777777" w:rsidR="00B33542" w:rsidRPr="005071A1" w:rsidRDefault="00B33542" w:rsidP="009B7AF5">
            <w:pPr>
              <w:pStyle w:val="Tabletext"/>
            </w:pPr>
            <w:r w:rsidRPr="005071A1">
              <w:t>0.04</w:t>
            </w:r>
          </w:p>
        </w:tc>
        <w:tc>
          <w:tcPr>
            <w:tcW w:w="2432" w:type="dxa"/>
            <w:tcBorders>
              <w:bottom w:val="single" w:sz="4" w:space="0" w:color="auto"/>
            </w:tcBorders>
            <w:shd w:val="clear" w:color="auto" w:fill="auto"/>
          </w:tcPr>
          <w:p w14:paraId="5537ECAB" w14:textId="77777777" w:rsidR="00B33542" w:rsidRPr="005071A1" w:rsidRDefault="00B33542" w:rsidP="009B7AF5">
            <w:pPr>
              <w:pStyle w:val="Tabletext"/>
            </w:pPr>
            <w:r w:rsidRPr="005071A1">
              <w:t>0.02</w:t>
            </w:r>
          </w:p>
        </w:tc>
      </w:tr>
      <w:tr w:rsidR="00B33542" w:rsidRPr="005071A1" w14:paraId="040B8BE8" w14:textId="77777777" w:rsidTr="00640BB6">
        <w:tc>
          <w:tcPr>
            <w:tcW w:w="2432" w:type="dxa"/>
            <w:tcBorders>
              <w:top w:val="single" w:sz="4" w:space="0" w:color="auto"/>
              <w:bottom w:val="single" w:sz="4" w:space="0" w:color="auto"/>
            </w:tcBorders>
            <w:shd w:val="clear" w:color="auto" w:fill="auto"/>
          </w:tcPr>
          <w:p w14:paraId="74BEAA9B" w14:textId="77777777" w:rsidR="00B33542" w:rsidRPr="005071A1" w:rsidRDefault="00B33542" w:rsidP="009B7AF5">
            <w:pPr>
              <w:pStyle w:val="Tabletext"/>
            </w:pPr>
            <w:r w:rsidRPr="005071A1">
              <w:t>29</w:t>
            </w:r>
          </w:p>
        </w:tc>
        <w:tc>
          <w:tcPr>
            <w:tcW w:w="2432" w:type="dxa"/>
            <w:tcBorders>
              <w:top w:val="single" w:sz="4" w:space="0" w:color="auto"/>
              <w:bottom w:val="single" w:sz="4" w:space="0" w:color="auto"/>
            </w:tcBorders>
            <w:shd w:val="clear" w:color="auto" w:fill="auto"/>
          </w:tcPr>
          <w:p w14:paraId="51A3E86E" w14:textId="77777777" w:rsidR="00B33542" w:rsidRPr="005071A1" w:rsidRDefault="00B33542" w:rsidP="009B7AF5">
            <w:pPr>
              <w:pStyle w:val="Tabletext"/>
            </w:pPr>
            <w:r w:rsidRPr="005071A1">
              <w:t>0.04</w:t>
            </w:r>
          </w:p>
        </w:tc>
        <w:tc>
          <w:tcPr>
            <w:tcW w:w="2432" w:type="dxa"/>
            <w:tcBorders>
              <w:top w:val="single" w:sz="4" w:space="0" w:color="auto"/>
              <w:bottom w:val="single" w:sz="4" w:space="0" w:color="auto"/>
            </w:tcBorders>
            <w:shd w:val="clear" w:color="auto" w:fill="auto"/>
          </w:tcPr>
          <w:p w14:paraId="1818A200" w14:textId="77777777" w:rsidR="00B33542" w:rsidRPr="005071A1" w:rsidRDefault="00B33542" w:rsidP="009B7AF5">
            <w:pPr>
              <w:pStyle w:val="Tabletext"/>
            </w:pPr>
            <w:r w:rsidRPr="005071A1">
              <w:t>0.02</w:t>
            </w:r>
          </w:p>
        </w:tc>
      </w:tr>
      <w:tr w:rsidR="00B33542" w:rsidRPr="005071A1" w14:paraId="64BD3AA0" w14:textId="77777777" w:rsidTr="00640BB6">
        <w:tc>
          <w:tcPr>
            <w:tcW w:w="2432" w:type="dxa"/>
            <w:tcBorders>
              <w:bottom w:val="single" w:sz="4" w:space="0" w:color="auto"/>
            </w:tcBorders>
            <w:shd w:val="clear" w:color="auto" w:fill="auto"/>
          </w:tcPr>
          <w:p w14:paraId="4A02F5B5" w14:textId="77777777" w:rsidR="00B33542" w:rsidRPr="005071A1" w:rsidRDefault="00B33542" w:rsidP="009B7AF5">
            <w:pPr>
              <w:pStyle w:val="Tabletext"/>
            </w:pPr>
            <w:r w:rsidRPr="005071A1">
              <w:t>30</w:t>
            </w:r>
          </w:p>
        </w:tc>
        <w:tc>
          <w:tcPr>
            <w:tcW w:w="2432" w:type="dxa"/>
            <w:tcBorders>
              <w:bottom w:val="single" w:sz="4" w:space="0" w:color="auto"/>
            </w:tcBorders>
            <w:shd w:val="clear" w:color="auto" w:fill="auto"/>
          </w:tcPr>
          <w:p w14:paraId="6E9903F5" w14:textId="77777777" w:rsidR="00B33542" w:rsidRPr="005071A1" w:rsidRDefault="00B33542" w:rsidP="009B7AF5">
            <w:pPr>
              <w:pStyle w:val="Tabletext"/>
            </w:pPr>
            <w:r w:rsidRPr="005071A1">
              <w:t>0.04</w:t>
            </w:r>
          </w:p>
        </w:tc>
        <w:tc>
          <w:tcPr>
            <w:tcW w:w="2432" w:type="dxa"/>
            <w:tcBorders>
              <w:bottom w:val="single" w:sz="4" w:space="0" w:color="auto"/>
            </w:tcBorders>
            <w:shd w:val="clear" w:color="auto" w:fill="auto"/>
          </w:tcPr>
          <w:p w14:paraId="7F39BAB9" w14:textId="77777777" w:rsidR="00B33542" w:rsidRPr="005071A1" w:rsidRDefault="00B33542" w:rsidP="009B7AF5">
            <w:pPr>
              <w:pStyle w:val="Tabletext"/>
            </w:pPr>
            <w:r w:rsidRPr="005071A1">
              <w:t>0.02</w:t>
            </w:r>
          </w:p>
        </w:tc>
      </w:tr>
      <w:tr w:rsidR="00B33542" w:rsidRPr="005071A1" w14:paraId="3865FBF9" w14:textId="77777777" w:rsidTr="00640BB6">
        <w:tc>
          <w:tcPr>
            <w:tcW w:w="2432" w:type="dxa"/>
            <w:tcBorders>
              <w:top w:val="single" w:sz="4" w:space="0" w:color="auto"/>
            </w:tcBorders>
            <w:shd w:val="clear" w:color="auto" w:fill="auto"/>
          </w:tcPr>
          <w:p w14:paraId="4A7EE9DC" w14:textId="77777777" w:rsidR="00B33542" w:rsidRPr="005071A1" w:rsidRDefault="00B33542" w:rsidP="009B7AF5">
            <w:pPr>
              <w:pStyle w:val="Tabletext"/>
            </w:pPr>
            <w:r w:rsidRPr="005071A1">
              <w:t>31</w:t>
            </w:r>
          </w:p>
        </w:tc>
        <w:tc>
          <w:tcPr>
            <w:tcW w:w="2432" w:type="dxa"/>
            <w:tcBorders>
              <w:top w:val="single" w:sz="4" w:space="0" w:color="auto"/>
            </w:tcBorders>
            <w:shd w:val="clear" w:color="auto" w:fill="auto"/>
          </w:tcPr>
          <w:p w14:paraId="01DE7FAE" w14:textId="77777777" w:rsidR="00B33542" w:rsidRPr="005071A1" w:rsidRDefault="00B33542" w:rsidP="009B7AF5">
            <w:pPr>
              <w:pStyle w:val="Tabletext"/>
            </w:pPr>
            <w:r w:rsidRPr="005071A1">
              <w:t>0.04</w:t>
            </w:r>
          </w:p>
        </w:tc>
        <w:tc>
          <w:tcPr>
            <w:tcW w:w="2432" w:type="dxa"/>
            <w:tcBorders>
              <w:top w:val="single" w:sz="4" w:space="0" w:color="auto"/>
            </w:tcBorders>
            <w:shd w:val="clear" w:color="auto" w:fill="auto"/>
          </w:tcPr>
          <w:p w14:paraId="4FD4F91F" w14:textId="77777777" w:rsidR="00B33542" w:rsidRPr="005071A1" w:rsidRDefault="00B33542" w:rsidP="009B7AF5">
            <w:pPr>
              <w:pStyle w:val="Tabletext"/>
            </w:pPr>
            <w:r w:rsidRPr="005071A1">
              <w:t>0.02</w:t>
            </w:r>
          </w:p>
        </w:tc>
      </w:tr>
      <w:tr w:rsidR="00B33542" w:rsidRPr="005071A1" w14:paraId="5D8391EB" w14:textId="77777777" w:rsidTr="009B7AF5">
        <w:tc>
          <w:tcPr>
            <w:tcW w:w="2432" w:type="dxa"/>
            <w:shd w:val="clear" w:color="auto" w:fill="auto"/>
          </w:tcPr>
          <w:p w14:paraId="3B80448B" w14:textId="77777777" w:rsidR="00B33542" w:rsidRPr="005071A1" w:rsidRDefault="00B33542" w:rsidP="009B7AF5">
            <w:pPr>
              <w:pStyle w:val="Tabletext"/>
            </w:pPr>
            <w:r w:rsidRPr="005071A1">
              <w:t>32</w:t>
            </w:r>
          </w:p>
        </w:tc>
        <w:tc>
          <w:tcPr>
            <w:tcW w:w="2432" w:type="dxa"/>
            <w:shd w:val="clear" w:color="auto" w:fill="auto"/>
          </w:tcPr>
          <w:p w14:paraId="42D24E1B" w14:textId="77777777" w:rsidR="00B33542" w:rsidRPr="005071A1" w:rsidRDefault="00B33542" w:rsidP="009B7AF5">
            <w:pPr>
              <w:pStyle w:val="Tabletext"/>
            </w:pPr>
            <w:r w:rsidRPr="005071A1">
              <w:t>0.06</w:t>
            </w:r>
          </w:p>
        </w:tc>
        <w:tc>
          <w:tcPr>
            <w:tcW w:w="2432" w:type="dxa"/>
            <w:shd w:val="clear" w:color="auto" w:fill="auto"/>
          </w:tcPr>
          <w:p w14:paraId="190B31D6" w14:textId="77777777" w:rsidR="00B33542" w:rsidRPr="005071A1" w:rsidRDefault="00B33542" w:rsidP="009B7AF5">
            <w:pPr>
              <w:pStyle w:val="Tabletext"/>
            </w:pPr>
            <w:r w:rsidRPr="005071A1">
              <w:t>0.03</w:t>
            </w:r>
          </w:p>
        </w:tc>
      </w:tr>
      <w:tr w:rsidR="00B33542" w:rsidRPr="005071A1" w14:paraId="710FD8F0" w14:textId="77777777" w:rsidTr="009B7AF5">
        <w:tc>
          <w:tcPr>
            <w:tcW w:w="2432" w:type="dxa"/>
            <w:shd w:val="clear" w:color="auto" w:fill="auto"/>
          </w:tcPr>
          <w:p w14:paraId="1B81C089" w14:textId="77777777" w:rsidR="00B33542" w:rsidRPr="005071A1" w:rsidRDefault="00B33542" w:rsidP="009B7AF5">
            <w:pPr>
              <w:pStyle w:val="Tabletext"/>
            </w:pPr>
            <w:r w:rsidRPr="005071A1">
              <w:t>33</w:t>
            </w:r>
          </w:p>
        </w:tc>
        <w:tc>
          <w:tcPr>
            <w:tcW w:w="2432" w:type="dxa"/>
            <w:shd w:val="clear" w:color="auto" w:fill="auto"/>
          </w:tcPr>
          <w:p w14:paraId="5BC40B47" w14:textId="77777777" w:rsidR="00B33542" w:rsidRPr="005071A1" w:rsidRDefault="00B33542" w:rsidP="009B7AF5">
            <w:pPr>
              <w:pStyle w:val="Tabletext"/>
            </w:pPr>
            <w:r w:rsidRPr="005071A1">
              <w:t>0.06</w:t>
            </w:r>
          </w:p>
        </w:tc>
        <w:tc>
          <w:tcPr>
            <w:tcW w:w="2432" w:type="dxa"/>
            <w:shd w:val="clear" w:color="auto" w:fill="auto"/>
          </w:tcPr>
          <w:p w14:paraId="0AF195E3" w14:textId="77777777" w:rsidR="00B33542" w:rsidRPr="005071A1" w:rsidRDefault="00B33542" w:rsidP="009B7AF5">
            <w:pPr>
              <w:pStyle w:val="Tabletext"/>
            </w:pPr>
            <w:r w:rsidRPr="005071A1">
              <w:t>0.03</w:t>
            </w:r>
          </w:p>
        </w:tc>
      </w:tr>
      <w:tr w:rsidR="00B33542" w:rsidRPr="005071A1" w14:paraId="59BA363B" w14:textId="77777777" w:rsidTr="009B7AF5">
        <w:tc>
          <w:tcPr>
            <w:tcW w:w="2432" w:type="dxa"/>
            <w:shd w:val="clear" w:color="auto" w:fill="auto"/>
          </w:tcPr>
          <w:p w14:paraId="0802673A" w14:textId="77777777" w:rsidR="00B33542" w:rsidRPr="005071A1" w:rsidRDefault="00B33542" w:rsidP="009B7AF5">
            <w:pPr>
              <w:pStyle w:val="Tabletext"/>
            </w:pPr>
            <w:r w:rsidRPr="005071A1">
              <w:t>34</w:t>
            </w:r>
          </w:p>
        </w:tc>
        <w:tc>
          <w:tcPr>
            <w:tcW w:w="2432" w:type="dxa"/>
            <w:shd w:val="clear" w:color="auto" w:fill="auto"/>
          </w:tcPr>
          <w:p w14:paraId="5F3ECF3F" w14:textId="77777777" w:rsidR="00B33542" w:rsidRPr="005071A1" w:rsidRDefault="00B33542" w:rsidP="009B7AF5">
            <w:pPr>
              <w:pStyle w:val="Tabletext"/>
            </w:pPr>
            <w:r w:rsidRPr="005071A1">
              <w:t>0.06</w:t>
            </w:r>
          </w:p>
        </w:tc>
        <w:tc>
          <w:tcPr>
            <w:tcW w:w="2432" w:type="dxa"/>
            <w:shd w:val="clear" w:color="auto" w:fill="auto"/>
          </w:tcPr>
          <w:p w14:paraId="07A1800D" w14:textId="77777777" w:rsidR="00B33542" w:rsidRPr="005071A1" w:rsidRDefault="00B33542" w:rsidP="009B7AF5">
            <w:pPr>
              <w:pStyle w:val="Tabletext"/>
            </w:pPr>
            <w:r w:rsidRPr="005071A1">
              <w:t>0.03</w:t>
            </w:r>
          </w:p>
        </w:tc>
      </w:tr>
      <w:tr w:rsidR="00B33542" w:rsidRPr="005071A1" w14:paraId="79000C4C" w14:textId="77777777" w:rsidTr="009B7AF5">
        <w:tc>
          <w:tcPr>
            <w:tcW w:w="2432" w:type="dxa"/>
            <w:shd w:val="clear" w:color="auto" w:fill="auto"/>
          </w:tcPr>
          <w:p w14:paraId="57BF6886" w14:textId="77777777" w:rsidR="00B33542" w:rsidRPr="005071A1" w:rsidRDefault="00B33542" w:rsidP="009B7AF5">
            <w:pPr>
              <w:pStyle w:val="Tabletext"/>
            </w:pPr>
            <w:r w:rsidRPr="005071A1">
              <w:t>35</w:t>
            </w:r>
          </w:p>
        </w:tc>
        <w:tc>
          <w:tcPr>
            <w:tcW w:w="2432" w:type="dxa"/>
            <w:shd w:val="clear" w:color="auto" w:fill="auto"/>
          </w:tcPr>
          <w:p w14:paraId="6519B684" w14:textId="77777777" w:rsidR="00B33542" w:rsidRPr="005071A1" w:rsidRDefault="00B33542" w:rsidP="009B7AF5">
            <w:pPr>
              <w:pStyle w:val="Tabletext"/>
            </w:pPr>
            <w:r w:rsidRPr="005071A1">
              <w:t>0.06</w:t>
            </w:r>
          </w:p>
        </w:tc>
        <w:tc>
          <w:tcPr>
            <w:tcW w:w="2432" w:type="dxa"/>
            <w:shd w:val="clear" w:color="auto" w:fill="auto"/>
          </w:tcPr>
          <w:p w14:paraId="267BDDFD" w14:textId="77777777" w:rsidR="00B33542" w:rsidRPr="005071A1" w:rsidRDefault="00B33542" w:rsidP="009B7AF5">
            <w:pPr>
              <w:pStyle w:val="Tabletext"/>
            </w:pPr>
            <w:r w:rsidRPr="005071A1">
              <w:t>0.03</w:t>
            </w:r>
          </w:p>
        </w:tc>
      </w:tr>
      <w:tr w:rsidR="00B33542" w:rsidRPr="005071A1" w14:paraId="3EBAEB3C" w14:textId="77777777" w:rsidTr="009B7AF5">
        <w:tc>
          <w:tcPr>
            <w:tcW w:w="2432" w:type="dxa"/>
            <w:shd w:val="clear" w:color="auto" w:fill="auto"/>
          </w:tcPr>
          <w:p w14:paraId="11E4B433" w14:textId="77777777" w:rsidR="00B33542" w:rsidRPr="005071A1" w:rsidRDefault="00B33542" w:rsidP="009B7AF5">
            <w:pPr>
              <w:pStyle w:val="Tabletext"/>
            </w:pPr>
            <w:r w:rsidRPr="005071A1">
              <w:t>36</w:t>
            </w:r>
          </w:p>
        </w:tc>
        <w:tc>
          <w:tcPr>
            <w:tcW w:w="2432" w:type="dxa"/>
            <w:shd w:val="clear" w:color="auto" w:fill="auto"/>
          </w:tcPr>
          <w:p w14:paraId="0DE1D449" w14:textId="77777777" w:rsidR="00B33542" w:rsidRPr="005071A1" w:rsidRDefault="00B33542" w:rsidP="009B7AF5">
            <w:pPr>
              <w:pStyle w:val="Tabletext"/>
            </w:pPr>
            <w:r w:rsidRPr="005071A1">
              <w:t>0.06</w:t>
            </w:r>
          </w:p>
        </w:tc>
        <w:tc>
          <w:tcPr>
            <w:tcW w:w="2432" w:type="dxa"/>
            <w:shd w:val="clear" w:color="auto" w:fill="auto"/>
          </w:tcPr>
          <w:p w14:paraId="2B999A23" w14:textId="77777777" w:rsidR="00B33542" w:rsidRPr="005071A1" w:rsidRDefault="00B33542" w:rsidP="009B7AF5">
            <w:pPr>
              <w:pStyle w:val="Tabletext"/>
            </w:pPr>
            <w:r w:rsidRPr="005071A1">
              <w:t>0.03</w:t>
            </w:r>
          </w:p>
        </w:tc>
      </w:tr>
      <w:tr w:rsidR="00B33542" w:rsidRPr="005071A1" w14:paraId="2E676664" w14:textId="77777777" w:rsidTr="009B7AF5">
        <w:tc>
          <w:tcPr>
            <w:tcW w:w="2432" w:type="dxa"/>
            <w:shd w:val="clear" w:color="auto" w:fill="auto"/>
          </w:tcPr>
          <w:p w14:paraId="23DF3151" w14:textId="77777777" w:rsidR="00B33542" w:rsidRPr="005071A1" w:rsidRDefault="00B33542" w:rsidP="009B7AF5">
            <w:pPr>
              <w:pStyle w:val="Tabletext"/>
            </w:pPr>
            <w:r w:rsidRPr="005071A1">
              <w:t>37</w:t>
            </w:r>
          </w:p>
        </w:tc>
        <w:tc>
          <w:tcPr>
            <w:tcW w:w="2432" w:type="dxa"/>
            <w:shd w:val="clear" w:color="auto" w:fill="auto"/>
          </w:tcPr>
          <w:p w14:paraId="4473C612" w14:textId="77777777" w:rsidR="00B33542" w:rsidRPr="005071A1" w:rsidRDefault="00B33542" w:rsidP="009B7AF5">
            <w:pPr>
              <w:pStyle w:val="Tabletext"/>
            </w:pPr>
            <w:r w:rsidRPr="005071A1">
              <w:t>0.06</w:t>
            </w:r>
          </w:p>
        </w:tc>
        <w:tc>
          <w:tcPr>
            <w:tcW w:w="2432" w:type="dxa"/>
            <w:shd w:val="clear" w:color="auto" w:fill="auto"/>
          </w:tcPr>
          <w:p w14:paraId="28826B9E" w14:textId="77777777" w:rsidR="00B33542" w:rsidRPr="005071A1" w:rsidRDefault="00B33542" w:rsidP="009B7AF5">
            <w:pPr>
              <w:pStyle w:val="Tabletext"/>
            </w:pPr>
            <w:r w:rsidRPr="005071A1">
              <w:t>0.03</w:t>
            </w:r>
          </w:p>
        </w:tc>
      </w:tr>
      <w:tr w:rsidR="00B33542" w:rsidRPr="005071A1" w14:paraId="48430063" w14:textId="77777777" w:rsidTr="009B7AF5">
        <w:tc>
          <w:tcPr>
            <w:tcW w:w="2432" w:type="dxa"/>
            <w:shd w:val="clear" w:color="auto" w:fill="auto"/>
          </w:tcPr>
          <w:p w14:paraId="4FCFC393" w14:textId="77777777" w:rsidR="00B33542" w:rsidRPr="005071A1" w:rsidRDefault="00B33542" w:rsidP="009B7AF5">
            <w:pPr>
              <w:pStyle w:val="Tabletext"/>
            </w:pPr>
            <w:r w:rsidRPr="005071A1">
              <w:t>38</w:t>
            </w:r>
          </w:p>
        </w:tc>
        <w:tc>
          <w:tcPr>
            <w:tcW w:w="2432" w:type="dxa"/>
            <w:shd w:val="clear" w:color="auto" w:fill="auto"/>
          </w:tcPr>
          <w:p w14:paraId="708EAF8C" w14:textId="77777777" w:rsidR="00B33542" w:rsidRPr="005071A1" w:rsidRDefault="00B33542" w:rsidP="009B7AF5">
            <w:pPr>
              <w:pStyle w:val="Tabletext"/>
            </w:pPr>
            <w:r w:rsidRPr="005071A1">
              <w:t>0.06</w:t>
            </w:r>
          </w:p>
        </w:tc>
        <w:tc>
          <w:tcPr>
            <w:tcW w:w="2432" w:type="dxa"/>
            <w:shd w:val="clear" w:color="auto" w:fill="auto"/>
          </w:tcPr>
          <w:p w14:paraId="2CF18333" w14:textId="77777777" w:rsidR="00B33542" w:rsidRPr="005071A1" w:rsidRDefault="00B33542" w:rsidP="009B7AF5">
            <w:pPr>
              <w:pStyle w:val="Tabletext"/>
            </w:pPr>
            <w:r w:rsidRPr="005071A1">
              <w:t>0.03</w:t>
            </w:r>
          </w:p>
        </w:tc>
      </w:tr>
      <w:tr w:rsidR="00B33542" w:rsidRPr="005071A1" w14:paraId="07860320" w14:textId="77777777" w:rsidTr="009B7AF5">
        <w:tc>
          <w:tcPr>
            <w:tcW w:w="2432" w:type="dxa"/>
            <w:shd w:val="clear" w:color="auto" w:fill="auto"/>
          </w:tcPr>
          <w:p w14:paraId="4D72AD08" w14:textId="77777777" w:rsidR="00B33542" w:rsidRPr="005071A1" w:rsidRDefault="00B33542" w:rsidP="009B7AF5">
            <w:pPr>
              <w:pStyle w:val="Tabletext"/>
            </w:pPr>
            <w:r w:rsidRPr="005071A1">
              <w:t>39</w:t>
            </w:r>
          </w:p>
        </w:tc>
        <w:tc>
          <w:tcPr>
            <w:tcW w:w="2432" w:type="dxa"/>
            <w:shd w:val="clear" w:color="auto" w:fill="auto"/>
          </w:tcPr>
          <w:p w14:paraId="4364E84B" w14:textId="77777777" w:rsidR="00B33542" w:rsidRPr="005071A1" w:rsidRDefault="00B33542" w:rsidP="009B7AF5">
            <w:pPr>
              <w:pStyle w:val="Tabletext"/>
            </w:pPr>
            <w:r w:rsidRPr="005071A1">
              <w:t>0.08</w:t>
            </w:r>
          </w:p>
        </w:tc>
        <w:tc>
          <w:tcPr>
            <w:tcW w:w="2432" w:type="dxa"/>
            <w:shd w:val="clear" w:color="auto" w:fill="auto"/>
          </w:tcPr>
          <w:p w14:paraId="11305DAA" w14:textId="77777777" w:rsidR="00B33542" w:rsidRPr="005071A1" w:rsidRDefault="00B33542" w:rsidP="009B7AF5">
            <w:pPr>
              <w:pStyle w:val="Tabletext"/>
            </w:pPr>
            <w:r w:rsidRPr="005071A1">
              <w:t>0.04</w:t>
            </w:r>
          </w:p>
        </w:tc>
      </w:tr>
      <w:tr w:rsidR="00B33542" w:rsidRPr="005071A1" w14:paraId="24552D27" w14:textId="77777777" w:rsidTr="009B7AF5">
        <w:tc>
          <w:tcPr>
            <w:tcW w:w="2432" w:type="dxa"/>
            <w:shd w:val="clear" w:color="auto" w:fill="auto"/>
          </w:tcPr>
          <w:p w14:paraId="3B32973A" w14:textId="77777777" w:rsidR="00B33542" w:rsidRPr="005071A1" w:rsidRDefault="00B33542" w:rsidP="009B7AF5">
            <w:pPr>
              <w:pStyle w:val="Tabletext"/>
            </w:pPr>
            <w:r w:rsidRPr="005071A1">
              <w:t>40</w:t>
            </w:r>
          </w:p>
        </w:tc>
        <w:tc>
          <w:tcPr>
            <w:tcW w:w="2432" w:type="dxa"/>
            <w:shd w:val="clear" w:color="auto" w:fill="auto"/>
          </w:tcPr>
          <w:p w14:paraId="1EE0532E" w14:textId="77777777" w:rsidR="00B33542" w:rsidRPr="005071A1" w:rsidRDefault="00B33542" w:rsidP="009B7AF5">
            <w:pPr>
              <w:pStyle w:val="Tabletext"/>
            </w:pPr>
            <w:r w:rsidRPr="005071A1">
              <w:t>0.08</w:t>
            </w:r>
          </w:p>
        </w:tc>
        <w:tc>
          <w:tcPr>
            <w:tcW w:w="2432" w:type="dxa"/>
            <w:shd w:val="clear" w:color="auto" w:fill="auto"/>
          </w:tcPr>
          <w:p w14:paraId="1EE3CDA6" w14:textId="77777777" w:rsidR="00B33542" w:rsidRPr="005071A1" w:rsidRDefault="00B33542" w:rsidP="009B7AF5">
            <w:pPr>
              <w:pStyle w:val="Tabletext"/>
            </w:pPr>
            <w:r w:rsidRPr="005071A1">
              <w:t>0.04</w:t>
            </w:r>
          </w:p>
        </w:tc>
      </w:tr>
      <w:tr w:rsidR="00B33542" w:rsidRPr="005071A1" w14:paraId="6E568541" w14:textId="77777777" w:rsidTr="009B7AF5">
        <w:tc>
          <w:tcPr>
            <w:tcW w:w="2432" w:type="dxa"/>
            <w:shd w:val="clear" w:color="auto" w:fill="auto"/>
          </w:tcPr>
          <w:p w14:paraId="72B1EE75" w14:textId="77777777" w:rsidR="00B33542" w:rsidRPr="005071A1" w:rsidRDefault="00B33542" w:rsidP="009B7AF5">
            <w:pPr>
              <w:pStyle w:val="Tabletext"/>
            </w:pPr>
            <w:r w:rsidRPr="005071A1">
              <w:t>41</w:t>
            </w:r>
          </w:p>
        </w:tc>
        <w:tc>
          <w:tcPr>
            <w:tcW w:w="2432" w:type="dxa"/>
            <w:shd w:val="clear" w:color="auto" w:fill="auto"/>
          </w:tcPr>
          <w:p w14:paraId="2F15EEAC" w14:textId="77777777" w:rsidR="00B33542" w:rsidRPr="005071A1" w:rsidRDefault="00B33542" w:rsidP="009B7AF5">
            <w:pPr>
              <w:pStyle w:val="Tabletext"/>
            </w:pPr>
            <w:r w:rsidRPr="005071A1">
              <w:t>0.08</w:t>
            </w:r>
          </w:p>
        </w:tc>
        <w:tc>
          <w:tcPr>
            <w:tcW w:w="2432" w:type="dxa"/>
            <w:shd w:val="clear" w:color="auto" w:fill="auto"/>
          </w:tcPr>
          <w:p w14:paraId="7772132C" w14:textId="77777777" w:rsidR="00B33542" w:rsidRPr="005071A1" w:rsidRDefault="00B33542" w:rsidP="009B7AF5">
            <w:pPr>
              <w:pStyle w:val="Tabletext"/>
            </w:pPr>
            <w:r w:rsidRPr="005071A1">
              <w:t>0.04</w:t>
            </w:r>
          </w:p>
        </w:tc>
      </w:tr>
      <w:tr w:rsidR="00B33542" w:rsidRPr="005071A1" w14:paraId="074903AB" w14:textId="77777777" w:rsidTr="009B7AF5">
        <w:tc>
          <w:tcPr>
            <w:tcW w:w="2432" w:type="dxa"/>
            <w:shd w:val="clear" w:color="auto" w:fill="auto"/>
          </w:tcPr>
          <w:p w14:paraId="0842FBA3" w14:textId="77777777" w:rsidR="00B33542" w:rsidRPr="005071A1" w:rsidRDefault="00B33542" w:rsidP="009B7AF5">
            <w:pPr>
              <w:pStyle w:val="Tabletext"/>
            </w:pPr>
            <w:r w:rsidRPr="005071A1">
              <w:t>42</w:t>
            </w:r>
          </w:p>
        </w:tc>
        <w:tc>
          <w:tcPr>
            <w:tcW w:w="2432" w:type="dxa"/>
            <w:shd w:val="clear" w:color="auto" w:fill="auto"/>
          </w:tcPr>
          <w:p w14:paraId="0CBC5AC9" w14:textId="77777777" w:rsidR="00B33542" w:rsidRPr="005071A1" w:rsidRDefault="00B33542" w:rsidP="009B7AF5">
            <w:pPr>
              <w:pStyle w:val="Tabletext"/>
            </w:pPr>
            <w:r w:rsidRPr="005071A1">
              <w:t>0.08</w:t>
            </w:r>
          </w:p>
        </w:tc>
        <w:tc>
          <w:tcPr>
            <w:tcW w:w="2432" w:type="dxa"/>
            <w:shd w:val="clear" w:color="auto" w:fill="auto"/>
          </w:tcPr>
          <w:p w14:paraId="30F377D5" w14:textId="77777777" w:rsidR="00B33542" w:rsidRPr="005071A1" w:rsidRDefault="00B33542" w:rsidP="009B7AF5">
            <w:pPr>
              <w:pStyle w:val="Tabletext"/>
            </w:pPr>
            <w:r w:rsidRPr="005071A1">
              <w:t>0.04</w:t>
            </w:r>
          </w:p>
        </w:tc>
      </w:tr>
      <w:tr w:rsidR="00B33542" w:rsidRPr="005071A1" w14:paraId="05EAB765" w14:textId="77777777" w:rsidTr="009B7AF5">
        <w:tc>
          <w:tcPr>
            <w:tcW w:w="2432" w:type="dxa"/>
            <w:shd w:val="clear" w:color="auto" w:fill="auto"/>
          </w:tcPr>
          <w:p w14:paraId="171E7012" w14:textId="77777777" w:rsidR="00B33542" w:rsidRPr="005071A1" w:rsidRDefault="00B33542" w:rsidP="009B7AF5">
            <w:pPr>
              <w:pStyle w:val="Tabletext"/>
            </w:pPr>
            <w:r w:rsidRPr="005071A1">
              <w:t>43</w:t>
            </w:r>
          </w:p>
        </w:tc>
        <w:tc>
          <w:tcPr>
            <w:tcW w:w="2432" w:type="dxa"/>
            <w:shd w:val="clear" w:color="auto" w:fill="auto"/>
          </w:tcPr>
          <w:p w14:paraId="05BE17D1" w14:textId="77777777" w:rsidR="00B33542" w:rsidRPr="005071A1" w:rsidRDefault="00B33542" w:rsidP="009B7AF5">
            <w:pPr>
              <w:pStyle w:val="Tabletext"/>
            </w:pPr>
            <w:r w:rsidRPr="005071A1">
              <w:t>0.08</w:t>
            </w:r>
          </w:p>
        </w:tc>
        <w:tc>
          <w:tcPr>
            <w:tcW w:w="2432" w:type="dxa"/>
            <w:shd w:val="clear" w:color="auto" w:fill="auto"/>
          </w:tcPr>
          <w:p w14:paraId="68A46605" w14:textId="77777777" w:rsidR="00B33542" w:rsidRPr="005071A1" w:rsidRDefault="00B33542" w:rsidP="009B7AF5">
            <w:pPr>
              <w:pStyle w:val="Tabletext"/>
            </w:pPr>
            <w:r w:rsidRPr="005071A1">
              <w:t>0.04</w:t>
            </w:r>
          </w:p>
        </w:tc>
      </w:tr>
      <w:tr w:rsidR="00B33542" w:rsidRPr="005071A1" w14:paraId="574C7258" w14:textId="77777777" w:rsidTr="009B7AF5">
        <w:tc>
          <w:tcPr>
            <w:tcW w:w="2432" w:type="dxa"/>
            <w:shd w:val="clear" w:color="auto" w:fill="auto"/>
          </w:tcPr>
          <w:p w14:paraId="188A4E8C" w14:textId="77777777" w:rsidR="00B33542" w:rsidRPr="005071A1" w:rsidRDefault="00B33542" w:rsidP="009B7AF5">
            <w:pPr>
              <w:pStyle w:val="Tabletext"/>
            </w:pPr>
            <w:r w:rsidRPr="005071A1">
              <w:t>44</w:t>
            </w:r>
          </w:p>
        </w:tc>
        <w:tc>
          <w:tcPr>
            <w:tcW w:w="2432" w:type="dxa"/>
            <w:shd w:val="clear" w:color="auto" w:fill="auto"/>
          </w:tcPr>
          <w:p w14:paraId="0CF414D3" w14:textId="77777777" w:rsidR="00B33542" w:rsidRPr="005071A1" w:rsidRDefault="00B33542" w:rsidP="009B7AF5">
            <w:pPr>
              <w:pStyle w:val="Tabletext"/>
            </w:pPr>
            <w:r w:rsidRPr="005071A1">
              <w:t>0.08</w:t>
            </w:r>
          </w:p>
        </w:tc>
        <w:tc>
          <w:tcPr>
            <w:tcW w:w="2432" w:type="dxa"/>
            <w:shd w:val="clear" w:color="auto" w:fill="auto"/>
          </w:tcPr>
          <w:p w14:paraId="0ACF8C77" w14:textId="77777777" w:rsidR="00B33542" w:rsidRPr="005071A1" w:rsidRDefault="00B33542" w:rsidP="009B7AF5">
            <w:pPr>
              <w:pStyle w:val="Tabletext"/>
            </w:pPr>
            <w:r w:rsidRPr="005071A1">
              <w:t>0.04</w:t>
            </w:r>
          </w:p>
        </w:tc>
      </w:tr>
      <w:tr w:rsidR="00B33542" w:rsidRPr="005071A1" w14:paraId="41B076A0" w14:textId="77777777" w:rsidTr="009B7AF5">
        <w:tc>
          <w:tcPr>
            <w:tcW w:w="2432" w:type="dxa"/>
            <w:shd w:val="clear" w:color="auto" w:fill="auto"/>
          </w:tcPr>
          <w:p w14:paraId="2ACB6DE4" w14:textId="77777777" w:rsidR="00B33542" w:rsidRPr="005071A1" w:rsidRDefault="00B33542" w:rsidP="009B7AF5">
            <w:pPr>
              <w:pStyle w:val="Tabletext"/>
            </w:pPr>
            <w:r w:rsidRPr="005071A1">
              <w:t>45</w:t>
            </w:r>
          </w:p>
        </w:tc>
        <w:tc>
          <w:tcPr>
            <w:tcW w:w="2432" w:type="dxa"/>
            <w:shd w:val="clear" w:color="auto" w:fill="auto"/>
          </w:tcPr>
          <w:p w14:paraId="59438816" w14:textId="77777777" w:rsidR="00B33542" w:rsidRPr="005071A1" w:rsidRDefault="00B33542" w:rsidP="009B7AF5">
            <w:pPr>
              <w:pStyle w:val="Tabletext"/>
            </w:pPr>
            <w:r w:rsidRPr="005071A1">
              <w:t>0.08</w:t>
            </w:r>
          </w:p>
        </w:tc>
        <w:tc>
          <w:tcPr>
            <w:tcW w:w="2432" w:type="dxa"/>
            <w:shd w:val="clear" w:color="auto" w:fill="auto"/>
          </w:tcPr>
          <w:p w14:paraId="0EC8A00B" w14:textId="77777777" w:rsidR="00B33542" w:rsidRPr="005071A1" w:rsidRDefault="00B33542" w:rsidP="009B7AF5">
            <w:pPr>
              <w:pStyle w:val="Tabletext"/>
            </w:pPr>
            <w:r w:rsidRPr="005071A1">
              <w:t>0.04</w:t>
            </w:r>
          </w:p>
        </w:tc>
      </w:tr>
      <w:tr w:rsidR="00B33542" w:rsidRPr="005071A1" w14:paraId="0A073177" w14:textId="77777777" w:rsidTr="009B7AF5">
        <w:tc>
          <w:tcPr>
            <w:tcW w:w="2432" w:type="dxa"/>
            <w:shd w:val="clear" w:color="auto" w:fill="auto"/>
          </w:tcPr>
          <w:p w14:paraId="29C3AD8C" w14:textId="77777777" w:rsidR="00B33542" w:rsidRPr="005071A1" w:rsidRDefault="00B33542" w:rsidP="009B7AF5">
            <w:pPr>
              <w:pStyle w:val="Tabletext"/>
            </w:pPr>
            <w:r w:rsidRPr="005071A1">
              <w:lastRenderedPageBreak/>
              <w:t>46</w:t>
            </w:r>
          </w:p>
        </w:tc>
        <w:tc>
          <w:tcPr>
            <w:tcW w:w="2432" w:type="dxa"/>
            <w:shd w:val="clear" w:color="auto" w:fill="auto"/>
          </w:tcPr>
          <w:p w14:paraId="52E58A08" w14:textId="77777777" w:rsidR="00B33542" w:rsidRPr="005071A1" w:rsidRDefault="00B33542" w:rsidP="009B7AF5">
            <w:pPr>
              <w:pStyle w:val="Tabletext"/>
            </w:pPr>
            <w:r w:rsidRPr="005071A1">
              <w:t>0.08</w:t>
            </w:r>
          </w:p>
        </w:tc>
        <w:tc>
          <w:tcPr>
            <w:tcW w:w="2432" w:type="dxa"/>
            <w:shd w:val="clear" w:color="auto" w:fill="auto"/>
          </w:tcPr>
          <w:p w14:paraId="4AED3B42" w14:textId="77777777" w:rsidR="00B33542" w:rsidRPr="005071A1" w:rsidRDefault="00B33542" w:rsidP="009B7AF5">
            <w:pPr>
              <w:pStyle w:val="Tabletext"/>
            </w:pPr>
            <w:r w:rsidRPr="005071A1">
              <w:t>0.04</w:t>
            </w:r>
          </w:p>
        </w:tc>
      </w:tr>
      <w:tr w:rsidR="00B33542" w:rsidRPr="005071A1" w14:paraId="68CC2534" w14:textId="77777777" w:rsidTr="009B7AF5">
        <w:tc>
          <w:tcPr>
            <w:tcW w:w="2432" w:type="dxa"/>
            <w:shd w:val="clear" w:color="auto" w:fill="auto"/>
          </w:tcPr>
          <w:p w14:paraId="51015794" w14:textId="77777777" w:rsidR="00B33542" w:rsidRPr="005071A1" w:rsidRDefault="00B33542" w:rsidP="009B7AF5">
            <w:pPr>
              <w:pStyle w:val="Tabletext"/>
            </w:pPr>
            <w:r w:rsidRPr="005071A1">
              <w:t>47</w:t>
            </w:r>
          </w:p>
        </w:tc>
        <w:tc>
          <w:tcPr>
            <w:tcW w:w="2432" w:type="dxa"/>
            <w:shd w:val="clear" w:color="auto" w:fill="auto"/>
          </w:tcPr>
          <w:p w14:paraId="3B89AF31" w14:textId="77777777" w:rsidR="00B33542" w:rsidRPr="005071A1" w:rsidRDefault="00B33542" w:rsidP="009B7AF5">
            <w:pPr>
              <w:pStyle w:val="Tabletext"/>
            </w:pPr>
            <w:r w:rsidRPr="005071A1">
              <w:t>0.10</w:t>
            </w:r>
          </w:p>
        </w:tc>
        <w:tc>
          <w:tcPr>
            <w:tcW w:w="2432" w:type="dxa"/>
            <w:shd w:val="clear" w:color="auto" w:fill="auto"/>
          </w:tcPr>
          <w:p w14:paraId="2C12D041" w14:textId="77777777" w:rsidR="00B33542" w:rsidRPr="005071A1" w:rsidRDefault="00B33542" w:rsidP="009B7AF5">
            <w:pPr>
              <w:pStyle w:val="Tabletext"/>
            </w:pPr>
            <w:r w:rsidRPr="005071A1">
              <w:t>0.05</w:t>
            </w:r>
          </w:p>
        </w:tc>
      </w:tr>
      <w:tr w:rsidR="00B33542" w:rsidRPr="005071A1" w14:paraId="1489D334" w14:textId="77777777" w:rsidTr="009B7AF5">
        <w:tc>
          <w:tcPr>
            <w:tcW w:w="2432" w:type="dxa"/>
            <w:shd w:val="clear" w:color="auto" w:fill="auto"/>
          </w:tcPr>
          <w:p w14:paraId="7ABC22B0" w14:textId="77777777" w:rsidR="00B33542" w:rsidRPr="005071A1" w:rsidRDefault="00B33542" w:rsidP="009B7AF5">
            <w:pPr>
              <w:pStyle w:val="Tabletext"/>
            </w:pPr>
            <w:r w:rsidRPr="005071A1">
              <w:t>48</w:t>
            </w:r>
          </w:p>
        </w:tc>
        <w:tc>
          <w:tcPr>
            <w:tcW w:w="2432" w:type="dxa"/>
            <w:shd w:val="clear" w:color="auto" w:fill="auto"/>
          </w:tcPr>
          <w:p w14:paraId="1E8BC23C" w14:textId="77777777" w:rsidR="00B33542" w:rsidRPr="005071A1" w:rsidRDefault="00B33542" w:rsidP="009B7AF5">
            <w:pPr>
              <w:pStyle w:val="Tabletext"/>
            </w:pPr>
            <w:r w:rsidRPr="005071A1">
              <w:t>0.12</w:t>
            </w:r>
          </w:p>
        </w:tc>
        <w:tc>
          <w:tcPr>
            <w:tcW w:w="2432" w:type="dxa"/>
            <w:shd w:val="clear" w:color="auto" w:fill="auto"/>
          </w:tcPr>
          <w:p w14:paraId="72A73ADB" w14:textId="77777777" w:rsidR="00B33542" w:rsidRPr="005071A1" w:rsidRDefault="00B33542" w:rsidP="009B7AF5">
            <w:pPr>
              <w:pStyle w:val="Tabletext"/>
            </w:pPr>
            <w:r w:rsidRPr="005071A1">
              <w:t>0.06</w:t>
            </w:r>
          </w:p>
        </w:tc>
      </w:tr>
      <w:tr w:rsidR="00B33542" w:rsidRPr="005071A1" w14:paraId="4F2969C1" w14:textId="77777777" w:rsidTr="00D57394">
        <w:tc>
          <w:tcPr>
            <w:tcW w:w="2432" w:type="dxa"/>
            <w:tcBorders>
              <w:bottom w:val="single" w:sz="4" w:space="0" w:color="auto"/>
            </w:tcBorders>
            <w:shd w:val="clear" w:color="auto" w:fill="auto"/>
          </w:tcPr>
          <w:p w14:paraId="06783E3F" w14:textId="77777777" w:rsidR="00B33542" w:rsidRPr="005071A1" w:rsidRDefault="00B33542" w:rsidP="009B7AF5">
            <w:pPr>
              <w:pStyle w:val="Tabletext"/>
            </w:pPr>
            <w:r w:rsidRPr="005071A1">
              <w:t>49</w:t>
            </w:r>
          </w:p>
        </w:tc>
        <w:tc>
          <w:tcPr>
            <w:tcW w:w="2432" w:type="dxa"/>
            <w:tcBorders>
              <w:bottom w:val="single" w:sz="4" w:space="0" w:color="auto"/>
            </w:tcBorders>
            <w:shd w:val="clear" w:color="auto" w:fill="auto"/>
          </w:tcPr>
          <w:p w14:paraId="4DF8ADE2" w14:textId="77777777" w:rsidR="00B33542" w:rsidRPr="005071A1" w:rsidRDefault="00B33542" w:rsidP="009B7AF5">
            <w:pPr>
              <w:pStyle w:val="Tabletext"/>
            </w:pPr>
            <w:r w:rsidRPr="005071A1">
              <w:t>0.12</w:t>
            </w:r>
          </w:p>
        </w:tc>
        <w:tc>
          <w:tcPr>
            <w:tcW w:w="2432" w:type="dxa"/>
            <w:tcBorders>
              <w:bottom w:val="single" w:sz="4" w:space="0" w:color="auto"/>
            </w:tcBorders>
            <w:shd w:val="clear" w:color="auto" w:fill="auto"/>
          </w:tcPr>
          <w:p w14:paraId="58339D61" w14:textId="77777777" w:rsidR="00B33542" w:rsidRPr="005071A1" w:rsidRDefault="00B33542" w:rsidP="009B7AF5">
            <w:pPr>
              <w:pStyle w:val="Tabletext"/>
            </w:pPr>
            <w:r w:rsidRPr="005071A1">
              <w:t>0.06</w:t>
            </w:r>
          </w:p>
        </w:tc>
      </w:tr>
      <w:tr w:rsidR="00B33542" w:rsidRPr="005071A1" w14:paraId="0AA79998" w14:textId="77777777" w:rsidTr="00D57394">
        <w:tc>
          <w:tcPr>
            <w:tcW w:w="2432" w:type="dxa"/>
            <w:tcBorders>
              <w:bottom w:val="single" w:sz="4" w:space="0" w:color="auto"/>
            </w:tcBorders>
            <w:shd w:val="clear" w:color="auto" w:fill="auto"/>
          </w:tcPr>
          <w:p w14:paraId="02CAF0F3" w14:textId="77777777" w:rsidR="00B33542" w:rsidRPr="005071A1" w:rsidRDefault="00B33542" w:rsidP="009B7AF5">
            <w:pPr>
              <w:pStyle w:val="Tabletext"/>
            </w:pPr>
            <w:r w:rsidRPr="005071A1">
              <w:t>50</w:t>
            </w:r>
          </w:p>
        </w:tc>
        <w:tc>
          <w:tcPr>
            <w:tcW w:w="2432" w:type="dxa"/>
            <w:tcBorders>
              <w:bottom w:val="single" w:sz="4" w:space="0" w:color="auto"/>
            </w:tcBorders>
            <w:shd w:val="clear" w:color="auto" w:fill="auto"/>
          </w:tcPr>
          <w:p w14:paraId="3E8A59F8" w14:textId="77777777" w:rsidR="00B33542" w:rsidRPr="005071A1" w:rsidRDefault="00B33542" w:rsidP="009B7AF5">
            <w:pPr>
              <w:pStyle w:val="Tabletext"/>
            </w:pPr>
            <w:r w:rsidRPr="005071A1">
              <w:t>0.12</w:t>
            </w:r>
          </w:p>
        </w:tc>
        <w:tc>
          <w:tcPr>
            <w:tcW w:w="2432" w:type="dxa"/>
            <w:tcBorders>
              <w:bottom w:val="single" w:sz="4" w:space="0" w:color="auto"/>
            </w:tcBorders>
            <w:shd w:val="clear" w:color="auto" w:fill="auto"/>
          </w:tcPr>
          <w:p w14:paraId="5CAA41B5" w14:textId="77777777" w:rsidR="00B33542" w:rsidRPr="005071A1" w:rsidRDefault="00B33542" w:rsidP="009B7AF5">
            <w:pPr>
              <w:pStyle w:val="Tabletext"/>
            </w:pPr>
            <w:r w:rsidRPr="005071A1">
              <w:t>0.06</w:t>
            </w:r>
          </w:p>
        </w:tc>
      </w:tr>
      <w:tr w:rsidR="00B33542" w:rsidRPr="005071A1" w14:paraId="28DF0F8E" w14:textId="77777777" w:rsidTr="00D57394">
        <w:tc>
          <w:tcPr>
            <w:tcW w:w="2432" w:type="dxa"/>
            <w:tcBorders>
              <w:top w:val="single" w:sz="4" w:space="0" w:color="auto"/>
            </w:tcBorders>
            <w:shd w:val="clear" w:color="auto" w:fill="auto"/>
          </w:tcPr>
          <w:p w14:paraId="5ABC11B7" w14:textId="77777777" w:rsidR="00B33542" w:rsidRPr="005071A1" w:rsidRDefault="00B33542" w:rsidP="009B7AF5">
            <w:pPr>
              <w:pStyle w:val="Tabletext"/>
            </w:pPr>
            <w:r w:rsidRPr="005071A1">
              <w:t>51</w:t>
            </w:r>
          </w:p>
        </w:tc>
        <w:tc>
          <w:tcPr>
            <w:tcW w:w="2432" w:type="dxa"/>
            <w:tcBorders>
              <w:top w:val="single" w:sz="4" w:space="0" w:color="auto"/>
            </w:tcBorders>
            <w:shd w:val="clear" w:color="auto" w:fill="auto"/>
          </w:tcPr>
          <w:p w14:paraId="7C008DD7" w14:textId="77777777" w:rsidR="00B33542" w:rsidRPr="005071A1" w:rsidRDefault="00B33542" w:rsidP="009B7AF5">
            <w:pPr>
              <w:pStyle w:val="Tabletext"/>
            </w:pPr>
            <w:r w:rsidRPr="005071A1">
              <w:t>0.12</w:t>
            </w:r>
          </w:p>
        </w:tc>
        <w:tc>
          <w:tcPr>
            <w:tcW w:w="2432" w:type="dxa"/>
            <w:tcBorders>
              <w:top w:val="single" w:sz="4" w:space="0" w:color="auto"/>
            </w:tcBorders>
            <w:shd w:val="clear" w:color="auto" w:fill="auto"/>
          </w:tcPr>
          <w:p w14:paraId="3C4E74AE" w14:textId="77777777" w:rsidR="00B33542" w:rsidRPr="005071A1" w:rsidRDefault="00B33542" w:rsidP="009B7AF5">
            <w:pPr>
              <w:pStyle w:val="Tabletext"/>
            </w:pPr>
            <w:r w:rsidRPr="005071A1">
              <w:t>0.06</w:t>
            </w:r>
          </w:p>
        </w:tc>
      </w:tr>
      <w:tr w:rsidR="00B33542" w:rsidRPr="005071A1" w14:paraId="19DCA1EF" w14:textId="77777777" w:rsidTr="00640BB6">
        <w:tc>
          <w:tcPr>
            <w:tcW w:w="2432" w:type="dxa"/>
            <w:tcBorders>
              <w:bottom w:val="single" w:sz="4" w:space="0" w:color="auto"/>
            </w:tcBorders>
            <w:shd w:val="clear" w:color="auto" w:fill="auto"/>
          </w:tcPr>
          <w:p w14:paraId="106473FC" w14:textId="77777777" w:rsidR="00B33542" w:rsidRPr="005071A1" w:rsidRDefault="00B33542" w:rsidP="009B7AF5">
            <w:pPr>
              <w:pStyle w:val="Tabletext"/>
            </w:pPr>
            <w:r w:rsidRPr="005071A1">
              <w:t>52</w:t>
            </w:r>
          </w:p>
        </w:tc>
        <w:tc>
          <w:tcPr>
            <w:tcW w:w="2432" w:type="dxa"/>
            <w:tcBorders>
              <w:bottom w:val="single" w:sz="4" w:space="0" w:color="auto"/>
            </w:tcBorders>
            <w:shd w:val="clear" w:color="auto" w:fill="auto"/>
          </w:tcPr>
          <w:p w14:paraId="78C24344" w14:textId="77777777" w:rsidR="00B33542" w:rsidRPr="005071A1" w:rsidRDefault="00B33542" w:rsidP="009B7AF5">
            <w:pPr>
              <w:pStyle w:val="Tabletext"/>
            </w:pPr>
            <w:r w:rsidRPr="005071A1">
              <w:t>0.14</w:t>
            </w:r>
          </w:p>
        </w:tc>
        <w:tc>
          <w:tcPr>
            <w:tcW w:w="2432" w:type="dxa"/>
            <w:tcBorders>
              <w:bottom w:val="single" w:sz="4" w:space="0" w:color="auto"/>
            </w:tcBorders>
            <w:shd w:val="clear" w:color="auto" w:fill="auto"/>
          </w:tcPr>
          <w:p w14:paraId="4F9B74CC" w14:textId="77777777" w:rsidR="00B33542" w:rsidRPr="005071A1" w:rsidRDefault="00B33542" w:rsidP="009B7AF5">
            <w:pPr>
              <w:pStyle w:val="Tabletext"/>
            </w:pPr>
            <w:r w:rsidRPr="005071A1">
              <w:t>0.07</w:t>
            </w:r>
          </w:p>
        </w:tc>
      </w:tr>
      <w:tr w:rsidR="00B33542" w:rsidRPr="005071A1" w14:paraId="71FA81A4" w14:textId="77777777" w:rsidTr="00640BB6">
        <w:tc>
          <w:tcPr>
            <w:tcW w:w="2432" w:type="dxa"/>
            <w:tcBorders>
              <w:bottom w:val="single" w:sz="4" w:space="0" w:color="auto"/>
            </w:tcBorders>
            <w:shd w:val="clear" w:color="auto" w:fill="auto"/>
          </w:tcPr>
          <w:p w14:paraId="403D0FE9" w14:textId="77777777" w:rsidR="00B33542" w:rsidRPr="005071A1" w:rsidRDefault="00B33542" w:rsidP="009B7AF5">
            <w:pPr>
              <w:pStyle w:val="Tabletext"/>
            </w:pPr>
            <w:r w:rsidRPr="005071A1">
              <w:t>53</w:t>
            </w:r>
          </w:p>
        </w:tc>
        <w:tc>
          <w:tcPr>
            <w:tcW w:w="2432" w:type="dxa"/>
            <w:tcBorders>
              <w:bottom w:val="single" w:sz="4" w:space="0" w:color="auto"/>
            </w:tcBorders>
            <w:shd w:val="clear" w:color="auto" w:fill="auto"/>
          </w:tcPr>
          <w:p w14:paraId="01983F6E" w14:textId="77777777" w:rsidR="00B33542" w:rsidRPr="005071A1" w:rsidRDefault="00B33542" w:rsidP="009B7AF5">
            <w:pPr>
              <w:pStyle w:val="Tabletext"/>
            </w:pPr>
            <w:r w:rsidRPr="005071A1">
              <w:t>0.16</w:t>
            </w:r>
          </w:p>
        </w:tc>
        <w:tc>
          <w:tcPr>
            <w:tcW w:w="2432" w:type="dxa"/>
            <w:tcBorders>
              <w:bottom w:val="single" w:sz="4" w:space="0" w:color="auto"/>
            </w:tcBorders>
            <w:shd w:val="clear" w:color="auto" w:fill="auto"/>
          </w:tcPr>
          <w:p w14:paraId="48C61403" w14:textId="77777777" w:rsidR="00B33542" w:rsidRPr="005071A1" w:rsidRDefault="00B33542" w:rsidP="009B7AF5">
            <w:pPr>
              <w:pStyle w:val="Tabletext"/>
            </w:pPr>
            <w:r w:rsidRPr="005071A1">
              <w:t>0.08</w:t>
            </w:r>
          </w:p>
        </w:tc>
      </w:tr>
      <w:tr w:rsidR="00B33542" w:rsidRPr="005071A1" w14:paraId="01AB1CA5" w14:textId="77777777" w:rsidTr="00640BB6">
        <w:tc>
          <w:tcPr>
            <w:tcW w:w="2432" w:type="dxa"/>
            <w:tcBorders>
              <w:top w:val="single" w:sz="4" w:space="0" w:color="auto"/>
            </w:tcBorders>
            <w:shd w:val="clear" w:color="auto" w:fill="auto"/>
          </w:tcPr>
          <w:p w14:paraId="324C71FB" w14:textId="77777777" w:rsidR="00B33542" w:rsidRPr="005071A1" w:rsidRDefault="00B33542" w:rsidP="009B7AF5">
            <w:pPr>
              <w:pStyle w:val="Tabletext"/>
            </w:pPr>
            <w:r w:rsidRPr="005071A1">
              <w:t>54</w:t>
            </w:r>
          </w:p>
        </w:tc>
        <w:tc>
          <w:tcPr>
            <w:tcW w:w="2432" w:type="dxa"/>
            <w:tcBorders>
              <w:top w:val="single" w:sz="4" w:space="0" w:color="auto"/>
            </w:tcBorders>
            <w:shd w:val="clear" w:color="auto" w:fill="auto"/>
          </w:tcPr>
          <w:p w14:paraId="39BD7856" w14:textId="77777777" w:rsidR="00B33542" w:rsidRPr="005071A1" w:rsidRDefault="00B33542" w:rsidP="009B7AF5">
            <w:pPr>
              <w:pStyle w:val="Tabletext"/>
            </w:pPr>
            <w:r w:rsidRPr="005071A1">
              <w:t>0.16</w:t>
            </w:r>
          </w:p>
        </w:tc>
        <w:tc>
          <w:tcPr>
            <w:tcW w:w="2432" w:type="dxa"/>
            <w:tcBorders>
              <w:top w:val="single" w:sz="4" w:space="0" w:color="auto"/>
            </w:tcBorders>
            <w:shd w:val="clear" w:color="auto" w:fill="auto"/>
          </w:tcPr>
          <w:p w14:paraId="34BE4007" w14:textId="77777777" w:rsidR="00B33542" w:rsidRPr="005071A1" w:rsidRDefault="00B33542" w:rsidP="009B7AF5">
            <w:pPr>
              <w:pStyle w:val="Tabletext"/>
            </w:pPr>
            <w:r w:rsidRPr="005071A1">
              <w:t>0.08</w:t>
            </w:r>
          </w:p>
        </w:tc>
      </w:tr>
      <w:tr w:rsidR="00B33542" w:rsidRPr="005071A1" w14:paraId="2C852D09" w14:textId="77777777" w:rsidTr="009B7AF5">
        <w:tc>
          <w:tcPr>
            <w:tcW w:w="2432" w:type="dxa"/>
            <w:shd w:val="clear" w:color="auto" w:fill="auto"/>
          </w:tcPr>
          <w:p w14:paraId="1C76A017" w14:textId="77777777" w:rsidR="00B33542" w:rsidRPr="005071A1" w:rsidRDefault="00B33542" w:rsidP="009B7AF5">
            <w:pPr>
              <w:pStyle w:val="Tabletext"/>
            </w:pPr>
            <w:r w:rsidRPr="005071A1">
              <w:t>55</w:t>
            </w:r>
          </w:p>
        </w:tc>
        <w:tc>
          <w:tcPr>
            <w:tcW w:w="2432" w:type="dxa"/>
            <w:shd w:val="clear" w:color="auto" w:fill="auto"/>
          </w:tcPr>
          <w:p w14:paraId="0DE8440A" w14:textId="77777777" w:rsidR="00B33542" w:rsidRPr="005071A1" w:rsidRDefault="00B33542" w:rsidP="009B7AF5">
            <w:pPr>
              <w:pStyle w:val="Tabletext"/>
            </w:pPr>
            <w:r w:rsidRPr="005071A1">
              <w:t>0.18</w:t>
            </w:r>
          </w:p>
        </w:tc>
        <w:tc>
          <w:tcPr>
            <w:tcW w:w="2432" w:type="dxa"/>
            <w:shd w:val="clear" w:color="auto" w:fill="auto"/>
          </w:tcPr>
          <w:p w14:paraId="2286E829" w14:textId="77777777" w:rsidR="00B33542" w:rsidRPr="005071A1" w:rsidRDefault="00B33542" w:rsidP="009B7AF5">
            <w:pPr>
              <w:pStyle w:val="Tabletext"/>
            </w:pPr>
            <w:r w:rsidRPr="005071A1">
              <w:t>0.09</w:t>
            </w:r>
          </w:p>
        </w:tc>
      </w:tr>
      <w:tr w:rsidR="00B33542" w:rsidRPr="005071A1" w14:paraId="0C98229F" w14:textId="77777777" w:rsidTr="009B7AF5">
        <w:tc>
          <w:tcPr>
            <w:tcW w:w="2432" w:type="dxa"/>
            <w:shd w:val="clear" w:color="auto" w:fill="auto"/>
          </w:tcPr>
          <w:p w14:paraId="0C1D7855" w14:textId="77777777" w:rsidR="00B33542" w:rsidRPr="005071A1" w:rsidRDefault="00B33542" w:rsidP="009B7AF5">
            <w:pPr>
              <w:pStyle w:val="Tabletext"/>
            </w:pPr>
            <w:r w:rsidRPr="005071A1">
              <w:t>56</w:t>
            </w:r>
          </w:p>
        </w:tc>
        <w:tc>
          <w:tcPr>
            <w:tcW w:w="2432" w:type="dxa"/>
            <w:shd w:val="clear" w:color="auto" w:fill="auto"/>
          </w:tcPr>
          <w:p w14:paraId="619E01FC" w14:textId="77777777" w:rsidR="00B33542" w:rsidRPr="005071A1" w:rsidRDefault="00B33542" w:rsidP="009B7AF5">
            <w:pPr>
              <w:pStyle w:val="Tabletext"/>
            </w:pPr>
            <w:r w:rsidRPr="005071A1">
              <w:t>0.20</w:t>
            </w:r>
          </w:p>
        </w:tc>
        <w:tc>
          <w:tcPr>
            <w:tcW w:w="2432" w:type="dxa"/>
            <w:shd w:val="clear" w:color="auto" w:fill="auto"/>
          </w:tcPr>
          <w:p w14:paraId="05BF07BA" w14:textId="77777777" w:rsidR="00B33542" w:rsidRPr="005071A1" w:rsidRDefault="00B33542" w:rsidP="009B7AF5">
            <w:pPr>
              <w:pStyle w:val="Tabletext"/>
            </w:pPr>
            <w:r w:rsidRPr="005071A1">
              <w:t>0.10</w:t>
            </w:r>
          </w:p>
        </w:tc>
      </w:tr>
      <w:tr w:rsidR="00B33542" w:rsidRPr="005071A1" w14:paraId="186EFC15" w14:textId="77777777" w:rsidTr="009B7AF5">
        <w:tc>
          <w:tcPr>
            <w:tcW w:w="2432" w:type="dxa"/>
            <w:shd w:val="clear" w:color="auto" w:fill="auto"/>
          </w:tcPr>
          <w:p w14:paraId="4374DC24" w14:textId="77777777" w:rsidR="00B33542" w:rsidRPr="005071A1" w:rsidRDefault="00B33542" w:rsidP="009B7AF5">
            <w:pPr>
              <w:pStyle w:val="Tabletext"/>
            </w:pPr>
            <w:r w:rsidRPr="005071A1">
              <w:t>57</w:t>
            </w:r>
          </w:p>
        </w:tc>
        <w:tc>
          <w:tcPr>
            <w:tcW w:w="2432" w:type="dxa"/>
            <w:shd w:val="clear" w:color="auto" w:fill="auto"/>
          </w:tcPr>
          <w:p w14:paraId="752E3BA0" w14:textId="77777777" w:rsidR="00B33542" w:rsidRPr="005071A1" w:rsidRDefault="00B33542" w:rsidP="009B7AF5">
            <w:pPr>
              <w:pStyle w:val="Tabletext"/>
            </w:pPr>
            <w:r w:rsidRPr="005071A1">
              <w:t>0.22</w:t>
            </w:r>
          </w:p>
        </w:tc>
        <w:tc>
          <w:tcPr>
            <w:tcW w:w="2432" w:type="dxa"/>
            <w:shd w:val="clear" w:color="auto" w:fill="auto"/>
          </w:tcPr>
          <w:p w14:paraId="09B24E35" w14:textId="77777777" w:rsidR="00B33542" w:rsidRPr="005071A1" w:rsidRDefault="00B33542" w:rsidP="009B7AF5">
            <w:pPr>
              <w:pStyle w:val="Tabletext"/>
            </w:pPr>
            <w:r w:rsidRPr="005071A1">
              <w:t>0.11</w:t>
            </w:r>
          </w:p>
        </w:tc>
      </w:tr>
      <w:tr w:rsidR="00B33542" w:rsidRPr="005071A1" w14:paraId="6E0242F3" w14:textId="77777777" w:rsidTr="009B7AF5">
        <w:tc>
          <w:tcPr>
            <w:tcW w:w="2432" w:type="dxa"/>
            <w:shd w:val="clear" w:color="auto" w:fill="auto"/>
          </w:tcPr>
          <w:p w14:paraId="74C96746" w14:textId="77777777" w:rsidR="00B33542" w:rsidRPr="005071A1" w:rsidRDefault="00B33542" w:rsidP="009B7AF5">
            <w:pPr>
              <w:pStyle w:val="Tabletext"/>
            </w:pPr>
            <w:r w:rsidRPr="005071A1">
              <w:t>58</w:t>
            </w:r>
          </w:p>
        </w:tc>
        <w:tc>
          <w:tcPr>
            <w:tcW w:w="2432" w:type="dxa"/>
            <w:shd w:val="clear" w:color="auto" w:fill="auto"/>
          </w:tcPr>
          <w:p w14:paraId="6D8BEABA" w14:textId="77777777" w:rsidR="00B33542" w:rsidRPr="005071A1" w:rsidRDefault="00B33542" w:rsidP="009B7AF5">
            <w:pPr>
              <w:pStyle w:val="Tabletext"/>
            </w:pPr>
            <w:r w:rsidRPr="005071A1">
              <w:t>0.26</w:t>
            </w:r>
          </w:p>
        </w:tc>
        <w:tc>
          <w:tcPr>
            <w:tcW w:w="2432" w:type="dxa"/>
            <w:shd w:val="clear" w:color="auto" w:fill="auto"/>
          </w:tcPr>
          <w:p w14:paraId="2BB8DCFB" w14:textId="77777777" w:rsidR="00B33542" w:rsidRPr="005071A1" w:rsidRDefault="00B33542" w:rsidP="009B7AF5">
            <w:pPr>
              <w:pStyle w:val="Tabletext"/>
            </w:pPr>
            <w:r w:rsidRPr="005071A1">
              <w:t>0.13</w:t>
            </w:r>
          </w:p>
        </w:tc>
      </w:tr>
      <w:tr w:rsidR="00B33542" w:rsidRPr="005071A1" w14:paraId="21835273" w14:textId="77777777" w:rsidTr="009B7AF5">
        <w:tc>
          <w:tcPr>
            <w:tcW w:w="2432" w:type="dxa"/>
            <w:shd w:val="clear" w:color="auto" w:fill="auto"/>
          </w:tcPr>
          <w:p w14:paraId="67CF6633" w14:textId="77777777" w:rsidR="00B33542" w:rsidRPr="005071A1" w:rsidRDefault="00B33542" w:rsidP="009B7AF5">
            <w:pPr>
              <w:pStyle w:val="Tabletext"/>
            </w:pPr>
            <w:r w:rsidRPr="005071A1">
              <w:t>59</w:t>
            </w:r>
          </w:p>
        </w:tc>
        <w:tc>
          <w:tcPr>
            <w:tcW w:w="2432" w:type="dxa"/>
            <w:shd w:val="clear" w:color="auto" w:fill="auto"/>
          </w:tcPr>
          <w:p w14:paraId="1A90B189" w14:textId="77777777" w:rsidR="00B33542" w:rsidRPr="005071A1" w:rsidRDefault="00B33542" w:rsidP="009B7AF5">
            <w:pPr>
              <w:pStyle w:val="Tabletext"/>
            </w:pPr>
            <w:r w:rsidRPr="005071A1">
              <w:t>0.30</w:t>
            </w:r>
          </w:p>
        </w:tc>
        <w:tc>
          <w:tcPr>
            <w:tcW w:w="2432" w:type="dxa"/>
            <w:shd w:val="clear" w:color="auto" w:fill="auto"/>
          </w:tcPr>
          <w:p w14:paraId="3BF783AD" w14:textId="77777777" w:rsidR="00B33542" w:rsidRPr="005071A1" w:rsidRDefault="00B33542" w:rsidP="009B7AF5">
            <w:pPr>
              <w:pStyle w:val="Tabletext"/>
            </w:pPr>
            <w:r w:rsidRPr="005071A1">
              <w:t>0.15</w:t>
            </w:r>
          </w:p>
        </w:tc>
      </w:tr>
      <w:tr w:rsidR="00B33542" w:rsidRPr="005071A1" w14:paraId="03076A0A" w14:textId="77777777" w:rsidTr="009B7AF5">
        <w:tc>
          <w:tcPr>
            <w:tcW w:w="2432" w:type="dxa"/>
            <w:shd w:val="clear" w:color="auto" w:fill="auto"/>
          </w:tcPr>
          <w:p w14:paraId="45FECE02" w14:textId="77777777" w:rsidR="00B33542" w:rsidRPr="005071A1" w:rsidRDefault="00B33542" w:rsidP="009B7AF5">
            <w:pPr>
              <w:pStyle w:val="Tabletext"/>
            </w:pPr>
            <w:r w:rsidRPr="005071A1">
              <w:t>60</w:t>
            </w:r>
          </w:p>
        </w:tc>
        <w:tc>
          <w:tcPr>
            <w:tcW w:w="2432" w:type="dxa"/>
            <w:shd w:val="clear" w:color="auto" w:fill="auto"/>
          </w:tcPr>
          <w:p w14:paraId="5B320076" w14:textId="77777777" w:rsidR="00B33542" w:rsidRPr="005071A1" w:rsidRDefault="00B33542" w:rsidP="009B7AF5">
            <w:pPr>
              <w:pStyle w:val="Tabletext"/>
            </w:pPr>
            <w:r w:rsidRPr="005071A1">
              <w:t>0.36</w:t>
            </w:r>
          </w:p>
        </w:tc>
        <w:tc>
          <w:tcPr>
            <w:tcW w:w="2432" w:type="dxa"/>
            <w:shd w:val="clear" w:color="auto" w:fill="auto"/>
          </w:tcPr>
          <w:p w14:paraId="284891A0" w14:textId="77777777" w:rsidR="00B33542" w:rsidRPr="005071A1" w:rsidRDefault="00B33542" w:rsidP="009B7AF5">
            <w:pPr>
              <w:pStyle w:val="Tabletext"/>
            </w:pPr>
            <w:r w:rsidRPr="005071A1">
              <w:t>0.18</w:t>
            </w:r>
          </w:p>
        </w:tc>
      </w:tr>
      <w:tr w:rsidR="00B33542" w:rsidRPr="005071A1" w14:paraId="77E902CE" w14:textId="77777777" w:rsidTr="009B7AF5">
        <w:tc>
          <w:tcPr>
            <w:tcW w:w="2432" w:type="dxa"/>
            <w:shd w:val="clear" w:color="auto" w:fill="auto"/>
          </w:tcPr>
          <w:p w14:paraId="4E7BBCFA" w14:textId="77777777" w:rsidR="00B33542" w:rsidRPr="005071A1" w:rsidRDefault="00B33542" w:rsidP="009B7AF5">
            <w:pPr>
              <w:pStyle w:val="Tabletext"/>
            </w:pPr>
            <w:r w:rsidRPr="005071A1">
              <w:t>61</w:t>
            </w:r>
          </w:p>
        </w:tc>
        <w:tc>
          <w:tcPr>
            <w:tcW w:w="2432" w:type="dxa"/>
            <w:shd w:val="clear" w:color="auto" w:fill="auto"/>
          </w:tcPr>
          <w:p w14:paraId="7C0D9743" w14:textId="77777777" w:rsidR="00B33542" w:rsidRPr="005071A1" w:rsidRDefault="00B33542" w:rsidP="009B7AF5">
            <w:pPr>
              <w:pStyle w:val="Tabletext"/>
            </w:pPr>
            <w:r w:rsidRPr="005071A1">
              <w:t>0.42</w:t>
            </w:r>
          </w:p>
        </w:tc>
        <w:tc>
          <w:tcPr>
            <w:tcW w:w="2432" w:type="dxa"/>
            <w:shd w:val="clear" w:color="auto" w:fill="auto"/>
          </w:tcPr>
          <w:p w14:paraId="3070F162" w14:textId="77777777" w:rsidR="00B33542" w:rsidRPr="005071A1" w:rsidRDefault="00B33542" w:rsidP="009B7AF5">
            <w:pPr>
              <w:pStyle w:val="Tabletext"/>
            </w:pPr>
            <w:r w:rsidRPr="005071A1">
              <w:t>0.21</w:t>
            </w:r>
          </w:p>
        </w:tc>
      </w:tr>
      <w:tr w:rsidR="00B33542" w:rsidRPr="005071A1" w14:paraId="23AAAD47" w14:textId="77777777" w:rsidTr="009B7AF5">
        <w:tc>
          <w:tcPr>
            <w:tcW w:w="2432" w:type="dxa"/>
            <w:shd w:val="clear" w:color="auto" w:fill="auto"/>
          </w:tcPr>
          <w:p w14:paraId="411DA09B" w14:textId="77777777" w:rsidR="00B33542" w:rsidRPr="005071A1" w:rsidRDefault="00B33542" w:rsidP="009B7AF5">
            <w:pPr>
              <w:pStyle w:val="Tabletext"/>
            </w:pPr>
            <w:r w:rsidRPr="005071A1">
              <w:t>62</w:t>
            </w:r>
          </w:p>
        </w:tc>
        <w:tc>
          <w:tcPr>
            <w:tcW w:w="2432" w:type="dxa"/>
            <w:shd w:val="clear" w:color="auto" w:fill="auto"/>
          </w:tcPr>
          <w:p w14:paraId="28A7393F" w14:textId="77777777" w:rsidR="00B33542" w:rsidRPr="005071A1" w:rsidRDefault="00B33542" w:rsidP="009B7AF5">
            <w:pPr>
              <w:pStyle w:val="Tabletext"/>
            </w:pPr>
            <w:r w:rsidRPr="005071A1">
              <w:t>0.58</w:t>
            </w:r>
          </w:p>
        </w:tc>
        <w:tc>
          <w:tcPr>
            <w:tcW w:w="2432" w:type="dxa"/>
            <w:shd w:val="clear" w:color="auto" w:fill="auto"/>
          </w:tcPr>
          <w:p w14:paraId="324BDEAF" w14:textId="77777777" w:rsidR="00B33542" w:rsidRPr="005071A1" w:rsidRDefault="00B33542" w:rsidP="009B7AF5">
            <w:pPr>
              <w:pStyle w:val="Tabletext"/>
            </w:pPr>
            <w:r w:rsidRPr="005071A1">
              <w:t>0.29</w:t>
            </w:r>
          </w:p>
        </w:tc>
      </w:tr>
      <w:tr w:rsidR="00B33542" w:rsidRPr="005071A1" w14:paraId="0FC70A77" w14:textId="77777777" w:rsidTr="009B7AF5">
        <w:tc>
          <w:tcPr>
            <w:tcW w:w="2432" w:type="dxa"/>
            <w:shd w:val="clear" w:color="auto" w:fill="auto"/>
          </w:tcPr>
          <w:p w14:paraId="65C63E21" w14:textId="77777777" w:rsidR="00B33542" w:rsidRPr="005071A1" w:rsidRDefault="00B33542" w:rsidP="009B7AF5">
            <w:pPr>
              <w:pStyle w:val="Tabletext"/>
            </w:pPr>
            <w:r w:rsidRPr="005071A1">
              <w:t>63</w:t>
            </w:r>
          </w:p>
        </w:tc>
        <w:tc>
          <w:tcPr>
            <w:tcW w:w="2432" w:type="dxa"/>
            <w:shd w:val="clear" w:color="auto" w:fill="auto"/>
          </w:tcPr>
          <w:p w14:paraId="014A60D1" w14:textId="77777777" w:rsidR="00B33542" w:rsidRPr="005071A1" w:rsidRDefault="00B33542" w:rsidP="009B7AF5">
            <w:pPr>
              <w:pStyle w:val="Tabletext"/>
            </w:pPr>
            <w:r w:rsidRPr="005071A1">
              <w:t>0.86</w:t>
            </w:r>
          </w:p>
        </w:tc>
        <w:tc>
          <w:tcPr>
            <w:tcW w:w="2432" w:type="dxa"/>
            <w:shd w:val="clear" w:color="auto" w:fill="auto"/>
          </w:tcPr>
          <w:p w14:paraId="1D70E9D3" w14:textId="77777777" w:rsidR="00B33542" w:rsidRPr="005071A1" w:rsidRDefault="00B33542" w:rsidP="009B7AF5">
            <w:pPr>
              <w:pStyle w:val="Tabletext"/>
            </w:pPr>
            <w:r w:rsidRPr="005071A1">
              <w:t>0.43</w:t>
            </w:r>
          </w:p>
        </w:tc>
      </w:tr>
      <w:tr w:rsidR="00B33542" w:rsidRPr="005071A1" w14:paraId="042EEBE7" w14:textId="77777777" w:rsidTr="009B7AF5">
        <w:tc>
          <w:tcPr>
            <w:tcW w:w="2432" w:type="dxa"/>
            <w:tcBorders>
              <w:bottom w:val="single" w:sz="4" w:space="0" w:color="auto"/>
            </w:tcBorders>
            <w:shd w:val="clear" w:color="auto" w:fill="auto"/>
          </w:tcPr>
          <w:p w14:paraId="61E928CB" w14:textId="77777777" w:rsidR="00B33542" w:rsidRPr="005071A1" w:rsidRDefault="00B33542" w:rsidP="009B7AF5">
            <w:pPr>
              <w:pStyle w:val="Tabletext"/>
            </w:pPr>
            <w:r w:rsidRPr="005071A1">
              <w:t>64</w:t>
            </w:r>
          </w:p>
        </w:tc>
        <w:tc>
          <w:tcPr>
            <w:tcW w:w="2432" w:type="dxa"/>
            <w:tcBorders>
              <w:bottom w:val="single" w:sz="4" w:space="0" w:color="auto"/>
            </w:tcBorders>
            <w:shd w:val="clear" w:color="auto" w:fill="auto"/>
          </w:tcPr>
          <w:p w14:paraId="48CEE6B9" w14:textId="77777777" w:rsidR="00B33542" w:rsidRPr="005071A1" w:rsidRDefault="00B33542" w:rsidP="009B7AF5">
            <w:pPr>
              <w:pStyle w:val="Tabletext"/>
            </w:pPr>
            <w:r w:rsidRPr="005071A1">
              <w:t>1.78</w:t>
            </w:r>
          </w:p>
        </w:tc>
        <w:tc>
          <w:tcPr>
            <w:tcW w:w="2432" w:type="dxa"/>
            <w:tcBorders>
              <w:bottom w:val="single" w:sz="4" w:space="0" w:color="auto"/>
            </w:tcBorders>
            <w:shd w:val="clear" w:color="auto" w:fill="auto"/>
          </w:tcPr>
          <w:p w14:paraId="447629D0" w14:textId="77777777" w:rsidR="00B33542" w:rsidRPr="005071A1" w:rsidRDefault="00B33542" w:rsidP="009B7AF5">
            <w:pPr>
              <w:pStyle w:val="Tabletext"/>
            </w:pPr>
            <w:r w:rsidRPr="005071A1">
              <w:t>0.89</w:t>
            </w:r>
          </w:p>
        </w:tc>
      </w:tr>
      <w:tr w:rsidR="00B33542" w:rsidRPr="005071A1" w14:paraId="17E1F12C" w14:textId="77777777" w:rsidTr="009B7AF5">
        <w:tc>
          <w:tcPr>
            <w:tcW w:w="2432" w:type="dxa"/>
            <w:tcBorders>
              <w:bottom w:val="single" w:sz="12" w:space="0" w:color="auto"/>
            </w:tcBorders>
            <w:shd w:val="clear" w:color="auto" w:fill="auto"/>
          </w:tcPr>
          <w:p w14:paraId="171CC082" w14:textId="77777777" w:rsidR="00B33542" w:rsidRPr="005071A1" w:rsidRDefault="00B33542" w:rsidP="009B7AF5">
            <w:pPr>
              <w:pStyle w:val="Tabletext"/>
            </w:pPr>
            <w:r w:rsidRPr="005071A1">
              <w:t>65</w:t>
            </w:r>
          </w:p>
        </w:tc>
        <w:tc>
          <w:tcPr>
            <w:tcW w:w="2432" w:type="dxa"/>
            <w:tcBorders>
              <w:bottom w:val="single" w:sz="12" w:space="0" w:color="auto"/>
            </w:tcBorders>
            <w:shd w:val="clear" w:color="auto" w:fill="auto"/>
          </w:tcPr>
          <w:p w14:paraId="4511E88F" w14:textId="77777777" w:rsidR="00B33542" w:rsidRPr="005071A1" w:rsidRDefault="00B33542" w:rsidP="009B7AF5">
            <w:pPr>
              <w:pStyle w:val="Tabletext"/>
            </w:pPr>
            <w:r w:rsidRPr="005071A1">
              <w:t>1.28</w:t>
            </w:r>
          </w:p>
        </w:tc>
        <w:tc>
          <w:tcPr>
            <w:tcW w:w="2432" w:type="dxa"/>
            <w:tcBorders>
              <w:bottom w:val="single" w:sz="12" w:space="0" w:color="auto"/>
            </w:tcBorders>
            <w:shd w:val="clear" w:color="auto" w:fill="auto"/>
          </w:tcPr>
          <w:p w14:paraId="5B138BAA" w14:textId="77777777" w:rsidR="00B33542" w:rsidRPr="005071A1" w:rsidRDefault="00B33542" w:rsidP="009B7AF5">
            <w:pPr>
              <w:pStyle w:val="Tabletext"/>
            </w:pPr>
            <w:r w:rsidRPr="005071A1">
              <w:t>0.64</w:t>
            </w:r>
          </w:p>
        </w:tc>
      </w:tr>
    </w:tbl>
    <w:p w14:paraId="51EDD47D" w14:textId="77777777" w:rsidR="00B33542" w:rsidRPr="005071A1" w:rsidRDefault="00B33542" w:rsidP="00674A0D">
      <w:pPr>
        <w:pStyle w:val="ActHead5"/>
        <w:pageBreakBefore/>
      </w:pPr>
      <w:bookmarkStart w:id="314" w:name="_Toc185577696"/>
      <w:r w:rsidRPr="005071A1">
        <w:lastRenderedPageBreak/>
        <w:t>Table IV</w:t>
      </w:r>
      <w:bookmarkEnd w:id="314"/>
    </w:p>
    <w:p w14:paraId="2BFD9F65" w14:textId="77777777" w:rsidR="00B33542" w:rsidRPr="005071A1" w:rsidRDefault="00B33542" w:rsidP="00B33542">
      <w:pPr>
        <w:spacing w:before="120"/>
      </w:pPr>
      <w:r w:rsidRPr="005071A1">
        <w:t>Reductions in fortnightly rates of contribution payable on or after 1st July, 1962, by male contributors (other than contributors who have elected that section</w:t>
      </w:r>
      <w:r w:rsidR="008B2950" w:rsidRPr="005071A1">
        <w:t> </w:t>
      </w:r>
      <w:r w:rsidRPr="005071A1">
        <w:t>26 shall not apply to them) for units of pension where the obligation to contribute for those units existed on or before 2nd November, 1942, based on a retiring age of 60 years and the age next birthday of the contributor when that obligation came into existence</w:t>
      </w:r>
    </w:p>
    <w:p w14:paraId="3BD8B351"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24"/>
        <w:gridCol w:w="1824"/>
        <w:gridCol w:w="1824"/>
        <w:gridCol w:w="1824"/>
      </w:tblGrid>
      <w:tr w:rsidR="00B33542" w:rsidRPr="005071A1" w14:paraId="0F008C2A" w14:textId="77777777" w:rsidTr="009B7AF5">
        <w:trPr>
          <w:tblHeader/>
        </w:trPr>
        <w:tc>
          <w:tcPr>
            <w:tcW w:w="1824" w:type="dxa"/>
            <w:tcBorders>
              <w:top w:val="single" w:sz="12" w:space="0" w:color="auto"/>
              <w:bottom w:val="single" w:sz="6" w:space="0" w:color="auto"/>
            </w:tcBorders>
            <w:shd w:val="clear" w:color="auto" w:fill="auto"/>
          </w:tcPr>
          <w:p w14:paraId="03640B2A" w14:textId="77777777" w:rsidR="00B33542" w:rsidRPr="005071A1" w:rsidRDefault="00B33542" w:rsidP="009B7AF5">
            <w:pPr>
              <w:pStyle w:val="TableHeading"/>
            </w:pPr>
            <w:r w:rsidRPr="005071A1">
              <w:t>Column 1</w:t>
            </w:r>
          </w:p>
        </w:tc>
        <w:tc>
          <w:tcPr>
            <w:tcW w:w="1824" w:type="dxa"/>
            <w:tcBorders>
              <w:top w:val="single" w:sz="12" w:space="0" w:color="auto"/>
              <w:bottom w:val="single" w:sz="6" w:space="0" w:color="auto"/>
            </w:tcBorders>
            <w:shd w:val="clear" w:color="auto" w:fill="auto"/>
          </w:tcPr>
          <w:p w14:paraId="300CEA7A" w14:textId="77777777" w:rsidR="00B33542" w:rsidRPr="005071A1" w:rsidRDefault="00B33542" w:rsidP="009B7AF5">
            <w:pPr>
              <w:pStyle w:val="TableHeading"/>
            </w:pPr>
            <w:r w:rsidRPr="005071A1">
              <w:t>Column 2</w:t>
            </w:r>
          </w:p>
        </w:tc>
        <w:tc>
          <w:tcPr>
            <w:tcW w:w="1824" w:type="dxa"/>
            <w:tcBorders>
              <w:top w:val="single" w:sz="12" w:space="0" w:color="auto"/>
              <w:bottom w:val="single" w:sz="6" w:space="0" w:color="auto"/>
            </w:tcBorders>
            <w:shd w:val="clear" w:color="auto" w:fill="auto"/>
          </w:tcPr>
          <w:p w14:paraId="7A8C2834" w14:textId="77777777" w:rsidR="00B33542" w:rsidRPr="005071A1" w:rsidRDefault="00B33542" w:rsidP="009B7AF5">
            <w:pPr>
              <w:pStyle w:val="TableHeading"/>
            </w:pPr>
            <w:r w:rsidRPr="005071A1">
              <w:t>Column 3</w:t>
            </w:r>
          </w:p>
        </w:tc>
        <w:tc>
          <w:tcPr>
            <w:tcW w:w="1824" w:type="dxa"/>
            <w:tcBorders>
              <w:top w:val="single" w:sz="12" w:space="0" w:color="auto"/>
              <w:bottom w:val="single" w:sz="6" w:space="0" w:color="auto"/>
            </w:tcBorders>
            <w:shd w:val="clear" w:color="auto" w:fill="auto"/>
          </w:tcPr>
          <w:p w14:paraId="6DEF4395" w14:textId="77777777" w:rsidR="00B33542" w:rsidRPr="005071A1" w:rsidRDefault="00B33542" w:rsidP="009B7AF5">
            <w:pPr>
              <w:pStyle w:val="TableHeading"/>
            </w:pPr>
            <w:r w:rsidRPr="005071A1">
              <w:t>Column 4</w:t>
            </w:r>
          </w:p>
        </w:tc>
      </w:tr>
      <w:tr w:rsidR="00B33542" w:rsidRPr="005071A1" w14:paraId="28071CFD" w14:textId="77777777" w:rsidTr="009B7AF5">
        <w:trPr>
          <w:tblHeader/>
        </w:trPr>
        <w:tc>
          <w:tcPr>
            <w:tcW w:w="1824" w:type="dxa"/>
            <w:tcBorders>
              <w:top w:val="single" w:sz="6" w:space="0" w:color="auto"/>
              <w:bottom w:val="single" w:sz="6" w:space="0" w:color="auto"/>
            </w:tcBorders>
            <w:shd w:val="clear" w:color="auto" w:fill="auto"/>
          </w:tcPr>
          <w:p w14:paraId="230DE36D"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824" w:type="dxa"/>
            <w:tcBorders>
              <w:top w:val="single" w:sz="6" w:space="0" w:color="auto"/>
              <w:bottom w:val="single" w:sz="6" w:space="0" w:color="auto"/>
            </w:tcBorders>
            <w:shd w:val="clear" w:color="auto" w:fill="auto"/>
          </w:tcPr>
          <w:p w14:paraId="66DAA0F7"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First Two Units</w:t>
            </w:r>
          </w:p>
        </w:tc>
        <w:tc>
          <w:tcPr>
            <w:tcW w:w="1824" w:type="dxa"/>
            <w:tcBorders>
              <w:top w:val="single" w:sz="6" w:space="0" w:color="auto"/>
              <w:bottom w:val="single" w:sz="6" w:space="0" w:color="auto"/>
            </w:tcBorders>
            <w:shd w:val="clear" w:color="auto" w:fill="auto"/>
          </w:tcPr>
          <w:p w14:paraId="6C5E11CC" w14:textId="77777777" w:rsidR="00B33542" w:rsidRPr="005071A1" w:rsidRDefault="00B33542" w:rsidP="005C01B5">
            <w:pPr>
              <w:pStyle w:val="TableHeading"/>
              <w:spacing w:before="40" w:after="40" w:line="180" w:lineRule="atLeast"/>
              <w:rPr>
                <w:sz w:val="16"/>
                <w:szCs w:val="16"/>
              </w:rPr>
            </w:pPr>
            <w:r w:rsidRPr="005071A1">
              <w:rPr>
                <w:sz w:val="16"/>
                <w:szCs w:val="16"/>
              </w:rPr>
              <w:t>Reduction in Contribution for Additional Unit where Contributor did not become liable to Contribute for other Additional Units at the same time; and Reduction in Contribution for One of a number of Additional Units for which Contributor became liable to Contribute at the same time, being a number that is not two or a multiple of two</w:t>
            </w:r>
          </w:p>
        </w:tc>
        <w:tc>
          <w:tcPr>
            <w:tcW w:w="1824" w:type="dxa"/>
            <w:tcBorders>
              <w:top w:val="single" w:sz="6" w:space="0" w:color="auto"/>
              <w:bottom w:val="single" w:sz="6" w:space="0" w:color="auto"/>
            </w:tcBorders>
            <w:shd w:val="clear" w:color="auto" w:fill="auto"/>
          </w:tcPr>
          <w:p w14:paraId="6FDDB8CA"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each Additional Two Units included in a number of Additional Units for which Contributor became liable to Contribute at the same time, excluding any Unit to which Column 3 of this Table applies</w:t>
            </w:r>
          </w:p>
        </w:tc>
      </w:tr>
      <w:tr w:rsidR="00B33542" w:rsidRPr="005071A1" w14:paraId="1B0F40FE" w14:textId="77777777" w:rsidTr="009B7AF5">
        <w:trPr>
          <w:tblHeader/>
        </w:trPr>
        <w:tc>
          <w:tcPr>
            <w:tcW w:w="1824" w:type="dxa"/>
            <w:tcBorders>
              <w:top w:val="single" w:sz="6" w:space="0" w:color="auto"/>
              <w:bottom w:val="single" w:sz="12" w:space="0" w:color="auto"/>
            </w:tcBorders>
            <w:shd w:val="clear" w:color="auto" w:fill="auto"/>
          </w:tcPr>
          <w:p w14:paraId="33EFD646" w14:textId="77777777" w:rsidR="00B33542" w:rsidRPr="005071A1" w:rsidRDefault="00B33542" w:rsidP="005C01B5">
            <w:pPr>
              <w:pStyle w:val="TableHeading"/>
            </w:pPr>
          </w:p>
        </w:tc>
        <w:tc>
          <w:tcPr>
            <w:tcW w:w="1824" w:type="dxa"/>
            <w:tcBorders>
              <w:top w:val="single" w:sz="6" w:space="0" w:color="auto"/>
              <w:bottom w:val="single" w:sz="12" w:space="0" w:color="auto"/>
            </w:tcBorders>
            <w:shd w:val="clear" w:color="auto" w:fill="auto"/>
          </w:tcPr>
          <w:p w14:paraId="12FC1665" w14:textId="77777777" w:rsidR="00B33542" w:rsidRPr="005071A1" w:rsidRDefault="00B33542" w:rsidP="005C01B5">
            <w:pPr>
              <w:pStyle w:val="TableHeading"/>
            </w:pPr>
            <w:r w:rsidRPr="005071A1">
              <w:t>$</w:t>
            </w:r>
          </w:p>
        </w:tc>
        <w:tc>
          <w:tcPr>
            <w:tcW w:w="1824" w:type="dxa"/>
            <w:tcBorders>
              <w:top w:val="single" w:sz="6" w:space="0" w:color="auto"/>
              <w:bottom w:val="single" w:sz="12" w:space="0" w:color="auto"/>
            </w:tcBorders>
            <w:shd w:val="clear" w:color="auto" w:fill="auto"/>
          </w:tcPr>
          <w:p w14:paraId="6BF3E7CC" w14:textId="77777777" w:rsidR="00B33542" w:rsidRPr="005071A1" w:rsidRDefault="00B33542" w:rsidP="005C01B5">
            <w:pPr>
              <w:pStyle w:val="TableHeading"/>
            </w:pPr>
            <w:r w:rsidRPr="005071A1">
              <w:t>$</w:t>
            </w:r>
          </w:p>
        </w:tc>
        <w:tc>
          <w:tcPr>
            <w:tcW w:w="1824" w:type="dxa"/>
            <w:tcBorders>
              <w:top w:val="single" w:sz="6" w:space="0" w:color="auto"/>
              <w:bottom w:val="single" w:sz="12" w:space="0" w:color="auto"/>
            </w:tcBorders>
            <w:shd w:val="clear" w:color="auto" w:fill="auto"/>
          </w:tcPr>
          <w:p w14:paraId="0710656A" w14:textId="77777777" w:rsidR="00B33542" w:rsidRPr="005071A1" w:rsidRDefault="00B33542" w:rsidP="005C01B5">
            <w:pPr>
              <w:pStyle w:val="TableHeading"/>
            </w:pPr>
            <w:r w:rsidRPr="005071A1">
              <w:t>$</w:t>
            </w:r>
          </w:p>
        </w:tc>
      </w:tr>
      <w:tr w:rsidR="00B33542" w:rsidRPr="005071A1" w14:paraId="3DF4D3C9" w14:textId="77777777" w:rsidTr="009B7AF5">
        <w:tc>
          <w:tcPr>
            <w:tcW w:w="1824" w:type="dxa"/>
            <w:tcBorders>
              <w:top w:val="single" w:sz="12" w:space="0" w:color="auto"/>
            </w:tcBorders>
            <w:shd w:val="clear" w:color="auto" w:fill="auto"/>
          </w:tcPr>
          <w:p w14:paraId="333D0D91" w14:textId="77777777" w:rsidR="00B33542" w:rsidRPr="005071A1" w:rsidRDefault="00B33542" w:rsidP="009B7AF5">
            <w:pPr>
              <w:pStyle w:val="Tabletext"/>
            </w:pPr>
            <w:r w:rsidRPr="005071A1">
              <w:t>15</w:t>
            </w:r>
          </w:p>
        </w:tc>
        <w:tc>
          <w:tcPr>
            <w:tcW w:w="1824" w:type="dxa"/>
            <w:tcBorders>
              <w:top w:val="single" w:sz="12" w:space="0" w:color="auto"/>
            </w:tcBorders>
            <w:shd w:val="clear" w:color="auto" w:fill="auto"/>
          </w:tcPr>
          <w:p w14:paraId="483E3D7B" w14:textId="77777777" w:rsidR="00B33542" w:rsidRPr="005071A1" w:rsidRDefault="00B33542" w:rsidP="009B7AF5">
            <w:pPr>
              <w:pStyle w:val="Tabletext"/>
            </w:pPr>
            <w:r w:rsidRPr="005071A1">
              <w:t>0.10</w:t>
            </w:r>
          </w:p>
        </w:tc>
        <w:tc>
          <w:tcPr>
            <w:tcW w:w="1824" w:type="dxa"/>
            <w:tcBorders>
              <w:top w:val="single" w:sz="12" w:space="0" w:color="auto"/>
            </w:tcBorders>
            <w:shd w:val="clear" w:color="auto" w:fill="auto"/>
          </w:tcPr>
          <w:p w14:paraId="16C96E4E" w14:textId="77777777" w:rsidR="00B33542" w:rsidRPr="005071A1" w:rsidRDefault="00B33542" w:rsidP="009B7AF5">
            <w:pPr>
              <w:pStyle w:val="Tabletext"/>
            </w:pPr>
            <w:r w:rsidRPr="005071A1">
              <w:t>0.04</w:t>
            </w:r>
          </w:p>
        </w:tc>
        <w:tc>
          <w:tcPr>
            <w:tcW w:w="1824" w:type="dxa"/>
            <w:tcBorders>
              <w:top w:val="single" w:sz="12" w:space="0" w:color="auto"/>
            </w:tcBorders>
            <w:shd w:val="clear" w:color="auto" w:fill="auto"/>
          </w:tcPr>
          <w:p w14:paraId="489958EA" w14:textId="77777777" w:rsidR="00B33542" w:rsidRPr="005071A1" w:rsidRDefault="00B33542" w:rsidP="009B7AF5">
            <w:pPr>
              <w:pStyle w:val="Tabletext"/>
            </w:pPr>
            <w:r w:rsidRPr="005071A1">
              <w:t>0.08</w:t>
            </w:r>
          </w:p>
        </w:tc>
      </w:tr>
      <w:tr w:rsidR="00B33542" w:rsidRPr="005071A1" w14:paraId="7FDCCBDA" w14:textId="77777777" w:rsidTr="009B7AF5">
        <w:tc>
          <w:tcPr>
            <w:tcW w:w="1824" w:type="dxa"/>
            <w:shd w:val="clear" w:color="auto" w:fill="auto"/>
          </w:tcPr>
          <w:p w14:paraId="746DAA7F" w14:textId="77777777" w:rsidR="00B33542" w:rsidRPr="005071A1" w:rsidRDefault="00B33542" w:rsidP="009B7AF5">
            <w:pPr>
              <w:pStyle w:val="Tabletext"/>
            </w:pPr>
            <w:r w:rsidRPr="005071A1">
              <w:t>16</w:t>
            </w:r>
          </w:p>
        </w:tc>
        <w:tc>
          <w:tcPr>
            <w:tcW w:w="1824" w:type="dxa"/>
            <w:shd w:val="clear" w:color="auto" w:fill="auto"/>
          </w:tcPr>
          <w:p w14:paraId="2E32BA3B" w14:textId="77777777" w:rsidR="00B33542" w:rsidRPr="005071A1" w:rsidRDefault="00B33542" w:rsidP="009B7AF5">
            <w:pPr>
              <w:pStyle w:val="Tabletext"/>
            </w:pPr>
            <w:r w:rsidRPr="005071A1">
              <w:t>0.08</w:t>
            </w:r>
          </w:p>
        </w:tc>
        <w:tc>
          <w:tcPr>
            <w:tcW w:w="1824" w:type="dxa"/>
            <w:shd w:val="clear" w:color="auto" w:fill="auto"/>
          </w:tcPr>
          <w:p w14:paraId="6B1F3914" w14:textId="77777777" w:rsidR="00B33542" w:rsidRPr="005071A1" w:rsidRDefault="00B33542" w:rsidP="009B7AF5">
            <w:pPr>
              <w:pStyle w:val="Tabletext"/>
            </w:pPr>
            <w:r w:rsidRPr="005071A1">
              <w:t>0.03</w:t>
            </w:r>
          </w:p>
        </w:tc>
        <w:tc>
          <w:tcPr>
            <w:tcW w:w="1824" w:type="dxa"/>
            <w:shd w:val="clear" w:color="auto" w:fill="auto"/>
          </w:tcPr>
          <w:p w14:paraId="27DDB7B1" w14:textId="77777777" w:rsidR="00B33542" w:rsidRPr="005071A1" w:rsidRDefault="00B33542" w:rsidP="009B7AF5">
            <w:pPr>
              <w:pStyle w:val="Tabletext"/>
            </w:pPr>
            <w:r w:rsidRPr="005071A1">
              <w:t>0.06</w:t>
            </w:r>
          </w:p>
        </w:tc>
      </w:tr>
      <w:tr w:rsidR="00B33542" w:rsidRPr="005071A1" w14:paraId="595494D3" w14:textId="77777777" w:rsidTr="009B7AF5">
        <w:tc>
          <w:tcPr>
            <w:tcW w:w="1824" w:type="dxa"/>
            <w:shd w:val="clear" w:color="auto" w:fill="auto"/>
          </w:tcPr>
          <w:p w14:paraId="54856022" w14:textId="77777777" w:rsidR="00B33542" w:rsidRPr="005071A1" w:rsidRDefault="00B33542" w:rsidP="009B7AF5">
            <w:pPr>
              <w:pStyle w:val="Tabletext"/>
            </w:pPr>
            <w:r w:rsidRPr="005071A1">
              <w:t>17</w:t>
            </w:r>
          </w:p>
        </w:tc>
        <w:tc>
          <w:tcPr>
            <w:tcW w:w="1824" w:type="dxa"/>
            <w:shd w:val="clear" w:color="auto" w:fill="auto"/>
          </w:tcPr>
          <w:p w14:paraId="1BC5CE99" w14:textId="77777777" w:rsidR="00B33542" w:rsidRPr="005071A1" w:rsidRDefault="00B33542" w:rsidP="009B7AF5">
            <w:pPr>
              <w:pStyle w:val="Tabletext"/>
            </w:pPr>
            <w:r w:rsidRPr="005071A1">
              <w:t>0.08</w:t>
            </w:r>
          </w:p>
        </w:tc>
        <w:tc>
          <w:tcPr>
            <w:tcW w:w="1824" w:type="dxa"/>
            <w:shd w:val="clear" w:color="auto" w:fill="auto"/>
          </w:tcPr>
          <w:p w14:paraId="0E9379AF" w14:textId="77777777" w:rsidR="00B33542" w:rsidRPr="005071A1" w:rsidRDefault="00B33542" w:rsidP="009B7AF5">
            <w:pPr>
              <w:pStyle w:val="Tabletext"/>
            </w:pPr>
            <w:r w:rsidRPr="005071A1">
              <w:t>0.03</w:t>
            </w:r>
          </w:p>
        </w:tc>
        <w:tc>
          <w:tcPr>
            <w:tcW w:w="1824" w:type="dxa"/>
            <w:shd w:val="clear" w:color="auto" w:fill="auto"/>
          </w:tcPr>
          <w:p w14:paraId="4AAFE798" w14:textId="77777777" w:rsidR="00B33542" w:rsidRPr="005071A1" w:rsidRDefault="00B33542" w:rsidP="009B7AF5">
            <w:pPr>
              <w:pStyle w:val="Tabletext"/>
            </w:pPr>
            <w:r w:rsidRPr="005071A1">
              <w:t>0.06</w:t>
            </w:r>
          </w:p>
        </w:tc>
      </w:tr>
      <w:tr w:rsidR="00B33542" w:rsidRPr="005071A1" w14:paraId="3F6B36F2" w14:textId="77777777" w:rsidTr="009B7AF5">
        <w:tc>
          <w:tcPr>
            <w:tcW w:w="1824" w:type="dxa"/>
            <w:shd w:val="clear" w:color="auto" w:fill="auto"/>
          </w:tcPr>
          <w:p w14:paraId="1CDE3DFE" w14:textId="77777777" w:rsidR="00B33542" w:rsidRPr="005071A1" w:rsidRDefault="00B33542" w:rsidP="009B7AF5">
            <w:pPr>
              <w:pStyle w:val="Tabletext"/>
            </w:pPr>
            <w:r w:rsidRPr="005071A1">
              <w:t>18</w:t>
            </w:r>
          </w:p>
        </w:tc>
        <w:tc>
          <w:tcPr>
            <w:tcW w:w="1824" w:type="dxa"/>
            <w:shd w:val="clear" w:color="auto" w:fill="auto"/>
          </w:tcPr>
          <w:p w14:paraId="14FCFCDD" w14:textId="77777777" w:rsidR="00B33542" w:rsidRPr="005071A1" w:rsidRDefault="00B33542" w:rsidP="009B7AF5">
            <w:pPr>
              <w:pStyle w:val="Tabletext"/>
            </w:pPr>
            <w:r w:rsidRPr="005071A1">
              <w:t>0.10</w:t>
            </w:r>
          </w:p>
        </w:tc>
        <w:tc>
          <w:tcPr>
            <w:tcW w:w="1824" w:type="dxa"/>
            <w:shd w:val="clear" w:color="auto" w:fill="auto"/>
          </w:tcPr>
          <w:p w14:paraId="487D579E" w14:textId="77777777" w:rsidR="00B33542" w:rsidRPr="005071A1" w:rsidRDefault="00B33542" w:rsidP="009B7AF5">
            <w:pPr>
              <w:pStyle w:val="Tabletext"/>
            </w:pPr>
            <w:r w:rsidRPr="005071A1">
              <w:t>0.03</w:t>
            </w:r>
          </w:p>
        </w:tc>
        <w:tc>
          <w:tcPr>
            <w:tcW w:w="1824" w:type="dxa"/>
            <w:shd w:val="clear" w:color="auto" w:fill="auto"/>
          </w:tcPr>
          <w:p w14:paraId="0B971E1F" w14:textId="77777777" w:rsidR="00B33542" w:rsidRPr="005071A1" w:rsidRDefault="00B33542" w:rsidP="009B7AF5">
            <w:pPr>
              <w:pStyle w:val="Tabletext"/>
            </w:pPr>
            <w:r w:rsidRPr="005071A1">
              <w:t>0.06</w:t>
            </w:r>
          </w:p>
        </w:tc>
      </w:tr>
      <w:tr w:rsidR="00B33542" w:rsidRPr="005071A1" w14:paraId="0DA2BEB7" w14:textId="77777777" w:rsidTr="009B7AF5">
        <w:tc>
          <w:tcPr>
            <w:tcW w:w="1824" w:type="dxa"/>
            <w:shd w:val="clear" w:color="auto" w:fill="auto"/>
          </w:tcPr>
          <w:p w14:paraId="0F27B7C9" w14:textId="77777777" w:rsidR="00B33542" w:rsidRPr="005071A1" w:rsidRDefault="00B33542" w:rsidP="009B7AF5">
            <w:pPr>
              <w:pStyle w:val="Tabletext"/>
            </w:pPr>
            <w:r w:rsidRPr="005071A1">
              <w:t>19</w:t>
            </w:r>
          </w:p>
        </w:tc>
        <w:tc>
          <w:tcPr>
            <w:tcW w:w="1824" w:type="dxa"/>
            <w:shd w:val="clear" w:color="auto" w:fill="auto"/>
          </w:tcPr>
          <w:p w14:paraId="01C253A5" w14:textId="77777777" w:rsidR="00B33542" w:rsidRPr="005071A1" w:rsidRDefault="00B33542" w:rsidP="009B7AF5">
            <w:pPr>
              <w:pStyle w:val="Tabletext"/>
            </w:pPr>
            <w:r w:rsidRPr="005071A1">
              <w:t>0.10</w:t>
            </w:r>
          </w:p>
        </w:tc>
        <w:tc>
          <w:tcPr>
            <w:tcW w:w="1824" w:type="dxa"/>
            <w:shd w:val="clear" w:color="auto" w:fill="auto"/>
          </w:tcPr>
          <w:p w14:paraId="170F8835" w14:textId="77777777" w:rsidR="00B33542" w:rsidRPr="005071A1" w:rsidRDefault="00B33542" w:rsidP="009B7AF5">
            <w:pPr>
              <w:pStyle w:val="Tabletext"/>
            </w:pPr>
            <w:r w:rsidRPr="005071A1">
              <w:t>0.03</w:t>
            </w:r>
          </w:p>
        </w:tc>
        <w:tc>
          <w:tcPr>
            <w:tcW w:w="1824" w:type="dxa"/>
            <w:shd w:val="clear" w:color="auto" w:fill="auto"/>
          </w:tcPr>
          <w:p w14:paraId="49E913A0" w14:textId="77777777" w:rsidR="00B33542" w:rsidRPr="005071A1" w:rsidRDefault="00B33542" w:rsidP="009B7AF5">
            <w:pPr>
              <w:pStyle w:val="Tabletext"/>
            </w:pPr>
            <w:r w:rsidRPr="005071A1">
              <w:t>0.06</w:t>
            </w:r>
          </w:p>
        </w:tc>
      </w:tr>
      <w:tr w:rsidR="00B33542" w:rsidRPr="005071A1" w14:paraId="6D2B80FE" w14:textId="77777777" w:rsidTr="009B7AF5">
        <w:tc>
          <w:tcPr>
            <w:tcW w:w="1824" w:type="dxa"/>
            <w:shd w:val="clear" w:color="auto" w:fill="auto"/>
          </w:tcPr>
          <w:p w14:paraId="377B20F0" w14:textId="77777777" w:rsidR="00B33542" w:rsidRPr="005071A1" w:rsidRDefault="00B33542" w:rsidP="009B7AF5">
            <w:pPr>
              <w:pStyle w:val="Tabletext"/>
            </w:pPr>
            <w:r w:rsidRPr="005071A1">
              <w:t>20</w:t>
            </w:r>
          </w:p>
        </w:tc>
        <w:tc>
          <w:tcPr>
            <w:tcW w:w="1824" w:type="dxa"/>
            <w:shd w:val="clear" w:color="auto" w:fill="auto"/>
          </w:tcPr>
          <w:p w14:paraId="09AB6258" w14:textId="77777777" w:rsidR="00B33542" w:rsidRPr="005071A1" w:rsidRDefault="00B33542" w:rsidP="009B7AF5">
            <w:pPr>
              <w:pStyle w:val="Tabletext"/>
            </w:pPr>
            <w:r w:rsidRPr="005071A1">
              <w:t>0.08</w:t>
            </w:r>
          </w:p>
        </w:tc>
        <w:tc>
          <w:tcPr>
            <w:tcW w:w="1824" w:type="dxa"/>
            <w:shd w:val="clear" w:color="auto" w:fill="auto"/>
          </w:tcPr>
          <w:p w14:paraId="0EE88491" w14:textId="77777777" w:rsidR="00B33542" w:rsidRPr="005071A1" w:rsidRDefault="00B33542" w:rsidP="009B7AF5">
            <w:pPr>
              <w:pStyle w:val="Tabletext"/>
            </w:pPr>
            <w:r w:rsidRPr="005071A1">
              <w:t>0.03</w:t>
            </w:r>
          </w:p>
        </w:tc>
        <w:tc>
          <w:tcPr>
            <w:tcW w:w="1824" w:type="dxa"/>
            <w:shd w:val="clear" w:color="auto" w:fill="auto"/>
          </w:tcPr>
          <w:p w14:paraId="093263CE" w14:textId="77777777" w:rsidR="00B33542" w:rsidRPr="005071A1" w:rsidRDefault="00B33542" w:rsidP="009B7AF5">
            <w:pPr>
              <w:pStyle w:val="Tabletext"/>
            </w:pPr>
            <w:r w:rsidRPr="005071A1">
              <w:t>0.06</w:t>
            </w:r>
          </w:p>
        </w:tc>
      </w:tr>
      <w:tr w:rsidR="00B33542" w:rsidRPr="005071A1" w14:paraId="2AD621BB" w14:textId="77777777" w:rsidTr="009B7AF5">
        <w:tc>
          <w:tcPr>
            <w:tcW w:w="1824" w:type="dxa"/>
            <w:shd w:val="clear" w:color="auto" w:fill="auto"/>
          </w:tcPr>
          <w:p w14:paraId="39008217" w14:textId="77777777" w:rsidR="00B33542" w:rsidRPr="005071A1" w:rsidRDefault="00B33542" w:rsidP="009B7AF5">
            <w:pPr>
              <w:pStyle w:val="Tabletext"/>
            </w:pPr>
            <w:r w:rsidRPr="005071A1">
              <w:t>21</w:t>
            </w:r>
          </w:p>
        </w:tc>
        <w:tc>
          <w:tcPr>
            <w:tcW w:w="1824" w:type="dxa"/>
            <w:shd w:val="clear" w:color="auto" w:fill="auto"/>
          </w:tcPr>
          <w:p w14:paraId="638B82E5" w14:textId="77777777" w:rsidR="00B33542" w:rsidRPr="005071A1" w:rsidRDefault="00B33542" w:rsidP="009B7AF5">
            <w:pPr>
              <w:pStyle w:val="Tabletext"/>
            </w:pPr>
            <w:r w:rsidRPr="005071A1">
              <w:t>0.08</w:t>
            </w:r>
          </w:p>
        </w:tc>
        <w:tc>
          <w:tcPr>
            <w:tcW w:w="1824" w:type="dxa"/>
            <w:shd w:val="clear" w:color="auto" w:fill="auto"/>
          </w:tcPr>
          <w:p w14:paraId="7A298386" w14:textId="77777777" w:rsidR="00B33542" w:rsidRPr="005071A1" w:rsidRDefault="00B33542" w:rsidP="009B7AF5">
            <w:pPr>
              <w:pStyle w:val="Tabletext"/>
            </w:pPr>
            <w:r w:rsidRPr="005071A1">
              <w:t>0.03</w:t>
            </w:r>
          </w:p>
        </w:tc>
        <w:tc>
          <w:tcPr>
            <w:tcW w:w="1824" w:type="dxa"/>
            <w:shd w:val="clear" w:color="auto" w:fill="auto"/>
          </w:tcPr>
          <w:p w14:paraId="25A7A0F2" w14:textId="77777777" w:rsidR="00B33542" w:rsidRPr="005071A1" w:rsidRDefault="00B33542" w:rsidP="009B7AF5">
            <w:pPr>
              <w:pStyle w:val="Tabletext"/>
            </w:pPr>
            <w:r w:rsidRPr="005071A1">
              <w:t>0.06</w:t>
            </w:r>
          </w:p>
        </w:tc>
      </w:tr>
      <w:tr w:rsidR="00B33542" w:rsidRPr="005071A1" w14:paraId="7E1B878F" w14:textId="77777777" w:rsidTr="009B7AF5">
        <w:tc>
          <w:tcPr>
            <w:tcW w:w="1824" w:type="dxa"/>
            <w:shd w:val="clear" w:color="auto" w:fill="auto"/>
          </w:tcPr>
          <w:p w14:paraId="73D8D726" w14:textId="77777777" w:rsidR="00B33542" w:rsidRPr="005071A1" w:rsidRDefault="00B33542" w:rsidP="009B7AF5">
            <w:pPr>
              <w:pStyle w:val="Tabletext"/>
            </w:pPr>
            <w:r w:rsidRPr="005071A1">
              <w:lastRenderedPageBreak/>
              <w:t>22</w:t>
            </w:r>
          </w:p>
        </w:tc>
        <w:tc>
          <w:tcPr>
            <w:tcW w:w="1824" w:type="dxa"/>
            <w:shd w:val="clear" w:color="auto" w:fill="auto"/>
          </w:tcPr>
          <w:p w14:paraId="60C2D34D" w14:textId="77777777" w:rsidR="00B33542" w:rsidRPr="005071A1" w:rsidRDefault="00B33542" w:rsidP="009B7AF5">
            <w:pPr>
              <w:pStyle w:val="Tabletext"/>
            </w:pPr>
            <w:r w:rsidRPr="005071A1">
              <w:t>0.10</w:t>
            </w:r>
          </w:p>
        </w:tc>
        <w:tc>
          <w:tcPr>
            <w:tcW w:w="1824" w:type="dxa"/>
            <w:shd w:val="clear" w:color="auto" w:fill="auto"/>
          </w:tcPr>
          <w:p w14:paraId="2D310C9D" w14:textId="77777777" w:rsidR="00B33542" w:rsidRPr="005071A1" w:rsidRDefault="00B33542" w:rsidP="009B7AF5">
            <w:pPr>
              <w:pStyle w:val="Tabletext"/>
            </w:pPr>
            <w:r w:rsidRPr="005071A1">
              <w:t>0.03</w:t>
            </w:r>
          </w:p>
        </w:tc>
        <w:tc>
          <w:tcPr>
            <w:tcW w:w="1824" w:type="dxa"/>
            <w:shd w:val="clear" w:color="auto" w:fill="auto"/>
          </w:tcPr>
          <w:p w14:paraId="4DBD9C21" w14:textId="77777777" w:rsidR="00B33542" w:rsidRPr="005071A1" w:rsidRDefault="00B33542" w:rsidP="009B7AF5">
            <w:pPr>
              <w:pStyle w:val="Tabletext"/>
            </w:pPr>
            <w:r w:rsidRPr="005071A1">
              <w:t>0.06</w:t>
            </w:r>
          </w:p>
        </w:tc>
      </w:tr>
      <w:tr w:rsidR="00B33542" w:rsidRPr="005071A1" w14:paraId="747DB2C5" w14:textId="77777777" w:rsidTr="00D57394">
        <w:tc>
          <w:tcPr>
            <w:tcW w:w="1824" w:type="dxa"/>
            <w:tcBorders>
              <w:bottom w:val="single" w:sz="4" w:space="0" w:color="auto"/>
            </w:tcBorders>
            <w:shd w:val="clear" w:color="auto" w:fill="auto"/>
          </w:tcPr>
          <w:p w14:paraId="012C7688" w14:textId="77777777" w:rsidR="00B33542" w:rsidRPr="005071A1" w:rsidRDefault="00B33542" w:rsidP="009B7AF5">
            <w:pPr>
              <w:pStyle w:val="Tabletext"/>
            </w:pPr>
            <w:r w:rsidRPr="005071A1">
              <w:t>23</w:t>
            </w:r>
          </w:p>
        </w:tc>
        <w:tc>
          <w:tcPr>
            <w:tcW w:w="1824" w:type="dxa"/>
            <w:tcBorders>
              <w:bottom w:val="single" w:sz="4" w:space="0" w:color="auto"/>
            </w:tcBorders>
            <w:shd w:val="clear" w:color="auto" w:fill="auto"/>
          </w:tcPr>
          <w:p w14:paraId="21CC035E" w14:textId="77777777" w:rsidR="00B33542" w:rsidRPr="005071A1" w:rsidRDefault="00B33542" w:rsidP="009B7AF5">
            <w:pPr>
              <w:pStyle w:val="Tabletext"/>
            </w:pPr>
            <w:r w:rsidRPr="005071A1">
              <w:t>0.12</w:t>
            </w:r>
          </w:p>
        </w:tc>
        <w:tc>
          <w:tcPr>
            <w:tcW w:w="1824" w:type="dxa"/>
            <w:tcBorders>
              <w:bottom w:val="single" w:sz="4" w:space="0" w:color="auto"/>
            </w:tcBorders>
            <w:shd w:val="clear" w:color="auto" w:fill="auto"/>
          </w:tcPr>
          <w:p w14:paraId="2AA9FD53" w14:textId="77777777" w:rsidR="00B33542" w:rsidRPr="005071A1" w:rsidRDefault="00B33542" w:rsidP="009B7AF5">
            <w:pPr>
              <w:pStyle w:val="Tabletext"/>
            </w:pPr>
            <w:r w:rsidRPr="005071A1">
              <w:t>0.04</w:t>
            </w:r>
          </w:p>
        </w:tc>
        <w:tc>
          <w:tcPr>
            <w:tcW w:w="1824" w:type="dxa"/>
            <w:tcBorders>
              <w:bottom w:val="single" w:sz="4" w:space="0" w:color="auto"/>
            </w:tcBorders>
            <w:shd w:val="clear" w:color="auto" w:fill="auto"/>
          </w:tcPr>
          <w:p w14:paraId="566825C4" w14:textId="77777777" w:rsidR="00B33542" w:rsidRPr="005071A1" w:rsidRDefault="00B33542" w:rsidP="009B7AF5">
            <w:pPr>
              <w:pStyle w:val="Tabletext"/>
            </w:pPr>
            <w:r w:rsidRPr="005071A1">
              <w:t>0.08</w:t>
            </w:r>
          </w:p>
        </w:tc>
      </w:tr>
      <w:tr w:rsidR="00B33542" w:rsidRPr="005071A1" w14:paraId="4C457C2E" w14:textId="77777777" w:rsidTr="00D57394">
        <w:tc>
          <w:tcPr>
            <w:tcW w:w="1824" w:type="dxa"/>
            <w:tcBorders>
              <w:bottom w:val="single" w:sz="4" w:space="0" w:color="auto"/>
            </w:tcBorders>
            <w:shd w:val="clear" w:color="auto" w:fill="auto"/>
          </w:tcPr>
          <w:p w14:paraId="15401A91" w14:textId="77777777" w:rsidR="00B33542" w:rsidRPr="005071A1" w:rsidRDefault="00B33542" w:rsidP="009B7AF5">
            <w:pPr>
              <w:pStyle w:val="Tabletext"/>
            </w:pPr>
            <w:r w:rsidRPr="005071A1">
              <w:t>24</w:t>
            </w:r>
          </w:p>
        </w:tc>
        <w:tc>
          <w:tcPr>
            <w:tcW w:w="1824" w:type="dxa"/>
            <w:tcBorders>
              <w:bottom w:val="single" w:sz="4" w:space="0" w:color="auto"/>
            </w:tcBorders>
            <w:shd w:val="clear" w:color="auto" w:fill="auto"/>
          </w:tcPr>
          <w:p w14:paraId="5747EED6" w14:textId="77777777" w:rsidR="00B33542" w:rsidRPr="005071A1" w:rsidRDefault="00B33542" w:rsidP="009B7AF5">
            <w:pPr>
              <w:pStyle w:val="Tabletext"/>
            </w:pPr>
            <w:r w:rsidRPr="005071A1">
              <w:t>0.12</w:t>
            </w:r>
          </w:p>
        </w:tc>
        <w:tc>
          <w:tcPr>
            <w:tcW w:w="1824" w:type="dxa"/>
            <w:tcBorders>
              <w:bottom w:val="single" w:sz="4" w:space="0" w:color="auto"/>
            </w:tcBorders>
            <w:shd w:val="clear" w:color="auto" w:fill="auto"/>
          </w:tcPr>
          <w:p w14:paraId="7DA2707D" w14:textId="77777777" w:rsidR="00B33542" w:rsidRPr="005071A1" w:rsidRDefault="00B33542" w:rsidP="009B7AF5">
            <w:pPr>
              <w:pStyle w:val="Tabletext"/>
            </w:pPr>
            <w:r w:rsidRPr="005071A1">
              <w:t>0.04</w:t>
            </w:r>
          </w:p>
        </w:tc>
        <w:tc>
          <w:tcPr>
            <w:tcW w:w="1824" w:type="dxa"/>
            <w:tcBorders>
              <w:bottom w:val="single" w:sz="4" w:space="0" w:color="auto"/>
            </w:tcBorders>
            <w:shd w:val="clear" w:color="auto" w:fill="auto"/>
          </w:tcPr>
          <w:p w14:paraId="5BC26910" w14:textId="77777777" w:rsidR="00B33542" w:rsidRPr="005071A1" w:rsidRDefault="00B33542" w:rsidP="009B7AF5">
            <w:pPr>
              <w:pStyle w:val="Tabletext"/>
            </w:pPr>
            <w:r w:rsidRPr="005071A1">
              <w:t>0.08</w:t>
            </w:r>
          </w:p>
        </w:tc>
      </w:tr>
      <w:tr w:rsidR="00B33542" w:rsidRPr="005071A1" w14:paraId="0D74D83C" w14:textId="77777777" w:rsidTr="00640BB6">
        <w:tc>
          <w:tcPr>
            <w:tcW w:w="1824" w:type="dxa"/>
            <w:tcBorders>
              <w:top w:val="single" w:sz="4" w:space="0" w:color="auto"/>
              <w:bottom w:val="single" w:sz="4" w:space="0" w:color="auto"/>
            </w:tcBorders>
            <w:shd w:val="clear" w:color="auto" w:fill="auto"/>
          </w:tcPr>
          <w:p w14:paraId="20B9C3BC" w14:textId="77777777" w:rsidR="00B33542" w:rsidRPr="005071A1" w:rsidRDefault="00B33542" w:rsidP="009B7AF5">
            <w:pPr>
              <w:pStyle w:val="Tabletext"/>
            </w:pPr>
            <w:r w:rsidRPr="005071A1">
              <w:t>25</w:t>
            </w:r>
          </w:p>
        </w:tc>
        <w:tc>
          <w:tcPr>
            <w:tcW w:w="1824" w:type="dxa"/>
            <w:tcBorders>
              <w:top w:val="single" w:sz="4" w:space="0" w:color="auto"/>
              <w:bottom w:val="single" w:sz="4" w:space="0" w:color="auto"/>
            </w:tcBorders>
            <w:shd w:val="clear" w:color="auto" w:fill="auto"/>
          </w:tcPr>
          <w:p w14:paraId="1196C0AB" w14:textId="77777777" w:rsidR="00B33542" w:rsidRPr="005071A1" w:rsidRDefault="00B33542" w:rsidP="009B7AF5">
            <w:pPr>
              <w:pStyle w:val="Tabletext"/>
            </w:pPr>
            <w:r w:rsidRPr="005071A1">
              <w:t>0.12</w:t>
            </w:r>
          </w:p>
        </w:tc>
        <w:tc>
          <w:tcPr>
            <w:tcW w:w="1824" w:type="dxa"/>
            <w:tcBorders>
              <w:top w:val="single" w:sz="4" w:space="0" w:color="auto"/>
              <w:bottom w:val="single" w:sz="4" w:space="0" w:color="auto"/>
            </w:tcBorders>
            <w:shd w:val="clear" w:color="auto" w:fill="auto"/>
          </w:tcPr>
          <w:p w14:paraId="5F6A0A87" w14:textId="77777777" w:rsidR="00B33542" w:rsidRPr="005071A1" w:rsidRDefault="00B33542" w:rsidP="009B7AF5">
            <w:pPr>
              <w:pStyle w:val="Tabletext"/>
            </w:pPr>
            <w:r w:rsidRPr="005071A1">
              <w:t>0.04</w:t>
            </w:r>
          </w:p>
        </w:tc>
        <w:tc>
          <w:tcPr>
            <w:tcW w:w="1824" w:type="dxa"/>
            <w:tcBorders>
              <w:top w:val="single" w:sz="4" w:space="0" w:color="auto"/>
              <w:bottom w:val="single" w:sz="4" w:space="0" w:color="auto"/>
            </w:tcBorders>
            <w:shd w:val="clear" w:color="auto" w:fill="auto"/>
          </w:tcPr>
          <w:p w14:paraId="0222D5E8" w14:textId="77777777" w:rsidR="00B33542" w:rsidRPr="005071A1" w:rsidRDefault="00B33542" w:rsidP="009B7AF5">
            <w:pPr>
              <w:pStyle w:val="Tabletext"/>
            </w:pPr>
            <w:r w:rsidRPr="005071A1">
              <w:t>0.08</w:t>
            </w:r>
          </w:p>
        </w:tc>
      </w:tr>
      <w:tr w:rsidR="00B33542" w:rsidRPr="005071A1" w14:paraId="314B7283" w14:textId="77777777" w:rsidTr="00640BB6">
        <w:tc>
          <w:tcPr>
            <w:tcW w:w="1824" w:type="dxa"/>
            <w:tcBorders>
              <w:bottom w:val="single" w:sz="4" w:space="0" w:color="auto"/>
            </w:tcBorders>
            <w:shd w:val="clear" w:color="auto" w:fill="auto"/>
          </w:tcPr>
          <w:p w14:paraId="56983D0E" w14:textId="77777777" w:rsidR="00B33542" w:rsidRPr="005071A1" w:rsidRDefault="00B33542" w:rsidP="009B7AF5">
            <w:pPr>
              <w:pStyle w:val="Tabletext"/>
            </w:pPr>
            <w:r w:rsidRPr="005071A1">
              <w:t>26</w:t>
            </w:r>
          </w:p>
        </w:tc>
        <w:tc>
          <w:tcPr>
            <w:tcW w:w="1824" w:type="dxa"/>
            <w:tcBorders>
              <w:bottom w:val="single" w:sz="4" w:space="0" w:color="auto"/>
            </w:tcBorders>
            <w:shd w:val="clear" w:color="auto" w:fill="auto"/>
          </w:tcPr>
          <w:p w14:paraId="296B28F7" w14:textId="77777777" w:rsidR="00B33542" w:rsidRPr="005071A1" w:rsidRDefault="00B33542" w:rsidP="009B7AF5">
            <w:pPr>
              <w:pStyle w:val="Tabletext"/>
            </w:pPr>
            <w:r w:rsidRPr="005071A1">
              <w:t>0.14</w:t>
            </w:r>
          </w:p>
        </w:tc>
        <w:tc>
          <w:tcPr>
            <w:tcW w:w="1824" w:type="dxa"/>
            <w:tcBorders>
              <w:bottom w:val="single" w:sz="4" w:space="0" w:color="auto"/>
            </w:tcBorders>
            <w:shd w:val="clear" w:color="auto" w:fill="auto"/>
          </w:tcPr>
          <w:p w14:paraId="0F0F4E45" w14:textId="77777777" w:rsidR="00B33542" w:rsidRPr="005071A1" w:rsidRDefault="00B33542" w:rsidP="009B7AF5">
            <w:pPr>
              <w:pStyle w:val="Tabletext"/>
            </w:pPr>
            <w:r w:rsidRPr="005071A1">
              <w:t>0.04</w:t>
            </w:r>
          </w:p>
        </w:tc>
        <w:tc>
          <w:tcPr>
            <w:tcW w:w="1824" w:type="dxa"/>
            <w:tcBorders>
              <w:bottom w:val="single" w:sz="4" w:space="0" w:color="auto"/>
            </w:tcBorders>
            <w:shd w:val="clear" w:color="auto" w:fill="auto"/>
          </w:tcPr>
          <w:p w14:paraId="593A6BEE" w14:textId="77777777" w:rsidR="00B33542" w:rsidRPr="005071A1" w:rsidRDefault="00B33542" w:rsidP="009B7AF5">
            <w:pPr>
              <w:pStyle w:val="Tabletext"/>
            </w:pPr>
            <w:r w:rsidRPr="005071A1">
              <w:t>0.08</w:t>
            </w:r>
          </w:p>
        </w:tc>
      </w:tr>
      <w:tr w:rsidR="00B33542" w:rsidRPr="005071A1" w14:paraId="51807D4C" w14:textId="77777777" w:rsidTr="00640BB6">
        <w:tc>
          <w:tcPr>
            <w:tcW w:w="1824" w:type="dxa"/>
            <w:tcBorders>
              <w:top w:val="single" w:sz="4" w:space="0" w:color="auto"/>
            </w:tcBorders>
            <w:shd w:val="clear" w:color="auto" w:fill="auto"/>
          </w:tcPr>
          <w:p w14:paraId="3674D864" w14:textId="77777777" w:rsidR="00B33542" w:rsidRPr="005071A1" w:rsidRDefault="00B33542" w:rsidP="009B7AF5">
            <w:pPr>
              <w:pStyle w:val="Tabletext"/>
            </w:pPr>
            <w:r w:rsidRPr="005071A1">
              <w:t>27</w:t>
            </w:r>
          </w:p>
        </w:tc>
        <w:tc>
          <w:tcPr>
            <w:tcW w:w="1824" w:type="dxa"/>
            <w:tcBorders>
              <w:top w:val="single" w:sz="4" w:space="0" w:color="auto"/>
            </w:tcBorders>
            <w:shd w:val="clear" w:color="auto" w:fill="auto"/>
          </w:tcPr>
          <w:p w14:paraId="3B9E5523" w14:textId="77777777" w:rsidR="00B33542" w:rsidRPr="005071A1" w:rsidRDefault="00B33542" w:rsidP="009B7AF5">
            <w:pPr>
              <w:pStyle w:val="Tabletext"/>
            </w:pPr>
            <w:r w:rsidRPr="005071A1">
              <w:t>0.14</w:t>
            </w:r>
          </w:p>
        </w:tc>
        <w:tc>
          <w:tcPr>
            <w:tcW w:w="1824" w:type="dxa"/>
            <w:tcBorders>
              <w:top w:val="single" w:sz="4" w:space="0" w:color="auto"/>
            </w:tcBorders>
            <w:shd w:val="clear" w:color="auto" w:fill="auto"/>
          </w:tcPr>
          <w:p w14:paraId="4434ED44" w14:textId="77777777" w:rsidR="00B33542" w:rsidRPr="005071A1" w:rsidRDefault="00B33542" w:rsidP="009B7AF5">
            <w:pPr>
              <w:pStyle w:val="Tabletext"/>
            </w:pPr>
            <w:r w:rsidRPr="005071A1">
              <w:t>0.04</w:t>
            </w:r>
          </w:p>
        </w:tc>
        <w:tc>
          <w:tcPr>
            <w:tcW w:w="1824" w:type="dxa"/>
            <w:tcBorders>
              <w:top w:val="single" w:sz="4" w:space="0" w:color="auto"/>
            </w:tcBorders>
            <w:shd w:val="clear" w:color="auto" w:fill="auto"/>
          </w:tcPr>
          <w:p w14:paraId="3D7F2378" w14:textId="77777777" w:rsidR="00B33542" w:rsidRPr="005071A1" w:rsidRDefault="00B33542" w:rsidP="009B7AF5">
            <w:pPr>
              <w:pStyle w:val="Tabletext"/>
            </w:pPr>
            <w:r w:rsidRPr="005071A1">
              <w:t>0.08</w:t>
            </w:r>
          </w:p>
        </w:tc>
      </w:tr>
      <w:tr w:rsidR="00B33542" w:rsidRPr="005071A1" w14:paraId="3A40B0AA" w14:textId="77777777" w:rsidTr="009B7AF5">
        <w:tc>
          <w:tcPr>
            <w:tcW w:w="1824" w:type="dxa"/>
            <w:shd w:val="clear" w:color="auto" w:fill="auto"/>
          </w:tcPr>
          <w:p w14:paraId="4953AA1F" w14:textId="77777777" w:rsidR="00B33542" w:rsidRPr="005071A1" w:rsidRDefault="00B33542" w:rsidP="009B7AF5">
            <w:pPr>
              <w:pStyle w:val="Tabletext"/>
            </w:pPr>
            <w:r w:rsidRPr="005071A1">
              <w:t>28</w:t>
            </w:r>
          </w:p>
        </w:tc>
        <w:tc>
          <w:tcPr>
            <w:tcW w:w="1824" w:type="dxa"/>
            <w:shd w:val="clear" w:color="auto" w:fill="auto"/>
          </w:tcPr>
          <w:p w14:paraId="29B2351D" w14:textId="77777777" w:rsidR="00B33542" w:rsidRPr="005071A1" w:rsidRDefault="00B33542" w:rsidP="009B7AF5">
            <w:pPr>
              <w:pStyle w:val="Tabletext"/>
            </w:pPr>
            <w:r w:rsidRPr="005071A1">
              <w:t>0.14</w:t>
            </w:r>
          </w:p>
        </w:tc>
        <w:tc>
          <w:tcPr>
            <w:tcW w:w="1824" w:type="dxa"/>
            <w:shd w:val="clear" w:color="auto" w:fill="auto"/>
          </w:tcPr>
          <w:p w14:paraId="34AC68CF" w14:textId="77777777" w:rsidR="00B33542" w:rsidRPr="005071A1" w:rsidRDefault="00B33542" w:rsidP="009B7AF5">
            <w:pPr>
              <w:pStyle w:val="Tabletext"/>
            </w:pPr>
            <w:r w:rsidRPr="005071A1">
              <w:t>0.04</w:t>
            </w:r>
          </w:p>
        </w:tc>
        <w:tc>
          <w:tcPr>
            <w:tcW w:w="1824" w:type="dxa"/>
            <w:shd w:val="clear" w:color="auto" w:fill="auto"/>
          </w:tcPr>
          <w:p w14:paraId="553DADC8" w14:textId="77777777" w:rsidR="00B33542" w:rsidRPr="005071A1" w:rsidRDefault="00B33542" w:rsidP="009B7AF5">
            <w:pPr>
              <w:pStyle w:val="Tabletext"/>
            </w:pPr>
            <w:r w:rsidRPr="005071A1">
              <w:t>0.08</w:t>
            </w:r>
          </w:p>
        </w:tc>
      </w:tr>
      <w:tr w:rsidR="00B33542" w:rsidRPr="005071A1" w14:paraId="1C10E5FF" w14:textId="77777777" w:rsidTr="009B7AF5">
        <w:tc>
          <w:tcPr>
            <w:tcW w:w="1824" w:type="dxa"/>
            <w:shd w:val="clear" w:color="auto" w:fill="auto"/>
          </w:tcPr>
          <w:p w14:paraId="5EC64FE2" w14:textId="77777777" w:rsidR="00B33542" w:rsidRPr="005071A1" w:rsidRDefault="00B33542" w:rsidP="009B7AF5">
            <w:pPr>
              <w:pStyle w:val="Tabletext"/>
            </w:pPr>
            <w:r w:rsidRPr="005071A1">
              <w:t>29</w:t>
            </w:r>
          </w:p>
        </w:tc>
        <w:tc>
          <w:tcPr>
            <w:tcW w:w="1824" w:type="dxa"/>
            <w:shd w:val="clear" w:color="auto" w:fill="auto"/>
          </w:tcPr>
          <w:p w14:paraId="78F3810B" w14:textId="77777777" w:rsidR="00B33542" w:rsidRPr="005071A1" w:rsidRDefault="00B33542" w:rsidP="009B7AF5">
            <w:pPr>
              <w:pStyle w:val="Tabletext"/>
            </w:pPr>
            <w:r w:rsidRPr="005071A1">
              <w:t>0.12</w:t>
            </w:r>
          </w:p>
        </w:tc>
        <w:tc>
          <w:tcPr>
            <w:tcW w:w="1824" w:type="dxa"/>
            <w:shd w:val="clear" w:color="auto" w:fill="auto"/>
          </w:tcPr>
          <w:p w14:paraId="30AA6B13" w14:textId="77777777" w:rsidR="00B33542" w:rsidRPr="005071A1" w:rsidRDefault="00B33542" w:rsidP="009B7AF5">
            <w:pPr>
              <w:pStyle w:val="Tabletext"/>
            </w:pPr>
            <w:r w:rsidRPr="005071A1">
              <w:t>0.04</w:t>
            </w:r>
          </w:p>
        </w:tc>
        <w:tc>
          <w:tcPr>
            <w:tcW w:w="1824" w:type="dxa"/>
            <w:shd w:val="clear" w:color="auto" w:fill="auto"/>
          </w:tcPr>
          <w:p w14:paraId="14DA76EC" w14:textId="77777777" w:rsidR="00B33542" w:rsidRPr="005071A1" w:rsidRDefault="00B33542" w:rsidP="009B7AF5">
            <w:pPr>
              <w:pStyle w:val="Tabletext"/>
            </w:pPr>
            <w:r w:rsidRPr="005071A1">
              <w:t>0.08</w:t>
            </w:r>
          </w:p>
        </w:tc>
      </w:tr>
      <w:tr w:rsidR="00B33542" w:rsidRPr="005071A1" w14:paraId="4C49CC60" w14:textId="77777777" w:rsidTr="009B7AF5">
        <w:tc>
          <w:tcPr>
            <w:tcW w:w="1824" w:type="dxa"/>
            <w:shd w:val="clear" w:color="auto" w:fill="auto"/>
          </w:tcPr>
          <w:p w14:paraId="4F542C32" w14:textId="77777777" w:rsidR="00B33542" w:rsidRPr="005071A1" w:rsidRDefault="00B33542" w:rsidP="009B7AF5">
            <w:pPr>
              <w:pStyle w:val="Tabletext"/>
            </w:pPr>
            <w:r w:rsidRPr="005071A1">
              <w:t>30</w:t>
            </w:r>
          </w:p>
        </w:tc>
        <w:tc>
          <w:tcPr>
            <w:tcW w:w="1824" w:type="dxa"/>
            <w:shd w:val="clear" w:color="auto" w:fill="auto"/>
          </w:tcPr>
          <w:p w14:paraId="6B305BB8" w14:textId="77777777" w:rsidR="00B33542" w:rsidRPr="005071A1" w:rsidRDefault="00B33542" w:rsidP="009B7AF5">
            <w:pPr>
              <w:pStyle w:val="Tabletext"/>
            </w:pPr>
            <w:r w:rsidRPr="005071A1">
              <w:t>0.14</w:t>
            </w:r>
          </w:p>
        </w:tc>
        <w:tc>
          <w:tcPr>
            <w:tcW w:w="1824" w:type="dxa"/>
            <w:shd w:val="clear" w:color="auto" w:fill="auto"/>
          </w:tcPr>
          <w:p w14:paraId="393B8EB7" w14:textId="77777777" w:rsidR="00B33542" w:rsidRPr="005071A1" w:rsidRDefault="00B33542" w:rsidP="009B7AF5">
            <w:pPr>
              <w:pStyle w:val="Tabletext"/>
            </w:pPr>
            <w:r w:rsidRPr="005071A1">
              <w:t>0.05</w:t>
            </w:r>
          </w:p>
        </w:tc>
        <w:tc>
          <w:tcPr>
            <w:tcW w:w="1824" w:type="dxa"/>
            <w:shd w:val="clear" w:color="auto" w:fill="auto"/>
          </w:tcPr>
          <w:p w14:paraId="3CDED979" w14:textId="77777777" w:rsidR="00B33542" w:rsidRPr="005071A1" w:rsidRDefault="00B33542" w:rsidP="009B7AF5">
            <w:pPr>
              <w:pStyle w:val="Tabletext"/>
            </w:pPr>
            <w:r w:rsidRPr="005071A1">
              <w:t>0.10</w:t>
            </w:r>
          </w:p>
        </w:tc>
      </w:tr>
      <w:tr w:rsidR="00B33542" w:rsidRPr="005071A1" w14:paraId="3A1EA662" w14:textId="77777777" w:rsidTr="009B7AF5">
        <w:tc>
          <w:tcPr>
            <w:tcW w:w="1824" w:type="dxa"/>
            <w:shd w:val="clear" w:color="auto" w:fill="auto"/>
          </w:tcPr>
          <w:p w14:paraId="46325B69" w14:textId="77777777" w:rsidR="00B33542" w:rsidRPr="005071A1" w:rsidRDefault="00B33542" w:rsidP="009B7AF5">
            <w:pPr>
              <w:pStyle w:val="Tabletext"/>
            </w:pPr>
            <w:r w:rsidRPr="005071A1">
              <w:t>31</w:t>
            </w:r>
          </w:p>
        </w:tc>
        <w:tc>
          <w:tcPr>
            <w:tcW w:w="1824" w:type="dxa"/>
            <w:shd w:val="clear" w:color="auto" w:fill="auto"/>
          </w:tcPr>
          <w:p w14:paraId="14E9B180" w14:textId="77777777" w:rsidR="00B33542" w:rsidRPr="005071A1" w:rsidRDefault="00B33542" w:rsidP="009B7AF5">
            <w:pPr>
              <w:pStyle w:val="Tabletext"/>
            </w:pPr>
            <w:r w:rsidRPr="005071A1">
              <w:t>0.16</w:t>
            </w:r>
          </w:p>
        </w:tc>
        <w:tc>
          <w:tcPr>
            <w:tcW w:w="1824" w:type="dxa"/>
            <w:shd w:val="clear" w:color="auto" w:fill="auto"/>
          </w:tcPr>
          <w:p w14:paraId="644B339F" w14:textId="77777777" w:rsidR="00B33542" w:rsidRPr="005071A1" w:rsidRDefault="00B33542" w:rsidP="009B7AF5">
            <w:pPr>
              <w:pStyle w:val="Tabletext"/>
            </w:pPr>
            <w:r w:rsidRPr="005071A1">
              <w:t>0.05</w:t>
            </w:r>
          </w:p>
        </w:tc>
        <w:tc>
          <w:tcPr>
            <w:tcW w:w="1824" w:type="dxa"/>
            <w:shd w:val="clear" w:color="auto" w:fill="auto"/>
          </w:tcPr>
          <w:p w14:paraId="3408367A" w14:textId="77777777" w:rsidR="00B33542" w:rsidRPr="005071A1" w:rsidRDefault="00B33542" w:rsidP="009B7AF5">
            <w:pPr>
              <w:pStyle w:val="Tabletext"/>
            </w:pPr>
            <w:r w:rsidRPr="005071A1">
              <w:t>0.10</w:t>
            </w:r>
          </w:p>
        </w:tc>
      </w:tr>
      <w:tr w:rsidR="00B33542" w:rsidRPr="005071A1" w14:paraId="7C660F25" w14:textId="77777777" w:rsidTr="009B7AF5">
        <w:tc>
          <w:tcPr>
            <w:tcW w:w="1824" w:type="dxa"/>
            <w:shd w:val="clear" w:color="auto" w:fill="auto"/>
          </w:tcPr>
          <w:p w14:paraId="44E1E30E" w14:textId="77777777" w:rsidR="00B33542" w:rsidRPr="005071A1" w:rsidRDefault="00B33542" w:rsidP="009B7AF5">
            <w:pPr>
              <w:pStyle w:val="Tabletext"/>
            </w:pPr>
            <w:r w:rsidRPr="005071A1">
              <w:t>32</w:t>
            </w:r>
          </w:p>
        </w:tc>
        <w:tc>
          <w:tcPr>
            <w:tcW w:w="1824" w:type="dxa"/>
            <w:shd w:val="clear" w:color="auto" w:fill="auto"/>
          </w:tcPr>
          <w:p w14:paraId="28D067AE" w14:textId="77777777" w:rsidR="00B33542" w:rsidRPr="005071A1" w:rsidRDefault="00B33542" w:rsidP="009B7AF5">
            <w:pPr>
              <w:pStyle w:val="Tabletext"/>
            </w:pPr>
            <w:r w:rsidRPr="005071A1">
              <w:t>0.16</w:t>
            </w:r>
          </w:p>
        </w:tc>
        <w:tc>
          <w:tcPr>
            <w:tcW w:w="1824" w:type="dxa"/>
            <w:shd w:val="clear" w:color="auto" w:fill="auto"/>
          </w:tcPr>
          <w:p w14:paraId="5E263EA6" w14:textId="77777777" w:rsidR="00B33542" w:rsidRPr="005071A1" w:rsidRDefault="00B33542" w:rsidP="009B7AF5">
            <w:pPr>
              <w:pStyle w:val="Tabletext"/>
            </w:pPr>
            <w:r w:rsidRPr="005071A1">
              <w:t>0.05</w:t>
            </w:r>
          </w:p>
        </w:tc>
        <w:tc>
          <w:tcPr>
            <w:tcW w:w="1824" w:type="dxa"/>
            <w:shd w:val="clear" w:color="auto" w:fill="auto"/>
          </w:tcPr>
          <w:p w14:paraId="7C3E483C" w14:textId="77777777" w:rsidR="00B33542" w:rsidRPr="005071A1" w:rsidRDefault="00B33542" w:rsidP="009B7AF5">
            <w:pPr>
              <w:pStyle w:val="Tabletext"/>
            </w:pPr>
            <w:r w:rsidRPr="005071A1">
              <w:t>0.10</w:t>
            </w:r>
          </w:p>
        </w:tc>
      </w:tr>
      <w:tr w:rsidR="00B33542" w:rsidRPr="005071A1" w14:paraId="1CD3D560" w14:textId="77777777" w:rsidTr="009B7AF5">
        <w:tc>
          <w:tcPr>
            <w:tcW w:w="1824" w:type="dxa"/>
            <w:shd w:val="clear" w:color="auto" w:fill="auto"/>
          </w:tcPr>
          <w:p w14:paraId="725FE743" w14:textId="77777777" w:rsidR="00B33542" w:rsidRPr="005071A1" w:rsidRDefault="00B33542" w:rsidP="009B7AF5">
            <w:pPr>
              <w:pStyle w:val="Tabletext"/>
            </w:pPr>
            <w:r w:rsidRPr="005071A1">
              <w:t>33</w:t>
            </w:r>
          </w:p>
        </w:tc>
        <w:tc>
          <w:tcPr>
            <w:tcW w:w="1824" w:type="dxa"/>
            <w:shd w:val="clear" w:color="auto" w:fill="auto"/>
          </w:tcPr>
          <w:p w14:paraId="6437FA09" w14:textId="77777777" w:rsidR="00B33542" w:rsidRPr="005071A1" w:rsidRDefault="00B33542" w:rsidP="009B7AF5">
            <w:pPr>
              <w:pStyle w:val="Tabletext"/>
            </w:pPr>
            <w:r w:rsidRPr="005071A1">
              <w:t>0.16</w:t>
            </w:r>
          </w:p>
        </w:tc>
        <w:tc>
          <w:tcPr>
            <w:tcW w:w="1824" w:type="dxa"/>
            <w:shd w:val="clear" w:color="auto" w:fill="auto"/>
          </w:tcPr>
          <w:p w14:paraId="52801F7C" w14:textId="77777777" w:rsidR="00B33542" w:rsidRPr="005071A1" w:rsidRDefault="00B33542" w:rsidP="009B7AF5">
            <w:pPr>
              <w:pStyle w:val="Tabletext"/>
            </w:pPr>
            <w:r w:rsidRPr="005071A1">
              <w:t>0.05</w:t>
            </w:r>
          </w:p>
        </w:tc>
        <w:tc>
          <w:tcPr>
            <w:tcW w:w="1824" w:type="dxa"/>
            <w:shd w:val="clear" w:color="auto" w:fill="auto"/>
          </w:tcPr>
          <w:p w14:paraId="1844A753" w14:textId="77777777" w:rsidR="00B33542" w:rsidRPr="005071A1" w:rsidRDefault="00B33542" w:rsidP="009B7AF5">
            <w:pPr>
              <w:pStyle w:val="Tabletext"/>
            </w:pPr>
            <w:r w:rsidRPr="005071A1">
              <w:t>0.10</w:t>
            </w:r>
          </w:p>
        </w:tc>
      </w:tr>
      <w:tr w:rsidR="00B33542" w:rsidRPr="005071A1" w14:paraId="5F97C160" w14:textId="77777777" w:rsidTr="009B7AF5">
        <w:tc>
          <w:tcPr>
            <w:tcW w:w="1824" w:type="dxa"/>
            <w:shd w:val="clear" w:color="auto" w:fill="auto"/>
          </w:tcPr>
          <w:p w14:paraId="05AD7C86" w14:textId="77777777" w:rsidR="00B33542" w:rsidRPr="005071A1" w:rsidRDefault="00B33542" w:rsidP="009B7AF5">
            <w:pPr>
              <w:pStyle w:val="Tabletext"/>
            </w:pPr>
            <w:r w:rsidRPr="005071A1">
              <w:t>34</w:t>
            </w:r>
          </w:p>
        </w:tc>
        <w:tc>
          <w:tcPr>
            <w:tcW w:w="1824" w:type="dxa"/>
            <w:shd w:val="clear" w:color="auto" w:fill="auto"/>
          </w:tcPr>
          <w:p w14:paraId="6B8EE071" w14:textId="77777777" w:rsidR="00B33542" w:rsidRPr="005071A1" w:rsidRDefault="00B33542" w:rsidP="009B7AF5">
            <w:pPr>
              <w:pStyle w:val="Tabletext"/>
            </w:pPr>
            <w:r w:rsidRPr="005071A1">
              <w:t>0.16</w:t>
            </w:r>
          </w:p>
        </w:tc>
        <w:tc>
          <w:tcPr>
            <w:tcW w:w="1824" w:type="dxa"/>
            <w:shd w:val="clear" w:color="auto" w:fill="auto"/>
          </w:tcPr>
          <w:p w14:paraId="63453EFE" w14:textId="77777777" w:rsidR="00B33542" w:rsidRPr="005071A1" w:rsidRDefault="00B33542" w:rsidP="009B7AF5">
            <w:pPr>
              <w:pStyle w:val="Tabletext"/>
            </w:pPr>
            <w:r w:rsidRPr="005071A1">
              <w:t>0.05</w:t>
            </w:r>
          </w:p>
        </w:tc>
        <w:tc>
          <w:tcPr>
            <w:tcW w:w="1824" w:type="dxa"/>
            <w:shd w:val="clear" w:color="auto" w:fill="auto"/>
          </w:tcPr>
          <w:p w14:paraId="728E7E7F" w14:textId="77777777" w:rsidR="00B33542" w:rsidRPr="005071A1" w:rsidRDefault="00B33542" w:rsidP="009B7AF5">
            <w:pPr>
              <w:pStyle w:val="Tabletext"/>
            </w:pPr>
            <w:r w:rsidRPr="005071A1">
              <w:t>0.10</w:t>
            </w:r>
          </w:p>
        </w:tc>
      </w:tr>
      <w:tr w:rsidR="00B33542" w:rsidRPr="005071A1" w14:paraId="4EB65779" w14:textId="77777777" w:rsidTr="009B7AF5">
        <w:tc>
          <w:tcPr>
            <w:tcW w:w="1824" w:type="dxa"/>
            <w:shd w:val="clear" w:color="auto" w:fill="auto"/>
          </w:tcPr>
          <w:p w14:paraId="5BE267CD" w14:textId="77777777" w:rsidR="00B33542" w:rsidRPr="005071A1" w:rsidRDefault="00B33542" w:rsidP="009B7AF5">
            <w:pPr>
              <w:pStyle w:val="Tabletext"/>
            </w:pPr>
            <w:r w:rsidRPr="005071A1">
              <w:t>35</w:t>
            </w:r>
          </w:p>
        </w:tc>
        <w:tc>
          <w:tcPr>
            <w:tcW w:w="1824" w:type="dxa"/>
            <w:shd w:val="clear" w:color="auto" w:fill="auto"/>
          </w:tcPr>
          <w:p w14:paraId="17B4FAD8" w14:textId="77777777" w:rsidR="00B33542" w:rsidRPr="005071A1" w:rsidRDefault="00B33542" w:rsidP="009B7AF5">
            <w:pPr>
              <w:pStyle w:val="Tabletext"/>
            </w:pPr>
            <w:r w:rsidRPr="005071A1">
              <w:t>0.16</w:t>
            </w:r>
          </w:p>
        </w:tc>
        <w:tc>
          <w:tcPr>
            <w:tcW w:w="1824" w:type="dxa"/>
            <w:shd w:val="clear" w:color="auto" w:fill="auto"/>
          </w:tcPr>
          <w:p w14:paraId="1507DC01" w14:textId="77777777" w:rsidR="00B33542" w:rsidRPr="005071A1" w:rsidRDefault="00B33542" w:rsidP="009B7AF5">
            <w:pPr>
              <w:pStyle w:val="Tabletext"/>
            </w:pPr>
            <w:r w:rsidRPr="005071A1">
              <w:t>0.05</w:t>
            </w:r>
          </w:p>
        </w:tc>
        <w:tc>
          <w:tcPr>
            <w:tcW w:w="1824" w:type="dxa"/>
            <w:shd w:val="clear" w:color="auto" w:fill="auto"/>
          </w:tcPr>
          <w:p w14:paraId="698FDA4B" w14:textId="77777777" w:rsidR="00B33542" w:rsidRPr="005071A1" w:rsidRDefault="00B33542" w:rsidP="009B7AF5">
            <w:pPr>
              <w:pStyle w:val="Tabletext"/>
            </w:pPr>
            <w:r w:rsidRPr="005071A1">
              <w:t>0.10</w:t>
            </w:r>
          </w:p>
        </w:tc>
      </w:tr>
      <w:tr w:rsidR="00B33542" w:rsidRPr="005071A1" w14:paraId="296FF469" w14:textId="77777777" w:rsidTr="009B7AF5">
        <w:tc>
          <w:tcPr>
            <w:tcW w:w="1824" w:type="dxa"/>
            <w:shd w:val="clear" w:color="auto" w:fill="auto"/>
          </w:tcPr>
          <w:p w14:paraId="444689D5" w14:textId="77777777" w:rsidR="00B33542" w:rsidRPr="005071A1" w:rsidRDefault="00B33542" w:rsidP="009B7AF5">
            <w:pPr>
              <w:pStyle w:val="Tabletext"/>
            </w:pPr>
            <w:r w:rsidRPr="005071A1">
              <w:t>36</w:t>
            </w:r>
          </w:p>
        </w:tc>
        <w:tc>
          <w:tcPr>
            <w:tcW w:w="1824" w:type="dxa"/>
            <w:shd w:val="clear" w:color="auto" w:fill="auto"/>
          </w:tcPr>
          <w:p w14:paraId="61229827" w14:textId="77777777" w:rsidR="00B33542" w:rsidRPr="005071A1" w:rsidRDefault="00B33542" w:rsidP="009B7AF5">
            <w:pPr>
              <w:pStyle w:val="Tabletext"/>
            </w:pPr>
            <w:r w:rsidRPr="005071A1">
              <w:t>0.16</w:t>
            </w:r>
          </w:p>
        </w:tc>
        <w:tc>
          <w:tcPr>
            <w:tcW w:w="1824" w:type="dxa"/>
            <w:shd w:val="clear" w:color="auto" w:fill="auto"/>
          </w:tcPr>
          <w:p w14:paraId="0733FFF7" w14:textId="77777777" w:rsidR="00B33542" w:rsidRPr="005071A1" w:rsidRDefault="00B33542" w:rsidP="009B7AF5">
            <w:pPr>
              <w:pStyle w:val="Tabletext"/>
            </w:pPr>
            <w:r w:rsidRPr="005071A1">
              <w:t>0.05</w:t>
            </w:r>
          </w:p>
        </w:tc>
        <w:tc>
          <w:tcPr>
            <w:tcW w:w="1824" w:type="dxa"/>
            <w:shd w:val="clear" w:color="auto" w:fill="auto"/>
          </w:tcPr>
          <w:p w14:paraId="70EF5A81" w14:textId="77777777" w:rsidR="00B33542" w:rsidRPr="005071A1" w:rsidRDefault="00B33542" w:rsidP="009B7AF5">
            <w:pPr>
              <w:pStyle w:val="Tabletext"/>
            </w:pPr>
            <w:r w:rsidRPr="005071A1">
              <w:t>0.10</w:t>
            </w:r>
          </w:p>
        </w:tc>
      </w:tr>
      <w:tr w:rsidR="00B33542" w:rsidRPr="005071A1" w14:paraId="3F9E76B9" w14:textId="77777777" w:rsidTr="009B7AF5">
        <w:tc>
          <w:tcPr>
            <w:tcW w:w="1824" w:type="dxa"/>
            <w:shd w:val="clear" w:color="auto" w:fill="auto"/>
          </w:tcPr>
          <w:p w14:paraId="47002933" w14:textId="77777777" w:rsidR="00B33542" w:rsidRPr="005071A1" w:rsidRDefault="00B33542" w:rsidP="009B7AF5">
            <w:pPr>
              <w:pStyle w:val="Tabletext"/>
            </w:pPr>
            <w:r w:rsidRPr="005071A1">
              <w:t>37</w:t>
            </w:r>
          </w:p>
        </w:tc>
        <w:tc>
          <w:tcPr>
            <w:tcW w:w="1824" w:type="dxa"/>
            <w:shd w:val="clear" w:color="auto" w:fill="auto"/>
          </w:tcPr>
          <w:p w14:paraId="6C39672F" w14:textId="77777777" w:rsidR="00B33542" w:rsidRPr="005071A1" w:rsidRDefault="00B33542" w:rsidP="009B7AF5">
            <w:pPr>
              <w:pStyle w:val="Tabletext"/>
            </w:pPr>
            <w:r w:rsidRPr="005071A1">
              <w:t>0.18</w:t>
            </w:r>
          </w:p>
        </w:tc>
        <w:tc>
          <w:tcPr>
            <w:tcW w:w="1824" w:type="dxa"/>
            <w:shd w:val="clear" w:color="auto" w:fill="auto"/>
          </w:tcPr>
          <w:p w14:paraId="71387839" w14:textId="77777777" w:rsidR="00B33542" w:rsidRPr="005071A1" w:rsidRDefault="00B33542" w:rsidP="009B7AF5">
            <w:pPr>
              <w:pStyle w:val="Tabletext"/>
            </w:pPr>
            <w:r w:rsidRPr="005071A1">
              <w:t>0.05</w:t>
            </w:r>
          </w:p>
        </w:tc>
        <w:tc>
          <w:tcPr>
            <w:tcW w:w="1824" w:type="dxa"/>
            <w:shd w:val="clear" w:color="auto" w:fill="auto"/>
          </w:tcPr>
          <w:p w14:paraId="1E69102E" w14:textId="77777777" w:rsidR="00B33542" w:rsidRPr="005071A1" w:rsidRDefault="00B33542" w:rsidP="009B7AF5">
            <w:pPr>
              <w:pStyle w:val="Tabletext"/>
            </w:pPr>
            <w:r w:rsidRPr="005071A1">
              <w:t>0.10</w:t>
            </w:r>
          </w:p>
        </w:tc>
      </w:tr>
      <w:tr w:rsidR="00B33542" w:rsidRPr="005071A1" w14:paraId="75AA1D1B" w14:textId="77777777" w:rsidTr="009B7AF5">
        <w:tc>
          <w:tcPr>
            <w:tcW w:w="1824" w:type="dxa"/>
            <w:shd w:val="clear" w:color="auto" w:fill="auto"/>
          </w:tcPr>
          <w:p w14:paraId="3D3D7205" w14:textId="77777777" w:rsidR="00B33542" w:rsidRPr="005071A1" w:rsidRDefault="00B33542" w:rsidP="009B7AF5">
            <w:pPr>
              <w:pStyle w:val="Tabletext"/>
            </w:pPr>
            <w:r w:rsidRPr="005071A1">
              <w:t>38</w:t>
            </w:r>
          </w:p>
        </w:tc>
        <w:tc>
          <w:tcPr>
            <w:tcW w:w="1824" w:type="dxa"/>
            <w:shd w:val="clear" w:color="auto" w:fill="auto"/>
          </w:tcPr>
          <w:p w14:paraId="794C0959" w14:textId="77777777" w:rsidR="00B33542" w:rsidRPr="005071A1" w:rsidRDefault="00B33542" w:rsidP="009B7AF5">
            <w:pPr>
              <w:pStyle w:val="Tabletext"/>
            </w:pPr>
            <w:r w:rsidRPr="005071A1">
              <w:t>0.18</w:t>
            </w:r>
          </w:p>
        </w:tc>
        <w:tc>
          <w:tcPr>
            <w:tcW w:w="1824" w:type="dxa"/>
            <w:shd w:val="clear" w:color="auto" w:fill="auto"/>
          </w:tcPr>
          <w:p w14:paraId="750F8BDF" w14:textId="77777777" w:rsidR="00B33542" w:rsidRPr="005071A1" w:rsidRDefault="00B33542" w:rsidP="009B7AF5">
            <w:pPr>
              <w:pStyle w:val="Tabletext"/>
            </w:pPr>
            <w:r w:rsidRPr="005071A1">
              <w:t>0.06</w:t>
            </w:r>
          </w:p>
        </w:tc>
        <w:tc>
          <w:tcPr>
            <w:tcW w:w="1824" w:type="dxa"/>
            <w:shd w:val="clear" w:color="auto" w:fill="auto"/>
          </w:tcPr>
          <w:p w14:paraId="7075E39E" w14:textId="77777777" w:rsidR="00B33542" w:rsidRPr="005071A1" w:rsidRDefault="00B33542" w:rsidP="009B7AF5">
            <w:pPr>
              <w:pStyle w:val="Tabletext"/>
            </w:pPr>
            <w:r w:rsidRPr="005071A1">
              <w:t>0.12</w:t>
            </w:r>
          </w:p>
        </w:tc>
      </w:tr>
      <w:tr w:rsidR="00B33542" w:rsidRPr="005071A1" w14:paraId="7B67F480" w14:textId="77777777" w:rsidTr="009B7AF5">
        <w:tc>
          <w:tcPr>
            <w:tcW w:w="1824" w:type="dxa"/>
            <w:shd w:val="clear" w:color="auto" w:fill="auto"/>
          </w:tcPr>
          <w:p w14:paraId="1A2B86A1" w14:textId="77777777" w:rsidR="00B33542" w:rsidRPr="005071A1" w:rsidRDefault="00B33542" w:rsidP="009B7AF5">
            <w:pPr>
              <w:pStyle w:val="Tabletext"/>
            </w:pPr>
            <w:r w:rsidRPr="005071A1">
              <w:lastRenderedPageBreak/>
              <w:t>39</w:t>
            </w:r>
          </w:p>
        </w:tc>
        <w:tc>
          <w:tcPr>
            <w:tcW w:w="1824" w:type="dxa"/>
            <w:shd w:val="clear" w:color="auto" w:fill="auto"/>
          </w:tcPr>
          <w:p w14:paraId="12D87EAC" w14:textId="77777777" w:rsidR="00B33542" w:rsidRPr="005071A1" w:rsidRDefault="00B33542" w:rsidP="009B7AF5">
            <w:pPr>
              <w:pStyle w:val="Tabletext"/>
            </w:pPr>
            <w:r w:rsidRPr="005071A1">
              <w:t>0.18</w:t>
            </w:r>
          </w:p>
        </w:tc>
        <w:tc>
          <w:tcPr>
            <w:tcW w:w="1824" w:type="dxa"/>
            <w:shd w:val="clear" w:color="auto" w:fill="auto"/>
          </w:tcPr>
          <w:p w14:paraId="16803818" w14:textId="77777777" w:rsidR="00B33542" w:rsidRPr="005071A1" w:rsidRDefault="00B33542" w:rsidP="009B7AF5">
            <w:pPr>
              <w:pStyle w:val="Tabletext"/>
            </w:pPr>
            <w:r w:rsidRPr="005071A1">
              <w:t>0.06</w:t>
            </w:r>
          </w:p>
        </w:tc>
        <w:tc>
          <w:tcPr>
            <w:tcW w:w="1824" w:type="dxa"/>
            <w:shd w:val="clear" w:color="auto" w:fill="auto"/>
          </w:tcPr>
          <w:p w14:paraId="4FF4BF9E" w14:textId="77777777" w:rsidR="00B33542" w:rsidRPr="005071A1" w:rsidRDefault="00B33542" w:rsidP="009B7AF5">
            <w:pPr>
              <w:pStyle w:val="Tabletext"/>
            </w:pPr>
            <w:r w:rsidRPr="005071A1">
              <w:t>0.12</w:t>
            </w:r>
          </w:p>
        </w:tc>
      </w:tr>
      <w:tr w:rsidR="00B33542" w:rsidRPr="005071A1" w14:paraId="6110B9DC" w14:textId="77777777" w:rsidTr="009B7AF5">
        <w:tc>
          <w:tcPr>
            <w:tcW w:w="1824" w:type="dxa"/>
            <w:shd w:val="clear" w:color="auto" w:fill="auto"/>
          </w:tcPr>
          <w:p w14:paraId="5E1BC61D" w14:textId="77777777" w:rsidR="00B33542" w:rsidRPr="005071A1" w:rsidRDefault="00B33542" w:rsidP="009B7AF5">
            <w:pPr>
              <w:pStyle w:val="Tabletext"/>
            </w:pPr>
            <w:r w:rsidRPr="005071A1">
              <w:t>40</w:t>
            </w:r>
          </w:p>
        </w:tc>
        <w:tc>
          <w:tcPr>
            <w:tcW w:w="1824" w:type="dxa"/>
            <w:shd w:val="clear" w:color="auto" w:fill="auto"/>
          </w:tcPr>
          <w:p w14:paraId="6A8C2ADD" w14:textId="77777777" w:rsidR="00B33542" w:rsidRPr="005071A1" w:rsidRDefault="00B33542" w:rsidP="009B7AF5">
            <w:pPr>
              <w:pStyle w:val="Tabletext"/>
            </w:pPr>
            <w:r w:rsidRPr="005071A1">
              <w:t>0.18</w:t>
            </w:r>
          </w:p>
        </w:tc>
        <w:tc>
          <w:tcPr>
            <w:tcW w:w="1824" w:type="dxa"/>
            <w:shd w:val="clear" w:color="auto" w:fill="auto"/>
          </w:tcPr>
          <w:p w14:paraId="1E554272" w14:textId="77777777" w:rsidR="00B33542" w:rsidRPr="005071A1" w:rsidRDefault="00B33542" w:rsidP="009B7AF5">
            <w:pPr>
              <w:pStyle w:val="Tabletext"/>
            </w:pPr>
            <w:r w:rsidRPr="005071A1">
              <w:t>0.06</w:t>
            </w:r>
          </w:p>
        </w:tc>
        <w:tc>
          <w:tcPr>
            <w:tcW w:w="1824" w:type="dxa"/>
            <w:shd w:val="clear" w:color="auto" w:fill="auto"/>
          </w:tcPr>
          <w:p w14:paraId="47E2C0F1" w14:textId="77777777" w:rsidR="00B33542" w:rsidRPr="005071A1" w:rsidRDefault="00B33542" w:rsidP="009B7AF5">
            <w:pPr>
              <w:pStyle w:val="Tabletext"/>
            </w:pPr>
            <w:r w:rsidRPr="005071A1">
              <w:t>0.12</w:t>
            </w:r>
          </w:p>
        </w:tc>
      </w:tr>
      <w:tr w:rsidR="00B33542" w:rsidRPr="005071A1" w14:paraId="5FA9CC7E" w14:textId="77777777" w:rsidTr="009B7AF5">
        <w:tc>
          <w:tcPr>
            <w:tcW w:w="1824" w:type="dxa"/>
            <w:shd w:val="clear" w:color="auto" w:fill="auto"/>
          </w:tcPr>
          <w:p w14:paraId="59B724BB" w14:textId="77777777" w:rsidR="00B33542" w:rsidRPr="005071A1" w:rsidRDefault="00B33542" w:rsidP="009B7AF5">
            <w:pPr>
              <w:pStyle w:val="Tabletext"/>
            </w:pPr>
            <w:r w:rsidRPr="005071A1">
              <w:t>41</w:t>
            </w:r>
          </w:p>
        </w:tc>
        <w:tc>
          <w:tcPr>
            <w:tcW w:w="1824" w:type="dxa"/>
            <w:shd w:val="clear" w:color="auto" w:fill="auto"/>
          </w:tcPr>
          <w:p w14:paraId="620904C8" w14:textId="77777777" w:rsidR="00B33542" w:rsidRPr="005071A1" w:rsidRDefault="00B33542" w:rsidP="009B7AF5">
            <w:pPr>
              <w:pStyle w:val="Tabletext"/>
            </w:pPr>
            <w:r w:rsidRPr="005071A1">
              <w:t>0.18</w:t>
            </w:r>
          </w:p>
        </w:tc>
        <w:tc>
          <w:tcPr>
            <w:tcW w:w="1824" w:type="dxa"/>
            <w:shd w:val="clear" w:color="auto" w:fill="auto"/>
          </w:tcPr>
          <w:p w14:paraId="0F09473F" w14:textId="77777777" w:rsidR="00B33542" w:rsidRPr="005071A1" w:rsidRDefault="00B33542" w:rsidP="009B7AF5">
            <w:pPr>
              <w:pStyle w:val="Tabletext"/>
            </w:pPr>
            <w:r w:rsidRPr="005071A1">
              <w:t>0.06</w:t>
            </w:r>
          </w:p>
        </w:tc>
        <w:tc>
          <w:tcPr>
            <w:tcW w:w="1824" w:type="dxa"/>
            <w:shd w:val="clear" w:color="auto" w:fill="auto"/>
          </w:tcPr>
          <w:p w14:paraId="71FF0683" w14:textId="77777777" w:rsidR="00B33542" w:rsidRPr="005071A1" w:rsidRDefault="00B33542" w:rsidP="009B7AF5">
            <w:pPr>
              <w:pStyle w:val="Tabletext"/>
            </w:pPr>
            <w:r w:rsidRPr="005071A1">
              <w:t>0.12</w:t>
            </w:r>
          </w:p>
        </w:tc>
      </w:tr>
      <w:tr w:rsidR="00B33542" w:rsidRPr="005071A1" w14:paraId="7E31BF6C" w14:textId="77777777" w:rsidTr="00D57394">
        <w:tc>
          <w:tcPr>
            <w:tcW w:w="1824" w:type="dxa"/>
            <w:tcBorders>
              <w:bottom w:val="single" w:sz="4" w:space="0" w:color="auto"/>
            </w:tcBorders>
            <w:shd w:val="clear" w:color="auto" w:fill="auto"/>
          </w:tcPr>
          <w:p w14:paraId="1016F630" w14:textId="77777777" w:rsidR="00B33542" w:rsidRPr="005071A1" w:rsidRDefault="00B33542" w:rsidP="009B7AF5">
            <w:pPr>
              <w:pStyle w:val="Tabletext"/>
            </w:pPr>
            <w:r w:rsidRPr="005071A1">
              <w:t>42</w:t>
            </w:r>
          </w:p>
        </w:tc>
        <w:tc>
          <w:tcPr>
            <w:tcW w:w="1824" w:type="dxa"/>
            <w:tcBorders>
              <w:bottom w:val="single" w:sz="4" w:space="0" w:color="auto"/>
            </w:tcBorders>
            <w:shd w:val="clear" w:color="auto" w:fill="auto"/>
          </w:tcPr>
          <w:p w14:paraId="5BEF3EF1" w14:textId="77777777" w:rsidR="00B33542" w:rsidRPr="005071A1" w:rsidRDefault="00B33542" w:rsidP="009B7AF5">
            <w:pPr>
              <w:pStyle w:val="Tabletext"/>
            </w:pPr>
            <w:r w:rsidRPr="005071A1">
              <w:t>0.20</w:t>
            </w:r>
          </w:p>
        </w:tc>
        <w:tc>
          <w:tcPr>
            <w:tcW w:w="1824" w:type="dxa"/>
            <w:tcBorders>
              <w:bottom w:val="single" w:sz="4" w:space="0" w:color="auto"/>
            </w:tcBorders>
            <w:shd w:val="clear" w:color="auto" w:fill="auto"/>
          </w:tcPr>
          <w:p w14:paraId="044E838A" w14:textId="77777777" w:rsidR="00B33542" w:rsidRPr="005071A1" w:rsidRDefault="00B33542" w:rsidP="009B7AF5">
            <w:pPr>
              <w:pStyle w:val="Tabletext"/>
            </w:pPr>
            <w:r w:rsidRPr="005071A1">
              <w:t>0.06</w:t>
            </w:r>
          </w:p>
        </w:tc>
        <w:tc>
          <w:tcPr>
            <w:tcW w:w="1824" w:type="dxa"/>
            <w:tcBorders>
              <w:bottom w:val="single" w:sz="4" w:space="0" w:color="auto"/>
            </w:tcBorders>
            <w:shd w:val="clear" w:color="auto" w:fill="auto"/>
          </w:tcPr>
          <w:p w14:paraId="5318EC65" w14:textId="77777777" w:rsidR="00B33542" w:rsidRPr="005071A1" w:rsidRDefault="00B33542" w:rsidP="009B7AF5">
            <w:pPr>
              <w:pStyle w:val="Tabletext"/>
            </w:pPr>
            <w:r w:rsidRPr="005071A1">
              <w:t>0.12</w:t>
            </w:r>
          </w:p>
        </w:tc>
      </w:tr>
      <w:tr w:rsidR="00B33542" w:rsidRPr="005071A1" w14:paraId="34B056B6" w14:textId="77777777" w:rsidTr="00D57394">
        <w:tc>
          <w:tcPr>
            <w:tcW w:w="1824" w:type="dxa"/>
            <w:tcBorders>
              <w:bottom w:val="single" w:sz="4" w:space="0" w:color="auto"/>
            </w:tcBorders>
            <w:shd w:val="clear" w:color="auto" w:fill="auto"/>
          </w:tcPr>
          <w:p w14:paraId="55897F2E" w14:textId="77777777" w:rsidR="00B33542" w:rsidRPr="005071A1" w:rsidRDefault="00B33542" w:rsidP="009B7AF5">
            <w:pPr>
              <w:pStyle w:val="Tabletext"/>
            </w:pPr>
            <w:r w:rsidRPr="005071A1">
              <w:t>43</w:t>
            </w:r>
          </w:p>
        </w:tc>
        <w:tc>
          <w:tcPr>
            <w:tcW w:w="1824" w:type="dxa"/>
            <w:tcBorders>
              <w:bottom w:val="single" w:sz="4" w:space="0" w:color="auto"/>
            </w:tcBorders>
            <w:shd w:val="clear" w:color="auto" w:fill="auto"/>
          </w:tcPr>
          <w:p w14:paraId="16E0E5C0" w14:textId="77777777" w:rsidR="00B33542" w:rsidRPr="005071A1" w:rsidRDefault="00B33542" w:rsidP="009B7AF5">
            <w:pPr>
              <w:pStyle w:val="Tabletext"/>
            </w:pPr>
            <w:r w:rsidRPr="005071A1">
              <w:t>0.20</w:t>
            </w:r>
          </w:p>
        </w:tc>
        <w:tc>
          <w:tcPr>
            <w:tcW w:w="1824" w:type="dxa"/>
            <w:tcBorders>
              <w:bottom w:val="single" w:sz="4" w:space="0" w:color="auto"/>
            </w:tcBorders>
            <w:shd w:val="clear" w:color="auto" w:fill="auto"/>
          </w:tcPr>
          <w:p w14:paraId="4CDAA8A7" w14:textId="77777777" w:rsidR="00B33542" w:rsidRPr="005071A1" w:rsidRDefault="00B33542" w:rsidP="009B7AF5">
            <w:pPr>
              <w:pStyle w:val="Tabletext"/>
            </w:pPr>
            <w:r w:rsidRPr="005071A1">
              <w:t>0.07</w:t>
            </w:r>
          </w:p>
        </w:tc>
        <w:tc>
          <w:tcPr>
            <w:tcW w:w="1824" w:type="dxa"/>
            <w:tcBorders>
              <w:bottom w:val="single" w:sz="4" w:space="0" w:color="auto"/>
            </w:tcBorders>
            <w:shd w:val="clear" w:color="auto" w:fill="auto"/>
          </w:tcPr>
          <w:p w14:paraId="7B84E774" w14:textId="77777777" w:rsidR="00B33542" w:rsidRPr="005071A1" w:rsidRDefault="00B33542" w:rsidP="009B7AF5">
            <w:pPr>
              <w:pStyle w:val="Tabletext"/>
            </w:pPr>
            <w:r w:rsidRPr="005071A1">
              <w:t>0.14</w:t>
            </w:r>
          </w:p>
        </w:tc>
      </w:tr>
      <w:tr w:rsidR="00B33542" w:rsidRPr="005071A1" w14:paraId="3DABAE8F" w14:textId="77777777" w:rsidTr="00D57394">
        <w:tc>
          <w:tcPr>
            <w:tcW w:w="1824" w:type="dxa"/>
            <w:tcBorders>
              <w:top w:val="single" w:sz="4" w:space="0" w:color="auto"/>
            </w:tcBorders>
            <w:shd w:val="clear" w:color="auto" w:fill="auto"/>
          </w:tcPr>
          <w:p w14:paraId="6BFB4A79" w14:textId="77777777" w:rsidR="00B33542" w:rsidRPr="005071A1" w:rsidRDefault="00B33542" w:rsidP="009B7AF5">
            <w:pPr>
              <w:pStyle w:val="Tabletext"/>
            </w:pPr>
            <w:r w:rsidRPr="005071A1">
              <w:t>44</w:t>
            </w:r>
          </w:p>
        </w:tc>
        <w:tc>
          <w:tcPr>
            <w:tcW w:w="1824" w:type="dxa"/>
            <w:tcBorders>
              <w:top w:val="single" w:sz="4" w:space="0" w:color="auto"/>
            </w:tcBorders>
            <w:shd w:val="clear" w:color="auto" w:fill="auto"/>
          </w:tcPr>
          <w:p w14:paraId="2264F34D" w14:textId="77777777" w:rsidR="00B33542" w:rsidRPr="005071A1" w:rsidRDefault="00B33542" w:rsidP="009B7AF5">
            <w:pPr>
              <w:pStyle w:val="Tabletext"/>
            </w:pPr>
            <w:r w:rsidRPr="005071A1">
              <w:t>0.20</w:t>
            </w:r>
          </w:p>
        </w:tc>
        <w:tc>
          <w:tcPr>
            <w:tcW w:w="1824" w:type="dxa"/>
            <w:tcBorders>
              <w:top w:val="single" w:sz="4" w:space="0" w:color="auto"/>
            </w:tcBorders>
            <w:shd w:val="clear" w:color="auto" w:fill="auto"/>
          </w:tcPr>
          <w:p w14:paraId="15D6A7D1" w14:textId="77777777" w:rsidR="00B33542" w:rsidRPr="005071A1" w:rsidRDefault="00B33542" w:rsidP="009B7AF5">
            <w:pPr>
              <w:pStyle w:val="Tabletext"/>
            </w:pPr>
            <w:r w:rsidRPr="005071A1">
              <w:t>0.07</w:t>
            </w:r>
          </w:p>
        </w:tc>
        <w:tc>
          <w:tcPr>
            <w:tcW w:w="1824" w:type="dxa"/>
            <w:tcBorders>
              <w:top w:val="single" w:sz="4" w:space="0" w:color="auto"/>
            </w:tcBorders>
            <w:shd w:val="clear" w:color="auto" w:fill="auto"/>
          </w:tcPr>
          <w:p w14:paraId="66F0C468" w14:textId="77777777" w:rsidR="00B33542" w:rsidRPr="005071A1" w:rsidRDefault="00B33542" w:rsidP="009B7AF5">
            <w:pPr>
              <w:pStyle w:val="Tabletext"/>
            </w:pPr>
            <w:r w:rsidRPr="005071A1">
              <w:t>0.14</w:t>
            </w:r>
          </w:p>
        </w:tc>
      </w:tr>
      <w:tr w:rsidR="00B33542" w:rsidRPr="005071A1" w14:paraId="4F15C56F" w14:textId="77777777" w:rsidTr="00640BB6">
        <w:tc>
          <w:tcPr>
            <w:tcW w:w="1824" w:type="dxa"/>
            <w:tcBorders>
              <w:bottom w:val="single" w:sz="4" w:space="0" w:color="auto"/>
            </w:tcBorders>
            <w:shd w:val="clear" w:color="auto" w:fill="auto"/>
          </w:tcPr>
          <w:p w14:paraId="7E54898C" w14:textId="77777777" w:rsidR="00B33542" w:rsidRPr="005071A1" w:rsidRDefault="00B33542" w:rsidP="009B7AF5">
            <w:pPr>
              <w:pStyle w:val="Tabletext"/>
            </w:pPr>
            <w:r w:rsidRPr="005071A1">
              <w:t>45</w:t>
            </w:r>
          </w:p>
        </w:tc>
        <w:tc>
          <w:tcPr>
            <w:tcW w:w="1824" w:type="dxa"/>
            <w:tcBorders>
              <w:bottom w:val="single" w:sz="4" w:space="0" w:color="auto"/>
            </w:tcBorders>
            <w:shd w:val="clear" w:color="auto" w:fill="auto"/>
          </w:tcPr>
          <w:p w14:paraId="0C2DCBC1" w14:textId="77777777" w:rsidR="00B33542" w:rsidRPr="005071A1" w:rsidRDefault="00B33542" w:rsidP="009B7AF5">
            <w:pPr>
              <w:pStyle w:val="Tabletext"/>
            </w:pPr>
            <w:r w:rsidRPr="005071A1">
              <w:t>0.20</w:t>
            </w:r>
          </w:p>
        </w:tc>
        <w:tc>
          <w:tcPr>
            <w:tcW w:w="1824" w:type="dxa"/>
            <w:tcBorders>
              <w:bottom w:val="single" w:sz="4" w:space="0" w:color="auto"/>
            </w:tcBorders>
            <w:shd w:val="clear" w:color="auto" w:fill="auto"/>
          </w:tcPr>
          <w:p w14:paraId="53EE6362" w14:textId="77777777" w:rsidR="00B33542" w:rsidRPr="005071A1" w:rsidRDefault="00B33542" w:rsidP="009B7AF5">
            <w:pPr>
              <w:pStyle w:val="Tabletext"/>
            </w:pPr>
            <w:r w:rsidRPr="005071A1">
              <w:t>0.07</w:t>
            </w:r>
          </w:p>
        </w:tc>
        <w:tc>
          <w:tcPr>
            <w:tcW w:w="1824" w:type="dxa"/>
            <w:tcBorders>
              <w:bottom w:val="single" w:sz="4" w:space="0" w:color="auto"/>
            </w:tcBorders>
            <w:shd w:val="clear" w:color="auto" w:fill="auto"/>
          </w:tcPr>
          <w:p w14:paraId="7B67903F" w14:textId="77777777" w:rsidR="00B33542" w:rsidRPr="005071A1" w:rsidRDefault="00B33542" w:rsidP="009B7AF5">
            <w:pPr>
              <w:pStyle w:val="Tabletext"/>
            </w:pPr>
            <w:r w:rsidRPr="005071A1">
              <w:t>0.14</w:t>
            </w:r>
          </w:p>
        </w:tc>
      </w:tr>
      <w:tr w:rsidR="00B33542" w:rsidRPr="005071A1" w14:paraId="10BD7B1D" w14:textId="77777777" w:rsidTr="00640BB6">
        <w:tc>
          <w:tcPr>
            <w:tcW w:w="1824" w:type="dxa"/>
            <w:tcBorders>
              <w:bottom w:val="single" w:sz="4" w:space="0" w:color="auto"/>
            </w:tcBorders>
            <w:shd w:val="clear" w:color="auto" w:fill="auto"/>
          </w:tcPr>
          <w:p w14:paraId="1144199B" w14:textId="77777777" w:rsidR="00B33542" w:rsidRPr="005071A1" w:rsidRDefault="00B33542" w:rsidP="009B7AF5">
            <w:pPr>
              <w:pStyle w:val="Tabletext"/>
            </w:pPr>
            <w:r w:rsidRPr="005071A1">
              <w:t>46</w:t>
            </w:r>
          </w:p>
        </w:tc>
        <w:tc>
          <w:tcPr>
            <w:tcW w:w="1824" w:type="dxa"/>
            <w:tcBorders>
              <w:bottom w:val="single" w:sz="4" w:space="0" w:color="auto"/>
            </w:tcBorders>
            <w:shd w:val="clear" w:color="auto" w:fill="auto"/>
          </w:tcPr>
          <w:p w14:paraId="7C970075" w14:textId="77777777" w:rsidR="00B33542" w:rsidRPr="005071A1" w:rsidRDefault="00B33542" w:rsidP="009B7AF5">
            <w:pPr>
              <w:pStyle w:val="Tabletext"/>
            </w:pPr>
            <w:r w:rsidRPr="005071A1">
              <w:t>0.20</w:t>
            </w:r>
          </w:p>
        </w:tc>
        <w:tc>
          <w:tcPr>
            <w:tcW w:w="1824" w:type="dxa"/>
            <w:tcBorders>
              <w:bottom w:val="single" w:sz="4" w:space="0" w:color="auto"/>
            </w:tcBorders>
            <w:shd w:val="clear" w:color="auto" w:fill="auto"/>
          </w:tcPr>
          <w:p w14:paraId="47F98EB3" w14:textId="77777777" w:rsidR="00B33542" w:rsidRPr="005071A1" w:rsidRDefault="00B33542" w:rsidP="009B7AF5">
            <w:pPr>
              <w:pStyle w:val="Tabletext"/>
            </w:pPr>
            <w:r w:rsidRPr="005071A1">
              <w:t>0.07</w:t>
            </w:r>
          </w:p>
        </w:tc>
        <w:tc>
          <w:tcPr>
            <w:tcW w:w="1824" w:type="dxa"/>
            <w:tcBorders>
              <w:bottom w:val="single" w:sz="4" w:space="0" w:color="auto"/>
            </w:tcBorders>
            <w:shd w:val="clear" w:color="auto" w:fill="auto"/>
          </w:tcPr>
          <w:p w14:paraId="4BE44F27" w14:textId="77777777" w:rsidR="00B33542" w:rsidRPr="005071A1" w:rsidRDefault="00B33542" w:rsidP="009B7AF5">
            <w:pPr>
              <w:pStyle w:val="Tabletext"/>
            </w:pPr>
            <w:r w:rsidRPr="005071A1">
              <w:t>0.14</w:t>
            </w:r>
          </w:p>
        </w:tc>
      </w:tr>
      <w:tr w:rsidR="00B33542" w:rsidRPr="005071A1" w14:paraId="0A130943" w14:textId="77777777" w:rsidTr="00640BB6">
        <w:tc>
          <w:tcPr>
            <w:tcW w:w="1824" w:type="dxa"/>
            <w:tcBorders>
              <w:top w:val="single" w:sz="4" w:space="0" w:color="auto"/>
            </w:tcBorders>
            <w:shd w:val="clear" w:color="auto" w:fill="auto"/>
          </w:tcPr>
          <w:p w14:paraId="5028C93F" w14:textId="77777777" w:rsidR="00B33542" w:rsidRPr="005071A1" w:rsidRDefault="00B33542" w:rsidP="009B7AF5">
            <w:pPr>
              <w:pStyle w:val="Tabletext"/>
            </w:pPr>
            <w:r w:rsidRPr="005071A1">
              <w:t>47</w:t>
            </w:r>
          </w:p>
        </w:tc>
        <w:tc>
          <w:tcPr>
            <w:tcW w:w="1824" w:type="dxa"/>
            <w:tcBorders>
              <w:top w:val="single" w:sz="4" w:space="0" w:color="auto"/>
            </w:tcBorders>
            <w:shd w:val="clear" w:color="auto" w:fill="auto"/>
          </w:tcPr>
          <w:p w14:paraId="47BD5B31" w14:textId="77777777" w:rsidR="00B33542" w:rsidRPr="005071A1" w:rsidRDefault="00B33542" w:rsidP="009B7AF5">
            <w:pPr>
              <w:pStyle w:val="Tabletext"/>
            </w:pPr>
            <w:r w:rsidRPr="005071A1">
              <w:t>0.22</w:t>
            </w:r>
          </w:p>
        </w:tc>
        <w:tc>
          <w:tcPr>
            <w:tcW w:w="1824" w:type="dxa"/>
            <w:tcBorders>
              <w:top w:val="single" w:sz="4" w:space="0" w:color="auto"/>
            </w:tcBorders>
            <w:shd w:val="clear" w:color="auto" w:fill="auto"/>
          </w:tcPr>
          <w:p w14:paraId="46603075" w14:textId="77777777" w:rsidR="00B33542" w:rsidRPr="005071A1" w:rsidRDefault="00B33542" w:rsidP="009B7AF5">
            <w:pPr>
              <w:pStyle w:val="Tabletext"/>
            </w:pPr>
            <w:r w:rsidRPr="005071A1">
              <w:t>0.08</w:t>
            </w:r>
          </w:p>
        </w:tc>
        <w:tc>
          <w:tcPr>
            <w:tcW w:w="1824" w:type="dxa"/>
            <w:tcBorders>
              <w:top w:val="single" w:sz="4" w:space="0" w:color="auto"/>
            </w:tcBorders>
            <w:shd w:val="clear" w:color="auto" w:fill="auto"/>
          </w:tcPr>
          <w:p w14:paraId="732FC12E" w14:textId="77777777" w:rsidR="00B33542" w:rsidRPr="005071A1" w:rsidRDefault="00B33542" w:rsidP="009B7AF5">
            <w:pPr>
              <w:pStyle w:val="Tabletext"/>
            </w:pPr>
            <w:r w:rsidRPr="005071A1">
              <w:t>0.16</w:t>
            </w:r>
          </w:p>
        </w:tc>
      </w:tr>
      <w:tr w:rsidR="00B33542" w:rsidRPr="005071A1" w14:paraId="1B31E6B6" w14:textId="77777777" w:rsidTr="009B7AF5">
        <w:tc>
          <w:tcPr>
            <w:tcW w:w="1824" w:type="dxa"/>
            <w:shd w:val="clear" w:color="auto" w:fill="auto"/>
          </w:tcPr>
          <w:p w14:paraId="1756F315" w14:textId="77777777" w:rsidR="00B33542" w:rsidRPr="005071A1" w:rsidRDefault="00B33542" w:rsidP="009B7AF5">
            <w:pPr>
              <w:pStyle w:val="Tabletext"/>
            </w:pPr>
            <w:r w:rsidRPr="005071A1">
              <w:t>48</w:t>
            </w:r>
          </w:p>
        </w:tc>
        <w:tc>
          <w:tcPr>
            <w:tcW w:w="1824" w:type="dxa"/>
            <w:shd w:val="clear" w:color="auto" w:fill="auto"/>
          </w:tcPr>
          <w:p w14:paraId="7DB838C1" w14:textId="77777777" w:rsidR="00B33542" w:rsidRPr="005071A1" w:rsidRDefault="00B33542" w:rsidP="009B7AF5">
            <w:pPr>
              <w:pStyle w:val="Tabletext"/>
            </w:pPr>
            <w:r w:rsidRPr="005071A1">
              <w:t>0.24</w:t>
            </w:r>
          </w:p>
        </w:tc>
        <w:tc>
          <w:tcPr>
            <w:tcW w:w="1824" w:type="dxa"/>
            <w:shd w:val="clear" w:color="auto" w:fill="auto"/>
          </w:tcPr>
          <w:p w14:paraId="1F6632EF" w14:textId="77777777" w:rsidR="00B33542" w:rsidRPr="005071A1" w:rsidRDefault="00B33542" w:rsidP="009B7AF5">
            <w:pPr>
              <w:pStyle w:val="Tabletext"/>
            </w:pPr>
            <w:r w:rsidRPr="005071A1">
              <w:t>0.09</w:t>
            </w:r>
          </w:p>
        </w:tc>
        <w:tc>
          <w:tcPr>
            <w:tcW w:w="1824" w:type="dxa"/>
            <w:shd w:val="clear" w:color="auto" w:fill="auto"/>
          </w:tcPr>
          <w:p w14:paraId="2EBCC72D" w14:textId="77777777" w:rsidR="00B33542" w:rsidRPr="005071A1" w:rsidRDefault="00B33542" w:rsidP="009B7AF5">
            <w:pPr>
              <w:pStyle w:val="Tabletext"/>
            </w:pPr>
            <w:r w:rsidRPr="005071A1">
              <w:t>0.18</w:t>
            </w:r>
          </w:p>
        </w:tc>
      </w:tr>
      <w:tr w:rsidR="00B33542" w:rsidRPr="005071A1" w14:paraId="12C8D133" w14:textId="77777777" w:rsidTr="009B7AF5">
        <w:tc>
          <w:tcPr>
            <w:tcW w:w="1824" w:type="dxa"/>
            <w:shd w:val="clear" w:color="auto" w:fill="auto"/>
          </w:tcPr>
          <w:p w14:paraId="646C9407" w14:textId="77777777" w:rsidR="00B33542" w:rsidRPr="005071A1" w:rsidRDefault="00B33542" w:rsidP="009B7AF5">
            <w:pPr>
              <w:pStyle w:val="Tabletext"/>
            </w:pPr>
            <w:r w:rsidRPr="005071A1">
              <w:t>49</w:t>
            </w:r>
          </w:p>
        </w:tc>
        <w:tc>
          <w:tcPr>
            <w:tcW w:w="1824" w:type="dxa"/>
            <w:shd w:val="clear" w:color="auto" w:fill="auto"/>
          </w:tcPr>
          <w:p w14:paraId="3477CE6C" w14:textId="77777777" w:rsidR="00B33542" w:rsidRPr="005071A1" w:rsidRDefault="00B33542" w:rsidP="009B7AF5">
            <w:pPr>
              <w:pStyle w:val="Tabletext"/>
            </w:pPr>
            <w:r w:rsidRPr="005071A1">
              <w:t>0.26</w:t>
            </w:r>
          </w:p>
        </w:tc>
        <w:tc>
          <w:tcPr>
            <w:tcW w:w="1824" w:type="dxa"/>
            <w:shd w:val="clear" w:color="auto" w:fill="auto"/>
          </w:tcPr>
          <w:p w14:paraId="7336E511" w14:textId="77777777" w:rsidR="00B33542" w:rsidRPr="005071A1" w:rsidRDefault="00B33542" w:rsidP="009B7AF5">
            <w:pPr>
              <w:pStyle w:val="Tabletext"/>
            </w:pPr>
            <w:r w:rsidRPr="005071A1">
              <w:t>0.10</w:t>
            </w:r>
          </w:p>
        </w:tc>
        <w:tc>
          <w:tcPr>
            <w:tcW w:w="1824" w:type="dxa"/>
            <w:shd w:val="clear" w:color="auto" w:fill="auto"/>
          </w:tcPr>
          <w:p w14:paraId="1BFEA33B" w14:textId="77777777" w:rsidR="00B33542" w:rsidRPr="005071A1" w:rsidRDefault="00B33542" w:rsidP="009B7AF5">
            <w:pPr>
              <w:pStyle w:val="Tabletext"/>
            </w:pPr>
            <w:r w:rsidRPr="005071A1">
              <w:t>0.20</w:t>
            </w:r>
          </w:p>
        </w:tc>
      </w:tr>
      <w:tr w:rsidR="00B33542" w:rsidRPr="005071A1" w14:paraId="5679E6B3" w14:textId="77777777" w:rsidTr="009B7AF5">
        <w:tc>
          <w:tcPr>
            <w:tcW w:w="1824" w:type="dxa"/>
            <w:shd w:val="clear" w:color="auto" w:fill="auto"/>
          </w:tcPr>
          <w:p w14:paraId="3D0E3EEF" w14:textId="77777777" w:rsidR="00B33542" w:rsidRPr="005071A1" w:rsidRDefault="00B33542" w:rsidP="009B7AF5">
            <w:pPr>
              <w:pStyle w:val="Tabletext"/>
            </w:pPr>
            <w:r w:rsidRPr="005071A1">
              <w:t>50</w:t>
            </w:r>
          </w:p>
        </w:tc>
        <w:tc>
          <w:tcPr>
            <w:tcW w:w="1824" w:type="dxa"/>
            <w:shd w:val="clear" w:color="auto" w:fill="auto"/>
          </w:tcPr>
          <w:p w14:paraId="66913382" w14:textId="77777777" w:rsidR="00B33542" w:rsidRPr="005071A1" w:rsidRDefault="00B33542" w:rsidP="009B7AF5">
            <w:pPr>
              <w:pStyle w:val="Tabletext"/>
            </w:pPr>
            <w:r w:rsidRPr="005071A1">
              <w:t>0.28</w:t>
            </w:r>
          </w:p>
        </w:tc>
        <w:tc>
          <w:tcPr>
            <w:tcW w:w="1824" w:type="dxa"/>
            <w:shd w:val="clear" w:color="auto" w:fill="auto"/>
          </w:tcPr>
          <w:p w14:paraId="6B71F683" w14:textId="77777777" w:rsidR="00B33542" w:rsidRPr="005071A1" w:rsidRDefault="00B33542" w:rsidP="009B7AF5">
            <w:pPr>
              <w:pStyle w:val="Tabletext"/>
            </w:pPr>
            <w:r w:rsidRPr="005071A1">
              <w:t>0.11</w:t>
            </w:r>
          </w:p>
        </w:tc>
        <w:tc>
          <w:tcPr>
            <w:tcW w:w="1824" w:type="dxa"/>
            <w:shd w:val="clear" w:color="auto" w:fill="auto"/>
          </w:tcPr>
          <w:p w14:paraId="0E0AFC33" w14:textId="77777777" w:rsidR="00B33542" w:rsidRPr="005071A1" w:rsidRDefault="00B33542" w:rsidP="009B7AF5">
            <w:pPr>
              <w:pStyle w:val="Tabletext"/>
            </w:pPr>
            <w:r w:rsidRPr="005071A1">
              <w:t>0.22</w:t>
            </w:r>
          </w:p>
        </w:tc>
      </w:tr>
      <w:tr w:rsidR="00B33542" w:rsidRPr="005071A1" w14:paraId="57B42E90" w14:textId="77777777" w:rsidTr="009B7AF5">
        <w:tc>
          <w:tcPr>
            <w:tcW w:w="1824" w:type="dxa"/>
            <w:shd w:val="clear" w:color="auto" w:fill="auto"/>
          </w:tcPr>
          <w:p w14:paraId="1D944762" w14:textId="77777777" w:rsidR="00B33542" w:rsidRPr="005071A1" w:rsidRDefault="00B33542" w:rsidP="009B7AF5">
            <w:pPr>
              <w:pStyle w:val="Tabletext"/>
            </w:pPr>
            <w:r w:rsidRPr="005071A1">
              <w:t>51</w:t>
            </w:r>
          </w:p>
        </w:tc>
        <w:tc>
          <w:tcPr>
            <w:tcW w:w="1824" w:type="dxa"/>
            <w:shd w:val="clear" w:color="auto" w:fill="auto"/>
          </w:tcPr>
          <w:p w14:paraId="5C8332B9" w14:textId="77777777" w:rsidR="00B33542" w:rsidRPr="005071A1" w:rsidRDefault="00B33542" w:rsidP="009B7AF5">
            <w:pPr>
              <w:pStyle w:val="Tabletext"/>
            </w:pPr>
            <w:r w:rsidRPr="005071A1">
              <w:t>0.32</w:t>
            </w:r>
          </w:p>
        </w:tc>
        <w:tc>
          <w:tcPr>
            <w:tcW w:w="1824" w:type="dxa"/>
            <w:shd w:val="clear" w:color="auto" w:fill="auto"/>
          </w:tcPr>
          <w:p w14:paraId="303DBEEC" w14:textId="77777777" w:rsidR="00B33542" w:rsidRPr="005071A1" w:rsidRDefault="00B33542" w:rsidP="009B7AF5">
            <w:pPr>
              <w:pStyle w:val="Tabletext"/>
            </w:pPr>
            <w:r w:rsidRPr="005071A1">
              <w:t>0.13</w:t>
            </w:r>
          </w:p>
        </w:tc>
        <w:tc>
          <w:tcPr>
            <w:tcW w:w="1824" w:type="dxa"/>
            <w:shd w:val="clear" w:color="auto" w:fill="auto"/>
          </w:tcPr>
          <w:p w14:paraId="4BD223CC" w14:textId="77777777" w:rsidR="00B33542" w:rsidRPr="005071A1" w:rsidRDefault="00B33542" w:rsidP="009B7AF5">
            <w:pPr>
              <w:pStyle w:val="Tabletext"/>
            </w:pPr>
            <w:r w:rsidRPr="005071A1">
              <w:t>0.26</w:t>
            </w:r>
          </w:p>
        </w:tc>
      </w:tr>
      <w:tr w:rsidR="00B33542" w:rsidRPr="005071A1" w14:paraId="22DF469F" w14:textId="77777777" w:rsidTr="009B7AF5">
        <w:tc>
          <w:tcPr>
            <w:tcW w:w="1824" w:type="dxa"/>
            <w:shd w:val="clear" w:color="auto" w:fill="auto"/>
          </w:tcPr>
          <w:p w14:paraId="366B21E8" w14:textId="77777777" w:rsidR="00B33542" w:rsidRPr="005071A1" w:rsidRDefault="00B33542" w:rsidP="009B7AF5">
            <w:pPr>
              <w:pStyle w:val="Tabletext"/>
            </w:pPr>
            <w:r w:rsidRPr="005071A1">
              <w:t>52</w:t>
            </w:r>
          </w:p>
        </w:tc>
        <w:tc>
          <w:tcPr>
            <w:tcW w:w="1824" w:type="dxa"/>
            <w:shd w:val="clear" w:color="auto" w:fill="auto"/>
          </w:tcPr>
          <w:p w14:paraId="470081B8" w14:textId="77777777" w:rsidR="00B33542" w:rsidRPr="005071A1" w:rsidRDefault="00B33542" w:rsidP="009B7AF5">
            <w:pPr>
              <w:pStyle w:val="Tabletext"/>
            </w:pPr>
            <w:r w:rsidRPr="005071A1">
              <w:t>0.34</w:t>
            </w:r>
          </w:p>
        </w:tc>
        <w:tc>
          <w:tcPr>
            <w:tcW w:w="1824" w:type="dxa"/>
            <w:shd w:val="clear" w:color="auto" w:fill="auto"/>
          </w:tcPr>
          <w:p w14:paraId="797D51C6" w14:textId="77777777" w:rsidR="00B33542" w:rsidRPr="005071A1" w:rsidRDefault="00B33542" w:rsidP="009B7AF5">
            <w:pPr>
              <w:pStyle w:val="Tabletext"/>
            </w:pPr>
            <w:r w:rsidRPr="005071A1">
              <w:t>0.14</w:t>
            </w:r>
          </w:p>
        </w:tc>
        <w:tc>
          <w:tcPr>
            <w:tcW w:w="1824" w:type="dxa"/>
            <w:shd w:val="clear" w:color="auto" w:fill="auto"/>
          </w:tcPr>
          <w:p w14:paraId="57B70247" w14:textId="77777777" w:rsidR="00B33542" w:rsidRPr="005071A1" w:rsidRDefault="00B33542" w:rsidP="009B7AF5">
            <w:pPr>
              <w:pStyle w:val="Tabletext"/>
            </w:pPr>
            <w:r w:rsidRPr="005071A1">
              <w:t>0.28</w:t>
            </w:r>
          </w:p>
        </w:tc>
      </w:tr>
      <w:tr w:rsidR="00B33542" w:rsidRPr="005071A1" w14:paraId="14DDB359" w14:textId="77777777" w:rsidTr="009B7AF5">
        <w:tc>
          <w:tcPr>
            <w:tcW w:w="1824" w:type="dxa"/>
            <w:shd w:val="clear" w:color="auto" w:fill="auto"/>
          </w:tcPr>
          <w:p w14:paraId="6AA4F9A8" w14:textId="77777777" w:rsidR="00B33542" w:rsidRPr="005071A1" w:rsidRDefault="00B33542" w:rsidP="009B7AF5">
            <w:pPr>
              <w:pStyle w:val="Tabletext"/>
            </w:pPr>
            <w:r w:rsidRPr="005071A1">
              <w:t>53</w:t>
            </w:r>
          </w:p>
        </w:tc>
        <w:tc>
          <w:tcPr>
            <w:tcW w:w="1824" w:type="dxa"/>
            <w:shd w:val="clear" w:color="auto" w:fill="auto"/>
          </w:tcPr>
          <w:p w14:paraId="560A8F33" w14:textId="77777777" w:rsidR="00B33542" w:rsidRPr="005071A1" w:rsidRDefault="00B33542" w:rsidP="009B7AF5">
            <w:pPr>
              <w:pStyle w:val="Tabletext"/>
            </w:pPr>
            <w:r w:rsidRPr="005071A1">
              <w:t>0.40</w:t>
            </w:r>
          </w:p>
        </w:tc>
        <w:tc>
          <w:tcPr>
            <w:tcW w:w="1824" w:type="dxa"/>
            <w:shd w:val="clear" w:color="auto" w:fill="auto"/>
          </w:tcPr>
          <w:p w14:paraId="6E248A51" w14:textId="77777777" w:rsidR="00B33542" w:rsidRPr="005071A1" w:rsidRDefault="00B33542" w:rsidP="009B7AF5">
            <w:pPr>
              <w:pStyle w:val="Tabletext"/>
            </w:pPr>
            <w:r w:rsidRPr="005071A1">
              <w:t>0.17</w:t>
            </w:r>
          </w:p>
        </w:tc>
        <w:tc>
          <w:tcPr>
            <w:tcW w:w="1824" w:type="dxa"/>
            <w:shd w:val="clear" w:color="auto" w:fill="auto"/>
          </w:tcPr>
          <w:p w14:paraId="0ADB29C2" w14:textId="77777777" w:rsidR="00B33542" w:rsidRPr="005071A1" w:rsidRDefault="00B33542" w:rsidP="009B7AF5">
            <w:pPr>
              <w:pStyle w:val="Tabletext"/>
            </w:pPr>
            <w:r w:rsidRPr="005071A1">
              <w:t>0.34</w:t>
            </w:r>
          </w:p>
        </w:tc>
      </w:tr>
      <w:tr w:rsidR="00B33542" w:rsidRPr="005071A1" w14:paraId="4AB3AE6B" w14:textId="77777777" w:rsidTr="009B7AF5">
        <w:tc>
          <w:tcPr>
            <w:tcW w:w="1824" w:type="dxa"/>
            <w:shd w:val="clear" w:color="auto" w:fill="auto"/>
          </w:tcPr>
          <w:p w14:paraId="183615D5" w14:textId="77777777" w:rsidR="00B33542" w:rsidRPr="005071A1" w:rsidRDefault="00B33542" w:rsidP="009B7AF5">
            <w:pPr>
              <w:pStyle w:val="Tabletext"/>
            </w:pPr>
            <w:r w:rsidRPr="005071A1">
              <w:lastRenderedPageBreak/>
              <w:t>54</w:t>
            </w:r>
          </w:p>
        </w:tc>
        <w:tc>
          <w:tcPr>
            <w:tcW w:w="1824" w:type="dxa"/>
            <w:shd w:val="clear" w:color="auto" w:fill="auto"/>
          </w:tcPr>
          <w:p w14:paraId="6DF03E34" w14:textId="77777777" w:rsidR="00B33542" w:rsidRPr="005071A1" w:rsidRDefault="00B33542" w:rsidP="009B7AF5">
            <w:pPr>
              <w:pStyle w:val="Tabletext"/>
            </w:pPr>
            <w:r w:rsidRPr="005071A1">
              <w:t>0.44</w:t>
            </w:r>
          </w:p>
        </w:tc>
        <w:tc>
          <w:tcPr>
            <w:tcW w:w="1824" w:type="dxa"/>
            <w:shd w:val="clear" w:color="auto" w:fill="auto"/>
          </w:tcPr>
          <w:p w14:paraId="348F4914" w14:textId="77777777" w:rsidR="00B33542" w:rsidRPr="005071A1" w:rsidRDefault="00B33542" w:rsidP="009B7AF5">
            <w:pPr>
              <w:pStyle w:val="Tabletext"/>
            </w:pPr>
            <w:r w:rsidRPr="005071A1">
              <w:t>0.19</w:t>
            </w:r>
          </w:p>
        </w:tc>
        <w:tc>
          <w:tcPr>
            <w:tcW w:w="1824" w:type="dxa"/>
            <w:shd w:val="clear" w:color="auto" w:fill="auto"/>
          </w:tcPr>
          <w:p w14:paraId="77F3453A" w14:textId="77777777" w:rsidR="00B33542" w:rsidRPr="005071A1" w:rsidRDefault="00B33542" w:rsidP="009B7AF5">
            <w:pPr>
              <w:pStyle w:val="Tabletext"/>
            </w:pPr>
            <w:r w:rsidRPr="005071A1">
              <w:t>0.38</w:t>
            </w:r>
          </w:p>
        </w:tc>
      </w:tr>
      <w:tr w:rsidR="00B33542" w:rsidRPr="005071A1" w14:paraId="756CA456" w14:textId="77777777" w:rsidTr="009B7AF5">
        <w:tc>
          <w:tcPr>
            <w:tcW w:w="1824" w:type="dxa"/>
            <w:shd w:val="clear" w:color="auto" w:fill="auto"/>
          </w:tcPr>
          <w:p w14:paraId="6A370B85" w14:textId="77777777" w:rsidR="00B33542" w:rsidRPr="005071A1" w:rsidRDefault="00B33542" w:rsidP="009B7AF5">
            <w:pPr>
              <w:pStyle w:val="Tabletext"/>
            </w:pPr>
            <w:r w:rsidRPr="005071A1">
              <w:t>55</w:t>
            </w:r>
          </w:p>
        </w:tc>
        <w:tc>
          <w:tcPr>
            <w:tcW w:w="1824" w:type="dxa"/>
            <w:shd w:val="clear" w:color="auto" w:fill="auto"/>
          </w:tcPr>
          <w:p w14:paraId="5CC1E68D" w14:textId="77777777" w:rsidR="00B33542" w:rsidRPr="005071A1" w:rsidRDefault="00B33542" w:rsidP="009B7AF5">
            <w:pPr>
              <w:pStyle w:val="Tabletext"/>
            </w:pPr>
            <w:r w:rsidRPr="005071A1">
              <w:t>0.52</w:t>
            </w:r>
          </w:p>
        </w:tc>
        <w:tc>
          <w:tcPr>
            <w:tcW w:w="1824" w:type="dxa"/>
            <w:shd w:val="clear" w:color="auto" w:fill="auto"/>
          </w:tcPr>
          <w:p w14:paraId="15B68505" w14:textId="77777777" w:rsidR="00B33542" w:rsidRPr="005071A1" w:rsidRDefault="00B33542" w:rsidP="009B7AF5">
            <w:pPr>
              <w:pStyle w:val="Tabletext"/>
            </w:pPr>
            <w:r w:rsidRPr="005071A1">
              <w:t>0.23</w:t>
            </w:r>
          </w:p>
        </w:tc>
        <w:tc>
          <w:tcPr>
            <w:tcW w:w="1824" w:type="dxa"/>
            <w:shd w:val="clear" w:color="auto" w:fill="auto"/>
          </w:tcPr>
          <w:p w14:paraId="1619C379" w14:textId="77777777" w:rsidR="00B33542" w:rsidRPr="005071A1" w:rsidRDefault="00B33542" w:rsidP="009B7AF5">
            <w:pPr>
              <w:pStyle w:val="Tabletext"/>
            </w:pPr>
            <w:r w:rsidRPr="005071A1">
              <w:t>0.46</w:t>
            </w:r>
          </w:p>
        </w:tc>
      </w:tr>
      <w:tr w:rsidR="00B33542" w:rsidRPr="005071A1" w14:paraId="3F7F825A" w14:textId="77777777" w:rsidTr="009B7AF5">
        <w:tc>
          <w:tcPr>
            <w:tcW w:w="1824" w:type="dxa"/>
            <w:shd w:val="clear" w:color="auto" w:fill="auto"/>
          </w:tcPr>
          <w:p w14:paraId="63E97DF6" w14:textId="77777777" w:rsidR="00B33542" w:rsidRPr="005071A1" w:rsidRDefault="00B33542" w:rsidP="009B7AF5">
            <w:pPr>
              <w:pStyle w:val="Tabletext"/>
            </w:pPr>
            <w:r w:rsidRPr="005071A1">
              <w:t>56</w:t>
            </w:r>
          </w:p>
        </w:tc>
        <w:tc>
          <w:tcPr>
            <w:tcW w:w="1824" w:type="dxa"/>
            <w:shd w:val="clear" w:color="auto" w:fill="auto"/>
          </w:tcPr>
          <w:p w14:paraId="0F9236FD" w14:textId="77777777" w:rsidR="00B33542" w:rsidRPr="005071A1" w:rsidRDefault="00B33542" w:rsidP="009B7AF5">
            <w:pPr>
              <w:pStyle w:val="Tabletext"/>
            </w:pPr>
            <w:r w:rsidRPr="005071A1">
              <w:t>0.64</w:t>
            </w:r>
          </w:p>
        </w:tc>
        <w:tc>
          <w:tcPr>
            <w:tcW w:w="1824" w:type="dxa"/>
            <w:shd w:val="clear" w:color="auto" w:fill="auto"/>
          </w:tcPr>
          <w:p w14:paraId="77543B9C" w14:textId="77777777" w:rsidR="00B33542" w:rsidRPr="005071A1" w:rsidRDefault="00B33542" w:rsidP="009B7AF5">
            <w:pPr>
              <w:pStyle w:val="Tabletext"/>
            </w:pPr>
            <w:r w:rsidRPr="005071A1">
              <w:t>0.29</w:t>
            </w:r>
          </w:p>
        </w:tc>
        <w:tc>
          <w:tcPr>
            <w:tcW w:w="1824" w:type="dxa"/>
            <w:shd w:val="clear" w:color="auto" w:fill="auto"/>
          </w:tcPr>
          <w:p w14:paraId="757FB63F" w14:textId="77777777" w:rsidR="00B33542" w:rsidRPr="005071A1" w:rsidRDefault="00B33542" w:rsidP="009B7AF5">
            <w:pPr>
              <w:pStyle w:val="Tabletext"/>
            </w:pPr>
            <w:r w:rsidRPr="005071A1">
              <w:t>0.58</w:t>
            </w:r>
          </w:p>
        </w:tc>
      </w:tr>
      <w:tr w:rsidR="00B33542" w:rsidRPr="005071A1" w14:paraId="5EE2BAB8" w14:textId="77777777" w:rsidTr="009B7AF5">
        <w:tc>
          <w:tcPr>
            <w:tcW w:w="1824" w:type="dxa"/>
            <w:shd w:val="clear" w:color="auto" w:fill="auto"/>
          </w:tcPr>
          <w:p w14:paraId="19B88D17" w14:textId="77777777" w:rsidR="00B33542" w:rsidRPr="005071A1" w:rsidRDefault="00B33542" w:rsidP="009B7AF5">
            <w:pPr>
              <w:pStyle w:val="Tabletext"/>
            </w:pPr>
            <w:r w:rsidRPr="005071A1">
              <w:t>57</w:t>
            </w:r>
          </w:p>
        </w:tc>
        <w:tc>
          <w:tcPr>
            <w:tcW w:w="1824" w:type="dxa"/>
            <w:shd w:val="clear" w:color="auto" w:fill="auto"/>
          </w:tcPr>
          <w:p w14:paraId="58096F64" w14:textId="77777777" w:rsidR="00B33542" w:rsidRPr="005071A1" w:rsidRDefault="00B33542" w:rsidP="009B7AF5">
            <w:pPr>
              <w:pStyle w:val="Tabletext"/>
            </w:pPr>
            <w:r w:rsidRPr="005071A1">
              <w:t>0.84</w:t>
            </w:r>
          </w:p>
        </w:tc>
        <w:tc>
          <w:tcPr>
            <w:tcW w:w="1824" w:type="dxa"/>
            <w:shd w:val="clear" w:color="auto" w:fill="auto"/>
          </w:tcPr>
          <w:p w14:paraId="7D032677" w14:textId="77777777" w:rsidR="00B33542" w:rsidRPr="005071A1" w:rsidRDefault="00B33542" w:rsidP="009B7AF5">
            <w:pPr>
              <w:pStyle w:val="Tabletext"/>
            </w:pPr>
            <w:r w:rsidRPr="005071A1">
              <w:t>0.38</w:t>
            </w:r>
          </w:p>
        </w:tc>
        <w:tc>
          <w:tcPr>
            <w:tcW w:w="1824" w:type="dxa"/>
            <w:shd w:val="clear" w:color="auto" w:fill="auto"/>
          </w:tcPr>
          <w:p w14:paraId="7CE7ACF2" w14:textId="77777777" w:rsidR="00B33542" w:rsidRPr="005071A1" w:rsidRDefault="00B33542" w:rsidP="009B7AF5">
            <w:pPr>
              <w:pStyle w:val="Tabletext"/>
            </w:pPr>
            <w:r w:rsidRPr="005071A1">
              <w:t>0.76</w:t>
            </w:r>
          </w:p>
        </w:tc>
      </w:tr>
      <w:tr w:rsidR="00B33542" w:rsidRPr="005071A1" w14:paraId="169FDEE3" w14:textId="77777777" w:rsidTr="009B7AF5">
        <w:tc>
          <w:tcPr>
            <w:tcW w:w="1824" w:type="dxa"/>
            <w:shd w:val="clear" w:color="auto" w:fill="auto"/>
          </w:tcPr>
          <w:p w14:paraId="3B2219F5" w14:textId="77777777" w:rsidR="00B33542" w:rsidRPr="005071A1" w:rsidRDefault="00B33542" w:rsidP="009B7AF5">
            <w:pPr>
              <w:pStyle w:val="Tabletext"/>
            </w:pPr>
            <w:r w:rsidRPr="005071A1">
              <w:t>58</w:t>
            </w:r>
          </w:p>
        </w:tc>
        <w:tc>
          <w:tcPr>
            <w:tcW w:w="1824" w:type="dxa"/>
            <w:shd w:val="clear" w:color="auto" w:fill="auto"/>
          </w:tcPr>
          <w:p w14:paraId="264AA22C" w14:textId="77777777" w:rsidR="00B33542" w:rsidRPr="005071A1" w:rsidRDefault="00B33542" w:rsidP="009B7AF5">
            <w:pPr>
              <w:pStyle w:val="Tabletext"/>
            </w:pPr>
            <w:r w:rsidRPr="005071A1">
              <w:t>1.22</w:t>
            </w:r>
          </w:p>
        </w:tc>
        <w:tc>
          <w:tcPr>
            <w:tcW w:w="1824" w:type="dxa"/>
            <w:shd w:val="clear" w:color="auto" w:fill="auto"/>
          </w:tcPr>
          <w:p w14:paraId="183C477B" w14:textId="77777777" w:rsidR="00B33542" w:rsidRPr="005071A1" w:rsidRDefault="00B33542" w:rsidP="009B7AF5">
            <w:pPr>
              <w:pStyle w:val="Tabletext"/>
            </w:pPr>
            <w:r w:rsidRPr="005071A1">
              <w:t>0.56</w:t>
            </w:r>
          </w:p>
        </w:tc>
        <w:tc>
          <w:tcPr>
            <w:tcW w:w="1824" w:type="dxa"/>
            <w:shd w:val="clear" w:color="auto" w:fill="auto"/>
          </w:tcPr>
          <w:p w14:paraId="5B8EF6D3" w14:textId="77777777" w:rsidR="00B33542" w:rsidRPr="005071A1" w:rsidRDefault="00B33542" w:rsidP="009B7AF5">
            <w:pPr>
              <w:pStyle w:val="Tabletext"/>
            </w:pPr>
            <w:r w:rsidRPr="005071A1">
              <w:t>1.12</w:t>
            </w:r>
          </w:p>
        </w:tc>
      </w:tr>
      <w:tr w:rsidR="00B33542" w:rsidRPr="005071A1" w14:paraId="253B552D" w14:textId="77777777" w:rsidTr="009B7AF5">
        <w:tc>
          <w:tcPr>
            <w:tcW w:w="1824" w:type="dxa"/>
            <w:tcBorders>
              <w:bottom w:val="single" w:sz="4" w:space="0" w:color="auto"/>
            </w:tcBorders>
            <w:shd w:val="clear" w:color="auto" w:fill="auto"/>
          </w:tcPr>
          <w:p w14:paraId="0E3662F7" w14:textId="77777777" w:rsidR="00B33542" w:rsidRPr="005071A1" w:rsidRDefault="00B33542" w:rsidP="009B7AF5">
            <w:pPr>
              <w:pStyle w:val="Tabletext"/>
            </w:pPr>
            <w:r w:rsidRPr="005071A1">
              <w:t>59</w:t>
            </w:r>
          </w:p>
        </w:tc>
        <w:tc>
          <w:tcPr>
            <w:tcW w:w="1824" w:type="dxa"/>
            <w:tcBorders>
              <w:bottom w:val="single" w:sz="4" w:space="0" w:color="auto"/>
            </w:tcBorders>
            <w:shd w:val="clear" w:color="auto" w:fill="auto"/>
          </w:tcPr>
          <w:p w14:paraId="577F4F8F" w14:textId="77777777" w:rsidR="00B33542" w:rsidRPr="005071A1" w:rsidRDefault="00B33542" w:rsidP="009B7AF5">
            <w:pPr>
              <w:pStyle w:val="Tabletext"/>
            </w:pPr>
            <w:r w:rsidRPr="005071A1">
              <w:t>2.48</w:t>
            </w:r>
          </w:p>
        </w:tc>
        <w:tc>
          <w:tcPr>
            <w:tcW w:w="1824" w:type="dxa"/>
            <w:tcBorders>
              <w:bottom w:val="single" w:sz="4" w:space="0" w:color="auto"/>
            </w:tcBorders>
            <w:shd w:val="clear" w:color="auto" w:fill="auto"/>
          </w:tcPr>
          <w:p w14:paraId="4A1BF2C5" w14:textId="77777777" w:rsidR="00B33542" w:rsidRPr="005071A1" w:rsidRDefault="00B33542" w:rsidP="009B7AF5">
            <w:pPr>
              <w:pStyle w:val="Tabletext"/>
            </w:pPr>
            <w:r w:rsidRPr="005071A1">
              <w:t>1.16</w:t>
            </w:r>
          </w:p>
        </w:tc>
        <w:tc>
          <w:tcPr>
            <w:tcW w:w="1824" w:type="dxa"/>
            <w:tcBorders>
              <w:bottom w:val="single" w:sz="4" w:space="0" w:color="auto"/>
            </w:tcBorders>
            <w:shd w:val="clear" w:color="auto" w:fill="auto"/>
          </w:tcPr>
          <w:p w14:paraId="2D3D56E5" w14:textId="77777777" w:rsidR="00B33542" w:rsidRPr="005071A1" w:rsidRDefault="00B33542" w:rsidP="009B7AF5">
            <w:pPr>
              <w:pStyle w:val="Tabletext"/>
            </w:pPr>
            <w:r w:rsidRPr="005071A1">
              <w:t>2.32</w:t>
            </w:r>
          </w:p>
        </w:tc>
      </w:tr>
      <w:tr w:rsidR="00B33542" w:rsidRPr="005071A1" w14:paraId="7012CF34" w14:textId="77777777" w:rsidTr="009B7AF5">
        <w:tc>
          <w:tcPr>
            <w:tcW w:w="1824" w:type="dxa"/>
            <w:tcBorders>
              <w:bottom w:val="single" w:sz="12" w:space="0" w:color="auto"/>
            </w:tcBorders>
            <w:shd w:val="clear" w:color="auto" w:fill="auto"/>
          </w:tcPr>
          <w:p w14:paraId="703F6BD9" w14:textId="77777777" w:rsidR="00B33542" w:rsidRPr="005071A1" w:rsidRDefault="00B33542" w:rsidP="009B7AF5">
            <w:pPr>
              <w:pStyle w:val="Tabletext"/>
            </w:pPr>
            <w:r w:rsidRPr="005071A1">
              <w:t>60</w:t>
            </w:r>
          </w:p>
        </w:tc>
        <w:tc>
          <w:tcPr>
            <w:tcW w:w="1824" w:type="dxa"/>
            <w:tcBorders>
              <w:bottom w:val="single" w:sz="12" w:space="0" w:color="auto"/>
            </w:tcBorders>
            <w:shd w:val="clear" w:color="auto" w:fill="auto"/>
          </w:tcPr>
          <w:p w14:paraId="4C194F21" w14:textId="77777777" w:rsidR="00B33542" w:rsidRPr="005071A1" w:rsidRDefault="00B33542" w:rsidP="009B7AF5">
            <w:pPr>
              <w:pStyle w:val="Tabletext"/>
            </w:pPr>
            <w:r w:rsidRPr="005071A1">
              <w:t>2.14</w:t>
            </w:r>
          </w:p>
        </w:tc>
        <w:tc>
          <w:tcPr>
            <w:tcW w:w="1824" w:type="dxa"/>
            <w:tcBorders>
              <w:bottom w:val="single" w:sz="12" w:space="0" w:color="auto"/>
            </w:tcBorders>
            <w:shd w:val="clear" w:color="auto" w:fill="auto"/>
          </w:tcPr>
          <w:p w14:paraId="01FD8307" w14:textId="77777777" w:rsidR="00B33542" w:rsidRPr="005071A1" w:rsidRDefault="00B33542" w:rsidP="009B7AF5">
            <w:pPr>
              <w:pStyle w:val="Tabletext"/>
            </w:pPr>
            <w:r w:rsidRPr="005071A1">
              <w:t>0.99</w:t>
            </w:r>
          </w:p>
        </w:tc>
        <w:tc>
          <w:tcPr>
            <w:tcW w:w="1824" w:type="dxa"/>
            <w:tcBorders>
              <w:bottom w:val="single" w:sz="12" w:space="0" w:color="auto"/>
            </w:tcBorders>
            <w:shd w:val="clear" w:color="auto" w:fill="auto"/>
          </w:tcPr>
          <w:p w14:paraId="75985571" w14:textId="77777777" w:rsidR="00B33542" w:rsidRPr="005071A1" w:rsidRDefault="00B33542" w:rsidP="009B7AF5">
            <w:pPr>
              <w:pStyle w:val="Tabletext"/>
            </w:pPr>
            <w:r w:rsidRPr="005071A1">
              <w:t>1.98</w:t>
            </w:r>
          </w:p>
        </w:tc>
      </w:tr>
    </w:tbl>
    <w:p w14:paraId="1CA3F81A" w14:textId="77777777" w:rsidR="00B33542" w:rsidRPr="005071A1" w:rsidRDefault="00B33542" w:rsidP="00674A0D">
      <w:pPr>
        <w:pStyle w:val="ActHead5"/>
        <w:pageBreakBefore/>
      </w:pPr>
      <w:bookmarkStart w:id="315" w:name="_Toc185577697"/>
      <w:r w:rsidRPr="005071A1">
        <w:lastRenderedPageBreak/>
        <w:t>Table V</w:t>
      </w:r>
      <w:bookmarkEnd w:id="315"/>
    </w:p>
    <w:p w14:paraId="5971BACF" w14:textId="77777777" w:rsidR="00B33542" w:rsidRPr="005071A1" w:rsidRDefault="00B33542" w:rsidP="00B33542">
      <w:pPr>
        <w:spacing w:before="120"/>
      </w:pPr>
      <w:r w:rsidRPr="005071A1">
        <w:t>Reductions in fortnightly rates of contribution payable on or after 1st July, 1962, by male contributors (being contributors who have elected that section</w:t>
      </w:r>
      <w:r w:rsidR="008B2950" w:rsidRPr="005071A1">
        <w:t> </w:t>
      </w:r>
      <w:r w:rsidRPr="005071A1">
        <w:t>26 shall not apply to them) for units of pension where the obligation to contribute for those units existed on or before 2nd November, 1942, based on a retiring age of 60 years and the age next birthday of the contributor when that obligation came into existence</w:t>
      </w:r>
    </w:p>
    <w:p w14:paraId="7B188E55"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24"/>
        <w:gridCol w:w="1824"/>
        <w:gridCol w:w="1824"/>
        <w:gridCol w:w="1824"/>
      </w:tblGrid>
      <w:tr w:rsidR="00B33542" w:rsidRPr="005071A1" w14:paraId="2A91BDA6" w14:textId="77777777" w:rsidTr="009B7AF5">
        <w:trPr>
          <w:tblHeader/>
        </w:trPr>
        <w:tc>
          <w:tcPr>
            <w:tcW w:w="1824" w:type="dxa"/>
            <w:tcBorders>
              <w:top w:val="single" w:sz="12" w:space="0" w:color="auto"/>
              <w:bottom w:val="single" w:sz="6" w:space="0" w:color="auto"/>
            </w:tcBorders>
            <w:shd w:val="clear" w:color="auto" w:fill="auto"/>
          </w:tcPr>
          <w:p w14:paraId="78194BBC" w14:textId="77777777" w:rsidR="00B33542" w:rsidRPr="005071A1" w:rsidRDefault="00B33542" w:rsidP="009B7AF5">
            <w:pPr>
              <w:pStyle w:val="TableHeading"/>
            </w:pPr>
            <w:r w:rsidRPr="005071A1">
              <w:t>Column 1</w:t>
            </w:r>
          </w:p>
        </w:tc>
        <w:tc>
          <w:tcPr>
            <w:tcW w:w="1824" w:type="dxa"/>
            <w:tcBorders>
              <w:top w:val="single" w:sz="12" w:space="0" w:color="auto"/>
              <w:bottom w:val="single" w:sz="6" w:space="0" w:color="auto"/>
            </w:tcBorders>
            <w:shd w:val="clear" w:color="auto" w:fill="auto"/>
          </w:tcPr>
          <w:p w14:paraId="7D7B6B0C" w14:textId="77777777" w:rsidR="00B33542" w:rsidRPr="005071A1" w:rsidRDefault="00B33542" w:rsidP="009B7AF5">
            <w:pPr>
              <w:pStyle w:val="TableHeading"/>
            </w:pPr>
            <w:r w:rsidRPr="005071A1">
              <w:t>Column 2</w:t>
            </w:r>
          </w:p>
        </w:tc>
        <w:tc>
          <w:tcPr>
            <w:tcW w:w="1824" w:type="dxa"/>
            <w:tcBorders>
              <w:top w:val="single" w:sz="12" w:space="0" w:color="auto"/>
              <w:bottom w:val="single" w:sz="6" w:space="0" w:color="auto"/>
            </w:tcBorders>
            <w:shd w:val="clear" w:color="auto" w:fill="auto"/>
          </w:tcPr>
          <w:p w14:paraId="02C6A007" w14:textId="77777777" w:rsidR="00B33542" w:rsidRPr="005071A1" w:rsidRDefault="00B33542" w:rsidP="009B7AF5">
            <w:pPr>
              <w:pStyle w:val="TableHeading"/>
            </w:pPr>
            <w:r w:rsidRPr="005071A1">
              <w:t>Column 3</w:t>
            </w:r>
          </w:p>
        </w:tc>
        <w:tc>
          <w:tcPr>
            <w:tcW w:w="1824" w:type="dxa"/>
            <w:tcBorders>
              <w:top w:val="single" w:sz="12" w:space="0" w:color="auto"/>
              <w:bottom w:val="single" w:sz="6" w:space="0" w:color="auto"/>
            </w:tcBorders>
            <w:shd w:val="clear" w:color="auto" w:fill="auto"/>
          </w:tcPr>
          <w:p w14:paraId="18F5D8FA" w14:textId="77777777" w:rsidR="00B33542" w:rsidRPr="005071A1" w:rsidRDefault="00B33542" w:rsidP="009B7AF5">
            <w:pPr>
              <w:pStyle w:val="TableHeading"/>
            </w:pPr>
            <w:r w:rsidRPr="005071A1">
              <w:t>Column 4</w:t>
            </w:r>
          </w:p>
        </w:tc>
      </w:tr>
      <w:tr w:rsidR="00B33542" w:rsidRPr="005071A1" w14:paraId="01B6B080" w14:textId="77777777" w:rsidTr="009B7AF5">
        <w:trPr>
          <w:tblHeader/>
        </w:trPr>
        <w:tc>
          <w:tcPr>
            <w:tcW w:w="1824" w:type="dxa"/>
            <w:tcBorders>
              <w:top w:val="single" w:sz="6" w:space="0" w:color="auto"/>
              <w:bottom w:val="single" w:sz="6" w:space="0" w:color="auto"/>
            </w:tcBorders>
            <w:shd w:val="clear" w:color="auto" w:fill="auto"/>
          </w:tcPr>
          <w:p w14:paraId="34255715"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824" w:type="dxa"/>
            <w:tcBorders>
              <w:top w:val="single" w:sz="6" w:space="0" w:color="auto"/>
              <w:bottom w:val="single" w:sz="6" w:space="0" w:color="auto"/>
            </w:tcBorders>
            <w:shd w:val="clear" w:color="auto" w:fill="auto"/>
          </w:tcPr>
          <w:p w14:paraId="178A88F0"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First Two Units</w:t>
            </w:r>
          </w:p>
        </w:tc>
        <w:tc>
          <w:tcPr>
            <w:tcW w:w="1824" w:type="dxa"/>
            <w:tcBorders>
              <w:top w:val="single" w:sz="6" w:space="0" w:color="auto"/>
              <w:bottom w:val="single" w:sz="6" w:space="0" w:color="auto"/>
            </w:tcBorders>
            <w:shd w:val="clear" w:color="auto" w:fill="auto"/>
          </w:tcPr>
          <w:p w14:paraId="38B41D87" w14:textId="77777777" w:rsidR="00B33542" w:rsidRPr="005071A1" w:rsidRDefault="00B33542" w:rsidP="005C01B5">
            <w:pPr>
              <w:pStyle w:val="TableHeading"/>
              <w:spacing w:before="40" w:after="40" w:line="180" w:lineRule="atLeast"/>
              <w:rPr>
                <w:sz w:val="16"/>
                <w:szCs w:val="16"/>
              </w:rPr>
            </w:pPr>
            <w:r w:rsidRPr="005071A1">
              <w:rPr>
                <w:sz w:val="16"/>
                <w:szCs w:val="16"/>
              </w:rPr>
              <w:t>Reduction in Contribution for Additional Unit where Contributor did not become liable to Contribute for other Additional Units at the same time; and Reduction in Contribution for One of a number of Additional Units for which Contributor became liable to Contribute at the same time, being a number that is not two or a multiple of two</w:t>
            </w:r>
          </w:p>
        </w:tc>
        <w:tc>
          <w:tcPr>
            <w:tcW w:w="1824" w:type="dxa"/>
            <w:tcBorders>
              <w:top w:val="single" w:sz="6" w:space="0" w:color="auto"/>
              <w:bottom w:val="single" w:sz="6" w:space="0" w:color="auto"/>
            </w:tcBorders>
            <w:shd w:val="clear" w:color="auto" w:fill="auto"/>
          </w:tcPr>
          <w:p w14:paraId="70DDA2AD"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each Additional Two Units included in a number of Additional Units for which Contributor became liable to Contribute at the same time, excluding any Unit to which Column 3 of this Table applies</w:t>
            </w:r>
          </w:p>
        </w:tc>
      </w:tr>
      <w:tr w:rsidR="00B33542" w:rsidRPr="005071A1" w14:paraId="710BC85F" w14:textId="77777777" w:rsidTr="009B7AF5">
        <w:trPr>
          <w:tblHeader/>
        </w:trPr>
        <w:tc>
          <w:tcPr>
            <w:tcW w:w="1824" w:type="dxa"/>
            <w:tcBorders>
              <w:top w:val="single" w:sz="6" w:space="0" w:color="auto"/>
              <w:bottom w:val="single" w:sz="12" w:space="0" w:color="auto"/>
            </w:tcBorders>
            <w:shd w:val="clear" w:color="auto" w:fill="auto"/>
          </w:tcPr>
          <w:p w14:paraId="589DD678" w14:textId="77777777" w:rsidR="00B33542" w:rsidRPr="005071A1" w:rsidRDefault="00B33542" w:rsidP="005C01B5">
            <w:pPr>
              <w:pStyle w:val="TableHeading"/>
            </w:pPr>
          </w:p>
        </w:tc>
        <w:tc>
          <w:tcPr>
            <w:tcW w:w="1824" w:type="dxa"/>
            <w:tcBorders>
              <w:top w:val="single" w:sz="6" w:space="0" w:color="auto"/>
              <w:bottom w:val="single" w:sz="12" w:space="0" w:color="auto"/>
            </w:tcBorders>
            <w:shd w:val="clear" w:color="auto" w:fill="auto"/>
          </w:tcPr>
          <w:p w14:paraId="3A39ADBC" w14:textId="77777777" w:rsidR="00B33542" w:rsidRPr="005071A1" w:rsidRDefault="00B33542" w:rsidP="005C01B5">
            <w:pPr>
              <w:pStyle w:val="TableHeading"/>
            </w:pPr>
            <w:r w:rsidRPr="005071A1">
              <w:t>$</w:t>
            </w:r>
          </w:p>
        </w:tc>
        <w:tc>
          <w:tcPr>
            <w:tcW w:w="1824" w:type="dxa"/>
            <w:tcBorders>
              <w:top w:val="single" w:sz="6" w:space="0" w:color="auto"/>
              <w:bottom w:val="single" w:sz="12" w:space="0" w:color="auto"/>
            </w:tcBorders>
            <w:shd w:val="clear" w:color="auto" w:fill="auto"/>
          </w:tcPr>
          <w:p w14:paraId="51CAE49B" w14:textId="77777777" w:rsidR="00B33542" w:rsidRPr="005071A1" w:rsidRDefault="00B33542" w:rsidP="005C01B5">
            <w:pPr>
              <w:pStyle w:val="TableHeading"/>
            </w:pPr>
            <w:r w:rsidRPr="005071A1">
              <w:t>$</w:t>
            </w:r>
          </w:p>
        </w:tc>
        <w:tc>
          <w:tcPr>
            <w:tcW w:w="1824" w:type="dxa"/>
            <w:tcBorders>
              <w:top w:val="single" w:sz="6" w:space="0" w:color="auto"/>
              <w:bottom w:val="single" w:sz="12" w:space="0" w:color="auto"/>
            </w:tcBorders>
            <w:shd w:val="clear" w:color="auto" w:fill="auto"/>
          </w:tcPr>
          <w:p w14:paraId="6FB0E9F1" w14:textId="77777777" w:rsidR="00B33542" w:rsidRPr="005071A1" w:rsidRDefault="00B33542" w:rsidP="005C01B5">
            <w:pPr>
              <w:pStyle w:val="TableHeading"/>
            </w:pPr>
            <w:r w:rsidRPr="005071A1">
              <w:t>$</w:t>
            </w:r>
          </w:p>
        </w:tc>
      </w:tr>
      <w:tr w:rsidR="00B33542" w:rsidRPr="005071A1" w14:paraId="3D3D007F" w14:textId="77777777" w:rsidTr="009B7AF5">
        <w:tc>
          <w:tcPr>
            <w:tcW w:w="1824" w:type="dxa"/>
            <w:tcBorders>
              <w:top w:val="single" w:sz="12" w:space="0" w:color="auto"/>
            </w:tcBorders>
            <w:shd w:val="clear" w:color="auto" w:fill="auto"/>
          </w:tcPr>
          <w:p w14:paraId="6C12CE3C" w14:textId="77777777" w:rsidR="00B33542" w:rsidRPr="005071A1" w:rsidRDefault="00B33542" w:rsidP="009B7AF5">
            <w:pPr>
              <w:pStyle w:val="Tabletext"/>
            </w:pPr>
            <w:r w:rsidRPr="005071A1">
              <w:t>15</w:t>
            </w:r>
          </w:p>
        </w:tc>
        <w:tc>
          <w:tcPr>
            <w:tcW w:w="1824" w:type="dxa"/>
            <w:tcBorders>
              <w:top w:val="single" w:sz="12" w:space="0" w:color="auto"/>
            </w:tcBorders>
            <w:shd w:val="clear" w:color="auto" w:fill="auto"/>
          </w:tcPr>
          <w:p w14:paraId="287EB907" w14:textId="77777777" w:rsidR="00B33542" w:rsidRPr="005071A1" w:rsidRDefault="00B33542" w:rsidP="009B7AF5">
            <w:pPr>
              <w:pStyle w:val="Tabletext"/>
            </w:pPr>
            <w:r w:rsidRPr="005071A1">
              <w:t>0.12</w:t>
            </w:r>
          </w:p>
        </w:tc>
        <w:tc>
          <w:tcPr>
            <w:tcW w:w="1824" w:type="dxa"/>
            <w:tcBorders>
              <w:top w:val="single" w:sz="12" w:space="0" w:color="auto"/>
            </w:tcBorders>
            <w:shd w:val="clear" w:color="auto" w:fill="auto"/>
          </w:tcPr>
          <w:p w14:paraId="208D044E" w14:textId="77777777" w:rsidR="00B33542" w:rsidRPr="005071A1" w:rsidRDefault="00B33542" w:rsidP="009B7AF5">
            <w:pPr>
              <w:pStyle w:val="Tabletext"/>
            </w:pPr>
            <w:r w:rsidRPr="005071A1">
              <w:t>0.05</w:t>
            </w:r>
          </w:p>
        </w:tc>
        <w:tc>
          <w:tcPr>
            <w:tcW w:w="1824" w:type="dxa"/>
            <w:tcBorders>
              <w:top w:val="single" w:sz="12" w:space="0" w:color="auto"/>
            </w:tcBorders>
            <w:shd w:val="clear" w:color="auto" w:fill="auto"/>
          </w:tcPr>
          <w:p w14:paraId="5CEAF81B" w14:textId="77777777" w:rsidR="00B33542" w:rsidRPr="005071A1" w:rsidRDefault="00B33542" w:rsidP="009B7AF5">
            <w:pPr>
              <w:pStyle w:val="Tabletext"/>
            </w:pPr>
            <w:r w:rsidRPr="005071A1">
              <w:t>0.10</w:t>
            </w:r>
          </w:p>
        </w:tc>
      </w:tr>
      <w:tr w:rsidR="00B33542" w:rsidRPr="005071A1" w14:paraId="251A9E22" w14:textId="77777777" w:rsidTr="009B7AF5">
        <w:tc>
          <w:tcPr>
            <w:tcW w:w="1824" w:type="dxa"/>
            <w:shd w:val="clear" w:color="auto" w:fill="auto"/>
          </w:tcPr>
          <w:p w14:paraId="6848D60F" w14:textId="77777777" w:rsidR="00B33542" w:rsidRPr="005071A1" w:rsidRDefault="00B33542" w:rsidP="009B7AF5">
            <w:pPr>
              <w:pStyle w:val="Tabletext"/>
            </w:pPr>
            <w:r w:rsidRPr="005071A1">
              <w:t>16</w:t>
            </w:r>
          </w:p>
        </w:tc>
        <w:tc>
          <w:tcPr>
            <w:tcW w:w="1824" w:type="dxa"/>
            <w:shd w:val="clear" w:color="auto" w:fill="auto"/>
          </w:tcPr>
          <w:p w14:paraId="4D48FA0E" w14:textId="77777777" w:rsidR="00B33542" w:rsidRPr="005071A1" w:rsidRDefault="00B33542" w:rsidP="009B7AF5">
            <w:pPr>
              <w:pStyle w:val="Tabletext"/>
            </w:pPr>
            <w:r w:rsidRPr="005071A1">
              <w:t>0.10</w:t>
            </w:r>
          </w:p>
        </w:tc>
        <w:tc>
          <w:tcPr>
            <w:tcW w:w="1824" w:type="dxa"/>
            <w:shd w:val="clear" w:color="auto" w:fill="auto"/>
          </w:tcPr>
          <w:p w14:paraId="03ADC78D" w14:textId="77777777" w:rsidR="00B33542" w:rsidRPr="005071A1" w:rsidRDefault="00B33542" w:rsidP="009B7AF5">
            <w:pPr>
              <w:pStyle w:val="Tabletext"/>
            </w:pPr>
            <w:r w:rsidRPr="005071A1">
              <w:t>0.04</w:t>
            </w:r>
          </w:p>
        </w:tc>
        <w:tc>
          <w:tcPr>
            <w:tcW w:w="1824" w:type="dxa"/>
            <w:shd w:val="clear" w:color="auto" w:fill="auto"/>
          </w:tcPr>
          <w:p w14:paraId="3CCD253E" w14:textId="77777777" w:rsidR="00B33542" w:rsidRPr="005071A1" w:rsidRDefault="00B33542" w:rsidP="009B7AF5">
            <w:pPr>
              <w:pStyle w:val="Tabletext"/>
            </w:pPr>
            <w:r w:rsidRPr="005071A1">
              <w:t>0.08</w:t>
            </w:r>
          </w:p>
        </w:tc>
      </w:tr>
      <w:tr w:rsidR="00B33542" w:rsidRPr="005071A1" w14:paraId="759B1C27" w14:textId="77777777" w:rsidTr="009B7AF5">
        <w:tc>
          <w:tcPr>
            <w:tcW w:w="1824" w:type="dxa"/>
            <w:shd w:val="clear" w:color="auto" w:fill="auto"/>
          </w:tcPr>
          <w:p w14:paraId="09313354" w14:textId="77777777" w:rsidR="00B33542" w:rsidRPr="005071A1" w:rsidRDefault="00B33542" w:rsidP="009B7AF5">
            <w:pPr>
              <w:pStyle w:val="Tabletext"/>
            </w:pPr>
            <w:r w:rsidRPr="005071A1">
              <w:t>17</w:t>
            </w:r>
          </w:p>
        </w:tc>
        <w:tc>
          <w:tcPr>
            <w:tcW w:w="1824" w:type="dxa"/>
            <w:shd w:val="clear" w:color="auto" w:fill="auto"/>
          </w:tcPr>
          <w:p w14:paraId="3F8AE11A" w14:textId="77777777" w:rsidR="00B33542" w:rsidRPr="005071A1" w:rsidRDefault="00B33542" w:rsidP="009B7AF5">
            <w:pPr>
              <w:pStyle w:val="Tabletext"/>
            </w:pPr>
            <w:r w:rsidRPr="005071A1">
              <w:t>0.10</w:t>
            </w:r>
          </w:p>
        </w:tc>
        <w:tc>
          <w:tcPr>
            <w:tcW w:w="1824" w:type="dxa"/>
            <w:shd w:val="clear" w:color="auto" w:fill="auto"/>
          </w:tcPr>
          <w:p w14:paraId="4DEA7624" w14:textId="77777777" w:rsidR="00B33542" w:rsidRPr="005071A1" w:rsidRDefault="00B33542" w:rsidP="009B7AF5">
            <w:pPr>
              <w:pStyle w:val="Tabletext"/>
            </w:pPr>
            <w:r w:rsidRPr="005071A1">
              <w:t>0.04</w:t>
            </w:r>
          </w:p>
        </w:tc>
        <w:tc>
          <w:tcPr>
            <w:tcW w:w="1824" w:type="dxa"/>
            <w:shd w:val="clear" w:color="auto" w:fill="auto"/>
          </w:tcPr>
          <w:p w14:paraId="36C318CC" w14:textId="77777777" w:rsidR="00B33542" w:rsidRPr="005071A1" w:rsidRDefault="00B33542" w:rsidP="009B7AF5">
            <w:pPr>
              <w:pStyle w:val="Tabletext"/>
            </w:pPr>
            <w:r w:rsidRPr="005071A1">
              <w:t>0.08</w:t>
            </w:r>
          </w:p>
        </w:tc>
      </w:tr>
      <w:tr w:rsidR="00B33542" w:rsidRPr="005071A1" w14:paraId="6B9FE2D8" w14:textId="77777777" w:rsidTr="009B7AF5">
        <w:tc>
          <w:tcPr>
            <w:tcW w:w="1824" w:type="dxa"/>
            <w:shd w:val="clear" w:color="auto" w:fill="auto"/>
          </w:tcPr>
          <w:p w14:paraId="5A940066" w14:textId="77777777" w:rsidR="00B33542" w:rsidRPr="005071A1" w:rsidRDefault="00B33542" w:rsidP="009B7AF5">
            <w:pPr>
              <w:pStyle w:val="Tabletext"/>
            </w:pPr>
            <w:r w:rsidRPr="005071A1">
              <w:t>18</w:t>
            </w:r>
          </w:p>
        </w:tc>
        <w:tc>
          <w:tcPr>
            <w:tcW w:w="1824" w:type="dxa"/>
            <w:shd w:val="clear" w:color="auto" w:fill="auto"/>
          </w:tcPr>
          <w:p w14:paraId="7AE0292F" w14:textId="77777777" w:rsidR="00B33542" w:rsidRPr="005071A1" w:rsidRDefault="00B33542" w:rsidP="009B7AF5">
            <w:pPr>
              <w:pStyle w:val="Tabletext"/>
            </w:pPr>
            <w:r w:rsidRPr="005071A1">
              <w:t>0.12</w:t>
            </w:r>
          </w:p>
        </w:tc>
        <w:tc>
          <w:tcPr>
            <w:tcW w:w="1824" w:type="dxa"/>
            <w:shd w:val="clear" w:color="auto" w:fill="auto"/>
          </w:tcPr>
          <w:p w14:paraId="0498F201" w14:textId="77777777" w:rsidR="00B33542" w:rsidRPr="005071A1" w:rsidRDefault="00B33542" w:rsidP="009B7AF5">
            <w:pPr>
              <w:pStyle w:val="Tabletext"/>
            </w:pPr>
            <w:r w:rsidRPr="005071A1">
              <w:t>0.04</w:t>
            </w:r>
          </w:p>
        </w:tc>
        <w:tc>
          <w:tcPr>
            <w:tcW w:w="1824" w:type="dxa"/>
            <w:shd w:val="clear" w:color="auto" w:fill="auto"/>
          </w:tcPr>
          <w:p w14:paraId="7A88C2A3" w14:textId="77777777" w:rsidR="00B33542" w:rsidRPr="005071A1" w:rsidRDefault="00B33542" w:rsidP="009B7AF5">
            <w:pPr>
              <w:pStyle w:val="Tabletext"/>
            </w:pPr>
            <w:r w:rsidRPr="005071A1">
              <w:t>0.08</w:t>
            </w:r>
          </w:p>
        </w:tc>
      </w:tr>
      <w:tr w:rsidR="00B33542" w:rsidRPr="005071A1" w14:paraId="22883E9B" w14:textId="77777777" w:rsidTr="009B7AF5">
        <w:tc>
          <w:tcPr>
            <w:tcW w:w="1824" w:type="dxa"/>
            <w:shd w:val="clear" w:color="auto" w:fill="auto"/>
          </w:tcPr>
          <w:p w14:paraId="6FCE6D94" w14:textId="77777777" w:rsidR="00B33542" w:rsidRPr="005071A1" w:rsidRDefault="00B33542" w:rsidP="009B7AF5">
            <w:pPr>
              <w:pStyle w:val="Tabletext"/>
            </w:pPr>
            <w:r w:rsidRPr="005071A1">
              <w:t>19</w:t>
            </w:r>
          </w:p>
        </w:tc>
        <w:tc>
          <w:tcPr>
            <w:tcW w:w="1824" w:type="dxa"/>
            <w:shd w:val="clear" w:color="auto" w:fill="auto"/>
          </w:tcPr>
          <w:p w14:paraId="5D4EC35F" w14:textId="77777777" w:rsidR="00B33542" w:rsidRPr="005071A1" w:rsidRDefault="00B33542" w:rsidP="009B7AF5">
            <w:pPr>
              <w:pStyle w:val="Tabletext"/>
            </w:pPr>
            <w:r w:rsidRPr="005071A1">
              <w:t>0.12</w:t>
            </w:r>
          </w:p>
        </w:tc>
        <w:tc>
          <w:tcPr>
            <w:tcW w:w="1824" w:type="dxa"/>
            <w:shd w:val="clear" w:color="auto" w:fill="auto"/>
          </w:tcPr>
          <w:p w14:paraId="31A9F00D" w14:textId="77777777" w:rsidR="00B33542" w:rsidRPr="005071A1" w:rsidRDefault="00B33542" w:rsidP="009B7AF5">
            <w:pPr>
              <w:pStyle w:val="Tabletext"/>
            </w:pPr>
            <w:r w:rsidRPr="005071A1">
              <w:t>0.04</w:t>
            </w:r>
          </w:p>
        </w:tc>
        <w:tc>
          <w:tcPr>
            <w:tcW w:w="1824" w:type="dxa"/>
            <w:shd w:val="clear" w:color="auto" w:fill="auto"/>
          </w:tcPr>
          <w:p w14:paraId="5F6AE2B6" w14:textId="77777777" w:rsidR="00B33542" w:rsidRPr="005071A1" w:rsidRDefault="00B33542" w:rsidP="009B7AF5">
            <w:pPr>
              <w:pStyle w:val="Tabletext"/>
            </w:pPr>
            <w:r w:rsidRPr="005071A1">
              <w:t>0.08</w:t>
            </w:r>
          </w:p>
        </w:tc>
      </w:tr>
      <w:tr w:rsidR="00B33542" w:rsidRPr="005071A1" w14:paraId="0253BD19" w14:textId="77777777" w:rsidTr="009B7AF5">
        <w:tc>
          <w:tcPr>
            <w:tcW w:w="1824" w:type="dxa"/>
            <w:shd w:val="clear" w:color="auto" w:fill="auto"/>
          </w:tcPr>
          <w:p w14:paraId="5FD675A8" w14:textId="77777777" w:rsidR="00B33542" w:rsidRPr="005071A1" w:rsidRDefault="00B33542" w:rsidP="009B7AF5">
            <w:pPr>
              <w:pStyle w:val="Tabletext"/>
            </w:pPr>
            <w:r w:rsidRPr="005071A1">
              <w:t>20</w:t>
            </w:r>
          </w:p>
        </w:tc>
        <w:tc>
          <w:tcPr>
            <w:tcW w:w="1824" w:type="dxa"/>
            <w:shd w:val="clear" w:color="auto" w:fill="auto"/>
          </w:tcPr>
          <w:p w14:paraId="416C9475" w14:textId="77777777" w:rsidR="00B33542" w:rsidRPr="005071A1" w:rsidRDefault="00B33542" w:rsidP="009B7AF5">
            <w:pPr>
              <w:pStyle w:val="Tabletext"/>
            </w:pPr>
            <w:r w:rsidRPr="005071A1">
              <w:t>0.10</w:t>
            </w:r>
          </w:p>
        </w:tc>
        <w:tc>
          <w:tcPr>
            <w:tcW w:w="1824" w:type="dxa"/>
            <w:shd w:val="clear" w:color="auto" w:fill="auto"/>
          </w:tcPr>
          <w:p w14:paraId="7D8831F4" w14:textId="77777777" w:rsidR="00B33542" w:rsidRPr="005071A1" w:rsidRDefault="00B33542" w:rsidP="009B7AF5">
            <w:pPr>
              <w:pStyle w:val="Tabletext"/>
            </w:pPr>
            <w:r w:rsidRPr="005071A1">
              <w:t>0.04</w:t>
            </w:r>
          </w:p>
        </w:tc>
        <w:tc>
          <w:tcPr>
            <w:tcW w:w="1824" w:type="dxa"/>
            <w:shd w:val="clear" w:color="auto" w:fill="auto"/>
          </w:tcPr>
          <w:p w14:paraId="6CF15B98" w14:textId="77777777" w:rsidR="00B33542" w:rsidRPr="005071A1" w:rsidRDefault="00B33542" w:rsidP="009B7AF5">
            <w:pPr>
              <w:pStyle w:val="Tabletext"/>
            </w:pPr>
            <w:r w:rsidRPr="005071A1">
              <w:t>0.08</w:t>
            </w:r>
          </w:p>
        </w:tc>
      </w:tr>
      <w:tr w:rsidR="00B33542" w:rsidRPr="005071A1" w14:paraId="6DE6446A" w14:textId="77777777" w:rsidTr="009B7AF5">
        <w:tc>
          <w:tcPr>
            <w:tcW w:w="1824" w:type="dxa"/>
            <w:shd w:val="clear" w:color="auto" w:fill="auto"/>
          </w:tcPr>
          <w:p w14:paraId="618A2AB1" w14:textId="77777777" w:rsidR="00B33542" w:rsidRPr="005071A1" w:rsidRDefault="00B33542" w:rsidP="009B7AF5">
            <w:pPr>
              <w:pStyle w:val="Tabletext"/>
            </w:pPr>
            <w:r w:rsidRPr="005071A1">
              <w:t>21</w:t>
            </w:r>
          </w:p>
        </w:tc>
        <w:tc>
          <w:tcPr>
            <w:tcW w:w="1824" w:type="dxa"/>
            <w:shd w:val="clear" w:color="auto" w:fill="auto"/>
          </w:tcPr>
          <w:p w14:paraId="0C94B481" w14:textId="77777777" w:rsidR="00B33542" w:rsidRPr="005071A1" w:rsidRDefault="00B33542" w:rsidP="009B7AF5">
            <w:pPr>
              <w:pStyle w:val="Tabletext"/>
            </w:pPr>
            <w:r w:rsidRPr="005071A1">
              <w:t>0.10</w:t>
            </w:r>
          </w:p>
        </w:tc>
        <w:tc>
          <w:tcPr>
            <w:tcW w:w="1824" w:type="dxa"/>
            <w:shd w:val="clear" w:color="auto" w:fill="auto"/>
          </w:tcPr>
          <w:p w14:paraId="3FDD6812" w14:textId="77777777" w:rsidR="00B33542" w:rsidRPr="005071A1" w:rsidRDefault="00B33542" w:rsidP="009B7AF5">
            <w:pPr>
              <w:pStyle w:val="Tabletext"/>
            </w:pPr>
            <w:r w:rsidRPr="005071A1">
              <w:t>0.04</w:t>
            </w:r>
          </w:p>
        </w:tc>
        <w:tc>
          <w:tcPr>
            <w:tcW w:w="1824" w:type="dxa"/>
            <w:shd w:val="clear" w:color="auto" w:fill="auto"/>
          </w:tcPr>
          <w:p w14:paraId="2BEE3EA7" w14:textId="77777777" w:rsidR="00B33542" w:rsidRPr="005071A1" w:rsidRDefault="00B33542" w:rsidP="009B7AF5">
            <w:pPr>
              <w:pStyle w:val="Tabletext"/>
            </w:pPr>
            <w:r w:rsidRPr="005071A1">
              <w:t>0.08</w:t>
            </w:r>
          </w:p>
        </w:tc>
      </w:tr>
      <w:tr w:rsidR="00B33542" w:rsidRPr="005071A1" w14:paraId="52D7B921" w14:textId="77777777" w:rsidTr="009B7AF5">
        <w:tc>
          <w:tcPr>
            <w:tcW w:w="1824" w:type="dxa"/>
            <w:shd w:val="clear" w:color="auto" w:fill="auto"/>
          </w:tcPr>
          <w:p w14:paraId="35DB75BE" w14:textId="77777777" w:rsidR="00B33542" w:rsidRPr="005071A1" w:rsidRDefault="00B33542" w:rsidP="009B7AF5">
            <w:pPr>
              <w:pStyle w:val="Tabletext"/>
            </w:pPr>
            <w:r w:rsidRPr="005071A1">
              <w:lastRenderedPageBreak/>
              <w:t>22</w:t>
            </w:r>
          </w:p>
        </w:tc>
        <w:tc>
          <w:tcPr>
            <w:tcW w:w="1824" w:type="dxa"/>
            <w:shd w:val="clear" w:color="auto" w:fill="auto"/>
          </w:tcPr>
          <w:p w14:paraId="3F40CEC5" w14:textId="77777777" w:rsidR="00B33542" w:rsidRPr="005071A1" w:rsidRDefault="00B33542" w:rsidP="009B7AF5">
            <w:pPr>
              <w:pStyle w:val="Tabletext"/>
            </w:pPr>
            <w:r w:rsidRPr="005071A1">
              <w:t>0.12</w:t>
            </w:r>
          </w:p>
        </w:tc>
        <w:tc>
          <w:tcPr>
            <w:tcW w:w="1824" w:type="dxa"/>
            <w:shd w:val="clear" w:color="auto" w:fill="auto"/>
          </w:tcPr>
          <w:p w14:paraId="34491FC1" w14:textId="77777777" w:rsidR="00B33542" w:rsidRPr="005071A1" w:rsidRDefault="00B33542" w:rsidP="009B7AF5">
            <w:pPr>
              <w:pStyle w:val="Tabletext"/>
            </w:pPr>
            <w:r w:rsidRPr="005071A1">
              <w:t>0.04</w:t>
            </w:r>
          </w:p>
        </w:tc>
        <w:tc>
          <w:tcPr>
            <w:tcW w:w="1824" w:type="dxa"/>
            <w:shd w:val="clear" w:color="auto" w:fill="auto"/>
          </w:tcPr>
          <w:p w14:paraId="7453EDD3" w14:textId="77777777" w:rsidR="00B33542" w:rsidRPr="005071A1" w:rsidRDefault="00B33542" w:rsidP="009B7AF5">
            <w:pPr>
              <w:pStyle w:val="Tabletext"/>
            </w:pPr>
            <w:r w:rsidRPr="005071A1">
              <w:t>0.08</w:t>
            </w:r>
          </w:p>
        </w:tc>
      </w:tr>
      <w:tr w:rsidR="00B33542" w:rsidRPr="005071A1" w14:paraId="5ABA7029" w14:textId="77777777" w:rsidTr="00D57394">
        <w:tc>
          <w:tcPr>
            <w:tcW w:w="1824" w:type="dxa"/>
            <w:tcBorders>
              <w:bottom w:val="single" w:sz="4" w:space="0" w:color="auto"/>
            </w:tcBorders>
            <w:shd w:val="clear" w:color="auto" w:fill="auto"/>
          </w:tcPr>
          <w:p w14:paraId="38E5FC08" w14:textId="77777777" w:rsidR="00B33542" w:rsidRPr="005071A1" w:rsidRDefault="00B33542" w:rsidP="009B7AF5">
            <w:pPr>
              <w:pStyle w:val="Tabletext"/>
            </w:pPr>
            <w:r w:rsidRPr="005071A1">
              <w:t>23</w:t>
            </w:r>
          </w:p>
        </w:tc>
        <w:tc>
          <w:tcPr>
            <w:tcW w:w="1824" w:type="dxa"/>
            <w:tcBorders>
              <w:bottom w:val="single" w:sz="4" w:space="0" w:color="auto"/>
            </w:tcBorders>
            <w:shd w:val="clear" w:color="auto" w:fill="auto"/>
          </w:tcPr>
          <w:p w14:paraId="6A029EF6" w14:textId="77777777" w:rsidR="00B33542" w:rsidRPr="005071A1" w:rsidRDefault="00B33542" w:rsidP="009B7AF5">
            <w:pPr>
              <w:pStyle w:val="Tabletext"/>
            </w:pPr>
            <w:r w:rsidRPr="005071A1">
              <w:t>0.12</w:t>
            </w:r>
          </w:p>
        </w:tc>
        <w:tc>
          <w:tcPr>
            <w:tcW w:w="1824" w:type="dxa"/>
            <w:tcBorders>
              <w:bottom w:val="single" w:sz="4" w:space="0" w:color="auto"/>
            </w:tcBorders>
            <w:shd w:val="clear" w:color="auto" w:fill="auto"/>
          </w:tcPr>
          <w:p w14:paraId="01993E54" w14:textId="77777777" w:rsidR="00B33542" w:rsidRPr="005071A1" w:rsidRDefault="00B33542" w:rsidP="009B7AF5">
            <w:pPr>
              <w:pStyle w:val="Tabletext"/>
            </w:pPr>
            <w:r w:rsidRPr="005071A1">
              <w:t>0.04</w:t>
            </w:r>
          </w:p>
        </w:tc>
        <w:tc>
          <w:tcPr>
            <w:tcW w:w="1824" w:type="dxa"/>
            <w:tcBorders>
              <w:bottom w:val="single" w:sz="4" w:space="0" w:color="auto"/>
            </w:tcBorders>
            <w:shd w:val="clear" w:color="auto" w:fill="auto"/>
          </w:tcPr>
          <w:p w14:paraId="6EF8D2C3" w14:textId="77777777" w:rsidR="00B33542" w:rsidRPr="005071A1" w:rsidRDefault="00B33542" w:rsidP="009B7AF5">
            <w:pPr>
              <w:pStyle w:val="Tabletext"/>
            </w:pPr>
            <w:r w:rsidRPr="005071A1">
              <w:t>0.08</w:t>
            </w:r>
          </w:p>
        </w:tc>
      </w:tr>
      <w:tr w:rsidR="00B33542" w:rsidRPr="005071A1" w14:paraId="6F75E3F5" w14:textId="77777777" w:rsidTr="00D57394">
        <w:tc>
          <w:tcPr>
            <w:tcW w:w="1824" w:type="dxa"/>
            <w:tcBorders>
              <w:bottom w:val="single" w:sz="4" w:space="0" w:color="auto"/>
            </w:tcBorders>
            <w:shd w:val="clear" w:color="auto" w:fill="auto"/>
          </w:tcPr>
          <w:p w14:paraId="3D6DBADF" w14:textId="77777777" w:rsidR="00B33542" w:rsidRPr="005071A1" w:rsidRDefault="00B33542" w:rsidP="009B7AF5">
            <w:pPr>
              <w:pStyle w:val="Tabletext"/>
            </w:pPr>
            <w:r w:rsidRPr="005071A1">
              <w:t>24</w:t>
            </w:r>
          </w:p>
        </w:tc>
        <w:tc>
          <w:tcPr>
            <w:tcW w:w="1824" w:type="dxa"/>
            <w:tcBorders>
              <w:bottom w:val="single" w:sz="4" w:space="0" w:color="auto"/>
            </w:tcBorders>
            <w:shd w:val="clear" w:color="auto" w:fill="auto"/>
          </w:tcPr>
          <w:p w14:paraId="35A6DF05" w14:textId="77777777" w:rsidR="00B33542" w:rsidRPr="005071A1" w:rsidRDefault="00B33542" w:rsidP="009B7AF5">
            <w:pPr>
              <w:pStyle w:val="Tabletext"/>
            </w:pPr>
            <w:r w:rsidRPr="005071A1">
              <w:t>0.12</w:t>
            </w:r>
          </w:p>
        </w:tc>
        <w:tc>
          <w:tcPr>
            <w:tcW w:w="1824" w:type="dxa"/>
            <w:tcBorders>
              <w:bottom w:val="single" w:sz="4" w:space="0" w:color="auto"/>
            </w:tcBorders>
            <w:shd w:val="clear" w:color="auto" w:fill="auto"/>
          </w:tcPr>
          <w:p w14:paraId="5DC68CC5" w14:textId="77777777" w:rsidR="00B33542" w:rsidRPr="005071A1" w:rsidRDefault="00B33542" w:rsidP="009B7AF5">
            <w:pPr>
              <w:pStyle w:val="Tabletext"/>
            </w:pPr>
            <w:r w:rsidRPr="005071A1">
              <w:t>0.04</w:t>
            </w:r>
          </w:p>
        </w:tc>
        <w:tc>
          <w:tcPr>
            <w:tcW w:w="1824" w:type="dxa"/>
            <w:tcBorders>
              <w:bottom w:val="single" w:sz="4" w:space="0" w:color="auto"/>
            </w:tcBorders>
            <w:shd w:val="clear" w:color="auto" w:fill="auto"/>
          </w:tcPr>
          <w:p w14:paraId="2513461F" w14:textId="77777777" w:rsidR="00B33542" w:rsidRPr="005071A1" w:rsidRDefault="00B33542" w:rsidP="009B7AF5">
            <w:pPr>
              <w:pStyle w:val="Tabletext"/>
            </w:pPr>
            <w:r w:rsidRPr="005071A1">
              <w:t>0.08</w:t>
            </w:r>
          </w:p>
        </w:tc>
      </w:tr>
      <w:tr w:rsidR="00B33542" w:rsidRPr="005071A1" w14:paraId="6897AB7D" w14:textId="77777777" w:rsidTr="00640BB6">
        <w:tc>
          <w:tcPr>
            <w:tcW w:w="1824" w:type="dxa"/>
            <w:tcBorders>
              <w:top w:val="single" w:sz="4" w:space="0" w:color="auto"/>
              <w:bottom w:val="single" w:sz="4" w:space="0" w:color="auto"/>
            </w:tcBorders>
            <w:shd w:val="clear" w:color="auto" w:fill="auto"/>
          </w:tcPr>
          <w:p w14:paraId="18B71FE6" w14:textId="77777777" w:rsidR="00B33542" w:rsidRPr="005071A1" w:rsidRDefault="00B33542" w:rsidP="009B7AF5">
            <w:pPr>
              <w:pStyle w:val="Tabletext"/>
            </w:pPr>
            <w:r w:rsidRPr="005071A1">
              <w:t>25</w:t>
            </w:r>
          </w:p>
        </w:tc>
        <w:tc>
          <w:tcPr>
            <w:tcW w:w="1824" w:type="dxa"/>
            <w:tcBorders>
              <w:top w:val="single" w:sz="4" w:space="0" w:color="auto"/>
              <w:bottom w:val="single" w:sz="4" w:space="0" w:color="auto"/>
            </w:tcBorders>
            <w:shd w:val="clear" w:color="auto" w:fill="auto"/>
          </w:tcPr>
          <w:p w14:paraId="444F71A1" w14:textId="77777777" w:rsidR="00B33542" w:rsidRPr="005071A1" w:rsidRDefault="00B33542" w:rsidP="009B7AF5">
            <w:pPr>
              <w:pStyle w:val="Tabletext"/>
            </w:pPr>
            <w:r w:rsidRPr="005071A1">
              <w:t>0.12</w:t>
            </w:r>
          </w:p>
        </w:tc>
        <w:tc>
          <w:tcPr>
            <w:tcW w:w="1824" w:type="dxa"/>
            <w:tcBorders>
              <w:top w:val="single" w:sz="4" w:space="0" w:color="auto"/>
              <w:bottom w:val="single" w:sz="4" w:space="0" w:color="auto"/>
            </w:tcBorders>
            <w:shd w:val="clear" w:color="auto" w:fill="auto"/>
          </w:tcPr>
          <w:p w14:paraId="36C6F45F" w14:textId="77777777" w:rsidR="00B33542" w:rsidRPr="005071A1" w:rsidRDefault="00B33542" w:rsidP="009B7AF5">
            <w:pPr>
              <w:pStyle w:val="Tabletext"/>
            </w:pPr>
            <w:r w:rsidRPr="005071A1">
              <w:t>0.04</w:t>
            </w:r>
          </w:p>
        </w:tc>
        <w:tc>
          <w:tcPr>
            <w:tcW w:w="1824" w:type="dxa"/>
            <w:tcBorders>
              <w:top w:val="single" w:sz="4" w:space="0" w:color="auto"/>
              <w:bottom w:val="single" w:sz="4" w:space="0" w:color="auto"/>
            </w:tcBorders>
            <w:shd w:val="clear" w:color="auto" w:fill="auto"/>
          </w:tcPr>
          <w:p w14:paraId="0999B3E9" w14:textId="77777777" w:rsidR="00B33542" w:rsidRPr="005071A1" w:rsidRDefault="00B33542" w:rsidP="009B7AF5">
            <w:pPr>
              <w:pStyle w:val="Tabletext"/>
            </w:pPr>
            <w:r w:rsidRPr="005071A1">
              <w:t>0.08</w:t>
            </w:r>
          </w:p>
        </w:tc>
      </w:tr>
      <w:tr w:rsidR="00B33542" w:rsidRPr="005071A1" w14:paraId="3308CDC1" w14:textId="77777777" w:rsidTr="00640BB6">
        <w:tc>
          <w:tcPr>
            <w:tcW w:w="1824" w:type="dxa"/>
            <w:tcBorders>
              <w:bottom w:val="single" w:sz="4" w:space="0" w:color="auto"/>
            </w:tcBorders>
            <w:shd w:val="clear" w:color="auto" w:fill="auto"/>
          </w:tcPr>
          <w:p w14:paraId="1D9ABCF1" w14:textId="77777777" w:rsidR="00B33542" w:rsidRPr="005071A1" w:rsidRDefault="00B33542" w:rsidP="009B7AF5">
            <w:pPr>
              <w:pStyle w:val="Tabletext"/>
            </w:pPr>
            <w:r w:rsidRPr="005071A1">
              <w:t>26</w:t>
            </w:r>
          </w:p>
        </w:tc>
        <w:tc>
          <w:tcPr>
            <w:tcW w:w="1824" w:type="dxa"/>
            <w:tcBorders>
              <w:bottom w:val="single" w:sz="4" w:space="0" w:color="auto"/>
            </w:tcBorders>
            <w:shd w:val="clear" w:color="auto" w:fill="auto"/>
          </w:tcPr>
          <w:p w14:paraId="544F3DEB" w14:textId="77777777" w:rsidR="00B33542" w:rsidRPr="005071A1" w:rsidRDefault="00B33542" w:rsidP="009B7AF5">
            <w:pPr>
              <w:pStyle w:val="Tabletext"/>
            </w:pPr>
            <w:r w:rsidRPr="005071A1">
              <w:t>0.14</w:t>
            </w:r>
          </w:p>
        </w:tc>
        <w:tc>
          <w:tcPr>
            <w:tcW w:w="1824" w:type="dxa"/>
            <w:tcBorders>
              <w:bottom w:val="single" w:sz="4" w:space="0" w:color="auto"/>
            </w:tcBorders>
            <w:shd w:val="clear" w:color="auto" w:fill="auto"/>
          </w:tcPr>
          <w:p w14:paraId="7F074E70" w14:textId="77777777" w:rsidR="00B33542" w:rsidRPr="005071A1" w:rsidRDefault="00B33542" w:rsidP="009B7AF5">
            <w:pPr>
              <w:pStyle w:val="Tabletext"/>
            </w:pPr>
            <w:r w:rsidRPr="005071A1">
              <w:t>0.04</w:t>
            </w:r>
          </w:p>
        </w:tc>
        <w:tc>
          <w:tcPr>
            <w:tcW w:w="1824" w:type="dxa"/>
            <w:tcBorders>
              <w:bottom w:val="single" w:sz="4" w:space="0" w:color="auto"/>
            </w:tcBorders>
            <w:shd w:val="clear" w:color="auto" w:fill="auto"/>
          </w:tcPr>
          <w:p w14:paraId="5659185F" w14:textId="77777777" w:rsidR="00B33542" w:rsidRPr="005071A1" w:rsidRDefault="00B33542" w:rsidP="009B7AF5">
            <w:pPr>
              <w:pStyle w:val="Tabletext"/>
            </w:pPr>
            <w:r w:rsidRPr="005071A1">
              <w:t>0.08</w:t>
            </w:r>
          </w:p>
        </w:tc>
      </w:tr>
      <w:tr w:rsidR="00B33542" w:rsidRPr="005071A1" w14:paraId="5A4D68F6" w14:textId="77777777" w:rsidTr="00640BB6">
        <w:tc>
          <w:tcPr>
            <w:tcW w:w="1824" w:type="dxa"/>
            <w:tcBorders>
              <w:top w:val="single" w:sz="4" w:space="0" w:color="auto"/>
            </w:tcBorders>
            <w:shd w:val="clear" w:color="auto" w:fill="auto"/>
          </w:tcPr>
          <w:p w14:paraId="73CA2566" w14:textId="77777777" w:rsidR="00B33542" w:rsidRPr="005071A1" w:rsidRDefault="00B33542" w:rsidP="009B7AF5">
            <w:pPr>
              <w:pStyle w:val="Tabletext"/>
            </w:pPr>
            <w:r w:rsidRPr="005071A1">
              <w:t>27</w:t>
            </w:r>
          </w:p>
        </w:tc>
        <w:tc>
          <w:tcPr>
            <w:tcW w:w="1824" w:type="dxa"/>
            <w:tcBorders>
              <w:top w:val="single" w:sz="4" w:space="0" w:color="auto"/>
            </w:tcBorders>
            <w:shd w:val="clear" w:color="auto" w:fill="auto"/>
          </w:tcPr>
          <w:p w14:paraId="2D09B46A" w14:textId="77777777" w:rsidR="00B33542" w:rsidRPr="005071A1" w:rsidRDefault="00B33542" w:rsidP="009B7AF5">
            <w:pPr>
              <w:pStyle w:val="Tabletext"/>
            </w:pPr>
            <w:r w:rsidRPr="005071A1">
              <w:t>0.14</w:t>
            </w:r>
          </w:p>
        </w:tc>
        <w:tc>
          <w:tcPr>
            <w:tcW w:w="1824" w:type="dxa"/>
            <w:tcBorders>
              <w:top w:val="single" w:sz="4" w:space="0" w:color="auto"/>
            </w:tcBorders>
            <w:shd w:val="clear" w:color="auto" w:fill="auto"/>
          </w:tcPr>
          <w:p w14:paraId="685B11CF" w14:textId="77777777" w:rsidR="00B33542" w:rsidRPr="005071A1" w:rsidRDefault="00B33542" w:rsidP="009B7AF5">
            <w:pPr>
              <w:pStyle w:val="Tabletext"/>
            </w:pPr>
            <w:r w:rsidRPr="005071A1">
              <w:t>0.04</w:t>
            </w:r>
          </w:p>
        </w:tc>
        <w:tc>
          <w:tcPr>
            <w:tcW w:w="1824" w:type="dxa"/>
            <w:tcBorders>
              <w:top w:val="single" w:sz="4" w:space="0" w:color="auto"/>
            </w:tcBorders>
            <w:shd w:val="clear" w:color="auto" w:fill="auto"/>
          </w:tcPr>
          <w:p w14:paraId="08C72119" w14:textId="77777777" w:rsidR="00B33542" w:rsidRPr="005071A1" w:rsidRDefault="00B33542" w:rsidP="009B7AF5">
            <w:pPr>
              <w:pStyle w:val="Tabletext"/>
            </w:pPr>
            <w:r w:rsidRPr="005071A1">
              <w:t>0.08</w:t>
            </w:r>
          </w:p>
        </w:tc>
      </w:tr>
      <w:tr w:rsidR="00B33542" w:rsidRPr="005071A1" w14:paraId="140440A1" w14:textId="77777777" w:rsidTr="009B7AF5">
        <w:tc>
          <w:tcPr>
            <w:tcW w:w="1824" w:type="dxa"/>
            <w:shd w:val="clear" w:color="auto" w:fill="auto"/>
          </w:tcPr>
          <w:p w14:paraId="66C09E00" w14:textId="77777777" w:rsidR="00B33542" w:rsidRPr="005071A1" w:rsidRDefault="00B33542" w:rsidP="009B7AF5">
            <w:pPr>
              <w:pStyle w:val="Tabletext"/>
            </w:pPr>
            <w:r w:rsidRPr="005071A1">
              <w:t>28</w:t>
            </w:r>
          </w:p>
        </w:tc>
        <w:tc>
          <w:tcPr>
            <w:tcW w:w="1824" w:type="dxa"/>
            <w:shd w:val="clear" w:color="auto" w:fill="auto"/>
          </w:tcPr>
          <w:p w14:paraId="067A50C7" w14:textId="77777777" w:rsidR="00B33542" w:rsidRPr="005071A1" w:rsidRDefault="00B33542" w:rsidP="009B7AF5">
            <w:pPr>
              <w:pStyle w:val="Tabletext"/>
            </w:pPr>
            <w:r w:rsidRPr="005071A1">
              <w:t>0.14</w:t>
            </w:r>
          </w:p>
        </w:tc>
        <w:tc>
          <w:tcPr>
            <w:tcW w:w="1824" w:type="dxa"/>
            <w:shd w:val="clear" w:color="auto" w:fill="auto"/>
          </w:tcPr>
          <w:p w14:paraId="1D798F8D" w14:textId="77777777" w:rsidR="00B33542" w:rsidRPr="005071A1" w:rsidRDefault="00B33542" w:rsidP="009B7AF5">
            <w:pPr>
              <w:pStyle w:val="Tabletext"/>
            </w:pPr>
            <w:r w:rsidRPr="005071A1">
              <w:t>0.04</w:t>
            </w:r>
          </w:p>
        </w:tc>
        <w:tc>
          <w:tcPr>
            <w:tcW w:w="1824" w:type="dxa"/>
            <w:shd w:val="clear" w:color="auto" w:fill="auto"/>
          </w:tcPr>
          <w:p w14:paraId="5B84E2F9" w14:textId="77777777" w:rsidR="00B33542" w:rsidRPr="005071A1" w:rsidRDefault="00B33542" w:rsidP="009B7AF5">
            <w:pPr>
              <w:pStyle w:val="Tabletext"/>
            </w:pPr>
            <w:r w:rsidRPr="005071A1">
              <w:t>0.08</w:t>
            </w:r>
          </w:p>
        </w:tc>
      </w:tr>
      <w:tr w:rsidR="00B33542" w:rsidRPr="005071A1" w14:paraId="66FE4D3B" w14:textId="77777777" w:rsidTr="009B7AF5">
        <w:tc>
          <w:tcPr>
            <w:tcW w:w="1824" w:type="dxa"/>
            <w:shd w:val="clear" w:color="auto" w:fill="auto"/>
          </w:tcPr>
          <w:p w14:paraId="02300F9F" w14:textId="77777777" w:rsidR="00B33542" w:rsidRPr="005071A1" w:rsidRDefault="00B33542" w:rsidP="009B7AF5">
            <w:pPr>
              <w:pStyle w:val="Tabletext"/>
            </w:pPr>
            <w:r w:rsidRPr="005071A1">
              <w:t>29</w:t>
            </w:r>
          </w:p>
        </w:tc>
        <w:tc>
          <w:tcPr>
            <w:tcW w:w="1824" w:type="dxa"/>
            <w:shd w:val="clear" w:color="auto" w:fill="auto"/>
          </w:tcPr>
          <w:p w14:paraId="08D403E8" w14:textId="77777777" w:rsidR="00B33542" w:rsidRPr="005071A1" w:rsidRDefault="00B33542" w:rsidP="009B7AF5">
            <w:pPr>
              <w:pStyle w:val="Tabletext"/>
            </w:pPr>
            <w:r w:rsidRPr="005071A1">
              <w:t>0.14</w:t>
            </w:r>
          </w:p>
        </w:tc>
        <w:tc>
          <w:tcPr>
            <w:tcW w:w="1824" w:type="dxa"/>
            <w:shd w:val="clear" w:color="auto" w:fill="auto"/>
          </w:tcPr>
          <w:p w14:paraId="48A69727" w14:textId="77777777" w:rsidR="00B33542" w:rsidRPr="005071A1" w:rsidRDefault="00B33542" w:rsidP="009B7AF5">
            <w:pPr>
              <w:pStyle w:val="Tabletext"/>
            </w:pPr>
            <w:r w:rsidRPr="005071A1">
              <w:t>0.05</w:t>
            </w:r>
          </w:p>
        </w:tc>
        <w:tc>
          <w:tcPr>
            <w:tcW w:w="1824" w:type="dxa"/>
            <w:shd w:val="clear" w:color="auto" w:fill="auto"/>
          </w:tcPr>
          <w:p w14:paraId="3A0182A9" w14:textId="77777777" w:rsidR="00B33542" w:rsidRPr="005071A1" w:rsidRDefault="00B33542" w:rsidP="009B7AF5">
            <w:pPr>
              <w:pStyle w:val="Tabletext"/>
            </w:pPr>
            <w:r w:rsidRPr="005071A1">
              <w:t>0.10</w:t>
            </w:r>
          </w:p>
        </w:tc>
      </w:tr>
      <w:tr w:rsidR="00B33542" w:rsidRPr="005071A1" w14:paraId="4EDCE704" w14:textId="77777777" w:rsidTr="009B7AF5">
        <w:tc>
          <w:tcPr>
            <w:tcW w:w="1824" w:type="dxa"/>
            <w:shd w:val="clear" w:color="auto" w:fill="auto"/>
          </w:tcPr>
          <w:p w14:paraId="44E5C758" w14:textId="77777777" w:rsidR="00B33542" w:rsidRPr="005071A1" w:rsidRDefault="00B33542" w:rsidP="009B7AF5">
            <w:pPr>
              <w:pStyle w:val="Tabletext"/>
            </w:pPr>
            <w:r w:rsidRPr="005071A1">
              <w:t>30</w:t>
            </w:r>
          </w:p>
        </w:tc>
        <w:tc>
          <w:tcPr>
            <w:tcW w:w="1824" w:type="dxa"/>
            <w:shd w:val="clear" w:color="auto" w:fill="auto"/>
          </w:tcPr>
          <w:p w14:paraId="3E1D5EEC" w14:textId="77777777" w:rsidR="00B33542" w:rsidRPr="005071A1" w:rsidRDefault="00B33542" w:rsidP="009B7AF5">
            <w:pPr>
              <w:pStyle w:val="Tabletext"/>
            </w:pPr>
            <w:r w:rsidRPr="005071A1">
              <w:t>0.16</w:t>
            </w:r>
          </w:p>
        </w:tc>
        <w:tc>
          <w:tcPr>
            <w:tcW w:w="1824" w:type="dxa"/>
            <w:shd w:val="clear" w:color="auto" w:fill="auto"/>
          </w:tcPr>
          <w:p w14:paraId="07CF696A" w14:textId="77777777" w:rsidR="00B33542" w:rsidRPr="005071A1" w:rsidRDefault="00B33542" w:rsidP="009B7AF5">
            <w:pPr>
              <w:pStyle w:val="Tabletext"/>
            </w:pPr>
            <w:r w:rsidRPr="005071A1">
              <w:t>0.06</w:t>
            </w:r>
          </w:p>
        </w:tc>
        <w:tc>
          <w:tcPr>
            <w:tcW w:w="1824" w:type="dxa"/>
            <w:shd w:val="clear" w:color="auto" w:fill="auto"/>
          </w:tcPr>
          <w:p w14:paraId="3B0BCDA4" w14:textId="77777777" w:rsidR="00B33542" w:rsidRPr="005071A1" w:rsidRDefault="00B33542" w:rsidP="009B7AF5">
            <w:pPr>
              <w:pStyle w:val="Tabletext"/>
            </w:pPr>
            <w:r w:rsidRPr="005071A1">
              <w:t>0.12</w:t>
            </w:r>
          </w:p>
        </w:tc>
      </w:tr>
      <w:tr w:rsidR="00B33542" w:rsidRPr="005071A1" w14:paraId="23FFF164" w14:textId="77777777" w:rsidTr="009B7AF5">
        <w:tc>
          <w:tcPr>
            <w:tcW w:w="1824" w:type="dxa"/>
            <w:shd w:val="clear" w:color="auto" w:fill="auto"/>
          </w:tcPr>
          <w:p w14:paraId="0B976783" w14:textId="77777777" w:rsidR="00B33542" w:rsidRPr="005071A1" w:rsidRDefault="00B33542" w:rsidP="009B7AF5">
            <w:pPr>
              <w:pStyle w:val="Tabletext"/>
            </w:pPr>
            <w:r w:rsidRPr="005071A1">
              <w:t>31</w:t>
            </w:r>
          </w:p>
        </w:tc>
        <w:tc>
          <w:tcPr>
            <w:tcW w:w="1824" w:type="dxa"/>
            <w:shd w:val="clear" w:color="auto" w:fill="auto"/>
          </w:tcPr>
          <w:p w14:paraId="4A6AC503" w14:textId="77777777" w:rsidR="00B33542" w:rsidRPr="005071A1" w:rsidRDefault="00B33542" w:rsidP="009B7AF5">
            <w:pPr>
              <w:pStyle w:val="Tabletext"/>
            </w:pPr>
            <w:r w:rsidRPr="005071A1">
              <w:t>0.18</w:t>
            </w:r>
          </w:p>
        </w:tc>
        <w:tc>
          <w:tcPr>
            <w:tcW w:w="1824" w:type="dxa"/>
            <w:shd w:val="clear" w:color="auto" w:fill="auto"/>
          </w:tcPr>
          <w:p w14:paraId="7D14D54F" w14:textId="77777777" w:rsidR="00B33542" w:rsidRPr="005071A1" w:rsidRDefault="00B33542" w:rsidP="009B7AF5">
            <w:pPr>
              <w:pStyle w:val="Tabletext"/>
            </w:pPr>
            <w:r w:rsidRPr="005071A1">
              <w:t>0.06</w:t>
            </w:r>
          </w:p>
        </w:tc>
        <w:tc>
          <w:tcPr>
            <w:tcW w:w="1824" w:type="dxa"/>
            <w:shd w:val="clear" w:color="auto" w:fill="auto"/>
          </w:tcPr>
          <w:p w14:paraId="23483402" w14:textId="77777777" w:rsidR="00B33542" w:rsidRPr="005071A1" w:rsidRDefault="00B33542" w:rsidP="009B7AF5">
            <w:pPr>
              <w:pStyle w:val="Tabletext"/>
            </w:pPr>
            <w:r w:rsidRPr="005071A1">
              <w:t>0.12</w:t>
            </w:r>
          </w:p>
        </w:tc>
      </w:tr>
      <w:tr w:rsidR="00B33542" w:rsidRPr="005071A1" w14:paraId="327E68AE" w14:textId="77777777" w:rsidTr="009B7AF5">
        <w:tc>
          <w:tcPr>
            <w:tcW w:w="1824" w:type="dxa"/>
            <w:shd w:val="clear" w:color="auto" w:fill="auto"/>
          </w:tcPr>
          <w:p w14:paraId="2CDC59CD" w14:textId="77777777" w:rsidR="00B33542" w:rsidRPr="005071A1" w:rsidRDefault="00B33542" w:rsidP="009B7AF5">
            <w:pPr>
              <w:pStyle w:val="Tabletext"/>
            </w:pPr>
            <w:r w:rsidRPr="005071A1">
              <w:t>32</w:t>
            </w:r>
          </w:p>
        </w:tc>
        <w:tc>
          <w:tcPr>
            <w:tcW w:w="1824" w:type="dxa"/>
            <w:shd w:val="clear" w:color="auto" w:fill="auto"/>
          </w:tcPr>
          <w:p w14:paraId="1C6DEA76" w14:textId="77777777" w:rsidR="00B33542" w:rsidRPr="005071A1" w:rsidRDefault="00B33542" w:rsidP="009B7AF5">
            <w:pPr>
              <w:pStyle w:val="Tabletext"/>
            </w:pPr>
            <w:r w:rsidRPr="005071A1">
              <w:t>0.18</w:t>
            </w:r>
          </w:p>
        </w:tc>
        <w:tc>
          <w:tcPr>
            <w:tcW w:w="1824" w:type="dxa"/>
            <w:shd w:val="clear" w:color="auto" w:fill="auto"/>
          </w:tcPr>
          <w:p w14:paraId="3FC8744E" w14:textId="77777777" w:rsidR="00B33542" w:rsidRPr="005071A1" w:rsidRDefault="00B33542" w:rsidP="009B7AF5">
            <w:pPr>
              <w:pStyle w:val="Tabletext"/>
            </w:pPr>
            <w:r w:rsidRPr="005071A1">
              <w:t>0.06</w:t>
            </w:r>
          </w:p>
        </w:tc>
        <w:tc>
          <w:tcPr>
            <w:tcW w:w="1824" w:type="dxa"/>
            <w:shd w:val="clear" w:color="auto" w:fill="auto"/>
          </w:tcPr>
          <w:p w14:paraId="08229A19" w14:textId="77777777" w:rsidR="00B33542" w:rsidRPr="005071A1" w:rsidRDefault="00B33542" w:rsidP="009B7AF5">
            <w:pPr>
              <w:pStyle w:val="Tabletext"/>
            </w:pPr>
            <w:r w:rsidRPr="005071A1">
              <w:t>0.12</w:t>
            </w:r>
          </w:p>
        </w:tc>
      </w:tr>
      <w:tr w:rsidR="00B33542" w:rsidRPr="005071A1" w14:paraId="2462713F" w14:textId="77777777" w:rsidTr="009B7AF5">
        <w:tc>
          <w:tcPr>
            <w:tcW w:w="1824" w:type="dxa"/>
            <w:shd w:val="clear" w:color="auto" w:fill="auto"/>
          </w:tcPr>
          <w:p w14:paraId="3682AC82" w14:textId="77777777" w:rsidR="00B33542" w:rsidRPr="005071A1" w:rsidRDefault="00B33542" w:rsidP="009B7AF5">
            <w:pPr>
              <w:pStyle w:val="Tabletext"/>
            </w:pPr>
            <w:r w:rsidRPr="005071A1">
              <w:t>33</w:t>
            </w:r>
          </w:p>
        </w:tc>
        <w:tc>
          <w:tcPr>
            <w:tcW w:w="1824" w:type="dxa"/>
            <w:shd w:val="clear" w:color="auto" w:fill="auto"/>
          </w:tcPr>
          <w:p w14:paraId="4E20D423" w14:textId="77777777" w:rsidR="00B33542" w:rsidRPr="005071A1" w:rsidRDefault="00B33542" w:rsidP="009B7AF5">
            <w:pPr>
              <w:pStyle w:val="Tabletext"/>
            </w:pPr>
            <w:r w:rsidRPr="005071A1">
              <w:t>0.18</w:t>
            </w:r>
          </w:p>
        </w:tc>
        <w:tc>
          <w:tcPr>
            <w:tcW w:w="1824" w:type="dxa"/>
            <w:shd w:val="clear" w:color="auto" w:fill="auto"/>
          </w:tcPr>
          <w:p w14:paraId="5C77258B" w14:textId="77777777" w:rsidR="00B33542" w:rsidRPr="005071A1" w:rsidRDefault="00B33542" w:rsidP="009B7AF5">
            <w:pPr>
              <w:pStyle w:val="Tabletext"/>
            </w:pPr>
            <w:r w:rsidRPr="005071A1">
              <w:t>0.06</w:t>
            </w:r>
          </w:p>
        </w:tc>
        <w:tc>
          <w:tcPr>
            <w:tcW w:w="1824" w:type="dxa"/>
            <w:shd w:val="clear" w:color="auto" w:fill="auto"/>
          </w:tcPr>
          <w:p w14:paraId="61E835BD" w14:textId="77777777" w:rsidR="00B33542" w:rsidRPr="005071A1" w:rsidRDefault="00B33542" w:rsidP="009B7AF5">
            <w:pPr>
              <w:pStyle w:val="Tabletext"/>
            </w:pPr>
            <w:r w:rsidRPr="005071A1">
              <w:t>0.12</w:t>
            </w:r>
          </w:p>
        </w:tc>
      </w:tr>
      <w:tr w:rsidR="00B33542" w:rsidRPr="005071A1" w14:paraId="5424CFB7" w14:textId="77777777" w:rsidTr="009B7AF5">
        <w:tc>
          <w:tcPr>
            <w:tcW w:w="1824" w:type="dxa"/>
            <w:shd w:val="clear" w:color="auto" w:fill="auto"/>
          </w:tcPr>
          <w:p w14:paraId="6F9F52B4" w14:textId="77777777" w:rsidR="00B33542" w:rsidRPr="005071A1" w:rsidRDefault="00B33542" w:rsidP="009B7AF5">
            <w:pPr>
              <w:pStyle w:val="Tabletext"/>
            </w:pPr>
            <w:r w:rsidRPr="005071A1">
              <w:t>34</w:t>
            </w:r>
          </w:p>
        </w:tc>
        <w:tc>
          <w:tcPr>
            <w:tcW w:w="1824" w:type="dxa"/>
            <w:shd w:val="clear" w:color="auto" w:fill="auto"/>
          </w:tcPr>
          <w:p w14:paraId="4E34B4E8" w14:textId="77777777" w:rsidR="00B33542" w:rsidRPr="005071A1" w:rsidRDefault="00B33542" w:rsidP="009B7AF5">
            <w:pPr>
              <w:pStyle w:val="Tabletext"/>
            </w:pPr>
            <w:r w:rsidRPr="005071A1">
              <w:t>0.18</w:t>
            </w:r>
          </w:p>
        </w:tc>
        <w:tc>
          <w:tcPr>
            <w:tcW w:w="1824" w:type="dxa"/>
            <w:shd w:val="clear" w:color="auto" w:fill="auto"/>
          </w:tcPr>
          <w:p w14:paraId="570D0950" w14:textId="77777777" w:rsidR="00B33542" w:rsidRPr="005071A1" w:rsidRDefault="00B33542" w:rsidP="009B7AF5">
            <w:pPr>
              <w:pStyle w:val="Tabletext"/>
            </w:pPr>
            <w:r w:rsidRPr="005071A1">
              <w:t>0.06</w:t>
            </w:r>
          </w:p>
        </w:tc>
        <w:tc>
          <w:tcPr>
            <w:tcW w:w="1824" w:type="dxa"/>
            <w:shd w:val="clear" w:color="auto" w:fill="auto"/>
          </w:tcPr>
          <w:p w14:paraId="2A2B2485" w14:textId="77777777" w:rsidR="00B33542" w:rsidRPr="005071A1" w:rsidRDefault="00B33542" w:rsidP="009B7AF5">
            <w:pPr>
              <w:pStyle w:val="Tabletext"/>
            </w:pPr>
            <w:r w:rsidRPr="005071A1">
              <w:t>0.12</w:t>
            </w:r>
          </w:p>
        </w:tc>
      </w:tr>
      <w:tr w:rsidR="00B33542" w:rsidRPr="005071A1" w14:paraId="2E09C3A5" w14:textId="77777777" w:rsidTr="009B7AF5">
        <w:tc>
          <w:tcPr>
            <w:tcW w:w="1824" w:type="dxa"/>
            <w:shd w:val="clear" w:color="auto" w:fill="auto"/>
          </w:tcPr>
          <w:p w14:paraId="234191AC" w14:textId="77777777" w:rsidR="00B33542" w:rsidRPr="005071A1" w:rsidRDefault="00B33542" w:rsidP="009B7AF5">
            <w:pPr>
              <w:pStyle w:val="Tabletext"/>
            </w:pPr>
            <w:r w:rsidRPr="005071A1">
              <w:t>35</w:t>
            </w:r>
          </w:p>
        </w:tc>
        <w:tc>
          <w:tcPr>
            <w:tcW w:w="1824" w:type="dxa"/>
            <w:shd w:val="clear" w:color="auto" w:fill="auto"/>
          </w:tcPr>
          <w:p w14:paraId="257E466F" w14:textId="77777777" w:rsidR="00B33542" w:rsidRPr="005071A1" w:rsidRDefault="00B33542" w:rsidP="009B7AF5">
            <w:pPr>
              <w:pStyle w:val="Tabletext"/>
            </w:pPr>
            <w:r w:rsidRPr="005071A1">
              <w:t>0.18</w:t>
            </w:r>
          </w:p>
        </w:tc>
        <w:tc>
          <w:tcPr>
            <w:tcW w:w="1824" w:type="dxa"/>
            <w:shd w:val="clear" w:color="auto" w:fill="auto"/>
          </w:tcPr>
          <w:p w14:paraId="7860C6B8" w14:textId="77777777" w:rsidR="00B33542" w:rsidRPr="005071A1" w:rsidRDefault="00B33542" w:rsidP="009B7AF5">
            <w:pPr>
              <w:pStyle w:val="Tabletext"/>
            </w:pPr>
            <w:r w:rsidRPr="005071A1">
              <w:t>0.06</w:t>
            </w:r>
          </w:p>
        </w:tc>
        <w:tc>
          <w:tcPr>
            <w:tcW w:w="1824" w:type="dxa"/>
            <w:shd w:val="clear" w:color="auto" w:fill="auto"/>
          </w:tcPr>
          <w:p w14:paraId="33B47C1A" w14:textId="77777777" w:rsidR="00B33542" w:rsidRPr="005071A1" w:rsidRDefault="00B33542" w:rsidP="009B7AF5">
            <w:pPr>
              <w:pStyle w:val="Tabletext"/>
            </w:pPr>
            <w:r w:rsidRPr="005071A1">
              <w:t>0.12</w:t>
            </w:r>
          </w:p>
        </w:tc>
      </w:tr>
      <w:tr w:rsidR="00B33542" w:rsidRPr="005071A1" w14:paraId="09961B22" w14:textId="77777777" w:rsidTr="009B7AF5">
        <w:tc>
          <w:tcPr>
            <w:tcW w:w="1824" w:type="dxa"/>
            <w:shd w:val="clear" w:color="auto" w:fill="auto"/>
          </w:tcPr>
          <w:p w14:paraId="47A34E62" w14:textId="77777777" w:rsidR="00B33542" w:rsidRPr="005071A1" w:rsidRDefault="00B33542" w:rsidP="009B7AF5">
            <w:pPr>
              <w:pStyle w:val="Tabletext"/>
            </w:pPr>
            <w:r w:rsidRPr="005071A1">
              <w:t>36</w:t>
            </w:r>
          </w:p>
        </w:tc>
        <w:tc>
          <w:tcPr>
            <w:tcW w:w="1824" w:type="dxa"/>
            <w:shd w:val="clear" w:color="auto" w:fill="auto"/>
          </w:tcPr>
          <w:p w14:paraId="5F02DD57" w14:textId="77777777" w:rsidR="00B33542" w:rsidRPr="005071A1" w:rsidRDefault="00B33542" w:rsidP="009B7AF5">
            <w:pPr>
              <w:pStyle w:val="Tabletext"/>
            </w:pPr>
            <w:r w:rsidRPr="005071A1">
              <w:t>0.18</w:t>
            </w:r>
          </w:p>
        </w:tc>
        <w:tc>
          <w:tcPr>
            <w:tcW w:w="1824" w:type="dxa"/>
            <w:shd w:val="clear" w:color="auto" w:fill="auto"/>
          </w:tcPr>
          <w:p w14:paraId="0BF24759" w14:textId="77777777" w:rsidR="00B33542" w:rsidRPr="005071A1" w:rsidRDefault="00B33542" w:rsidP="009B7AF5">
            <w:pPr>
              <w:pStyle w:val="Tabletext"/>
            </w:pPr>
            <w:r w:rsidRPr="005071A1">
              <w:t>0.06</w:t>
            </w:r>
          </w:p>
        </w:tc>
        <w:tc>
          <w:tcPr>
            <w:tcW w:w="1824" w:type="dxa"/>
            <w:shd w:val="clear" w:color="auto" w:fill="auto"/>
          </w:tcPr>
          <w:p w14:paraId="68A7D4A8" w14:textId="77777777" w:rsidR="00B33542" w:rsidRPr="005071A1" w:rsidRDefault="00B33542" w:rsidP="009B7AF5">
            <w:pPr>
              <w:pStyle w:val="Tabletext"/>
            </w:pPr>
            <w:r w:rsidRPr="005071A1">
              <w:t>0.12</w:t>
            </w:r>
          </w:p>
        </w:tc>
      </w:tr>
      <w:tr w:rsidR="00B33542" w:rsidRPr="005071A1" w14:paraId="4E808027" w14:textId="77777777" w:rsidTr="009B7AF5">
        <w:tc>
          <w:tcPr>
            <w:tcW w:w="1824" w:type="dxa"/>
            <w:shd w:val="clear" w:color="auto" w:fill="auto"/>
          </w:tcPr>
          <w:p w14:paraId="5E9BA29E" w14:textId="77777777" w:rsidR="00B33542" w:rsidRPr="005071A1" w:rsidRDefault="00B33542" w:rsidP="009B7AF5">
            <w:pPr>
              <w:pStyle w:val="Tabletext"/>
            </w:pPr>
            <w:r w:rsidRPr="005071A1">
              <w:t>37</w:t>
            </w:r>
          </w:p>
        </w:tc>
        <w:tc>
          <w:tcPr>
            <w:tcW w:w="1824" w:type="dxa"/>
            <w:shd w:val="clear" w:color="auto" w:fill="auto"/>
          </w:tcPr>
          <w:p w14:paraId="13BA7B3E" w14:textId="77777777" w:rsidR="00B33542" w:rsidRPr="005071A1" w:rsidRDefault="00B33542" w:rsidP="009B7AF5">
            <w:pPr>
              <w:pStyle w:val="Tabletext"/>
            </w:pPr>
            <w:r w:rsidRPr="005071A1">
              <w:t>0.20</w:t>
            </w:r>
          </w:p>
        </w:tc>
        <w:tc>
          <w:tcPr>
            <w:tcW w:w="1824" w:type="dxa"/>
            <w:shd w:val="clear" w:color="auto" w:fill="auto"/>
          </w:tcPr>
          <w:p w14:paraId="7416A5F4" w14:textId="77777777" w:rsidR="00B33542" w:rsidRPr="005071A1" w:rsidRDefault="00B33542" w:rsidP="009B7AF5">
            <w:pPr>
              <w:pStyle w:val="Tabletext"/>
            </w:pPr>
            <w:r w:rsidRPr="005071A1">
              <w:t>0.06</w:t>
            </w:r>
          </w:p>
        </w:tc>
        <w:tc>
          <w:tcPr>
            <w:tcW w:w="1824" w:type="dxa"/>
            <w:shd w:val="clear" w:color="auto" w:fill="auto"/>
          </w:tcPr>
          <w:p w14:paraId="23E976D5" w14:textId="77777777" w:rsidR="00B33542" w:rsidRPr="005071A1" w:rsidRDefault="00B33542" w:rsidP="009B7AF5">
            <w:pPr>
              <w:pStyle w:val="Tabletext"/>
            </w:pPr>
            <w:r w:rsidRPr="005071A1">
              <w:t>0.12</w:t>
            </w:r>
          </w:p>
        </w:tc>
      </w:tr>
      <w:tr w:rsidR="00B33542" w:rsidRPr="005071A1" w14:paraId="4F6DDFB5" w14:textId="77777777" w:rsidTr="009B7AF5">
        <w:tc>
          <w:tcPr>
            <w:tcW w:w="1824" w:type="dxa"/>
            <w:shd w:val="clear" w:color="auto" w:fill="auto"/>
          </w:tcPr>
          <w:p w14:paraId="32C1298B" w14:textId="77777777" w:rsidR="00B33542" w:rsidRPr="005071A1" w:rsidRDefault="00B33542" w:rsidP="009B7AF5">
            <w:pPr>
              <w:pStyle w:val="Tabletext"/>
            </w:pPr>
            <w:r w:rsidRPr="005071A1">
              <w:t>38</w:t>
            </w:r>
          </w:p>
        </w:tc>
        <w:tc>
          <w:tcPr>
            <w:tcW w:w="1824" w:type="dxa"/>
            <w:shd w:val="clear" w:color="auto" w:fill="auto"/>
          </w:tcPr>
          <w:p w14:paraId="37637703" w14:textId="77777777" w:rsidR="00B33542" w:rsidRPr="005071A1" w:rsidRDefault="00B33542" w:rsidP="009B7AF5">
            <w:pPr>
              <w:pStyle w:val="Tabletext"/>
            </w:pPr>
            <w:r w:rsidRPr="005071A1">
              <w:t>0.20</w:t>
            </w:r>
          </w:p>
        </w:tc>
        <w:tc>
          <w:tcPr>
            <w:tcW w:w="1824" w:type="dxa"/>
            <w:shd w:val="clear" w:color="auto" w:fill="auto"/>
          </w:tcPr>
          <w:p w14:paraId="7DD98CCC" w14:textId="77777777" w:rsidR="00B33542" w:rsidRPr="005071A1" w:rsidRDefault="00B33542" w:rsidP="009B7AF5">
            <w:pPr>
              <w:pStyle w:val="Tabletext"/>
            </w:pPr>
            <w:r w:rsidRPr="005071A1">
              <w:t>0.07</w:t>
            </w:r>
          </w:p>
        </w:tc>
        <w:tc>
          <w:tcPr>
            <w:tcW w:w="1824" w:type="dxa"/>
            <w:shd w:val="clear" w:color="auto" w:fill="auto"/>
          </w:tcPr>
          <w:p w14:paraId="1DFB5EBB" w14:textId="77777777" w:rsidR="00B33542" w:rsidRPr="005071A1" w:rsidRDefault="00B33542" w:rsidP="009B7AF5">
            <w:pPr>
              <w:pStyle w:val="Tabletext"/>
            </w:pPr>
            <w:r w:rsidRPr="005071A1">
              <w:t>0.14</w:t>
            </w:r>
          </w:p>
        </w:tc>
      </w:tr>
      <w:tr w:rsidR="00B33542" w:rsidRPr="005071A1" w14:paraId="3A1BF0D7" w14:textId="77777777" w:rsidTr="009B7AF5">
        <w:tc>
          <w:tcPr>
            <w:tcW w:w="1824" w:type="dxa"/>
            <w:shd w:val="clear" w:color="auto" w:fill="auto"/>
          </w:tcPr>
          <w:p w14:paraId="452C104D" w14:textId="77777777" w:rsidR="00B33542" w:rsidRPr="005071A1" w:rsidRDefault="00B33542" w:rsidP="009B7AF5">
            <w:pPr>
              <w:pStyle w:val="Tabletext"/>
            </w:pPr>
            <w:r w:rsidRPr="005071A1">
              <w:lastRenderedPageBreak/>
              <w:t>39</w:t>
            </w:r>
          </w:p>
        </w:tc>
        <w:tc>
          <w:tcPr>
            <w:tcW w:w="1824" w:type="dxa"/>
            <w:shd w:val="clear" w:color="auto" w:fill="auto"/>
          </w:tcPr>
          <w:p w14:paraId="467A22E1" w14:textId="77777777" w:rsidR="00B33542" w:rsidRPr="005071A1" w:rsidRDefault="00B33542" w:rsidP="009B7AF5">
            <w:pPr>
              <w:pStyle w:val="Tabletext"/>
            </w:pPr>
            <w:r w:rsidRPr="005071A1">
              <w:t>0.20</w:t>
            </w:r>
          </w:p>
        </w:tc>
        <w:tc>
          <w:tcPr>
            <w:tcW w:w="1824" w:type="dxa"/>
            <w:shd w:val="clear" w:color="auto" w:fill="auto"/>
          </w:tcPr>
          <w:p w14:paraId="5698E176" w14:textId="77777777" w:rsidR="00B33542" w:rsidRPr="005071A1" w:rsidRDefault="00B33542" w:rsidP="009B7AF5">
            <w:pPr>
              <w:pStyle w:val="Tabletext"/>
            </w:pPr>
            <w:r w:rsidRPr="005071A1">
              <w:t>0.07</w:t>
            </w:r>
          </w:p>
        </w:tc>
        <w:tc>
          <w:tcPr>
            <w:tcW w:w="1824" w:type="dxa"/>
            <w:shd w:val="clear" w:color="auto" w:fill="auto"/>
          </w:tcPr>
          <w:p w14:paraId="420E4FE6" w14:textId="77777777" w:rsidR="00B33542" w:rsidRPr="005071A1" w:rsidRDefault="00B33542" w:rsidP="009B7AF5">
            <w:pPr>
              <w:pStyle w:val="Tabletext"/>
            </w:pPr>
            <w:r w:rsidRPr="005071A1">
              <w:t>0.14</w:t>
            </w:r>
          </w:p>
        </w:tc>
      </w:tr>
      <w:tr w:rsidR="00B33542" w:rsidRPr="005071A1" w14:paraId="0DECDBCD" w14:textId="77777777" w:rsidTr="009B7AF5">
        <w:tc>
          <w:tcPr>
            <w:tcW w:w="1824" w:type="dxa"/>
            <w:shd w:val="clear" w:color="auto" w:fill="auto"/>
          </w:tcPr>
          <w:p w14:paraId="5CF32A1E" w14:textId="77777777" w:rsidR="00B33542" w:rsidRPr="005071A1" w:rsidRDefault="00B33542" w:rsidP="009B7AF5">
            <w:pPr>
              <w:pStyle w:val="Tabletext"/>
            </w:pPr>
            <w:r w:rsidRPr="005071A1">
              <w:t>40</w:t>
            </w:r>
          </w:p>
        </w:tc>
        <w:tc>
          <w:tcPr>
            <w:tcW w:w="1824" w:type="dxa"/>
            <w:shd w:val="clear" w:color="auto" w:fill="auto"/>
          </w:tcPr>
          <w:p w14:paraId="77A39BB5" w14:textId="77777777" w:rsidR="00B33542" w:rsidRPr="005071A1" w:rsidRDefault="00B33542" w:rsidP="009B7AF5">
            <w:pPr>
              <w:pStyle w:val="Tabletext"/>
            </w:pPr>
            <w:r w:rsidRPr="005071A1">
              <w:t>0.20</w:t>
            </w:r>
          </w:p>
        </w:tc>
        <w:tc>
          <w:tcPr>
            <w:tcW w:w="1824" w:type="dxa"/>
            <w:shd w:val="clear" w:color="auto" w:fill="auto"/>
          </w:tcPr>
          <w:p w14:paraId="5A9974A6" w14:textId="77777777" w:rsidR="00B33542" w:rsidRPr="005071A1" w:rsidRDefault="00B33542" w:rsidP="009B7AF5">
            <w:pPr>
              <w:pStyle w:val="Tabletext"/>
            </w:pPr>
            <w:r w:rsidRPr="005071A1">
              <w:t>0.07</w:t>
            </w:r>
          </w:p>
        </w:tc>
        <w:tc>
          <w:tcPr>
            <w:tcW w:w="1824" w:type="dxa"/>
            <w:shd w:val="clear" w:color="auto" w:fill="auto"/>
          </w:tcPr>
          <w:p w14:paraId="4C1CF4EC" w14:textId="77777777" w:rsidR="00B33542" w:rsidRPr="005071A1" w:rsidRDefault="00B33542" w:rsidP="009B7AF5">
            <w:pPr>
              <w:pStyle w:val="Tabletext"/>
            </w:pPr>
            <w:r w:rsidRPr="005071A1">
              <w:t>0.14</w:t>
            </w:r>
          </w:p>
        </w:tc>
      </w:tr>
      <w:tr w:rsidR="00B33542" w:rsidRPr="005071A1" w14:paraId="1CFFF8D1" w14:textId="77777777" w:rsidTr="009B7AF5">
        <w:tc>
          <w:tcPr>
            <w:tcW w:w="1824" w:type="dxa"/>
            <w:shd w:val="clear" w:color="auto" w:fill="auto"/>
          </w:tcPr>
          <w:p w14:paraId="52B907AF" w14:textId="77777777" w:rsidR="00B33542" w:rsidRPr="005071A1" w:rsidRDefault="00B33542" w:rsidP="009B7AF5">
            <w:pPr>
              <w:pStyle w:val="Tabletext"/>
            </w:pPr>
            <w:r w:rsidRPr="005071A1">
              <w:t>41</w:t>
            </w:r>
          </w:p>
        </w:tc>
        <w:tc>
          <w:tcPr>
            <w:tcW w:w="1824" w:type="dxa"/>
            <w:shd w:val="clear" w:color="auto" w:fill="auto"/>
          </w:tcPr>
          <w:p w14:paraId="1F68B7F7" w14:textId="77777777" w:rsidR="00B33542" w:rsidRPr="005071A1" w:rsidRDefault="00B33542" w:rsidP="009B7AF5">
            <w:pPr>
              <w:pStyle w:val="Tabletext"/>
            </w:pPr>
            <w:r w:rsidRPr="005071A1">
              <w:t>0.20</w:t>
            </w:r>
          </w:p>
        </w:tc>
        <w:tc>
          <w:tcPr>
            <w:tcW w:w="1824" w:type="dxa"/>
            <w:shd w:val="clear" w:color="auto" w:fill="auto"/>
          </w:tcPr>
          <w:p w14:paraId="0F664E15" w14:textId="77777777" w:rsidR="00B33542" w:rsidRPr="005071A1" w:rsidRDefault="00B33542" w:rsidP="009B7AF5">
            <w:pPr>
              <w:pStyle w:val="Tabletext"/>
            </w:pPr>
            <w:r w:rsidRPr="005071A1">
              <w:t>0.07</w:t>
            </w:r>
          </w:p>
        </w:tc>
        <w:tc>
          <w:tcPr>
            <w:tcW w:w="1824" w:type="dxa"/>
            <w:shd w:val="clear" w:color="auto" w:fill="auto"/>
          </w:tcPr>
          <w:p w14:paraId="62CE3CD1" w14:textId="77777777" w:rsidR="00B33542" w:rsidRPr="005071A1" w:rsidRDefault="00B33542" w:rsidP="009B7AF5">
            <w:pPr>
              <w:pStyle w:val="Tabletext"/>
            </w:pPr>
            <w:r w:rsidRPr="005071A1">
              <w:t>0.14</w:t>
            </w:r>
          </w:p>
        </w:tc>
      </w:tr>
      <w:tr w:rsidR="00B33542" w:rsidRPr="005071A1" w14:paraId="5117EE39" w14:textId="77777777" w:rsidTr="00D57394">
        <w:tc>
          <w:tcPr>
            <w:tcW w:w="1824" w:type="dxa"/>
            <w:tcBorders>
              <w:bottom w:val="single" w:sz="4" w:space="0" w:color="auto"/>
            </w:tcBorders>
            <w:shd w:val="clear" w:color="auto" w:fill="auto"/>
          </w:tcPr>
          <w:p w14:paraId="22F92A11" w14:textId="77777777" w:rsidR="00B33542" w:rsidRPr="005071A1" w:rsidRDefault="00B33542" w:rsidP="009B7AF5">
            <w:pPr>
              <w:pStyle w:val="Tabletext"/>
            </w:pPr>
            <w:r w:rsidRPr="005071A1">
              <w:t>42</w:t>
            </w:r>
          </w:p>
        </w:tc>
        <w:tc>
          <w:tcPr>
            <w:tcW w:w="1824" w:type="dxa"/>
            <w:tcBorders>
              <w:bottom w:val="single" w:sz="4" w:space="0" w:color="auto"/>
            </w:tcBorders>
            <w:shd w:val="clear" w:color="auto" w:fill="auto"/>
          </w:tcPr>
          <w:p w14:paraId="4BCF943C" w14:textId="77777777" w:rsidR="00B33542" w:rsidRPr="005071A1" w:rsidRDefault="00B33542" w:rsidP="009B7AF5">
            <w:pPr>
              <w:pStyle w:val="Tabletext"/>
            </w:pPr>
            <w:r w:rsidRPr="005071A1">
              <w:t>0.22</w:t>
            </w:r>
          </w:p>
        </w:tc>
        <w:tc>
          <w:tcPr>
            <w:tcW w:w="1824" w:type="dxa"/>
            <w:tcBorders>
              <w:bottom w:val="single" w:sz="4" w:space="0" w:color="auto"/>
            </w:tcBorders>
            <w:shd w:val="clear" w:color="auto" w:fill="auto"/>
          </w:tcPr>
          <w:p w14:paraId="75769544" w14:textId="77777777" w:rsidR="00B33542" w:rsidRPr="005071A1" w:rsidRDefault="00B33542" w:rsidP="009B7AF5">
            <w:pPr>
              <w:pStyle w:val="Tabletext"/>
            </w:pPr>
            <w:r w:rsidRPr="005071A1">
              <w:t>0.07</w:t>
            </w:r>
          </w:p>
        </w:tc>
        <w:tc>
          <w:tcPr>
            <w:tcW w:w="1824" w:type="dxa"/>
            <w:tcBorders>
              <w:bottom w:val="single" w:sz="4" w:space="0" w:color="auto"/>
            </w:tcBorders>
            <w:shd w:val="clear" w:color="auto" w:fill="auto"/>
          </w:tcPr>
          <w:p w14:paraId="614938E1" w14:textId="77777777" w:rsidR="00B33542" w:rsidRPr="005071A1" w:rsidRDefault="00B33542" w:rsidP="009B7AF5">
            <w:pPr>
              <w:pStyle w:val="Tabletext"/>
            </w:pPr>
            <w:r w:rsidRPr="005071A1">
              <w:t>0.14</w:t>
            </w:r>
          </w:p>
        </w:tc>
      </w:tr>
      <w:tr w:rsidR="00B33542" w:rsidRPr="005071A1" w14:paraId="5F641738" w14:textId="77777777" w:rsidTr="00D57394">
        <w:tc>
          <w:tcPr>
            <w:tcW w:w="1824" w:type="dxa"/>
            <w:tcBorders>
              <w:bottom w:val="single" w:sz="4" w:space="0" w:color="auto"/>
            </w:tcBorders>
            <w:shd w:val="clear" w:color="auto" w:fill="auto"/>
          </w:tcPr>
          <w:p w14:paraId="1E1ADC6C" w14:textId="77777777" w:rsidR="00B33542" w:rsidRPr="005071A1" w:rsidRDefault="00B33542" w:rsidP="009B7AF5">
            <w:pPr>
              <w:pStyle w:val="Tabletext"/>
            </w:pPr>
            <w:r w:rsidRPr="005071A1">
              <w:t>43</w:t>
            </w:r>
          </w:p>
        </w:tc>
        <w:tc>
          <w:tcPr>
            <w:tcW w:w="1824" w:type="dxa"/>
            <w:tcBorders>
              <w:bottom w:val="single" w:sz="4" w:space="0" w:color="auto"/>
            </w:tcBorders>
            <w:shd w:val="clear" w:color="auto" w:fill="auto"/>
          </w:tcPr>
          <w:p w14:paraId="0786DB4D" w14:textId="77777777" w:rsidR="00B33542" w:rsidRPr="005071A1" w:rsidRDefault="00B33542" w:rsidP="009B7AF5">
            <w:pPr>
              <w:pStyle w:val="Tabletext"/>
            </w:pPr>
            <w:r w:rsidRPr="005071A1">
              <w:t>0.22</w:t>
            </w:r>
          </w:p>
        </w:tc>
        <w:tc>
          <w:tcPr>
            <w:tcW w:w="1824" w:type="dxa"/>
            <w:tcBorders>
              <w:bottom w:val="single" w:sz="4" w:space="0" w:color="auto"/>
            </w:tcBorders>
            <w:shd w:val="clear" w:color="auto" w:fill="auto"/>
          </w:tcPr>
          <w:p w14:paraId="5B97D810" w14:textId="77777777" w:rsidR="00B33542" w:rsidRPr="005071A1" w:rsidRDefault="00B33542" w:rsidP="009B7AF5">
            <w:pPr>
              <w:pStyle w:val="Tabletext"/>
            </w:pPr>
            <w:r w:rsidRPr="005071A1">
              <w:t>0.08</w:t>
            </w:r>
          </w:p>
        </w:tc>
        <w:tc>
          <w:tcPr>
            <w:tcW w:w="1824" w:type="dxa"/>
            <w:tcBorders>
              <w:bottom w:val="single" w:sz="4" w:space="0" w:color="auto"/>
            </w:tcBorders>
            <w:shd w:val="clear" w:color="auto" w:fill="auto"/>
          </w:tcPr>
          <w:p w14:paraId="6B48B567" w14:textId="77777777" w:rsidR="00B33542" w:rsidRPr="005071A1" w:rsidRDefault="00B33542" w:rsidP="009B7AF5">
            <w:pPr>
              <w:pStyle w:val="Tabletext"/>
            </w:pPr>
            <w:r w:rsidRPr="005071A1">
              <w:t>0.16</w:t>
            </w:r>
          </w:p>
        </w:tc>
      </w:tr>
      <w:tr w:rsidR="00B33542" w:rsidRPr="005071A1" w14:paraId="4C7922EC" w14:textId="77777777" w:rsidTr="00D57394">
        <w:tc>
          <w:tcPr>
            <w:tcW w:w="1824" w:type="dxa"/>
            <w:tcBorders>
              <w:top w:val="single" w:sz="4" w:space="0" w:color="auto"/>
            </w:tcBorders>
            <w:shd w:val="clear" w:color="auto" w:fill="auto"/>
          </w:tcPr>
          <w:p w14:paraId="1DDBA147" w14:textId="77777777" w:rsidR="00B33542" w:rsidRPr="005071A1" w:rsidRDefault="00B33542" w:rsidP="009B7AF5">
            <w:pPr>
              <w:pStyle w:val="Tabletext"/>
            </w:pPr>
            <w:r w:rsidRPr="005071A1">
              <w:t>44</w:t>
            </w:r>
          </w:p>
        </w:tc>
        <w:tc>
          <w:tcPr>
            <w:tcW w:w="1824" w:type="dxa"/>
            <w:tcBorders>
              <w:top w:val="single" w:sz="4" w:space="0" w:color="auto"/>
            </w:tcBorders>
            <w:shd w:val="clear" w:color="auto" w:fill="auto"/>
          </w:tcPr>
          <w:p w14:paraId="0DC6E3C8" w14:textId="77777777" w:rsidR="00B33542" w:rsidRPr="005071A1" w:rsidRDefault="00B33542" w:rsidP="009B7AF5">
            <w:pPr>
              <w:pStyle w:val="Tabletext"/>
            </w:pPr>
            <w:r w:rsidRPr="005071A1">
              <w:t>0.24</w:t>
            </w:r>
          </w:p>
        </w:tc>
        <w:tc>
          <w:tcPr>
            <w:tcW w:w="1824" w:type="dxa"/>
            <w:tcBorders>
              <w:top w:val="single" w:sz="4" w:space="0" w:color="auto"/>
            </w:tcBorders>
            <w:shd w:val="clear" w:color="auto" w:fill="auto"/>
          </w:tcPr>
          <w:p w14:paraId="221D31F8" w14:textId="77777777" w:rsidR="00B33542" w:rsidRPr="005071A1" w:rsidRDefault="00B33542" w:rsidP="009B7AF5">
            <w:pPr>
              <w:pStyle w:val="Tabletext"/>
            </w:pPr>
            <w:r w:rsidRPr="005071A1">
              <w:t>0.09</w:t>
            </w:r>
          </w:p>
        </w:tc>
        <w:tc>
          <w:tcPr>
            <w:tcW w:w="1824" w:type="dxa"/>
            <w:tcBorders>
              <w:top w:val="single" w:sz="4" w:space="0" w:color="auto"/>
            </w:tcBorders>
            <w:shd w:val="clear" w:color="auto" w:fill="auto"/>
          </w:tcPr>
          <w:p w14:paraId="5512C76A" w14:textId="77777777" w:rsidR="00B33542" w:rsidRPr="005071A1" w:rsidRDefault="00B33542" w:rsidP="009B7AF5">
            <w:pPr>
              <w:pStyle w:val="Tabletext"/>
            </w:pPr>
            <w:r w:rsidRPr="005071A1">
              <w:t>0.18</w:t>
            </w:r>
          </w:p>
        </w:tc>
      </w:tr>
      <w:tr w:rsidR="00B33542" w:rsidRPr="005071A1" w14:paraId="354B4BF8" w14:textId="77777777" w:rsidTr="00640BB6">
        <w:tc>
          <w:tcPr>
            <w:tcW w:w="1824" w:type="dxa"/>
            <w:tcBorders>
              <w:bottom w:val="single" w:sz="4" w:space="0" w:color="auto"/>
            </w:tcBorders>
            <w:shd w:val="clear" w:color="auto" w:fill="auto"/>
          </w:tcPr>
          <w:p w14:paraId="5E3D8369" w14:textId="77777777" w:rsidR="00B33542" w:rsidRPr="005071A1" w:rsidRDefault="00B33542" w:rsidP="009B7AF5">
            <w:pPr>
              <w:pStyle w:val="Tabletext"/>
            </w:pPr>
            <w:r w:rsidRPr="005071A1">
              <w:t>45</w:t>
            </w:r>
          </w:p>
        </w:tc>
        <w:tc>
          <w:tcPr>
            <w:tcW w:w="1824" w:type="dxa"/>
            <w:tcBorders>
              <w:bottom w:val="single" w:sz="4" w:space="0" w:color="auto"/>
            </w:tcBorders>
            <w:shd w:val="clear" w:color="auto" w:fill="auto"/>
          </w:tcPr>
          <w:p w14:paraId="78E73E83" w14:textId="77777777" w:rsidR="00B33542" w:rsidRPr="005071A1" w:rsidRDefault="00B33542" w:rsidP="009B7AF5">
            <w:pPr>
              <w:pStyle w:val="Tabletext"/>
            </w:pPr>
            <w:r w:rsidRPr="005071A1">
              <w:t>0.24</w:t>
            </w:r>
          </w:p>
        </w:tc>
        <w:tc>
          <w:tcPr>
            <w:tcW w:w="1824" w:type="dxa"/>
            <w:tcBorders>
              <w:bottom w:val="single" w:sz="4" w:space="0" w:color="auto"/>
            </w:tcBorders>
            <w:shd w:val="clear" w:color="auto" w:fill="auto"/>
          </w:tcPr>
          <w:p w14:paraId="5A5632F5" w14:textId="77777777" w:rsidR="00B33542" w:rsidRPr="005071A1" w:rsidRDefault="00B33542" w:rsidP="009B7AF5">
            <w:pPr>
              <w:pStyle w:val="Tabletext"/>
            </w:pPr>
            <w:r w:rsidRPr="005071A1">
              <w:t>0.09</w:t>
            </w:r>
          </w:p>
        </w:tc>
        <w:tc>
          <w:tcPr>
            <w:tcW w:w="1824" w:type="dxa"/>
            <w:tcBorders>
              <w:bottom w:val="single" w:sz="4" w:space="0" w:color="auto"/>
            </w:tcBorders>
            <w:shd w:val="clear" w:color="auto" w:fill="auto"/>
          </w:tcPr>
          <w:p w14:paraId="37EDB526" w14:textId="77777777" w:rsidR="00B33542" w:rsidRPr="005071A1" w:rsidRDefault="00B33542" w:rsidP="009B7AF5">
            <w:pPr>
              <w:pStyle w:val="Tabletext"/>
            </w:pPr>
            <w:r w:rsidRPr="005071A1">
              <w:t>0.18</w:t>
            </w:r>
          </w:p>
        </w:tc>
      </w:tr>
      <w:tr w:rsidR="00B33542" w:rsidRPr="005071A1" w14:paraId="71E8BBBF" w14:textId="77777777" w:rsidTr="00640BB6">
        <w:tc>
          <w:tcPr>
            <w:tcW w:w="1824" w:type="dxa"/>
            <w:tcBorders>
              <w:bottom w:val="single" w:sz="4" w:space="0" w:color="auto"/>
            </w:tcBorders>
            <w:shd w:val="clear" w:color="auto" w:fill="auto"/>
          </w:tcPr>
          <w:p w14:paraId="24AE48C7" w14:textId="77777777" w:rsidR="00B33542" w:rsidRPr="005071A1" w:rsidRDefault="00B33542" w:rsidP="009B7AF5">
            <w:pPr>
              <w:pStyle w:val="Tabletext"/>
            </w:pPr>
            <w:r w:rsidRPr="005071A1">
              <w:t>46</w:t>
            </w:r>
          </w:p>
        </w:tc>
        <w:tc>
          <w:tcPr>
            <w:tcW w:w="1824" w:type="dxa"/>
            <w:tcBorders>
              <w:bottom w:val="single" w:sz="4" w:space="0" w:color="auto"/>
            </w:tcBorders>
            <w:shd w:val="clear" w:color="auto" w:fill="auto"/>
          </w:tcPr>
          <w:p w14:paraId="4D2AD268" w14:textId="77777777" w:rsidR="00B33542" w:rsidRPr="005071A1" w:rsidRDefault="00B33542" w:rsidP="009B7AF5">
            <w:pPr>
              <w:pStyle w:val="Tabletext"/>
            </w:pPr>
            <w:r w:rsidRPr="005071A1">
              <w:t>0.24</w:t>
            </w:r>
          </w:p>
        </w:tc>
        <w:tc>
          <w:tcPr>
            <w:tcW w:w="1824" w:type="dxa"/>
            <w:tcBorders>
              <w:bottom w:val="single" w:sz="4" w:space="0" w:color="auto"/>
            </w:tcBorders>
            <w:shd w:val="clear" w:color="auto" w:fill="auto"/>
          </w:tcPr>
          <w:p w14:paraId="7ED6D0FF" w14:textId="77777777" w:rsidR="00B33542" w:rsidRPr="005071A1" w:rsidRDefault="00B33542" w:rsidP="009B7AF5">
            <w:pPr>
              <w:pStyle w:val="Tabletext"/>
            </w:pPr>
            <w:r w:rsidRPr="005071A1">
              <w:t>0.09</w:t>
            </w:r>
          </w:p>
        </w:tc>
        <w:tc>
          <w:tcPr>
            <w:tcW w:w="1824" w:type="dxa"/>
            <w:tcBorders>
              <w:bottom w:val="single" w:sz="4" w:space="0" w:color="auto"/>
            </w:tcBorders>
            <w:shd w:val="clear" w:color="auto" w:fill="auto"/>
          </w:tcPr>
          <w:p w14:paraId="121CB216" w14:textId="77777777" w:rsidR="00B33542" w:rsidRPr="005071A1" w:rsidRDefault="00B33542" w:rsidP="009B7AF5">
            <w:pPr>
              <w:pStyle w:val="Tabletext"/>
            </w:pPr>
            <w:r w:rsidRPr="005071A1">
              <w:t>0.18</w:t>
            </w:r>
          </w:p>
        </w:tc>
      </w:tr>
      <w:tr w:rsidR="00B33542" w:rsidRPr="005071A1" w14:paraId="5DDB1E6A" w14:textId="77777777" w:rsidTr="00640BB6">
        <w:tc>
          <w:tcPr>
            <w:tcW w:w="1824" w:type="dxa"/>
            <w:tcBorders>
              <w:top w:val="single" w:sz="4" w:space="0" w:color="auto"/>
            </w:tcBorders>
            <w:shd w:val="clear" w:color="auto" w:fill="auto"/>
          </w:tcPr>
          <w:p w14:paraId="087792B7" w14:textId="77777777" w:rsidR="00B33542" w:rsidRPr="005071A1" w:rsidRDefault="00B33542" w:rsidP="009B7AF5">
            <w:pPr>
              <w:pStyle w:val="Tabletext"/>
            </w:pPr>
            <w:r w:rsidRPr="005071A1">
              <w:t>47</w:t>
            </w:r>
          </w:p>
        </w:tc>
        <w:tc>
          <w:tcPr>
            <w:tcW w:w="1824" w:type="dxa"/>
            <w:tcBorders>
              <w:top w:val="single" w:sz="4" w:space="0" w:color="auto"/>
            </w:tcBorders>
            <w:shd w:val="clear" w:color="auto" w:fill="auto"/>
          </w:tcPr>
          <w:p w14:paraId="6E442190" w14:textId="77777777" w:rsidR="00B33542" w:rsidRPr="005071A1" w:rsidRDefault="00B33542" w:rsidP="009B7AF5">
            <w:pPr>
              <w:pStyle w:val="Tabletext"/>
            </w:pPr>
            <w:r w:rsidRPr="005071A1">
              <w:t>0.28</w:t>
            </w:r>
          </w:p>
        </w:tc>
        <w:tc>
          <w:tcPr>
            <w:tcW w:w="1824" w:type="dxa"/>
            <w:tcBorders>
              <w:top w:val="single" w:sz="4" w:space="0" w:color="auto"/>
            </w:tcBorders>
            <w:shd w:val="clear" w:color="auto" w:fill="auto"/>
          </w:tcPr>
          <w:p w14:paraId="46C87C29" w14:textId="77777777" w:rsidR="00B33542" w:rsidRPr="005071A1" w:rsidRDefault="00B33542" w:rsidP="009B7AF5">
            <w:pPr>
              <w:pStyle w:val="Tabletext"/>
            </w:pPr>
            <w:r w:rsidRPr="005071A1">
              <w:t>0.11</w:t>
            </w:r>
          </w:p>
        </w:tc>
        <w:tc>
          <w:tcPr>
            <w:tcW w:w="1824" w:type="dxa"/>
            <w:tcBorders>
              <w:top w:val="single" w:sz="4" w:space="0" w:color="auto"/>
            </w:tcBorders>
            <w:shd w:val="clear" w:color="auto" w:fill="auto"/>
          </w:tcPr>
          <w:p w14:paraId="14500BA3" w14:textId="77777777" w:rsidR="00B33542" w:rsidRPr="005071A1" w:rsidRDefault="00B33542" w:rsidP="009B7AF5">
            <w:pPr>
              <w:pStyle w:val="Tabletext"/>
            </w:pPr>
            <w:r w:rsidRPr="005071A1">
              <w:t>0.22</w:t>
            </w:r>
          </w:p>
        </w:tc>
      </w:tr>
      <w:tr w:rsidR="00B33542" w:rsidRPr="005071A1" w14:paraId="5901D675" w14:textId="77777777" w:rsidTr="009B7AF5">
        <w:tc>
          <w:tcPr>
            <w:tcW w:w="1824" w:type="dxa"/>
            <w:shd w:val="clear" w:color="auto" w:fill="auto"/>
          </w:tcPr>
          <w:p w14:paraId="3A2ABD2C" w14:textId="77777777" w:rsidR="00B33542" w:rsidRPr="005071A1" w:rsidRDefault="00B33542" w:rsidP="009B7AF5">
            <w:pPr>
              <w:pStyle w:val="Tabletext"/>
            </w:pPr>
            <w:r w:rsidRPr="005071A1">
              <w:t>48</w:t>
            </w:r>
          </w:p>
        </w:tc>
        <w:tc>
          <w:tcPr>
            <w:tcW w:w="1824" w:type="dxa"/>
            <w:shd w:val="clear" w:color="auto" w:fill="auto"/>
          </w:tcPr>
          <w:p w14:paraId="14A813B5" w14:textId="77777777" w:rsidR="00B33542" w:rsidRPr="005071A1" w:rsidRDefault="00B33542" w:rsidP="009B7AF5">
            <w:pPr>
              <w:pStyle w:val="Tabletext"/>
            </w:pPr>
            <w:r w:rsidRPr="005071A1">
              <w:t>0.28</w:t>
            </w:r>
          </w:p>
        </w:tc>
        <w:tc>
          <w:tcPr>
            <w:tcW w:w="1824" w:type="dxa"/>
            <w:shd w:val="clear" w:color="auto" w:fill="auto"/>
          </w:tcPr>
          <w:p w14:paraId="0F08CE9D" w14:textId="77777777" w:rsidR="00B33542" w:rsidRPr="005071A1" w:rsidRDefault="00B33542" w:rsidP="009B7AF5">
            <w:pPr>
              <w:pStyle w:val="Tabletext"/>
            </w:pPr>
            <w:r w:rsidRPr="005071A1">
              <w:t>0.11</w:t>
            </w:r>
          </w:p>
        </w:tc>
        <w:tc>
          <w:tcPr>
            <w:tcW w:w="1824" w:type="dxa"/>
            <w:shd w:val="clear" w:color="auto" w:fill="auto"/>
          </w:tcPr>
          <w:p w14:paraId="5FEB17ED" w14:textId="77777777" w:rsidR="00B33542" w:rsidRPr="005071A1" w:rsidRDefault="00B33542" w:rsidP="009B7AF5">
            <w:pPr>
              <w:pStyle w:val="Tabletext"/>
            </w:pPr>
            <w:r w:rsidRPr="005071A1">
              <w:t>0.22</w:t>
            </w:r>
          </w:p>
        </w:tc>
      </w:tr>
      <w:tr w:rsidR="00B33542" w:rsidRPr="005071A1" w14:paraId="18476455" w14:textId="77777777" w:rsidTr="009B7AF5">
        <w:tc>
          <w:tcPr>
            <w:tcW w:w="1824" w:type="dxa"/>
            <w:shd w:val="clear" w:color="auto" w:fill="auto"/>
          </w:tcPr>
          <w:p w14:paraId="368D2DE8" w14:textId="77777777" w:rsidR="00B33542" w:rsidRPr="005071A1" w:rsidRDefault="00B33542" w:rsidP="009B7AF5">
            <w:pPr>
              <w:pStyle w:val="Tabletext"/>
            </w:pPr>
            <w:r w:rsidRPr="005071A1">
              <w:t>49</w:t>
            </w:r>
          </w:p>
        </w:tc>
        <w:tc>
          <w:tcPr>
            <w:tcW w:w="1824" w:type="dxa"/>
            <w:shd w:val="clear" w:color="auto" w:fill="auto"/>
          </w:tcPr>
          <w:p w14:paraId="6126EA3B" w14:textId="77777777" w:rsidR="00B33542" w:rsidRPr="005071A1" w:rsidRDefault="00B33542" w:rsidP="009B7AF5">
            <w:pPr>
              <w:pStyle w:val="Tabletext"/>
            </w:pPr>
            <w:r w:rsidRPr="005071A1">
              <w:t>0.30</w:t>
            </w:r>
          </w:p>
        </w:tc>
        <w:tc>
          <w:tcPr>
            <w:tcW w:w="1824" w:type="dxa"/>
            <w:shd w:val="clear" w:color="auto" w:fill="auto"/>
          </w:tcPr>
          <w:p w14:paraId="2CF4C82E" w14:textId="77777777" w:rsidR="00B33542" w:rsidRPr="005071A1" w:rsidRDefault="00B33542" w:rsidP="009B7AF5">
            <w:pPr>
              <w:pStyle w:val="Tabletext"/>
            </w:pPr>
            <w:r w:rsidRPr="005071A1">
              <w:t>0.12</w:t>
            </w:r>
          </w:p>
        </w:tc>
        <w:tc>
          <w:tcPr>
            <w:tcW w:w="1824" w:type="dxa"/>
            <w:shd w:val="clear" w:color="auto" w:fill="auto"/>
          </w:tcPr>
          <w:p w14:paraId="45B05205" w14:textId="77777777" w:rsidR="00B33542" w:rsidRPr="005071A1" w:rsidRDefault="00B33542" w:rsidP="009B7AF5">
            <w:pPr>
              <w:pStyle w:val="Tabletext"/>
            </w:pPr>
            <w:r w:rsidRPr="005071A1">
              <w:t>0.24</w:t>
            </w:r>
          </w:p>
        </w:tc>
      </w:tr>
      <w:tr w:rsidR="00B33542" w:rsidRPr="005071A1" w14:paraId="346AF1B2" w14:textId="77777777" w:rsidTr="009B7AF5">
        <w:tc>
          <w:tcPr>
            <w:tcW w:w="1824" w:type="dxa"/>
            <w:shd w:val="clear" w:color="auto" w:fill="auto"/>
          </w:tcPr>
          <w:p w14:paraId="05E0D48B" w14:textId="77777777" w:rsidR="00B33542" w:rsidRPr="005071A1" w:rsidRDefault="00B33542" w:rsidP="009B7AF5">
            <w:pPr>
              <w:pStyle w:val="Tabletext"/>
            </w:pPr>
            <w:r w:rsidRPr="005071A1">
              <w:t>50</w:t>
            </w:r>
          </w:p>
        </w:tc>
        <w:tc>
          <w:tcPr>
            <w:tcW w:w="1824" w:type="dxa"/>
            <w:shd w:val="clear" w:color="auto" w:fill="auto"/>
          </w:tcPr>
          <w:p w14:paraId="1D468CCC" w14:textId="77777777" w:rsidR="00B33542" w:rsidRPr="005071A1" w:rsidRDefault="00B33542" w:rsidP="009B7AF5">
            <w:pPr>
              <w:pStyle w:val="Tabletext"/>
            </w:pPr>
            <w:r w:rsidRPr="005071A1">
              <w:t>0.34</w:t>
            </w:r>
          </w:p>
        </w:tc>
        <w:tc>
          <w:tcPr>
            <w:tcW w:w="1824" w:type="dxa"/>
            <w:shd w:val="clear" w:color="auto" w:fill="auto"/>
          </w:tcPr>
          <w:p w14:paraId="36943FB5" w14:textId="77777777" w:rsidR="00B33542" w:rsidRPr="005071A1" w:rsidRDefault="00B33542" w:rsidP="009B7AF5">
            <w:pPr>
              <w:pStyle w:val="Tabletext"/>
            </w:pPr>
            <w:r w:rsidRPr="005071A1">
              <w:t>0.14</w:t>
            </w:r>
          </w:p>
        </w:tc>
        <w:tc>
          <w:tcPr>
            <w:tcW w:w="1824" w:type="dxa"/>
            <w:shd w:val="clear" w:color="auto" w:fill="auto"/>
          </w:tcPr>
          <w:p w14:paraId="705CD52C" w14:textId="77777777" w:rsidR="00B33542" w:rsidRPr="005071A1" w:rsidRDefault="00B33542" w:rsidP="009B7AF5">
            <w:pPr>
              <w:pStyle w:val="Tabletext"/>
            </w:pPr>
            <w:r w:rsidRPr="005071A1">
              <w:t>0.28</w:t>
            </w:r>
          </w:p>
        </w:tc>
      </w:tr>
      <w:tr w:rsidR="00B33542" w:rsidRPr="005071A1" w14:paraId="40B29B2B" w14:textId="77777777" w:rsidTr="009B7AF5">
        <w:tc>
          <w:tcPr>
            <w:tcW w:w="1824" w:type="dxa"/>
            <w:shd w:val="clear" w:color="auto" w:fill="auto"/>
          </w:tcPr>
          <w:p w14:paraId="05C7051F" w14:textId="77777777" w:rsidR="00B33542" w:rsidRPr="005071A1" w:rsidRDefault="00B33542" w:rsidP="009B7AF5">
            <w:pPr>
              <w:pStyle w:val="Tabletext"/>
            </w:pPr>
            <w:r w:rsidRPr="005071A1">
              <w:t>51</w:t>
            </w:r>
          </w:p>
        </w:tc>
        <w:tc>
          <w:tcPr>
            <w:tcW w:w="1824" w:type="dxa"/>
            <w:shd w:val="clear" w:color="auto" w:fill="auto"/>
          </w:tcPr>
          <w:p w14:paraId="3F1C265E" w14:textId="77777777" w:rsidR="00B33542" w:rsidRPr="005071A1" w:rsidRDefault="00B33542" w:rsidP="009B7AF5">
            <w:pPr>
              <w:pStyle w:val="Tabletext"/>
            </w:pPr>
            <w:r w:rsidRPr="005071A1">
              <w:t>0.36</w:t>
            </w:r>
          </w:p>
        </w:tc>
        <w:tc>
          <w:tcPr>
            <w:tcW w:w="1824" w:type="dxa"/>
            <w:shd w:val="clear" w:color="auto" w:fill="auto"/>
          </w:tcPr>
          <w:p w14:paraId="35F8AF27" w14:textId="77777777" w:rsidR="00B33542" w:rsidRPr="005071A1" w:rsidRDefault="00B33542" w:rsidP="009B7AF5">
            <w:pPr>
              <w:pStyle w:val="Tabletext"/>
            </w:pPr>
            <w:r w:rsidRPr="005071A1">
              <w:t>0.15</w:t>
            </w:r>
          </w:p>
        </w:tc>
        <w:tc>
          <w:tcPr>
            <w:tcW w:w="1824" w:type="dxa"/>
            <w:shd w:val="clear" w:color="auto" w:fill="auto"/>
          </w:tcPr>
          <w:p w14:paraId="20643E31" w14:textId="77777777" w:rsidR="00B33542" w:rsidRPr="005071A1" w:rsidRDefault="00B33542" w:rsidP="009B7AF5">
            <w:pPr>
              <w:pStyle w:val="Tabletext"/>
            </w:pPr>
            <w:r w:rsidRPr="005071A1">
              <w:t>0.30</w:t>
            </w:r>
          </w:p>
        </w:tc>
      </w:tr>
      <w:tr w:rsidR="00B33542" w:rsidRPr="005071A1" w14:paraId="7F591762" w14:textId="77777777" w:rsidTr="009B7AF5">
        <w:tc>
          <w:tcPr>
            <w:tcW w:w="1824" w:type="dxa"/>
            <w:shd w:val="clear" w:color="auto" w:fill="auto"/>
          </w:tcPr>
          <w:p w14:paraId="1EF79165" w14:textId="77777777" w:rsidR="00B33542" w:rsidRPr="005071A1" w:rsidRDefault="00B33542" w:rsidP="009B7AF5">
            <w:pPr>
              <w:pStyle w:val="Tabletext"/>
            </w:pPr>
            <w:r w:rsidRPr="005071A1">
              <w:t>52</w:t>
            </w:r>
          </w:p>
        </w:tc>
        <w:tc>
          <w:tcPr>
            <w:tcW w:w="1824" w:type="dxa"/>
            <w:shd w:val="clear" w:color="auto" w:fill="auto"/>
          </w:tcPr>
          <w:p w14:paraId="1A91A231" w14:textId="77777777" w:rsidR="00B33542" w:rsidRPr="005071A1" w:rsidRDefault="00B33542" w:rsidP="009B7AF5">
            <w:pPr>
              <w:pStyle w:val="Tabletext"/>
            </w:pPr>
            <w:r w:rsidRPr="005071A1">
              <w:t>0.40</w:t>
            </w:r>
          </w:p>
        </w:tc>
        <w:tc>
          <w:tcPr>
            <w:tcW w:w="1824" w:type="dxa"/>
            <w:shd w:val="clear" w:color="auto" w:fill="auto"/>
          </w:tcPr>
          <w:p w14:paraId="6007E4C0" w14:textId="77777777" w:rsidR="00B33542" w:rsidRPr="005071A1" w:rsidRDefault="00B33542" w:rsidP="009B7AF5">
            <w:pPr>
              <w:pStyle w:val="Tabletext"/>
            </w:pPr>
            <w:r w:rsidRPr="005071A1">
              <w:t>0.17</w:t>
            </w:r>
          </w:p>
        </w:tc>
        <w:tc>
          <w:tcPr>
            <w:tcW w:w="1824" w:type="dxa"/>
            <w:shd w:val="clear" w:color="auto" w:fill="auto"/>
          </w:tcPr>
          <w:p w14:paraId="29DF875F" w14:textId="77777777" w:rsidR="00B33542" w:rsidRPr="005071A1" w:rsidRDefault="00B33542" w:rsidP="009B7AF5">
            <w:pPr>
              <w:pStyle w:val="Tabletext"/>
            </w:pPr>
            <w:r w:rsidRPr="005071A1">
              <w:t>0.34</w:t>
            </w:r>
          </w:p>
        </w:tc>
      </w:tr>
      <w:tr w:rsidR="00B33542" w:rsidRPr="005071A1" w14:paraId="22B57B0C" w14:textId="77777777" w:rsidTr="009B7AF5">
        <w:tc>
          <w:tcPr>
            <w:tcW w:w="1824" w:type="dxa"/>
            <w:shd w:val="clear" w:color="auto" w:fill="auto"/>
          </w:tcPr>
          <w:p w14:paraId="17E2FC92" w14:textId="77777777" w:rsidR="00B33542" w:rsidRPr="005071A1" w:rsidRDefault="00B33542" w:rsidP="009B7AF5">
            <w:pPr>
              <w:pStyle w:val="Tabletext"/>
            </w:pPr>
            <w:r w:rsidRPr="005071A1">
              <w:t>53</w:t>
            </w:r>
          </w:p>
        </w:tc>
        <w:tc>
          <w:tcPr>
            <w:tcW w:w="1824" w:type="dxa"/>
            <w:shd w:val="clear" w:color="auto" w:fill="auto"/>
          </w:tcPr>
          <w:p w14:paraId="7A002B27" w14:textId="77777777" w:rsidR="00B33542" w:rsidRPr="005071A1" w:rsidRDefault="00B33542" w:rsidP="009B7AF5">
            <w:pPr>
              <w:pStyle w:val="Tabletext"/>
            </w:pPr>
            <w:r w:rsidRPr="005071A1">
              <w:t>0.46</w:t>
            </w:r>
          </w:p>
        </w:tc>
        <w:tc>
          <w:tcPr>
            <w:tcW w:w="1824" w:type="dxa"/>
            <w:shd w:val="clear" w:color="auto" w:fill="auto"/>
          </w:tcPr>
          <w:p w14:paraId="73846742" w14:textId="77777777" w:rsidR="00B33542" w:rsidRPr="005071A1" w:rsidRDefault="00B33542" w:rsidP="009B7AF5">
            <w:pPr>
              <w:pStyle w:val="Tabletext"/>
            </w:pPr>
            <w:r w:rsidRPr="005071A1">
              <w:t>0.20</w:t>
            </w:r>
          </w:p>
        </w:tc>
        <w:tc>
          <w:tcPr>
            <w:tcW w:w="1824" w:type="dxa"/>
            <w:shd w:val="clear" w:color="auto" w:fill="auto"/>
          </w:tcPr>
          <w:p w14:paraId="397A44FD" w14:textId="77777777" w:rsidR="00B33542" w:rsidRPr="005071A1" w:rsidRDefault="00B33542" w:rsidP="009B7AF5">
            <w:pPr>
              <w:pStyle w:val="Tabletext"/>
            </w:pPr>
            <w:r w:rsidRPr="005071A1">
              <w:t>0.40</w:t>
            </w:r>
          </w:p>
        </w:tc>
      </w:tr>
      <w:tr w:rsidR="00B33542" w:rsidRPr="005071A1" w14:paraId="596051A3" w14:textId="77777777" w:rsidTr="009B7AF5">
        <w:tc>
          <w:tcPr>
            <w:tcW w:w="1824" w:type="dxa"/>
            <w:shd w:val="clear" w:color="auto" w:fill="auto"/>
          </w:tcPr>
          <w:p w14:paraId="273E4CBC" w14:textId="77777777" w:rsidR="00B33542" w:rsidRPr="005071A1" w:rsidRDefault="00B33542" w:rsidP="009B7AF5">
            <w:pPr>
              <w:pStyle w:val="Tabletext"/>
            </w:pPr>
            <w:r w:rsidRPr="005071A1">
              <w:lastRenderedPageBreak/>
              <w:t>54</w:t>
            </w:r>
          </w:p>
        </w:tc>
        <w:tc>
          <w:tcPr>
            <w:tcW w:w="1824" w:type="dxa"/>
            <w:shd w:val="clear" w:color="auto" w:fill="auto"/>
          </w:tcPr>
          <w:p w14:paraId="1C1285D1" w14:textId="77777777" w:rsidR="00B33542" w:rsidRPr="005071A1" w:rsidRDefault="00B33542" w:rsidP="009B7AF5">
            <w:pPr>
              <w:pStyle w:val="Tabletext"/>
            </w:pPr>
            <w:r w:rsidRPr="005071A1">
              <w:t>0.54</w:t>
            </w:r>
          </w:p>
        </w:tc>
        <w:tc>
          <w:tcPr>
            <w:tcW w:w="1824" w:type="dxa"/>
            <w:shd w:val="clear" w:color="auto" w:fill="auto"/>
          </w:tcPr>
          <w:p w14:paraId="0DA45B46" w14:textId="77777777" w:rsidR="00B33542" w:rsidRPr="005071A1" w:rsidRDefault="00B33542" w:rsidP="009B7AF5">
            <w:pPr>
              <w:pStyle w:val="Tabletext"/>
            </w:pPr>
            <w:r w:rsidRPr="005071A1">
              <w:t>0.24</w:t>
            </w:r>
          </w:p>
        </w:tc>
        <w:tc>
          <w:tcPr>
            <w:tcW w:w="1824" w:type="dxa"/>
            <w:shd w:val="clear" w:color="auto" w:fill="auto"/>
          </w:tcPr>
          <w:p w14:paraId="754E56AE" w14:textId="77777777" w:rsidR="00B33542" w:rsidRPr="005071A1" w:rsidRDefault="00B33542" w:rsidP="009B7AF5">
            <w:pPr>
              <w:pStyle w:val="Tabletext"/>
            </w:pPr>
            <w:r w:rsidRPr="005071A1">
              <w:t>0.48</w:t>
            </w:r>
          </w:p>
        </w:tc>
      </w:tr>
      <w:tr w:rsidR="00B33542" w:rsidRPr="005071A1" w14:paraId="7DD1A397" w14:textId="77777777" w:rsidTr="009B7AF5">
        <w:tc>
          <w:tcPr>
            <w:tcW w:w="1824" w:type="dxa"/>
            <w:shd w:val="clear" w:color="auto" w:fill="auto"/>
          </w:tcPr>
          <w:p w14:paraId="5F28C0F1" w14:textId="77777777" w:rsidR="00B33542" w:rsidRPr="005071A1" w:rsidRDefault="00B33542" w:rsidP="009B7AF5">
            <w:pPr>
              <w:pStyle w:val="Tabletext"/>
            </w:pPr>
            <w:r w:rsidRPr="005071A1">
              <w:t>55</w:t>
            </w:r>
          </w:p>
        </w:tc>
        <w:tc>
          <w:tcPr>
            <w:tcW w:w="1824" w:type="dxa"/>
            <w:shd w:val="clear" w:color="auto" w:fill="auto"/>
          </w:tcPr>
          <w:p w14:paraId="397EB884" w14:textId="77777777" w:rsidR="00B33542" w:rsidRPr="005071A1" w:rsidRDefault="00B33542" w:rsidP="009B7AF5">
            <w:pPr>
              <w:pStyle w:val="Tabletext"/>
            </w:pPr>
            <w:r w:rsidRPr="005071A1">
              <w:t>0.62</w:t>
            </w:r>
          </w:p>
        </w:tc>
        <w:tc>
          <w:tcPr>
            <w:tcW w:w="1824" w:type="dxa"/>
            <w:shd w:val="clear" w:color="auto" w:fill="auto"/>
          </w:tcPr>
          <w:p w14:paraId="4D79670F" w14:textId="77777777" w:rsidR="00B33542" w:rsidRPr="005071A1" w:rsidRDefault="00B33542" w:rsidP="009B7AF5">
            <w:pPr>
              <w:pStyle w:val="Tabletext"/>
            </w:pPr>
            <w:r w:rsidRPr="005071A1">
              <w:t>0.28</w:t>
            </w:r>
          </w:p>
        </w:tc>
        <w:tc>
          <w:tcPr>
            <w:tcW w:w="1824" w:type="dxa"/>
            <w:shd w:val="clear" w:color="auto" w:fill="auto"/>
          </w:tcPr>
          <w:p w14:paraId="457392C0" w14:textId="77777777" w:rsidR="00B33542" w:rsidRPr="005071A1" w:rsidRDefault="00B33542" w:rsidP="009B7AF5">
            <w:pPr>
              <w:pStyle w:val="Tabletext"/>
            </w:pPr>
            <w:r w:rsidRPr="005071A1">
              <w:t>0.56</w:t>
            </w:r>
          </w:p>
        </w:tc>
      </w:tr>
      <w:tr w:rsidR="00B33542" w:rsidRPr="005071A1" w14:paraId="418FDB86" w14:textId="77777777" w:rsidTr="009B7AF5">
        <w:tc>
          <w:tcPr>
            <w:tcW w:w="1824" w:type="dxa"/>
            <w:shd w:val="clear" w:color="auto" w:fill="auto"/>
          </w:tcPr>
          <w:p w14:paraId="6E7DE1DF" w14:textId="77777777" w:rsidR="00B33542" w:rsidRPr="005071A1" w:rsidRDefault="00B33542" w:rsidP="009B7AF5">
            <w:pPr>
              <w:pStyle w:val="Tabletext"/>
            </w:pPr>
            <w:r w:rsidRPr="005071A1">
              <w:t>56</w:t>
            </w:r>
          </w:p>
        </w:tc>
        <w:tc>
          <w:tcPr>
            <w:tcW w:w="1824" w:type="dxa"/>
            <w:shd w:val="clear" w:color="auto" w:fill="auto"/>
          </w:tcPr>
          <w:p w14:paraId="6E4F1854" w14:textId="77777777" w:rsidR="00B33542" w:rsidRPr="005071A1" w:rsidRDefault="00B33542" w:rsidP="009B7AF5">
            <w:pPr>
              <w:pStyle w:val="Tabletext"/>
            </w:pPr>
            <w:r w:rsidRPr="005071A1">
              <w:t>0.74</w:t>
            </w:r>
          </w:p>
        </w:tc>
        <w:tc>
          <w:tcPr>
            <w:tcW w:w="1824" w:type="dxa"/>
            <w:shd w:val="clear" w:color="auto" w:fill="auto"/>
          </w:tcPr>
          <w:p w14:paraId="6B653324" w14:textId="77777777" w:rsidR="00B33542" w:rsidRPr="005071A1" w:rsidRDefault="00B33542" w:rsidP="009B7AF5">
            <w:pPr>
              <w:pStyle w:val="Tabletext"/>
            </w:pPr>
            <w:r w:rsidRPr="005071A1">
              <w:t>0.34</w:t>
            </w:r>
          </w:p>
        </w:tc>
        <w:tc>
          <w:tcPr>
            <w:tcW w:w="1824" w:type="dxa"/>
            <w:shd w:val="clear" w:color="auto" w:fill="auto"/>
          </w:tcPr>
          <w:p w14:paraId="2467EA2F" w14:textId="77777777" w:rsidR="00B33542" w:rsidRPr="005071A1" w:rsidRDefault="00B33542" w:rsidP="009B7AF5">
            <w:pPr>
              <w:pStyle w:val="Tabletext"/>
            </w:pPr>
            <w:r w:rsidRPr="005071A1">
              <w:t>0.68</w:t>
            </w:r>
          </w:p>
        </w:tc>
      </w:tr>
      <w:tr w:rsidR="00B33542" w:rsidRPr="005071A1" w14:paraId="1D7CD9DC" w14:textId="77777777" w:rsidTr="009B7AF5">
        <w:tc>
          <w:tcPr>
            <w:tcW w:w="1824" w:type="dxa"/>
            <w:shd w:val="clear" w:color="auto" w:fill="auto"/>
          </w:tcPr>
          <w:p w14:paraId="46E58456" w14:textId="77777777" w:rsidR="00B33542" w:rsidRPr="005071A1" w:rsidRDefault="00B33542" w:rsidP="009B7AF5">
            <w:pPr>
              <w:pStyle w:val="Tabletext"/>
            </w:pPr>
            <w:r w:rsidRPr="005071A1">
              <w:t>57</w:t>
            </w:r>
          </w:p>
        </w:tc>
        <w:tc>
          <w:tcPr>
            <w:tcW w:w="1824" w:type="dxa"/>
            <w:shd w:val="clear" w:color="auto" w:fill="auto"/>
          </w:tcPr>
          <w:p w14:paraId="6E12BD38" w14:textId="77777777" w:rsidR="00B33542" w:rsidRPr="005071A1" w:rsidRDefault="00B33542" w:rsidP="009B7AF5">
            <w:pPr>
              <w:pStyle w:val="Tabletext"/>
            </w:pPr>
            <w:r w:rsidRPr="005071A1">
              <w:t>0.98</w:t>
            </w:r>
          </w:p>
        </w:tc>
        <w:tc>
          <w:tcPr>
            <w:tcW w:w="1824" w:type="dxa"/>
            <w:shd w:val="clear" w:color="auto" w:fill="auto"/>
          </w:tcPr>
          <w:p w14:paraId="5FF1EF59" w14:textId="77777777" w:rsidR="00B33542" w:rsidRPr="005071A1" w:rsidRDefault="00B33542" w:rsidP="009B7AF5">
            <w:pPr>
              <w:pStyle w:val="Tabletext"/>
            </w:pPr>
            <w:r w:rsidRPr="005071A1">
              <w:t>0.45</w:t>
            </w:r>
          </w:p>
        </w:tc>
        <w:tc>
          <w:tcPr>
            <w:tcW w:w="1824" w:type="dxa"/>
            <w:shd w:val="clear" w:color="auto" w:fill="auto"/>
          </w:tcPr>
          <w:p w14:paraId="5F7819A6" w14:textId="77777777" w:rsidR="00B33542" w:rsidRPr="005071A1" w:rsidRDefault="00B33542" w:rsidP="009B7AF5">
            <w:pPr>
              <w:pStyle w:val="Tabletext"/>
            </w:pPr>
            <w:r w:rsidRPr="005071A1">
              <w:t>0.90</w:t>
            </w:r>
          </w:p>
        </w:tc>
      </w:tr>
      <w:tr w:rsidR="00B33542" w:rsidRPr="005071A1" w14:paraId="734C5157" w14:textId="77777777" w:rsidTr="009B7AF5">
        <w:tc>
          <w:tcPr>
            <w:tcW w:w="1824" w:type="dxa"/>
            <w:shd w:val="clear" w:color="auto" w:fill="auto"/>
          </w:tcPr>
          <w:p w14:paraId="59BE9D9E" w14:textId="77777777" w:rsidR="00B33542" w:rsidRPr="005071A1" w:rsidRDefault="00B33542" w:rsidP="009B7AF5">
            <w:pPr>
              <w:pStyle w:val="Tabletext"/>
            </w:pPr>
            <w:r w:rsidRPr="005071A1">
              <w:t>58</w:t>
            </w:r>
          </w:p>
        </w:tc>
        <w:tc>
          <w:tcPr>
            <w:tcW w:w="1824" w:type="dxa"/>
            <w:shd w:val="clear" w:color="auto" w:fill="auto"/>
          </w:tcPr>
          <w:p w14:paraId="00B1A84B" w14:textId="77777777" w:rsidR="00B33542" w:rsidRPr="005071A1" w:rsidRDefault="00B33542" w:rsidP="009B7AF5">
            <w:pPr>
              <w:pStyle w:val="Tabletext"/>
            </w:pPr>
            <w:r w:rsidRPr="005071A1">
              <w:t>1.44</w:t>
            </w:r>
          </w:p>
        </w:tc>
        <w:tc>
          <w:tcPr>
            <w:tcW w:w="1824" w:type="dxa"/>
            <w:shd w:val="clear" w:color="auto" w:fill="auto"/>
          </w:tcPr>
          <w:p w14:paraId="3A91FC52" w14:textId="77777777" w:rsidR="00B33542" w:rsidRPr="005071A1" w:rsidRDefault="00B33542" w:rsidP="009B7AF5">
            <w:pPr>
              <w:pStyle w:val="Tabletext"/>
            </w:pPr>
            <w:r w:rsidRPr="005071A1">
              <w:t>0.67</w:t>
            </w:r>
          </w:p>
        </w:tc>
        <w:tc>
          <w:tcPr>
            <w:tcW w:w="1824" w:type="dxa"/>
            <w:shd w:val="clear" w:color="auto" w:fill="auto"/>
          </w:tcPr>
          <w:p w14:paraId="0D899CAD" w14:textId="77777777" w:rsidR="00B33542" w:rsidRPr="005071A1" w:rsidRDefault="00B33542" w:rsidP="009B7AF5">
            <w:pPr>
              <w:pStyle w:val="Tabletext"/>
            </w:pPr>
            <w:r w:rsidRPr="005071A1">
              <w:t>1.34</w:t>
            </w:r>
          </w:p>
        </w:tc>
      </w:tr>
      <w:tr w:rsidR="00B33542" w:rsidRPr="005071A1" w14:paraId="0C8564C8" w14:textId="77777777" w:rsidTr="009B7AF5">
        <w:tc>
          <w:tcPr>
            <w:tcW w:w="1824" w:type="dxa"/>
            <w:tcBorders>
              <w:bottom w:val="single" w:sz="4" w:space="0" w:color="auto"/>
            </w:tcBorders>
            <w:shd w:val="clear" w:color="auto" w:fill="auto"/>
          </w:tcPr>
          <w:p w14:paraId="51D97529" w14:textId="77777777" w:rsidR="00B33542" w:rsidRPr="005071A1" w:rsidRDefault="00B33542" w:rsidP="009B7AF5">
            <w:pPr>
              <w:pStyle w:val="Tabletext"/>
            </w:pPr>
            <w:r w:rsidRPr="005071A1">
              <w:t>59</w:t>
            </w:r>
          </w:p>
        </w:tc>
        <w:tc>
          <w:tcPr>
            <w:tcW w:w="1824" w:type="dxa"/>
            <w:tcBorders>
              <w:bottom w:val="single" w:sz="4" w:space="0" w:color="auto"/>
            </w:tcBorders>
            <w:shd w:val="clear" w:color="auto" w:fill="auto"/>
          </w:tcPr>
          <w:p w14:paraId="1E7077CB" w14:textId="77777777" w:rsidR="00B33542" w:rsidRPr="005071A1" w:rsidRDefault="00B33542" w:rsidP="009B7AF5">
            <w:pPr>
              <w:pStyle w:val="Tabletext"/>
            </w:pPr>
            <w:r w:rsidRPr="005071A1">
              <w:t>2.90</w:t>
            </w:r>
          </w:p>
        </w:tc>
        <w:tc>
          <w:tcPr>
            <w:tcW w:w="1824" w:type="dxa"/>
            <w:tcBorders>
              <w:bottom w:val="single" w:sz="4" w:space="0" w:color="auto"/>
            </w:tcBorders>
            <w:shd w:val="clear" w:color="auto" w:fill="auto"/>
          </w:tcPr>
          <w:p w14:paraId="5BB06EAD" w14:textId="77777777" w:rsidR="00B33542" w:rsidRPr="005071A1" w:rsidRDefault="00B33542" w:rsidP="009B7AF5">
            <w:pPr>
              <w:pStyle w:val="Tabletext"/>
            </w:pPr>
            <w:r w:rsidRPr="005071A1">
              <w:t>1.37</w:t>
            </w:r>
          </w:p>
        </w:tc>
        <w:tc>
          <w:tcPr>
            <w:tcW w:w="1824" w:type="dxa"/>
            <w:tcBorders>
              <w:bottom w:val="single" w:sz="4" w:space="0" w:color="auto"/>
            </w:tcBorders>
            <w:shd w:val="clear" w:color="auto" w:fill="auto"/>
          </w:tcPr>
          <w:p w14:paraId="1A92CB13" w14:textId="77777777" w:rsidR="00B33542" w:rsidRPr="005071A1" w:rsidRDefault="00B33542" w:rsidP="009B7AF5">
            <w:pPr>
              <w:pStyle w:val="Tabletext"/>
            </w:pPr>
            <w:r w:rsidRPr="005071A1">
              <w:t>2.74</w:t>
            </w:r>
          </w:p>
        </w:tc>
      </w:tr>
      <w:tr w:rsidR="00B33542" w:rsidRPr="005071A1" w14:paraId="14769318" w14:textId="77777777" w:rsidTr="009B7AF5">
        <w:tc>
          <w:tcPr>
            <w:tcW w:w="1824" w:type="dxa"/>
            <w:tcBorders>
              <w:bottom w:val="single" w:sz="12" w:space="0" w:color="auto"/>
            </w:tcBorders>
            <w:shd w:val="clear" w:color="auto" w:fill="auto"/>
          </w:tcPr>
          <w:p w14:paraId="74780E11" w14:textId="77777777" w:rsidR="00B33542" w:rsidRPr="005071A1" w:rsidRDefault="00B33542" w:rsidP="009B7AF5">
            <w:pPr>
              <w:pStyle w:val="Tabletext"/>
            </w:pPr>
            <w:r w:rsidRPr="005071A1">
              <w:t>60</w:t>
            </w:r>
          </w:p>
        </w:tc>
        <w:tc>
          <w:tcPr>
            <w:tcW w:w="1824" w:type="dxa"/>
            <w:tcBorders>
              <w:bottom w:val="single" w:sz="12" w:space="0" w:color="auto"/>
            </w:tcBorders>
            <w:shd w:val="clear" w:color="auto" w:fill="auto"/>
          </w:tcPr>
          <w:p w14:paraId="3CC091F8" w14:textId="77777777" w:rsidR="00B33542" w:rsidRPr="005071A1" w:rsidRDefault="00B33542" w:rsidP="009B7AF5">
            <w:pPr>
              <w:pStyle w:val="Tabletext"/>
            </w:pPr>
            <w:r w:rsidRPr="005071A1">
              <w:t>2.56</w:t>
            </w:r>
          </w:p>
        </w:tc>
        <w:tc>
          <w:tcPr>
            <w:tcW w:w="1824" w:type="dxa"/>
            <w:tcBorders>
              <w:bottom w:val="single" w:sz="12" w:space="0" w:color="auto"/>
            </w:tcBorders>
            <w:shd w:val="clear" w:color="auto" w:fill="auto"/>
          </w:tcPr>
          <w:p w14:paraId="42ACB13C" w14:textId="77777777" w:rsidR="00B33542" w:rsidRPr="005071A1" w:rsidRDefault="00B33542" w:rsidP="009B7AF5">
            <w:pPr>
              <w:pStyle w:val="Tabletext"/>
            </w:pPr>
            <w:r w:rsidRPr="005071A1">
              <w:t>1.20</w:t>
            </w:r>
          </w:p>
        </w:tc>
        <w:tc>
          <w:tcPr>
            <w:tcW w:w="1824" w:type="dxa"/>
            <w:tcBorders>
              <w:bottom w:val="single" w:sz="12" w:space="0" w:color="auto"/>
            </w:tcBorders>
            <w:shd w:val="clear" w:color="auto" w:fill="auto"/>
          </w:tcPr>
          <w:p w14:paraId="761811FA" w14:textId="77777777" w:rsidR="00B33542" w:rsidRPr="005071A1" w:rsidRDefault="00B33542" w:rsidP="009B7AF5">
            <w:pPr>
              <w:pStyle w:val="Tabletext"/>
            </w:pPr>
            <w:r w:rsidRPr="005071A1">
              <w:t>2.40</w:t>
            </w:r>
          </w:p>
        </w:tc>
      </w:tr>
    </w:tbl>
    <w:p w14:paraId="23F5A928" w14:textId="77777777" w:rsidR="00B33542" w:rsidRPr="005071A1" w:rsidRDefault="00B33542" w:rsidP="00674A0D">
      <w:pPr>
        <w:pStyle w:val="ActHead5"/>
        <w:pageBreakBefore/>
      </w:pPr>
      <w:bookmarkStart w:id="316" w:name="_Toc185577698"/>
      <w:r w:rsidRPr="005071A1">
        <w:lastRenderedPageBreak/>
        <w:t>Table VI</w:t>
      </w:r>
      <w:bookmarkEnd w:id="316"/>
    </w:p>
    <w:p w14:paraId="2267282B" w14:textId="77777777" w:rsidR="00B33542" w:rsidRPr="005071A1" w:rsidRDefault="00B33542" w:rsidP="00B33542">
      <w:pPr>
        <w:spacing w:before="120"/>
      </w:pPr>
      <w:r w:rsidRPr="005071A1">
        <w:t xml:space="preserve">Reductions in fortnightly rates of contribution payable on or after </w:t>
      </w:r>
      <w:smartTag w:uri="urn:schemas-microsoft-com:office:smarttags" w:element="date">
        <w:smartTagPr>
          <w:attr w:name="Year" w:val="1962"/>
          <w:attr w:name="Day" w:val="1"/>
          <w:attr w:name="Month" w:val="7"/>
        </w:smartTagPr>
        <w:r w:rsidRPr="005071A1">
          <w:t>1st July, 1962</w:t>
        </w:r>
      </w:smartTag>
      <w:r w:rsidRPr="005071A1">
        <w:t xml:space="preserve">, by female contributors for units of pension where the obligation to contribute for those units existed on or before </w:t>
      </w:r>
      <w:smartTag w:uri="urn:schemas-microsoft-com:office:smarttags" w:element="date">
        <w:smartTagPr>
          <w:attr w:name="Year" w:val="1942"/>
          <w:attr w:name="Day" w:val="2"/>
          <w:attr w:name="Month" w:val="11"/>
        </w:smartTagPr>
        <w:r w:rsidRPr="005071A1">
          <w:t>2nd November, 1942</w:t>
        </w:r>
      </w:smartTag>
      <w:r w:rsidRPr="005071A1">
        <w:t>, based on a retiring age of 60 years and the age next birthday of the contributor when that obligation came into existence</w:t>
      </w:r>
    </w:p>
    <w:p w14:paraId="6A7CBBC8"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376"/>
        <w:gridCol w:w="2410"/>
        <w:gridCol w:w="2510"/>
      </w:tblGrid>
      <w:tr w:rsidR="00B33542" w:rsidRPr="005071A1" w14:paraId="5487936E" w14:textId="77777777" w:rsidTr="009B7AF5">
        <w:trPr>
          <w:tblHeader/>
        </w:trPr>
        <w:tc>
          <w:tcPr>
            <w:tcW w:w="2376" w:type="dxa"/>
            <w:tcBorders>
              <w:top w:val="single" w:sz="12" w:space="0" w:color="auto"/>
              <w:bottom w:val="single" w:sz="6" w:space="0" w:color="auto"/>
            </w:tcBorders>
            <w:shd w:val="clear" w:color="auto" w:fill="auto"/>
          </w:tcPr>
          <w:p w14:paraId="4E3CD068" w14:textId="77777777" w:rsidR="00B33542" w:rsidRPr="005071A1" w:rsidRDefault="00B33542" w:rsidP="009B7AF5">
            <w:pPr>
              <w:pStyle w:val="TableHeading"/>
            </w:pPr>
            <w:r w:rsidRPr="005071A1">
              <w:t>Column 1</w:t>
            </w:r>
          </w:p>
        </w:tc>
        <w:tc>
          <w:tcPr>
            <w:tcW w:w="2410" w:type="dxa"/>
            <w:tcBorders>
              <w:top w:val="single" w:sz="12" w:space="0" w:color="auto"/>
              <w:bottom w:val="single" w:sz="6" w:space="0" w:color="auto"/>
            </w:tcBorders>
            <w:shd w:val="clear" w:color="auto" w:fill="auto"/>
          </w:tcPr>
          <w:p w14:paraId="0E13FD13" w14:textId="77777777" w:rsidR="00B33542" w:rsidRPr="005071A1" w:rsidRDefault="00B33542" w:rsidP="009B7AF5">
            <w:pPr>
              <w:pStyle w:val="TableHeading"/>
            </w:pPr>
            <w:r w:rsidRPr="005071A1">
              <w:t>Column 2</w:t>
            </w:r>
          </w:p>
        </w:tc>
        <w:tc>
          <w:tcPr>
            <w:tcW w:w="2510" w:type="dxa"/>
            <w:tcBorders>
              <w:top w:val="single" w:sz="12" w:space="0" w:color="auto"/>
              <w:bottom w:val="single" w:sz="6" w:space="0" w:color="auto"/>
            </w:tcBorders>
            <w:shd w:val="clear" w:color="auto" w:fill="auto"/>
          </w:tcPr>
          <w:p w14:paraId="2FE08CD5" w14:textId="77777777" w:rsidR="00B33542" w:rsidRPr="005071A1" w:rsidRDefault="00B33542" w:rsidP="009B7AF5">
            <w:pPr>
              <w:pStyle w:val="TableHeading"/>
            </w:pPr>
            <w:r w:rsidRPr="005071A1">
              <w:t>Column 3</w:t>
            </w:r>
          </w:p>
        </w:tc>
      </w:tr>
      <w:tr w:rsidR="00B33542" w:rsidRPr="005071A1" w14:paraId="74548977" w14:textId="77777777" w:rsidTr="009B7AF5">
        <w:trPr>
          <w:tblHeader/>
        </w:trPr>
        <w:tc>
          <w:tcPr>
            <w:tcW w:w="2376" w:type="dxa"/>
            <w:tcBorders>
              <w:top w:val="single" w:sz="6" w:space="0" w:color="auto"/>
              <w:bottom w:val="single" w:sz="6" w:space="0" w:color="auto"/>
            </w:tcBorders>
            <w:shd w:val="clear" w:color="auto" w:fill="auto"/>
          </w:tcPr>
          <w:p w14:paraId="702FCACF"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2410" w:type="dxa"/>
            <w:tcBorders>
              <w:top w:val="single" w:sz="6" w:space="0" w:color="auto"/>
              <w:bottom w:val="single" w:sz="6" w:space="0" w:color="auto"/>
            </w:tcBorders>
            <w:shd w:val="clear" w:color="auto" w:fill="auto"/>
          </w:tcPr>
          <w:p w14:paraId="74845DF5"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t>Reduction in Contribution for First Two Units; and Reduction in Contribution for each Additional Two Units included in a number of Additional Units for which Contributor became liable to Contribute at the same time, excluding any Unit to which Column 3 of this Table applies</w:t>
            </w:r>
          </w:p>
        </w:tc>
        <w:tc>
          <w:tcPr>
            <w:tcW w:w="2510" w:type="dxa"/>
            <w:tcBorders>
              <w:top w:val="single" w:sz="6" w:space="0" w:color="auto"/>
              <w:bottom w:val="single" w:sz="6" w:space="0" w:color="auto"/>
            </w:tcBorders>
            <w:shd w:val="clear" w:color="auto" w:fill="auto"/>
          </w:tcPr>
          <w:p w14:paraId="15157C76" w14:textId="77777777" w:rsidR="00B33542" w:rsidRPr="005071A1" w:rsidRDefault="00B33542" w:rsidP="005C01B5">
            <w:pPr>
              <w:pStyle w:val="TableHeading"/>
              <w:spacing w:before="40" w:after="40" w:line="180" w:lineRule="atLeast"/>
              <w:rPr>
                <w:sz w:val="16"/>
                <w:szCs w:val="16"/>
              </w:rPr>
            </w:pPr>
            <w:r w:rsidRPr="005071A1">
              <w:rPr>
                <w:sz w:val="16"/>
                <w:szCs w:val="16"/>
              </w:rPr>
              <w:t>Reduction in Contribution for Additional Unit where Contributor did not become liable to Contribute for other Additional Units at the same time; and Reduction in Contribution for One of a number of Additional Units for which Contributor became liable to Contribute at the same time, being a number that is not two or a multiple of two</w:t>
            </w:r>
          </w:p>
        </w:tc>
      </w:tr>
      <w:tr w:rsidR="00B33542" w:rsidRPr="005071A1" w14:paraId="28185845" w14:textId="77777777" w:rsidTr="009B7AF5">
        <w:trPr>
          <w:tblHeader/>
        </w:trPr>
        <w:tc>
          <w:tcPr>
            <w:tcW w:w="2376" w:type="dxa"/>
            <w:tcBorders>
              <w:top w:val="single" w:sz="6" w:space="0" w:color="auto"/>
              <w:bottom w:val="single" w:sz="12" w:space="0" w:color="auto"/>
            </w:tcBorders>
            <w:shd w:val="clear" w:color="auto" w:fill="auto"/>
          </w:tcPr>
          <w:p w14:paraId="6A2A88D3" w14:textId="77777777" w:rsidR="00B33542" w:rsidRPr="005071A1" w:rsidRDefault="00B33542" w:rsidP="005C01B5">
            <w:pPr>
              <w:pStyle w:val="TableHeading"/>
            </w:pPr>
          </w:p>
        </w:tc>
        <w:tc>
          <w:tcPr>
            <w:tcW w:w="2410" w:type="dxa"/>
            <w:tcBorders>
              <w:top w:val="single" w:sz="6" w:space="0" w:color="auto"/>
              <w:bottom w:val="single" w:sz="12" w:space="0" w:color="auto"/>
            </w:tcBorders>
            <w:shd w:val="clear" w:color="auto" w:fill="auto"/>
          </w:tcPr>
          <w:p w14:paraId="7CCFE462" w14:textId="77777777" w:rsidR="00B33542" w:rsidRPr="005071A1" w:rsidRDefault="00B33542" w:rsidP="005C01B5">
            <w:pPr>
              <w:pStyle w:val="TableHeading"/>
            </w:pPr>
            <w:r w:rsidRPr="005071A1">
              <w:t>$</w:t>
            </w:r>
          </w:p>
        </w:tc>
        <w:tc>
          <w:tcPr>
            <w:tcW w:w="2510" w:type="dxa"/>
            <w:tcBorders>
              <w:top w:val="single" w:sz="6" w:space="0" w:color="auto"/>
              <w:bottom w:val="single" w:sz="12" w:space="0" w:color="auto"/>
            </w:tcBorders>
            <w:shd w:val="clear" w:color="auto" w:fill="auto"/>
          </w:tcPr>
          <w:p w14:paraId="4E798CB8" w14:textId="77777777" w:rsidR="00B33542" w:rsidRPr="005071A1" w:rsidRDefault="00B33542" w:rsidP="005C01B5">
            <w:pPr>
              <w:pStyle w:val="TableHeading"/>
            </w:pPr>
            <w:r w:rsidRPr="005071A1">
              <w:t>$</w:t>
            </w:r>
          </w:p>
        </w:tc>
      </w:tr>
      <w:tr w:rsidR="00B33542" w:rsidRPr="005071A1" w14:paraId="59750B52" w14:textId="77777777" w:rsidTr="009B7AF5">
        <w:tc>
          <w:tcPr>
            <w:tcW w:w="2376" w:type="dxa"/>
            <w:tcBorders>
              <w:top w:val="single" w:sz="12" w:space="0" w:color="auto"/>
            </w:tcBorders>
            <w:shd w:val="clear" w:color="auto" w:fill="auto"/>
          </w:tcPr>
          <w:p w14:paraId="48FF1859" w14:textId="77777777" w:rsidR="00B33542" w:rsidRPr="005071A1" w:rsidRDefault="00B33542" w:rsidP="009B7AF5">
            <w:pPr>
              <w:pStyle w:val="Tabletext"/>
            </w:pPr>
            <w:r w:rsidRPr="005071A1">
              <w:t>15</w:t>
            </w:r>
          </w:p>
        </w:tc>
        <w:tc>
          <w:tcPr>
            <w:tcW w:w="2410" w:type="dxa"/>
            <w:tcBorders>
              <w:top w:val="single" w:sz="12" w:space="0" w:color="auto"/>
            </w:tcBorders>
            <w:shd w:val="clear" w:color="auto" w:fill="auto"/>
          </w:tcPr>
          <w:p w14:paraId="7D55DA88" w14:textId="77777777" w:rsidR="00B33542" w:rsidRPr="005071A1" w:rsidRDefault="00B33542" w:rsidP="009B7AF5">
            <w:pPr>
              <w:pStyle w:val="Tabletext"/>
            </w:pPr>
            <w:r w:rsidRPr="005071A1">
              <w:t>0.06</w:t>
            </w:r>
          </w:p>
        </w:tc>
        <w:tc>
          <w:tcPr>
            <w:tcW w:w="2510" w:type="dxa"/>
            <w:tcBorders>
              <w:top w:val="single" w:sz="12" w:space="0" w:color="auto"/>
            </w:tcBorders>
            <w:shd w:val="clear" w:color="auto" w:fill="auto"/>
          </w:tcPr>
          <w:p w14:paraId="61AD8931" w14:textId="77777777" w:rsidR="00B33542" w:rsidRPr="005071A1" w:rsidRDefault="00B33542" w:rsidP="009B7AF5">
            <w:pPr>
              <w:pStyle w:val="Tabletext"/>
            </w:pPr>
            <w:r w:rsidRPr="005071A1">
              <w:t>0.03</w:t>
            </w:r>
          </w:p>
        </w:tc>
      </w:tr>
      <w:tr w:rsidR="00B33542" w:rsidRPr="005071A1" w14:paraId="63F8B84D" w14:textId="77777777" w:rsidTr="009B7AF5">
        <w:tc>
          <w:tcPr>
            <w:tcW w:w="2376" w:type="dxa"/>
            <w:shd w:val="clear" w:color="auto" w:fill="auto"/>
          </w:tcPr>
          <w:p w14:paraId="7A401F8E" w14:textId="77777777" w:rsidR="00B33542" w:rsidRPr="005071A1" w:rsidRDefault="00B33542" w:rsidP="009B7AF5">
            <w:pPr>
              <w:pStyle w:val="Tabletext"/>
            </w:pPr>
            <w:r w:rsidRPr="005071A1">
              <w:t>16</w:t>
            </w:r>
          </w:p>
        </w:tc>
        <w:tc>
          <w:tcPr>
            <w:tcW w:w="2410" w:type="dxa"/>
            <w:shd w:val="clear" w:color="auto" w:fill="auto"/>
          </w:tcPr>
          <w:p w14:paraId="09077177" w14:textId="77777777" w:rsidR="00B33542" w:rsidRPr="005071A1" w:rsidRDefault="00B33542" w:rsidP="009B7AF5">
            <w:pPr>
              <w:pStyle w:val="Tabletext"/>
            </w:pPr>
            <w:r w:rsidRPr="005071A1">
              <w:t>0.06</w:t>
            </w:r>
          </w:p>
        </w:tc>
        <w:tc>
          <w:tcPr>
            <w:tcW w:w="2510" w:type="dxa"/>
            <w:shd w:val="clear" w:color="auto" w:fill="auto"/>
          </w:tcPr>
          <w:p w14:paraId="7D98A4D7" w14:textId="77777777" w:rsidR="00B33542" w:rsidRPr="005071A1" w:rsidRDefault="00B33542" w:rsidP="009B7AF5">
            <w:pPr>
              <w:pStyle w:val="Tabletext"/>
            </w:pPr>
            <w:r w:rsidRPr="005071A1">
              <w:t>0.03</w:t>
            </w:r>
          </w:p>
        </w:tc>
      </w:tr>
      <w:tr w:rsidR="00B33542" w:rsidRPr="005071A1" w14:paraId="084644C0" w14:textId="77777777" w:rsidTr="009B7AF5">
        <w:tc>
          <w:tcPr>
            <w:tcW w:w="2376" w:type="dxa"/>
            <w:shd w:val="clear" w:color="auto" w:fill="auto"/>
          </w:tcPr>
          <w:p w14:paraId="57C346E6" w14:textId="77777777" w:rsidR="00B33542" w:rsidRPr="005071A1" w:rsidRDefault="00B33542" w:rsidP="009B7AF5">
            <w:pPr>
              <w:pStyle w:val="Tabletext"/>
            </w:pPr>
            <w:r w:rsidRPr="005071A1">
              <w:t>17</w:t>
            </w:r>
          </w:p>
        </w:tc>
        <w:tc>
          <w:tcPr>
            <w:tcW w:w="2410" w:type="dxa"/>
            <w:shd w:val="clear" w:color="auto" w:fill="auto"/>
          </w:tcPr>
          <w:p w14:paraId="7983D917" w14:textId="77777777" w:rsidR="00B33542" w:rsidRPr="005071A1" w:rsidRDefault="00B33542" w:rsidP="009B7AF5">
            <w:pPr>
              <w:pStyle w:val="Tabletext"/>
            </w:pPr>
            <w:r w:rsidRPr="005071A1">
              <w:t>0.06</w:t>
            </w:r>
          </w:p>
        </w:tc>
        <w:tc>
          <w:tcPr>
            <w:tcW w:w="2510" w:type="dxa"/>
            <w:shd w:val="clear" w:color="auto" w:fill="auto"/>
          </w:tcPr>
          <w:p w14:paraId="522C4B01" w14:textId="77777777" w:rsidR="00B33542" w:rsidRPr="005071A1" w:rsidRDefault="00B33542" w:rsidP="009B7AF5">
            <w:pPr>
              <w:pStyle w:val="Tabletext"/>
            </w:pPr>
            <w:r w:rsidRPr="005071A1">
              <w:t>0.03</w:t>
            </w:r>
          </w:p>
        </w:tc>
      </w:tr>
      <w:tr w:rsidR="00B33542" w:rsidRPr="005071A1" w14:paraId="701A1574" w14:textId="77777777" w:rsidTr="009B7AF5">
        <w:tc>
          <w:tcPr>
            <w:tcW w:w="2376" w:type="dxa"/>
            <w:shd w:val="clear" w:color="auto" w:fill="auto"/>
          </w:tcPr>
          <w:p w14:paraId="0AC835FF" w14:textId="77777777" w:rsidR="00B33542" w:rsidRPr="005071A1" w:rsidRDefault="00B33542" w:rsidP="009B7AF5">
            <w:pPr>
              <w:pStyle w:val="Tabletext"/>
            </w:pPr>
            <w:r w:rsidRPr="005071A1">
              <w:t>18</w:t>
            </w:r>
          </w:p>
        </w:tc>
        <w:tc>
          <w:tcPr>
            <w:tcW w:w="2410" w:type="dxa"/>
            <w:shd w:val="clear" w:color="auto" w:fill="auto"/>
          </w:tcPr>
          <w:p w14:paraId="3DCC2C9D" w14:textId="77777777" w:rsidR="00B33542" w:rsidRPr="005071A1" w:rsidRDefault="00B33542" w:rsidP="009B7AF5">
            <w:pPr>
              <w:pStyle w:val="Tabletext"/>
            </w:pPr>
            <w:r w:rsidRPr="005071A1">
              <w:t>0.06</w:t>
            </w:r>
          </w:p>
        </w:tc>
        <w:tc>
          <w:tcPr>
            <w:tcW w:w="2510" w:type="dxa"/>
            <w:shd w:val="clear" w:color="auto" w:fill="auto"/>
          </w:tcPr>
          <w:p w14:paraId="5CD8469E" w14:textId="77777777" w:rsidR="00B33542" w:rsidRPr="005071A1" w:rsidRDefault="00B33542" w:rsidP="009B7AF5">
            <w:pPr>
              <w:pStyle w:val="Tabletext"/>
            </w:pPr>
            <w:r w:rsidRPr="005071A1">
              <w:t>0.03</w:t>
            </w:r>
          </w:p>
        </w:tc>
      </w:tr>
      <w:tr w:rsidR="00B33542" w:rsidRPr="005071A1" w14:paraId="377AD12B" w14:textId="77777777" w:rsidTr="009B7AF5">
        <w:tc>
          <w:tcPr>
            <w:tcW w:w="2376" w:type="dxa"/>
            <w:shd w:val="clear" w:color="auto" w:fill="auto"/>
          </w:tcPr>
          <w:p w14:paraId="33B5FF39" w14:textId="77777777" w:rsidR="00B33542" w:rsidRPr="005071A1" w:rsidRDefault="00B33542" w:rsidP="009B7AF5">
            <w:pPr>
              <w:pStyle w:val="Tabletext"/>
            </w:pPr>
            <w:r w:rsidRPr="005071A1">
              <w:t>19</w:t>
            </w:r>
          </w:p>
        </w:tc>
        <w:tc>
          <w:tcPr>
            <w:tcW w:w="2410" w:type="dxa"/>
            <w:shd w:val="clear" w:color="auto" w:fill="auto"/>
          </w:tcPr>
          <w:p w14:paraId="680CFFC0" w14:textId="77777777" w:rsidR="00B33542" w:rsidRPr="005071A1" w:rsidRDefault="00B33542" w:rsidP="009B7AF5">
            <w:pPr>
              <w:pStyle w:val="Tabletext"/>
            </w:pPr>
            <w:r w:rsidRPr="005071A1">
              <w:t>0.06</w:t>
            </w:r>
          </w:p>
        </w:tc>
        <w:tc>
          <w:tcPr>
            <w:tcW w:w="2510" w:type="dxa"/>
            <w:shd w:val="clear" w:color="auto" w:fill="auto"/>
          </w:tcPr>
          <w:p w14:paraId="55BC64FB" w14:textId="77777777" w:rsidR="00B33542" w:rsidRPr="005071A1" w:rsidRDefault="00B33542" w:rsidP="009B7AF5">
            <w:pPr>
              <w:pStyle w:val="Tabletext"/>
            </w:pPr>
            <w:r w:rsidRPr="005071A1">
              <w:t>0.03</w:t>
            </w:r>
          </w:p>
        </w:tc>
      </w:tr>
      <w:tr w:rsidR="00B33542" w:rsidRPr="005071A1" w14:paraId="668B54CC" w14:textId="77777777" w:rsidTr="009B7AF5">
        <w:tc>
          <w:tcPr>
            <w:tcW w:w="2376" w:type="dxa"/>
            <w:shd w:val="clear" w:color="auto" w:fill="auto"/>
          </w:tcPr>
          <w:p w14:paraId="7DB72C3E" w14:textId="77777777" w:rsidR="00B33542" w:rsidRPr="005071A1" w:rsidRDefault="00B33542" w:rsidP="009B7AF5">
            <w:pPr>
              <w:pStyle w:val="Tabletext"/>
            </w:pPr>
            <w:r w:rsidRPr="005071A1">
              <w:t>20</w:t>
            </w:r>
          </w:p>
        </w:tc>
        <w:tc>
          <w:tcPr>
            <w:tcW w:w="2410" w:type="dxa"/>
            <w:shd w:val="clear" w:color="auto" w:fill="auto"/>
          </w:tcPr>
          <w:p w14:paraId="77294D9E" w14:textId="77777777" w:rsidR="00B33542" w:rsidRPr="005071A1" w:rsidRDefault="00B33542" w:rsidP="009B7AF5">
            <w:pPr>
              <w:pStyle w:val="Tabletext"/>
            </w:pPr>
            <w:r w:rsidRPr="005071A1">
              <w:t>0.06</w:t>
            </w:r>
          </w:p>
        </w:tc>
        <w:tc>
          <w:tcPr>
            <w:tcW w:w="2510" w:type="dxa"/>
            <w:shd w:val="clear" w:color="auto" w:fill="auto"/>
          </w:tcPr>
          <w:p w14:paraId="0693936C" w14:textId="77777777" w:rsidR="00B33542" w:rsidRPr="005071A1" w:rsidRDefault="00B33542" w:rsidP="009B7AF5">
            <w:pPr>
              <w:pStyle w:val="Tabletext"/>
            </w:pPr>
            <w:r w:rsidRPr="005071A1">
              <w:t>0.03</w:t>
            </w:r>
          </w:p>
        </w:tc>
      </w:tr>
      <w:tr w:rsidR="00B33542" w:rsidRPr="005071A1" w14:paraId="597038E5" w14:textId="77777777" w:rsidTr="009B7AF5">
        <w:tc>
          <w:tcPr>
            <w:tcW w:w="2376" w:type="dxa"/>
            <w:shd w:val="clear" w:color="auto" w:fill="auto"/>
          </w:tcPr>
          <w:p w14:paraId="0A4109A7" w14:textId="77777777" w:rsidR="00B33542" w:rsidRPr="005071A1" w:rsidRDefault="00B33542" w:rsidP="009B7AF5">
            <w:pPr>
              <w:pStyle w:val="Tabletext"/>
            </w:pPr>
            <w:r w:rsidRPr="005071A1">
              <w:t>21</w:t>
            </w:r>
          </w:p>
        </w:tc>
        <w:tc>
          <w:tcPr>
            <w:tcW w:w="2410" w:type="dxa"/>
            <w:shd w:val="clear" w:color="auto" w:fill="auto"/>
          </w:tcPr>
          <w:p w14:paraId="7C1C0296" w14:textId="77777777" w:rsidR="00B33542" w:rsidRPr="005071A1" w:rsidRDefault="00B33542" w:rsidP="009B7AF5">
            <w:pPr>
              <w:pStyle w:val="Tabletext"/>
            </w:pPr>
            <w:r w:rsidRPr="005071A1">
              <w:t>0.06</w:t>
            </w:r>
          </w:p>
        </w:tc>
        <w:tc>
          <w:tcPr>
            <w:tcW w:w="2510" w:type="dxa"/>
            <w:shd w:val="clear" w:color="auto" w:fill="auto"/>
          </w:tcPr>
          <w:p w14:paraId="599C3A2A" w14:textId="77777777" w:rsidR="00B33542" w:rsidRPr="005071A1" w:rsidRDefault="00B33542" w:rsidP="009B7AF5">
            <w:pPr>
              <w:pStyle w:val="Tabletext"/>
            </w:pPr>
            <w:r w:rsidRPr="005071A1">
              <w:t>0.03</w:t>
            </w:r>
          </w:p>
        </w:tc>
      </w:tr>
      <w:tr w:rsidR="00B33542" w:rsidRPr="005071A1" w14:paraId="31D089F7" w14:textId="77777777" w:rsidTr="009B7AF5">
        <w:tc>
          <w:tcPr>
            <w:tcW w:w="2376" w:type="dxa"/>
            <w:shd w:val="clear" w:color="auto" w:fill="auto"/>
          </w:tcPr>
          <w:p w14:paraId="414388A6" w14:textId="77777777" w:rsidR="00B33542" w:rsidRPr="005071A1" w:rsidRDefault="00B33542" w:rsidP="009B7AF5">
            <w:pPr>
              <w:pStyle w:val="Tabletext"/>
            </w:pPr>
            <w:r w:rsidRPr="005071A1">
              <w:t>22</w:t>
            </w:r>
          </w:p>
        </w:tc>
        <w:tc>
          <w:tcPr>
            <w:tcW w:w="2410" w:type="dxa"/>
            <w:shd w:val="clear" w:color="auto" w:fill="auto"/>
          </w:tcPr>
          <w:p w14:paraId="56DE31E1" w14:textId="77777777" w:rsidR="00B33542" w:rsidRPr="005071A1" w:rsidRDefault="00B33542" w:rsidP="009B7AF5">
            <w:pPr>
              <w:pStyle w:val="Tabletext"/>
            </w:pPr>
            <w:r w:rsidRPr="005071A1">
              <w:t>0.06</w:t>
            </w:r>
          </w:p>
        </w:tc>
        <w:tc>
          <w:tcPr>
            <w:tcW w:w="2510" w:type="dxa"/>
            <w:shd w:val="clear" w:color="auto" w:fill="auto"/>
          </w:tcPr>
          <w:p w14:paraId="252C5BF5" w14:textId="77777777" w:rsidR="00B33542" w:rsidRPr="005071A1" w:rsidRDefault="00B33542" w:rsidP="009B7AF5">
            <w:pPr>
              <w:pStyle w:val="Tabletext"/>
            </w:pPr>
            <w:r w:rsidRPr="005071A1">
              <w:t>0.03</w:t>
            </w:r>
          </w:p>
        </w:tc>
      </w:tr>
      <w:tr w:rsidR="00B33542" w:rsidRPr="005071A1" w14:paraId="53810E4B" w14:textId="77777777" w:rsidTr="009B7AF5">
        <w:tc>
          <w:tcPr>
            <w:tcW w:w="2376" w:type="dxa"/>
            <w:shd w:val="clear" w:color="auto" w:fill="auto"/>
          </w:tcPr>
          <w:p w14:paraId="284998E8" w14:textId="77777777" w:rsidR="00B33542" w:rsidRPr="005071A1" w:rsidRDefault="00B33542" w:rsidP="009B7AF5">
            <w:pPr>
              <w:pStyle w:val="Tabletext"/>
            </w:pPr>
            <w:r w:rsidRPr="005071A1">
              <w:t>23</w:t>
            </w:r>
          </w:p>
        </w:tc>
        <w:tc>
          <w:tcPr>
            <w:tcW w:w="2410" w:type="dxa"/>
            <w:shd w:val="clear" w:color="auto" w:fill="auto"/>
          </w:tcPr>
          <w:p w14:paraId="2A7BBD65" w14:textId="77777777" w:rsidR="00B33542" w:rsidRPr="005071A1" w:rsidRDefault="00B33542" w:rsidP="009B7AF5">
            <w:pPr>
              <w:pStyle w:val="Tabletext"/>
            </w:pPr>
            <w:r w:rsidRPr="005071A1">
              <w:t>0.06</w:t>
            </w:r>
          </w:p>
        </w:tc>
        <w:tc>
          <w:tcPr>
            <w:tcW w:w="2510" w:type="dxa"/>
            <w:shd w:val="clear" w:color="auto" w:fill="auto"/>
          </w:tcPr>
          <w:p w14:paraId="681D9F9C" w14:textId="77777777" w:rsidR="00B33542" w:rsidRPr="005071A1" w:rsidRDefault="00B33542" w:rsidP="009B7AF5">
            <w:pPr>
              <w:pStyle w:val="Tabletext"/>
            </w:pPr>
            <w:r w:rsidRPr="005071A1">
              <w:t>0.03</w:t>
            </w:r>
          </w:p>
        </w:tc>
      </w:tr>
      <w:tr w:rsidR="00B33542" w:rsidRPr="005071A1" w14:paraId="393F6E4E" w14:textId="77777777" w:rsidTr="009B7AF5">
        <w:tc>
          <w:tcPr>
            <w:tcW w:w="2376" w:type="dxa"/>
            <w:shd w:val="clear" w:color="auto" w:fill="auto"/>
          </w:tcPr>
          <w:p w14:paraId="190E3F4C" w14:textId="77777777" w:rsidR="00B33542" w:rsidRPr="005071A1" w:rsidRDefault="00B33542" w:rsidP="009B7AF5">
            <w:pPr>
              <w:pStyle w:val="Tabletext"/>
            </w:pPr>
            <w:r w:rsidRPr="005071A1">
              <w:t>24</w:t>
            </w:r>
          </w:p>
        </w:tc>
        <w:tc>
          <w:tcPr>
            <w:tcW w:w="2410" w:type="dxa"/>
            <w:shd w:val="clear" w:color="auto" w:fill="auto"/>
          </w:tcPr>
          <w:p w14:paraId="529EF73D" w14:textId="77777777" w:rsidR="00B33542" w:rsidRPr="005071A1" w:rsidRDefault="00B33542" w:rsidP="009B7AF5">
            <w:pPr>
              <w:pStyle w:val="Tabletext"/>
            </w:pPr>
            <w:r w:rsidRPr="005071A1">
              <w:t>0.06</w:t>
            </w:r>
          </w:p>
        </w:tc>
        <w:tc>
          <w:tcPr>
            <w:tcW w:w="2510" w:type="dxa"/>
            <w:shd w:val="clear" w:color="auto" w:fill="auto"/>
          </w:tcPr>
          <w:p w14:paraId="377FB494" w14:textId="77777777" w:rsidR="00B33542" w:rsidRPr="005071A1" w:rsidRDefault="00B33542" w:rsidP="009B7AF5">
            <w:pPr>
              <w:pStyle w:val="Tabletext"/>
            </w:pPr>
            <w:r w:rsidRPr="005071A1">
              <w:t>0.03</w:t>
            </w:r>
          </w:p>
        </w:tc>
      </w:tr>
      <w:tr w:rsidR="00B33542" w:rsidRPr="005071A1" w14:paraId="18E4CE87" w14:textId="77777777" w:rsidTr="009B7AF5">
        <w:tc>
          <w:tcPr>
            <w:tcW w:w="2376" w:type="dxa"/>
            <w:shd w:val="clear" w:color="auto" w:fill="auto"/>
          </w:tcPr>
          <w:p w14:paraId="51776653" w14:textId="77777777" w:rsidR="00B33542" w:rsidRPr="005071A1" w:rsidRDefault="00B33542" w:rsidP="009B7AF5">
            <w:pPr>
              <w:pStyle w:val="Tabletext"/>
            </w:pPr>
            <w:r w:rsidRPr="005071A1">
              <w:t>25</w:t>
            </w:r>
          </w:p>
        </w:tc>
        <w:tc>
          <w:tcPr>
            <w:tcW w:w="2410" w:type="dxa"/>
            <w:shd w:val="clear" w:color="auto" w:fill="auto"/>
          </w:tcPr>
          <w:p w14:paraId="6C9D5CA2" w14:textId="77777777" w:rsidR="00B33542" w:rsidRPr="005071A1" w:rsidRDefault="00B33542" w:rsidP="009B7AF5">
            <w:pPr>
              <w:pStyle w:val="Tabletext"/>
            </w:pPr>
            <w:r w:rsidRPr="005071A1">
              <w:t>0.06</w:t>
            </w:r>
          </w:p>
        </w:tc>
        <w:tc>
          <w:tcPr>
            <w:tcW w:w="2510" w:type="dxa"/>
            <w:shd w:val="clear" w:color="auto" w:fill="auto"/>
          </w:tcPr>
          <w:p w14:paraId="6BF7B4ED" w14:textId="77777777" w:rsidR="00B33542" w:rsidRPr="005071A1" w:rsidRDefault="00B33542" w:rsidP="009B7AF5">
            <w:pPr>
              <w:pStyle w:val="Tabletext"/>
            </w:pPr>
            <w:r w:rsidRPr="005071A1">
              <w:t>0.03</w:t>
            </w:r>
          </w:p>
        </w:tc>
      </w:tr>
      <w:tr w:rsidR="00B33542" w:rsidRPr="005071A1" w14:paraId="0FF7D9D5" w14:textId="77777777" w:rsidTr="009B7AF5">
        <w:tc>
          <w:tcPr>
            <w:tcW w:w="2376" w:type="dxa"/>
            <w:shd w:val="clear" w:color="auto" w:fill="auto"/>
          </w:tcPr>
          <w:p w14:paraId="1CD3D036" w14:textId="77777777" w:rsidR="00B33542" w:rsidRPr="005071A1" w:rsidRDefault="00B33542" w:rsidP="009B7AF5">
            <w:pPr>
              <w:pStyle w:val="Tabletext"/>
            </w:pPr>
            <w:r w:rsidRPr="005071A1">
              <w:lastRenderedPageBreak/>
              <w:t>26</w:t>
            </w:r>
          </w:p>
        </w:tc>
        <w:tc>
          <w:tcPr>
            <w:tcW w:w="2410" w:type="dxa"/>
            <w:shd w:val="clear" w:color="auto" w:fill="auto"/>
          </w:tcPr>
          <w:p w14:paraId="04E75FD1" w14:textId="77777777" w:rsidR="00B33542" w:rsidRPr="005071A1" w:rsidRDefault="00B33542" w:rsidP="009B7AF5">
            <w:pPr>
              <w:pStyle w:val="Tabletext"/>
            </w:pPr>
            <w:r w:rsidRPr="005071A1">
              <w:t>0.06</w:t>
            </w:r>
          </w:p>
        </w:tc>
        <w:tc>
          <w:tcPr>
            <w:tcW w:w="2510" w:type="dxa"/>
            <w:shd w:val="clear" w:color="auto" w:fill="auto"/>
          </w:tcPr>
          <w:p w14:paraId="3B53913E" w14:textId="77777777" w:rsidR="00B33542" w:rsidRPr="005071A1" w:rsidRDefault="00B33542" w:rsidP="009B7AF5">
            <w:pPr>
              <w:pStyle w:val="Tabletext"/>
            </w:pPr>
            <w:r w:rsidRPr="005071A1">
              <w:t>0.03</w:t>
            </w:r>
          </w:p>
        </w:tc>
      </w:tr>
      <w:tr w:rsidR="00B33542" w:rsidRPr="005071A1" w14:paraId="5E01B752" w14:textId="77777777" w:rsidTr="009B7AF5">
        <w:tc>
          <w:tcPr>
            <w:tcW w:w="2376" w:type="dxa"/>
            <w:shd w:val="clear" w:color="auto" w:fill="auto"/>
          </w:tcPr>
          <w:p w14:paraId="326C7FD8" w14:textId="77777777" w:rsidR="00B33542" w:rsidRPr="005071A1" w:rsidRDefault="00B33542" w:rsidP="009B7AF5">
            <w:pPr>
              <w:pStyle w:val="Tabletext"/>
            </w:pPr>
            <w:r w:rsidRPr="005071A1">
              <w:t>27</w:t>
            </w:r>
          </w:p>
        </w:tc>
        <w:tc>
          <w:tcPr>
            <w:tcW w:w="2410" w:type="dxa"/>
            <w:shd w:val="clear" w:color="auto" w:fill="auto"/>
          </w:tcPr>
          <w:p w14:paraId="0771558B" w14:textId="77777777" w:rsidR="00B33542" w:rsidRPr="005071A1" w:rsidRDefault="00B33542" w:rsidP="009B7AF5">
            <w:pPr>
              <w:pStyle w:val="Tabletext"/>
            </w:pPr>
            <w:r w:rsidRPr="005071A1">
              <w:t>0.06</w:t>
            </w:r>
          </w:p>
        </w:tc>
        <w:tc>
          <w:tcPr>
            <w:tcW w:w="2510" w:type="dxa"/>
            <w:shd w:val="clear" w:color="auto" w:fill="auto"/>
          </w:tcPr>
          <w:p w14:paraId="21EB6155" w14:textId="77777777" w:rsidR="00B33542" w:rsidRPr="005071A1" w:rsidRDefault="00B33542" w:rsidP="009B7AF5">
            <w:pPr>
              <w:pStyle w:val="Tabletext"/>
            </w:pPr>
            <w:r w:rsidRPr="005071A1">
              <w:t>0.03</w:t>
            </w:r>
          </w:p>
        </w:tc>
      </w:tr>
      <w:tr w:rsidR="00B33542" w:rsidRPr="005071A1" w14:paraId="5EE26E12" w14:textId="77777777" w:rsidTr="00D57394">
        <w:tc>
          <w:tcPr>
            <w:tcW w:w="2376" w:type="dxa"/>
            <w:tcBorders>
              <w:bottom w:val="single" w:sz="4" w:space="0" w:color="auto"/>
            </w:tcBorders>
            <w:shd w:val="clear" w:color="auto" w:fill="auto"/>
          </w:tcPr>
          <w:p w14:paraId="02E29C89" w14:textId="77777777" w:rsidR="00B33542" w:rsidRPr="005071A1" w:rsidRDefault="00B33542" w:rsidP="009B7AF5">
            <w:pPr>
              <w:pStyle w:val="Tabletext"/>
            </w:pPr>
            <w:r w:rsidRPr="005071A1">
              <w:t>28</w:t>
            </w:r>
          </w:p>
        </w:tc>
        <w:tc>
          <w:tcPr>
            <w:tcW w:w="2410" w:type="dxa"/>
            <w:tcBorders>
              <w:bottom w:val="single" w:sz="4" w:space="0" w:color="auto"/>
            </w:tcBorders>
            <w:shd w:val="clear" w:color="auto" w:fill="auto"/>
          </w:tcPr>
          <w:p w14:paraId="4A9BDBC8" w14:textId="77777777" w:rsidR="00B33542" w:rsidRPr="005071A1" w:rsidRDefault="00B33542" w:rsidP="009B7AF5">
            <w:pPr>
              <w:pStyle w:val="Tabletext"/>
            </w:pPr>
            <w:r w:rsidRPr="005071A1">
              <w:t>0.06</w:t>
            </w:r>
          </w:p>
        </w:tc>
        <w:tc>
          <w:tcPr>
            <w:tcW w:w="2510" w:type="dxa"/>
            <w:tcBorders>
              <w:bottom w:val="single" w:sz="4" w:space="0" w:color="auto"/>
            </w:tcBorders>
            <w:shd w:val="clear" w:color="auto" w:fill="auto"/>
          </w:tcPr>
          <w:p w14:paraId="584B6159" w14:textId="77777777" w:rsidR="00B33542" w:rsidRPr="005071A1" w:rsidRDefault="00B33542" w:rsidP="009B7AF5">
            <w:pPr>
              <w:pStyle w:val="Tabletext"/>
            </w:pPr>
            <w:r w:rsidRPr="005071A1">
              <w:t>0.03</w:t>
            </w:r>
          </w:p>
        </w:tc>
      </w:tr>
      <w:tr w:rsidR="00B33542" w:rsidRPr="005071A1" w14:paraId="5C263C0C" w14:textId="77777777" w:rsidTr="00640BB6">
        <w:tc>
          <w:tcPr>
            <w:tcW w:w="2376" w:type="dxa"/>
            <w:tcBorders>
              <w:bottom w:val="single" w:sz="4" w:space="0" w:color="auto"/>
            </w:tcBorders>
            <w:shd w:val="clear" w:color="auto" w:fill="auto"/>
          </w:tcPr>
          <w:p w14:paraId="2FA5811B" w14:textId="77777777" w:rsidR="00B33542" w:rsidRPr="005071A1" w:rsidRDefault="00B33542" w:rsidP="009B7AF5">
            <w:pPr>
              <w:pStyle w:val="Tabletext"/>
            </w:pPr>
            <w:r w:rsidRPr="005071A1">
              <w:t>29</w:t>
            </w:r>
          </w:p>
        </w:tc>
        <w:tc>
          <w:tcPr>
            <w:tcW w:w="2410" w:type="dxa"/>
            <w:tcBorders>
              <w:bottom w:val="single" w:sz="4" w:space="0" w:color="auto"/>
            </w:tcBorders>
            <w:shd w:val="clear" w:color="auto" w:fill="auto"/>
          </w:tcPr>
          <w:p w14:paraId="7B56B71B" w14:textId="77777777" w:rsidR="00B33542" w:rsidRPr="005071A1" w:rsidRDefault="00B33542" w:rsidP="009B7AF5">
            <w:pPr>
              <w:pStyle w:val="Tabletext"/>
            </w:pPr>
            <w:r w:rsidRPr="005071A1">
              <w:t>0.06</w:t>
            </w:r>
          </w:p>
        </w:tc>
        <w:tc>
          <w:tcPr>
            <w:tcW w:w="2510" w:type="dxa"/>
            <w:tcBorders>
              <w:bottom w:val="single" w:sz="4" w:space="0" w:color="auto"/>
            </w:tcBorders>
            <w:shd w:val="clear" w:color="auto" w:fill="auto"/>
          </w:tcPr>
          <w:p w14:paraId="48BB7FE4" w14:textId="77777777" w:rsidR="00B33542" w:rsidRPr="005071A1" w:rsidRDefault="00B33542" w:rsidP="009B7AF5">
            <w:pPr>
              <w:pStyle w:val="Tabletext"/>
            </w:pPr>
            <w:r w:rsidRPr="005071A1">
              <w:t>0.03</w:t>
            </w:r>
          </w:p>
        </w:tc>
      </w:tr>
      <w:tr w:rsidR="00B33542" w:rsidRPr="005071A1" w14:paraId="133552AC" w14:textId="77777777" w:rsidTr="00640BB6">
        <w:tc>
          <w:tcPr>
            <w:tcW w:w="2376" w:type="dxa"/>
            <w:tcBorders>
              <w:top w:val="single" w:sz="4" w:space="0" w:color="auto"/>
              <w:bottom w:val="single" w:sz="4" w:space="0" w:color="auto"/>
            </w:tcBorders>
            <w:shd w:val="clear" w:color="auto" w:fill="auto"/>
          </w:tcPr>
          <w:p w14:paraId="41DA799E" w14:textId="77777777" w:rsidR="00B33542" w:rsidRPr="005071A1" w:rsidRDefault="00B33542" w:rsidP="009B7AF5">
            <w:pPr>
              <w:pStyle w:val="Tabletext"/>
            </w:pPr>
            <w:r w:rsidRPr="005071A1">
              <w:t>30</w:t>
            </w:r>
          </w:p>
        </w:tc>
        <w:tc>
          <w:tcPr>
            <w:tcW w:w="2410" w:type="dxa"/>
            <w:tcBorders>
              <w:top w:val="single" w:sz="4" w:space="0" w:color="auto"/>
              <w:bottom w:val="single" w:sz="4" w:space="0" w:color="auto"/>
            </w:tcBorders>
            <w:shd w:val="clear" w:color="auto" w:fill="auto"/>
          </w:tcPr>
          <w:p w14:paraId="75787365" w14:textId="77777777" w:rsidR="00B33542" w:rsidRPr="005071A1" w:rsidRDefault="00B33542" w:rsidP="009B7AF5">
            <w:pPr>
              <w:pStyle w:val="Tabletext"/>
            </w:pPr>
            <w:r w:rsidRPr="005071A1">
              <w:t>0.08</w:t>
            </w:r>
          </w:p>
        </w:tc>
        <w:tc>
          <w:tcPr>
            <w:tcW w:w="2510" w:type="dxa"/>
            <w:tcBorders>
              <w:top w:val="single" w:sz="4" w:space="0" w:color="auto"/>
              <w:bottom w:val="single" w:sz="4" w:space="0" w:color="auto"/>
            </w:tcBorders>
            <w:shd w:val="clear" w:color="auto" w:fill="auto"/>
          </w:tcPr>
          <w:p w14:paraId="28EFD118" w14:textId="77777777" w:rsidR="00B33542" w:rsidRPr="005071A1" w:rsidRDefault="00B33542" w:rsidP="009B7AF5">
            <w:pPr>
              <w:pStyle w:val="Tabletext"/>
            </w:pPr>
            <w:r w:rsidRPr="005071A1">
              <w:t>0.04</w:t>
            </w:r>
          </w:p>
        </w:tc>
      </w:tr>
      <w:tr w:rsidR="00B33542" w:rsidRPr="005071A1" w14:paraId="75AC07D8" w14:textId="77777777" w:rsidTr="00640BB6">
        <w:tc>
          <w:tcPr>
            <w:tcW w:w="2376" w:type="dxa"/>
            <w:tcBorders>
              <w:bottom w:val="single" w:sz="4" w:space="0" w:color="auto"/>
            </w:tcBorders>
            <w:shd w:val="clear" w:color="auto" w:fill="auto"/>
          </w:tcPr>
          <w:p w14:paraId="7FB158DD" w14:textId="77777777" w:rsidR="00B33542" w:rsidRPr="005071A1" w:rsidRDefault="00B33542" w:rsidP="009B7AF5">
            <w:pPr>
              <w:pStyle w:val="Tabletext"/>
            </w:pPr>
            <w:r w:rsidRPr="005071A1">
              <w:t>31</w:t>
            </w:r>
          </w:p>
        </w:tc>
        <w:tc>
          <w:tcPr>
            <w:tcW w:w="2410" w:type="dxa"/>
            <w:tcBorders>
              <w:bottom w:val="single" w:sz="4" w:space="0" w:color="auto"/>
            </w:tcBorders>
            <w:shd w:val="clear" w:color="auto" w:fill="auto"/>
          </w:tcPr>
          <w:p w14:paraId="51AB01F5" w14:textId="77777777" w:rsidR="00B33542" w:rsidRPr="005071A1" w:rsidRDefault="00B33542" w:rsidP="009B7AF5">
            <w:pPr>
              <w:pStyle w:val="Tabletext"/>
            </w:pPr>
            <w:r w:rsidRPr="005071A1">
              <w:t>0.08</w:t>
            </w:r>
          </w:p>
        </w:tc>
        <w:tc>
          <w:tcPr>
            <w:tcW w:w="2510" w:type="dxa"/>
            <w:tcBorders>
              <w:bottom w:val="single" w:sz="4" w:space="0" w:color="auto"/>
            </w:tcBorders>
            <w:shd w:val="clear" w:color="auto" w:fill="auto"/>
          </w:tcPr>
          <w:p w14:paraId="2876EE98" w14:textId="77777777" w:rsidR="00B33542" w:rsidRPr="005071A1" w:rsidRDefault="00B33542" w:rsidP="009B7AF5">
            <w:pPr>
              <w:pStyle w:val="Tabletext"/>
            </w:pPr>
            <w:r w:rsidRPr="005071A1">
              <w:t>0.04</w:t>
            </w:r>
          </w:p>
        </w:tc>
      </w:tr>
      <w:tr w:rsidR="00B33542" w:rsidRPr="005071A1" w14:paraId="6D35CCED" w14:textId="77777777" w:rsidTr="00640BB6">
        <w:tc>
          <w:tcPr>
            <w:tcW w:w="2376" w:type="dxa"/>
            <w:tcBorders>
              <w:top w:val="single" w:sz="4" w:space="0" w:color="auto"/>
            </w:tcBorders>
            <w:shd w:val="clear" w:color="auto" w:fill="auto"/>
          </w:tcPr>
          <w:p w14:paraId="63B5E65F" w14:textId="77777777" w:rsidR="00B33542" w:rsidRPr="005071A1" w:rsidRDefault="00B33542" w:rsidP="009B7AF5">
            <w:pPr>
              <w:pStyle w:val="Tabletext"/>
            </w:pPr>
            <w:r w:rsidRPr="005071A1">
              <w:t>32</w:t>
            </w:r>
          </w:p>
        </w:tc>
        <w:tc>
          <w:tcPr>
            <w:tcW w:w="2410" w:type="dxa"/>
            <w:tcBorders>
              <w:top w:val="single" w:sz="4" w:space="0" w:color="auto"/>
            </w:tcBorders>
            <w:shd w:val="clear" w:color="auto" w:fill="auto"/>
          </w:tcPr>
          <w:p w14:paraId="5453C2EC" w14:textId="77777777" w:rsidR="00B33542" w:rsidRPr="005071A1" w:rsidRDefault="00B33542" w:rsidP="009B7AF5">
            <w:pPr>
              <w:pStyle w:val="Tabletext"/>
            </w:pPr>
            <w:r w:rsidRPr="005071A1">
              <w:t>0.08</w:t>
            </w:r>
          </w:p>
        </w:tc>
        <w:tc>
          <w:tcPr>
            <w:tcW w:w="2510" w:type="dxa"/>
            <w:tcBorders>
              <w:top w:val="single" w:sz="4" w:space="0" w:color="auto"/>
            </w:tcBorders>
            <w:shd w:val="clear" w:color="auto" w:fill="auto"/>
          </w:tcPr>
          <w:p w14:paraId="2C69AD9B" w14:textId="77777777" w:rsidR="00B33542" w:rsidRPr="005071A1" w:rsidRDefault="00B33542" w:rsidP="009B7AF5">
            <w:pPr>
              <w:pStyle w:val="Tabletext"/>
            </w:pPr>
            <w:r w:rsidRPr="005071A1">
              <w:t>0.04</w:t>
            </w:r>
          </w:p>
        </w:tc>
      </w:tr>
      <w:tr w:rsidR="00B33542" w:rsidRPr="005071A1" w14:paraId="215B740E" w14:textId="77777777" w:rsidTr="009B7AF5">
        <w:tc>
          <w:tcPr>
            <w:tcW w:w="2376" w:type="dxa"/>
            <w:shd w:val="clear" w:color="auto" w:fill="auto"/>
          </w:tcPr>
          <w:p w14:paraId="44039416" w14:textId="77777777" w:rsidR="00B33542" w:rsidRPr="005071A1" w:rsidRDefault="00B33542" w:rsidP="009B7AF5">
            <w:pPr>
              <w:pStyle w:val="Tabletext"/>
            </w:pPr>
            <w:r w:rsidRPr="005071A1">
              <w:t>33</w:t>
            </w:r>
          </w:p>
        </w:tc>
        <w:tc>
          <w:tcPr>
            <w:tcW w:w="2410" w:type="dxa"/>
            <w:shd w:val="clear" w:color="auto" w:fill="auto"/>
          </w:tcPr>
          <w:p w14:paraId="5854F0B9" w14:textId="77777777" w:rsidR="00B33542" w:rsidRPr="005071A1" w:rsidRDefault="00B33542" w:rsidP="009B7AF5">
            <w:pPr>
              <w:pStyle w:val="Tabletext"/>
            </w:pPr>
            <w:r w:rsidRPr="005071A1">
              <w:t>0.08</w:t>
            </w:r>
          </w:p>
        </w:tc>
        <w:tc>
          <w:tcPr>
            <w:tcW w:w="2510" w:type="dxa"/>
            <w:shd w:val="clear" w:color="auto" w:fill="auto"/>
          </w:tcPr>
          <w:p w14:paraId="4DA3D627" w14:textId="77777777" w:rsidR="00B33542" w:rsidRPr="005071A1" w:rsidRDefault="00B33542" w:rsidP="009B7AF5">
            <w:pPr>
              <w:pStyle w:val="Tabletext"/>
            </w:pPr>
            <w:r w:rsidRPr="005071A1">
              <w:t>0.04</w:t>
            </w:r>
          </w:p>
        </w:tc>
      </w:tr>
      <w:tr w:rsidR="00B33542" w:rsidRPr="005071A1" w14:paraId="3D38FC42" w14:textId="77777777" w:rsidTr="009B7AF5">
        <w:tc>
          <w:tcPr>
            <w:tcW w:w="2376" w:type="dxa"/>
            <w:shd w:val="clear" w:color="auto" w:fill="auto"/>
          </w:tcPr>
          <w:p w14:paraId="4C80076A" w14:textId="77777777" w:rsidR="00B33542" w:rsidRPr="005071A1" w:rsidRDefault="00B33542" w:rsidP="009B7AF5">
            <w:pPr>
              <w:pStyle w:val="Tabletext"/>
            </w:pPr>
            <w:r w:rsidRPr="005071A1">
              <w:t>34</w:t>
            </w:r>
          </w:p>
        </w:tc>
        <w:tc>
          <w:tcPr>
            <w:tcW w:w="2410" w:type="dxa"/>
            <w:shd w:val="clear" w:color="auto" w:fill="auto"/>
          </w:tcPr>
          <w:p w14:paraId="66A94E8A" w14:textId="77777777" w:rsidR="00B33542" w:rsidRPr="005071A1" w:rsidRDefault="00B33542" w:rsidP="009B7AF5">
            <w:pPr>
              <w:pStyle w:val="Tabletext"/>
            </w:pPr>
            <w:r w:rsidRPr="005071A1">
              <w:t>0.08</w:t>
            </w:r>
          </w:p>
        </w:tc>
        <w:tc>
          <w:tcPr>
            <w:tcW w:w="2510" w:type="dxa"/>
            <w:shd w:val="clear" w:color="auto" w:fill="auto"/>
          </w:tcPr>
          <w:p w14:paraId="0836E698" w14:textId="77777777" w:rsidR="00B33542" w:rsidRPr="005071A1" w:rsidRDefault="00B33542" w:rsidP="009B7AF5">
            <w:pPr>
              <w:pStyle w:val="Tabletext"/>
            </w:pPr>
            <w:r w:rsidRPr="005071A1">
              <w:t>0.04</w:t>
            </w:r>
          </w:p>
        </w:tc>
      </w:tr>
      <w:tr w:rsidR="00B33542" w:rsidRPr="005071A1" w14:paraId="61585EEA" w14:textId="77777777" w:rsidTr="009B7AF5">
        <w:tc>
          <w:tcPr>
            <w:tcW w:w="2376" w:type="dxa"/>
            <w:shd w:val="clear" w:color="auto" w:fill="auto"/>
          </w:tcPr>
          <w:p w14:paraId="4E323BCE" w14:textId="77777777" w:rsidR="00B33542" w:rsidRPr="005071A1" w:rsidRDefault="00B33542" w:rsidP="009B7AF5">
            <w:pPr>
              <w:pStyle w:val="Tabletext"/>
            </w:pPr>
            <w:r w:rsidRPr="005071A1">
              <w:t>35</w:t>
            </w:r>
          </w:p>
        </w:tc>
        <w:tc>
          <w:tcPr>
            <w:tcW w:w="2410" w:type="dxa"/>
            <w:shd w:val="clear" w:color="auto" w:fill="auto"/>
          </w:tcPr>
          <w:p w14:paraId="782D20C7" w14:textId="77777777" w:rsidR="00B33542" w:rsidRPr="005071A1" w:rsidRDefault="00B33542" w:rsidP="009B7AF5">
            <w:pPr>
              <w:pStyle w:val="Tabletext"/>
            </w:pPr>
            <w:r w:rsidRPr="005071A1">
              <w:t>0.08</w:t>
            </w:r>
          </w:p>
        </w:tc>
        <w:tc>
          <w:tcPr>
            <w:tcW w:w="2510" w:type="dxa"/>
            <w:shd w:val="clear" w:color="auto" w:fill="auto"/>
          </w:tcPr>
          <w:p w14:paraId="764F756A" w14:textId="77777777" w:rsidR="00B33542" w:rsidRPr="005071A1" w:rsidRDefault="00B33542" w:rsidP="009B7AF5">
            <w:pPr>
              <w:pStyle w:val="Tabletext"/>
            </w:pPr>
            <w:r w:rsidRPr="005071A1">
              <w:t>0.04</w:t>
            </w:r>
          </w:p>
        </w:tc>
      </w:tr>
      <w:tr w:rsidR="00B33542" w:rsidRPr="005071A1" w14:paraId="667268DE" w14:textId="77777777" w:rsidTr="009B7AF5">
        <w:tc>
          <w:tcPr>
            <w:tcW w:w="2376" w:type="dxa"/>
            <w:shd w:val="clear" w:color="auto" w:fill="auto"/>
          </w:tcPr>
          <w:p w14:paraId="163E1725" w14:textId="77777777" w:rsidR="00B33542" w:rsidRPr="005071A1" w:rsidRDefault="00B33542" w:rsidP="009B7AF5">
            <w:pPr>
              <w:pStyle w:val="Tabletext"/>
            </w:pPr>
            <w:r w:rsidRPr="005071A1">
              <w:t>36</w:t>
            </w:r>
          </w:p>
        </w:tc>
        <w:tc>
          <w:tcPr>
            <w:tcW w:w="2410" w:type="dxa"/>
            <w:shd w:val="clear" w:color="auto" w:fill="auto"/>
          </w:tcPr>
          <w:p w14:paraId="670A9BA3" w14:textId="77777777" w:rsidR="00B33542" w:rsidRPr="005071A1" w:rsidRDefault="00B33542" w:rsidP="009B7AF5">
            <w:pPr>
              <w:pStyle w:val="Tabletext"/>
            </w:pPr>
            <w:r w:rsidRPr="005071A1">
              <w:t>0.08</w:t>
            </w:r>
          </w:p>
        </w:tc>
        <w:tc>
          <w:tcPr>
            <w:tcW w:w="2510" w:type="dxa"/>
            <w:shd w:val="clear" w:color="auto" w:fill="auto"/>
          </w:tcPr>
          <w:p w14:paraId="1D01BB12" w14:textId="77777777" w:rsidR="00B33542" w:rsidRPr="005071A1" w:rsidRDefault="00B33542" w:rsidP="009B7AF5">
            <w:pPr>
              <w:pStyle w:val="Tabletext"/>
            </w:pPr>
            <w:r w:rsidRPr="005071A1">
              <w:t>0.04</w:t>
            </w:r>
          </w:p>
        </w:tc>
      </w:tr>
      <w:tr w:rsidR="00B33542" w:rsidRPr="005071A1" w14:paraId="22DF43C0" w14:textId="77777777" w:rsidTr="009B7AF5">
        <w:tc>
          <w:tcPr>
            <w:tcW w:w="2376" w:type="dxa"/>
            <w:shd w:val="clear" w:color="auto" w:fill="auto"/>
          </w:tcPr>
          <w:p w14:paraId="4E2E09DA" w14:textId="77777777" w:rsidR="00B33542" w:rsidRPr="005071A1" w:rsidRDefault="00B33542" w:rsidP="009B7AF5">
            <w:pPr>
              <w:pStyle w:val="Tabletext"/>
            </w:pPr>
            <w:r w:rsidRPr="005071A1">
              <w:t>37</w:t>
            </w:r>
          </w:p>
        </w:tc>
        <w:tc>
          <w:tcPr>
            <w:tcW w:w="2410" w:type="dxa"/>
            <w:shd w:val="clear" w:color="auto" w:fill="auto"/>
          </w:tcPr>
          <w:p w14:paraId="573CDE0A" w14:textId="77777777" w:rsidR="00B33542" w:rsidRPr="005071A1" w:rsidRDefault="00B33542" w:rsidP="009B7AF5">
            <w:pPr>
              <w:pStyle w:val="Tabletext"/>
            </w:pPr>
            <w:r w:rsidRPr="005071A1">
              <w:t>0.08</w:t>
            </w:r>
          </w:p>
        </w:tc>
        <w:tc>
          <w:tcPr>
            <w:tcW w:w="2510" w:type="dxa"/>
            <w:shd w:val="clear" w:color="auto" w:fill="auto"/>
          </w:tcPr>
          <w:p w14:paraId="551F0A69" w14:textId="77777777" w:rsidR="00B33542" w:rsidRPr="005071A1" w:rsidRDefault="00B33542" w:rsidP="009B7AF5">
            <w:pPr>
              <w:pStyle w:val="Tabletext"/>
            </w:pPr>
            <w:r w:rsidRPr="005071A1">
              <w:t>0.04</w:t>
            </w:r>
          </w:p>
        </w:tc>
      </w:tr>
      <w:tr w:rsidR="00B33542" w:rsidRPr="005071A1" w14:paraId="163B7C5E" w14:textId="77777777" w:rsidTr="009B7AF5">
        <w:tc>
          <w:tcPr>
            <w:tcW w:w="2376" w:type="dxa"/>
            <w:shd w:val="clear" w:color="auto" w:fill="auto"/>
          </w:tcPr>
          <w:p w14:paraId="6A36DBEA" w14:textId="77777777" w:rsidR="00B33542" w:rsidRPr="005071A1" w:rsidRDefault="00B33542" w:rsidP="009B7AF5">
            <w:pPr>
              <w:pStyle w:val="Tabletext"/>
            </w:pPr>
            <w:r w:rsidRPr="005071A1">
              <w:t>38</w:t>
            </w:r>
          </w:p>
        </w:tc>
        <w:tc>
          <w:tcPr>
            <w:tcW w:w="2410" w:type="dxa"/>
            <w:shd w:val="clear" w:color="auto" w:fill="auto"/>
          </w:tcPr>
          <w:p w14:paraId="559F7E91" w14:textId="77777777" w:rsidR="00B33542" w:rsidRPr="005071A1" w:rsidRDefault="00B33542" w:rsidP="009B7AF5">
            <w:pPr>
              <w:pStyle w:val="Tabletext"/>
            </w:pPr>
            <w:r w:rsidRPr="005071A1">
              <w:t>0.08</w:t>
            </w:r>
          </w:p>
        </w:tc>
        <w:tc>
          <w:tcPr>
            <w:tcW w:w="2510" w:type="dxa"/>
            <w:shd w:val="clear" w:color="auto" w:fill="auto"/>
          </w:tcPr>
          <w:p w14:paraId="62C7635B" w14:textId="77777777" w:rsidR="00B33542" w:rsidRPr="005071A1" w:rsidRDefault="00B33542" w:rsidP="009B7AF5">
            <w:pPr>
              <w:pStyle w:val="Tabletext"/>
            </w:pPr>
            <w:r w:rsidRPr="005071A1">
              <w:t>0.04</w:t>
            </w:r>
          </w:p>
        </w:tc>
      </w:tr>
      <w:tr w:rsidR="00B33542" w:rsidRPr="005071A1" w14:paraId="1F3E9F2C" w14:textId="77777777" w:rsidTr="009B7AF5">
        <w:tc>
          <w:tcPr>
            <w:tcW w:w="2376" w:type="dxa"/>
            <w:shd w:val="clear" w:color="auto" w:fill="auto"/>
          </w:tcPr>
          <w:p w14:paraId="031EE19E" w14:textId="77777777" w:rsidR="00B33542" w:rsidRPr="005071A1" w:rsidRDefault="00B33542" w:rsidP="009B7AF5">
            <w:pPr>
              <w:pStyle w:val="Tabletext"/>
            </w:pPr>
            <w:r w:rsidRPr="005071A1">
              <w:t>39</w:t>
            </w:r>
          </w:p>
        </w:tc>
        <w:tc>
          <w:tcPr>
            <w:tcW w:w="2410" w:type="dxa"/>
            <w:shd w:val="clear" w:color="auto" w:fill="auto"/>
          </w:tcPr>
          <w:p w14:paraId="52C2181B" w14:textId="77777777" w:rsidR="00B33542" w:rsidRPr="005071A1" w:rsidRDefault="00B33542" w:rsidP="009B7AF5">
            <w:pPr>
              <w:pStyle w:val="Tabletext"/>
            </w:pPr>
            <w:r w:rsidRPr="005071A1">
              <w:t>0.08</w:t>
            </w:r>
          </w:p>
        </w:tc>
        <w:tc>
          <w:tcPr>
            <w:tcW w:w="2510" w:type="dxa"/>
            <w:shd w:val="clear" w:color="auto" w:fill="auto"/>
          </w:tcPr>
          <w:p w14:paraId="7B239601" w14:textId="77777777" w:rsidR="00B33542" w:rsidRPr="005071A1" w:rsidRDefault="00B33542" w:rsidP="009B7AF5">
            <w:pPr>
              <w:pStyle w:val="Tabletext"/>
            </w:pPr>
            <w:r w:rsidRPr="005071A1">
              <w:t>0.04</w:t>
            </w:r>
          </w:p>
        </w:tc>
      </w:tr>
      <w:tr w:rsidR="00B33542" w:rsidRPr="005071A1" w14:paraId="6F5EBDB6" w14:textId="77777777" w:rsidTr="009B7AF5">
        <w:tc>
          <w:tcPr>
            <w:tcW w:w="2376" w:type="dxa"/>
            <w:shd w:val="clear" w:color="auto" w:fill="auto"/>
          </w:tcPr>
          <w:p w14:paraId="406D29BC" w14:textId="77777777" w:rsidR="00B33542" w:rsidRPr="005071A1" w:rsidRDefault="00B33542" w:rsidP="009B7AF5">
            <w:pPr>
              <w:pStyle w:val="Tabletext"/>
            </w:pPr>
            <w:r w:rsidRPr="005071A1">
              <w:t>40</w:t>
            </w:r>
          </w:p>
        </w:tc>
        <w:tc>
          <w:tcPr>
            <w:tcW w:w="2410" w:type="dxa"/>
            <w:shd w:val="clear" w:color="auto" w:fill="auto"/>
          </w:tcPr>
          <w:p w14:paraId="36E6E777" w14:textId="77777777" w:rsidR="00B33542" w:rsidRPr="005071A1" w:rsidRDefault="00B33542" w:rsidP="009B7AF5">
            <w:pPr>
              <w:pStyle w:val="Tabletext"/>
            </w:pPr>
            <w:r w:rsidRPr="005071A1">
              <w:t>0.10</w:t>
            </w:r>
          </w:p>
        </w:tc>
        <w:tc>
          <w:tcPr>
            <w:tcW w:w="2510" w:type="dxa"/>
            <w:shd w:val="clear" w:color="auto" w:fill="auto"/>
          </w:tcPr>
          <w:p w14:paraId="534A95B9" w14:textId="77777777" w:rsidR="00B33542" w:rsidRPr="005071A1" w:rsidRDefault="00B33542" w:rsidP="009B7AF5">
            <w:pPr>
              <w:pStyle w:val="Tabletext"/>
            </w:pPr>
            <w:r w:rsidRPr="005071A1">
              <w:t>0.05</w:t>
            </w:r>
          </w:p>
        </w:tc>
      </w:tr>
      <w:tr w:rsidR="00B33542" w:rsidRPr="005071A1" w14:paraId="13E910FD" w14:textId="77777777" w:rsidTr="009B7AF5">
        <w:tc>
          <w:tcPr>
            <w:tcW w:w="2376" w:type="dxa"/>
            <w:shd w:val="clear" w:color="auto" w:fill="auto"/>
          </w:tcPr>
          <w:p w14:paraId="20A0D15A" w14:textId="77777777" w:rsidR="00B33542" w:rsidRPr="005071A1" w:rsidRDefault="00B33542" w:rsidP="009B7AF5">
            <w:pPr>
              <w:pStyle w:val="Tabletext"/>
            </w:pPr>
            <w:r w:rsidRPr="005071A1">
              <w:t>41</w:t>
            </w:r>
          </w:p>
        </w:tc>
        <w:tc>
          <w:tcPr>
            <w:tcW w:w="2410" w:type="dxa"/>
            <w:shd w:val="clear" w:color="auto" w:fill="auto"/>
          </w:tcPr>
          <w:p w14:paraId="548C2244" w14:textId="77777777" w:rsidR="00B33542" w:rsidRPr="005071A1" w:rsidRDefault="00B33542" w:rsidP="009B7AF5">
            <w:pPr>
              <w:pStyle w:val="Tabletext"/>
            </w:pPr>
            <w:r w:rsidRPr="005071A1">
              <w:t>0.12</w:t>
            </w:r>
          </w:p>
        </w:tc>
        <w:tc>
          <w:tcPr>
            <w:tcW w:w="2510" w:type="dxa"/>
            <w:shd w:val="clear" w:color="auto" w:fill="auto"/>
          </w:tcPr>
          <w:p w14:paraId="1F0B69DD" w14:textId="77777777" w:rsidR="00B33542" w:rsidRPr="005071A1" w:rsidRDefault="00B33542" w:rsidP="009B7AF5">
            <w:pPr>
              <w:pStyle w:val="Tabletext"/>
            </w:pPr>
            <w:r w:rsidRPr="005071A1">
              <w:t>0.06</w:t>
            </w:r>
          </w:p>
        </w:tc>
      </w:tr>
      <w:tr w:rsidR="00B33542" w:rsidRPr="005071A1" w14:paraId="2E978BEB" w14:textId="77777777" w:rsidTr="009B7AF5">
        <w:tc>
          <w:tcPr>
            <w:tcW w:w="2376" w:type="dxa"/>
            <w:shd w:val="clear" w:color="auto" w:fill="auto"/>
          </w:tcPr>
          <w:p w14:paraId="6F3D7B3F" w14:textId="77777777" w:rsidR="00B33542" w:rsidRPr="005071A1" w:rsidRDefault="00B33542" w:rsidP="009B7AF5">
            <w:pPr>
              <w:pStyle w:val="Tabletext"/>
            </w:pPr>
            <w:r w:rsidRPr="005071A1">
              <w:t>42</w:t>
            </w:r>
          </w:p>
        </w:tc>
        <w:tc>
          <w:tcPr>
            <w:tcW w:w="2410" w:type="dxa"/>
            <w:shd w:val="clear" w:color="auto" w:fill="auto"/>
          </w:tcPr>
          <w:p w14:paraId="24AE08B7" w14:textId="77777777" w:rsidR="00B33542" w:rsidRPr="005071A1" w:rsidRDefault="00B33542" w:rsidP="009B7AF5">
            <w:pPr>
              <w:pStyle w:val="Tabletext"/>
            </w:pPr>
            <w:r w:rsidRPr="005071A1">
              <w:t>0.12</w:t>
            </w:r>
          </w:p>
        </w:tc>
        <w:tc>
          <w:tcPr>
            <w:tcW w:w="2510" w:type="dxa"/>
            <w:shd w:val="clear" w:color="auto" w:fill="auto"/>
          </w:tcPr>
          <w:p w14:paraId="43910C74" w14:textId="77777777" w:rsidR="00B33542" w:rsidRPr="005071A1" w:rsidRDefault="00B33542" w:rsidP="009B7AF5">
            <w:pPr>
              <w:pStyle w:val="Tabletext"/>
            </w:pPr>
            <w:r w:rsidRPr="005071A1">
              <w:t>0.06</w:t>
            </w:r>
          </w:p>
        </w:tc>
      </w:tr>
      <w:tr w:rsidR="00B33542" w:rsidRPr="005071A1" w14:paraId="01F5ED36" w14:textId="77777777" w:rsidTr="009B7AF5">
        <w:tc>
          <w:tcPr>
            <w:tcW w:w="2376" w:type="dxa"/>
            <w:shd w:val="clear" w:color="auto" w:fill="auto"/>
          </w:tcPr>
          <w:p w14:paraId="06DF7EAE" w14:textId="77777777" w:rsidR="00B33542" w:rsidRPr="005071A1" w:rsidRDefault="00B33542" w:rsidP="009B7AF5">
            <w:pPr>
              <w:pStyle w:val="Tabletext"/>
            </w:pPr>
            <w:r w:rsidRPr="005071A1">
              <w:t>43</w:t>
            </w:r>
          </w:p>
        </w:tc>
        <w:tc>
          <w:tcPr>
            <w:tcW w:w="2410" w:type="dxa"/>
            <w:shd w:val="clear" w:color="auto" w:fill="auto"/>
          </w:tcPr>
          <w:p w14:paraId="470B978D" w14:textId="77777777" w:rsidR="00B33542" w:rsidRPr="005071A1" w:rsidRDefault="00B33542" w:rsidP="009B7AF5">
            <w:pPr>
              <w:pStyle w:val="Tabletext"/>
            </w:pPr>
            <w:r w:rsidRPr="005071A1">
              <w:t>0.12</w:t>
            </w:r>
          </w:p>
        </w:tc>
        <w:tc>
          <w:tcPr>
            <w:tcW w:w="2510" w:type="dxa"/>
            <w:shd w:val="clear" w:color="auto" w:fill="auto"/>
          </w:tcPr>
          <w:p w14:paraId="22C1DADC" w14:textId="77777777" w:rsidR="00B33542" w:rsidRPr="005071A1" w:rsidRDefault="00B33542" w:rsidP="009B7AF5">
            <w:pPr>
              <w:pStyle w:val="Tabletext"/>
            </w:pPr>
            <w:r w:rsidRPr="005071A1">
              <w:t>0.06</w:t>
            </w:r>
          </w:p>
        </w:tc>
      </w:tr>
      <w:tr w:rsidR="00B33542" w:rsidRPr="005071A1" w14:paraId="0FE61448" w14:textId="77777777" w:rsidTr="009B7AF5">
        <w:tc>
          <w:tcPr>
            <w:tcW w:w="2376" w:type="dxa"/>
            <w:shd w:val="clear" w:color="auto" w:fill="auto"/>
          </w:tcPr>
          <w:p w14:paraId="5299E870" w14:textId="77777777" w:rsidR="00B33542" w:rsidRPr="005071A1" w:rsidRDefault="00B33542" w:rsidP="009B7AF5">
            <w:pPr>
              <w:pStyle w:val="Tabletext"/>
            </w:pPr>
            <w:r w:rsidRPr="005071A1">
              <w:t>44</w:t>
            </w:r>
          </w:p>
        </w:tc>
        <w:tc>
          <w:tcPr>
            <w:tcW w:w="2410" w:type="dxa"/>
            <w:shd w:val="clear" w:color="auto" w:fill="auto"/>
          </w:tcPr>
          <w:p w14:paraId="7576F6E4" w14:textId="77777777" w:rsidR="00B33542" w:rsidRPr="005071A1" w:rsidRDefault="00B33542" w:rsidP="009B7AF5">
            <w:pPr>
              <w:pStyle w:val="Tabletext"/>
            </w:pPr>
            <w:r w:rsidRPr="005071A1">
              <w:t>0.12</w:t>
            </w:r>
          </w:p>
        </w:tc>
        <w:tc>
          <w:tcPr>
            <w:tcW w:w="2510" w:type="dxa"/>
            <w:shd w:val="clear" w:color="auto" w:fill="auto"/>
          </w:tcPr>
          <w:p w14:paraId="6FEA7060" w14:textId="77777777" w:rsidR="00B33542" w:rsidRPr="005071A1" w:rsidRDefault="00B33542" w:rsidP="009B7AF5">
            <w:pPr>
              <w:pStyle w:val="Tabletext"/>
            </w:pPr>
            <w:r w:rsidRPr="005071A1">
              <w:t>0.06</w:t>
            </w:r>
          </w:p>
        </w:tc>
      </w:tr>
      <w:tr w:rsidR="00B33542" w:rsidRPr="005071A1" w14:paraId="66B0B421" w14:textId="77777777" w:rsidTr="009B7AF5">
        <w:tc>
          <w:tcPr>
            <w:tcW w:w="2376" w:type="dxa"/>
            <w:shd w:val="clear" w:color="auto" w:fill="auto"/>
          </w:tcPr>
          <w:p w14:paraId="08A4B5F2" w14:textId="77777777" w:rsidR="00B33542" w:rsidRPr="005071A1" w:rsidRDefault="00B33542" w:rsidP="009B7AF5">
            <w:pPr>
              <w:pStyle w:val="Tabletext"/>
            </w:pPr>
            <w:r w:rsidRPr="005071A1">
              <w:t>45</w:t>
            </w:r>
          </w:p>
        </w:tc>
        <w:tc>
          <w:tcPr>
            <w:tcW w:w="2410" w:type="dxa"/>
            <w:shd w:val="clear" w:color="auto" w:fill="auto"/>
          </w:tcPr>
          <w:p w14:paraId="31E4C9B3" w14:textId="77777777" w:rsidR="00B33542" w:rsidRPr="005071A1" w:rsidRDefault="00B33542" w:rsidP="009B7AF5">
            <w:pPr>
              <w:pStyle w:val="Tabletext"/>
            </w:pPr>
            <w:r w:rsidRPr="005071A1">
              <w:t>0.12</w:t>
            </w:r>
          </w:p>
        </w:tc>
        <w:tc>
          <w:tcPr>
            <w:tcW w:w="2510" w:type="dxa"/>
            <w:shd w:val="clear" w:color="auto" w:fill="auto"/>
          </w:tcPr>
          <w:p w14:paraId="311AA820" w14:textId="77777777" w:rsidR="00B33542" w:rsidRPr="005071A1" w:rsidRDefault="00B33542" w:rsidP="009B7AF5">
            <w:pPr>
              <w:pStyle w:val="Tabletext"/>
            </w:pPr>
            <w:r w:rsidRPr="005071A1">
              <w:t>0.06</w:t>
            </w:r>
          </w:p>
        </w:tc>
      </w:tr>
      <w:tr w:rsidR="00B33542" w:rsidRPr="005071A1" w14:paraId="6CA7ADC3" w14:textId="77777777" w:rsidTr="009B7AF5">
        <w:tc>
          <w:tcPr>
            <w:tcW w:w="2376" w:type="dxa"/>
            <w:shd w:val="clear" w:color="auto" w:fill="auto"/>
          </w:tcPr>
          <w:p w14:paraId="23FB5465" w14:textId="77777777" w:rsidR="00B33542" w:rsidRPr="005071A1" w:rsidRDefault="00B33542" w:rsidP="009B7AF5">
            <w:pPr>
              <w:pStyle w:val="Tabletext"/>
            </w:pPr>
            <w:r w:rsidRPr="005071A1">
              <w:lastRenderedPageBreak/>
              <w:t>46</w:t>
            </w:r>
          </w:p>
        </w:tc>
        <w:tc>
          <w:tcPr>
            <w:tcW w:w="2410" w:type="dxa"/>
            <w:shd w:val="clear" w:color="auto" w:fill="auto"/>
          </w:tcPr>
          <w:p w14:paraId="7BE16A93" w14:textId="77777777" w:rsidR="00B33542" w:rsidRPr="005071A1" w:rsidRDefault="00B33542" w:rsidP="009B7AF5">
            <w:pPr>
              <w:pStyle w:val="Tabletext"/>
            </w:pPr>
            <w:r w:rsidRPr="005071A1">
              <w:t>0.12</w:t>
            </w:r>
          </w:p>
        </w:tc>
        <w:tc>
          <w:tcPr>
            <w:tcW w:w="2510" w:type="dxa"/>
            <w:shd w:val="clear" w:color="auto" w:fill="auto"/>
          </w:tcPr>
          <w:p w14:paraId="11C278F9" w14:textId="77777777" w:rsidR="00B33542" w:rsidRPr="005071A1" w:rsidRDefault="00B33542" w:rsidP="009B7AF5">
            <w:pPr>
              <w:pStyle w:val="Tabletext"/>
            </w:pPr>
            <w:r w:rsidRPr="005071A1">
              <w:t>0.06</w:t>
            </w:r>
          </w:p>
        </w:tc>
      </w:tr>
      <w:tr w:rsidR="00B33542" w:rsidRPr="005071A1" w14:paraId="4BD2DF96" w14:textId="77777777" w:rsidTr="009B7AF5">
        <w:tc>
          <w:tcPr>
            <w:tcW w:w="2376" w:type="dxa"/>
            <w:shd w:val="clear" w:color="auto" w:fill="auto"/>
          </w:tcPr>
          <w:p w14:paraId="77C212B7" w14:textId="77777777" w:rsidR="00B33542" w:rsidRPr="005071A1" w:rsidRDefault="00B33542" w:rsidP="009B7AF5">
            <w:pPr>
              <w:pStyle w:val="Tabletext"/>
            </w:pPr>
            <w:r w:rsidRPr="005071A1">
              <w:t>47</w:t>
            </w:r>
          </w:p>
        </w:tc>
        <w:tc>
          <w:tcPr>
            <w:tcW w:w="2410" w:type="dxa"/>
            <w:shd w:val="clear" w:color="auto" w:fill="auto"/>
          </w:tcPr>
          <w:p w14:paraId="6B54E080" w14:textId="77777777" w:rsidR="00B33542" w:rsidRPr="005071A1" w:rsidRDefault="00B33542" w:rsidP="009B7AF5">
            <w:pPr>
              <w:pStyle w:val="Tabletext"/>
            </w:pPr>
            <w:r w:rsidRPr="005071A1">
              <w:t>0.14</w:t>
            </w:r>
          </w:p>
        </w:tc>
        <w:tc>
          <w:tcPr>
            <w:tcW w:w="2510" w:type="dxa"/>
            <w:shd w:val="clear" w:color="auto" w:fill="auto"/>
          </w:tcPr>
          <w:p w14:paraId="32358F9A" w14:textId="77777777" w:rsidR="00B33542" w:rsidRPr="005071A1" w:rsidRDefault="00B33542" w:rsidP="009B7AF5">
            <w:pPr>
              <w:pStyle w:val="Tabletext"/>
            </w:pPr>
            <w:r w:rsidRPr="005071A1">
              <w:t>0.07</w:t>
            </w:r>
          </w:p>
        </w:tc>
      </w:tr>
      <w:tr w:rsidR="00B33542" w:rsidRPr="005071A1" w14:paraId="4B841BC3" w14:textId="77777777" w:rsidTr="009B7AF5">
        <w:tc>
          <w:tcPr>
            <w:tcW w:w="2376" w:type="dxa"/>
            <w:shd w:val="clear" w:color="auto" w:fill="auto"/>
          </w:tcPr>
          <w:p w14:paraId="73D852C2" w14:textId="77777777" w:rsidR="00B33542" w:rsidRPr="005071A1" w:rsidRDefault="00B33542" w:rsidP="009B7AF5">
            <w:pPr>
              <w:pStyle w:val="Tabletext"/>
            </w:pPr>
            <w:r w:rsidRPr="005071A1">
              <w:t>48</w:t>
            </w:r>
          </w:p>
        </w:tc>
        <w:tc>
          <w:tcPr>
            <w:tcW w:w="2410" w:type="dxa"/>
            <w:shd w:val="clear" w:color="auto" w:fill="auto"/>
          </w:tcPr>
          <w:p w14:paraId="4CEBD170" w14:textId="77777777" w:rsidR="00B33542" w:rsidRPr="005071A1" w:rsidRDefault="00B33542" w:rsidP="009B7AF5">
            <w:pPr>
              <w:pStyle w:val="Tabletext"/>
            </w:pPr>
            <w:r w:rsidRPr="005071A1">
              <w:t>0.18</w:t>
            </w:r>
          </w:p>
        </w:tc>
        <w:tc>
          <w:tcPr>
            <w:tcW w:w="2510" w:type="dxa"/>
            <w:shd w:val="clear" w:color="auto" w:fill="auto"/>
          </w:tcPr>
          <w:p w14:paraId="0DCEA45C" w14:textId="77777777" w:rsidR="00B33542" w:rsidRPr="005071A1" w:rsidRDefault="00B33542" w:rsidP="009B7AF5">
            <w:pPr>
              <w:pStyle w:val="Tabletext"/>
            </w:pPr>
            <w:r w:rsidRPr="005071A1">
              <w:t>0.09</w:t>
            </w:r>
          </w:p>
        </w:tc>
      </w:tr>
      <w:tr w:rsidR="00B33542" w:rsidRPr="005071A1" w14:paraId="4ACCA0FA" w14:textId="77777777" w:rsidTr="009B7AF5">
        <w:tc>
          <w:tcPr>
            <w:tcW w:w="2376" w:type="dxa"/>
            <w:shd w:val="clear" w:color="auto" w:fill="auto"/>
          </w:tcPr>
          <w:p w14:paraId="2629E67A" w14:textId="77777777" w:rsidR="00B33542" w:rsidRPr="005071A1" w:rsidRDefault="00B33542" w:rsidP="009B7AF5">
            <w:pPr>
              <w:pStyle w:val="Tabletext"/>
            </w:pPr>
            <w:r w:rsidRPr="005071A1">
              <w:t>49</w:t>
            </w:r>
          </w:p>
        </w:tc>
        <w:tc>
          <w:tcPr>
            <w:tcW w:w="2410" w:type="dxa"/>
            <w:shd w:val="clear" w:color="auto" w:fill="auto"/>
          </w:tcPr>
          <w:p w14:paraId="307B999B" w14:textId="77777777" w:rsidR="00B33542" w:rsidRPr="005071A1" w:rsidRDefault="00B33542" w:rsidP="009B7AF5">
            <w:pPr>
              <w:pStyle w:val="Tabletext"/>
            </w:pPr>
            <w:r w:rsidRPr="005071A1">
              <w:t>0.18</w:t>
            </w:r>
          </w:p>
        </w:tc>
        <w:tc>
          <w:tcPr>
            <w:tcW w:w="2510" w:type="dxa"/>
            <w:shd w:val="clear" w:color="auto" w:fill="auto"/>
          </w:tcPr>
          <w:p w14:paraId="10C0AD7F" w14:textId="77777777" w:rsidR="00B33542" w:rsidRPr="005071A1" w:rsidRDefault="00B33542" w:rsidP="009B7AF5">
            <w:pPr>
              <w:pStyle w:val="Tabletext"/>
            </w:pPr>
            <w:r w:rsidRPr="005071A1">
              <w:t>0.09</w:t>
            </w:r>
          </w:p>
        </w:tc>
      </w:tr>
      <w:tr w:rsidR="00B33542" w:rsidRPr="005071A1" w14:paraId="60EF9DC2" w14:textId="77777777" w:rsidTr="009B7AF5">
        <w:tc>
          <w:tcPr>
            <w:tcW w:w="2376" w:type="dxa"/>
            <w:shd w:val="clear" w:color="auto" w:fill="auto"/>
          </w:tcPr>
          <w:p w14:paraId="2748675F" w14:textId="77777777" w:rsidR="00B33542" w:rsidRPr="005071A1" w:rsidRDefault="00B33542" w:rsidP="009B7AF5">
            <w:pPr>
              <w:pStyle w:val="Tabletext"/>
            </w:pPr>
            <w:r w:rsidRPr="005071A1">
              <w:t>50</w:t>
            </w:r>
          </w:p>
        </w:tc>
        <w:tc>
          <w:tcPr>
            <w:tcW w:w="2410" w:type="dxa"/>
            <w:shd w:val="clear" w:color="auto" w:fill="auto"/>
          </w:tcPr>
          <w:p w14:paraId="1FB2651B" w14:textId="77777777" w:rsidR="00B33542" w:rsidRPr="005071A1" w:rsidRDefault="00B33542" w:rsidP="009B7AF5">
            <w:pPr>
              <w:pStyle w:val="Tabletext"/>
            </w:pPr>
            <w:r w:rsidRPr="005071A1">
              <w:t>0.20</w:t>
            </w:r>
          </w:p>
        </w:tc>
        <w:tc>
          <w:tcPr>
            <w:tcW w:w="2510" w:type="dxa"/>
            <w:shd w:val="clear" w:color="auto" w:fill="auto"/>
          </w:tcPr>
          <w:p w14:paraId="19DD7C20" w14:textId="77777777" w:rsidR="00B33542" w:rsidRPr="005071A1" w:rsidRDefault="00B33542" w:rsidP="009B7AF5">
            <w:pPr>
              <w:pStyle w:val="Tabletext"/>
            </w:pPr>
            <w:r w:rsidRPr="005071A1">
              <w:t>0.10</w:t>
            </w:r>
          </w:p>
        </w:tc>
      </w:tr>
      <w:tr w:rsidR="00B33542" w:rsidRPr="005071A1" w14:paraId="778DCFCD" w14:textId="77777777" w:rsidTr="00D57394">
        <w:tc>
          <w:tcPr>
            <w:tcW w:w="2376" w:type="dxa"/>
            <w:tcBorders>
              <w:bottom w:val="single" w:sz="4" w:space="0" w:color="auto"/>
            </w:tcBorders>
            <w:shd w:val="clear" w:color="auto" w:fill="auto"/>
          </w:tcPr>
          <w:p w14:paraId="6383F5EA" w14:textId="77777777" w:rsidR="00B33542" w:rsidRPr="005071A1" w:rsidRDefault="00B33542" w:rsidP="009B7AF5">
            <w:pPr>
              <w:pStyle w:val="Tabletext"/>
            </w:pPr>
            <w:r w:rsidRPr="005071A1">
              <w:t>51</w:t>
            </w:r>
          </w:p>
        </w:tc>
        <w:tc>
          <w:tcPr>
            <w:tcW w:w="2410" w:type="dxa"/>
            <w:tcBorders>
              <w:bottom w:val="single" w:sz="4" w:space="0" w:color="auto"/>
            </w:tcBorders>
            <w:shd w:val="clear" w:color="auto" w:fill="auto"/>
          </w:tcPr>
          <w:p w14:paraId="587DF510" w14:textId="77777777" w:rsidR="00B33542" w:rsidRPr="005071A1" w:rsidRDefault="00B33542" w:rsidP="009B7AF5">
            <w:pPr>
              <w:pStyle w:val="Tabletext"/>
            </w:pPr>
            <w:r w:rsidRPr="005071A1">
              <w:t>0.22</w:t>
            </w:r>
          </w:p>
        </w:tc>
        <w:tc>
          <w:tcPr>
            <w:tcW w:w="2510" w:type="dxa"/>
            <w:tcBorders>
              <w:bottom w:val="single" w:sz="4" w:space="0" w:color="auto"/>
            </w:tcBorders>
            <w:shd w:val="clear" w:color="auto" w:fill="auto"/>
          </w:tcPr>
          <w:p w14:paraId="732F4598" w14:textId="77777777" w:rsidR="00B33542" w:rsidRPr="005071A1" w:rsidRDefault="00B33542" w:rsidP="009B7AF5">
            <w:pPr>
              <w:pStyle w:val="Tabletext"/>
            </w:pPr>
            <w:r w:rsidRPr="005071A1">
              <w:t>0.11</w:t>
            </w:r>
          </w:p>
        </w:tc>
      </w:tr>
      <w:tr w:rsidR="00B33542" w:rsidRPr="005071A1" w14:paraId="24BB1D7A" w14:textId="77777777" w:rsidTr="00D57394">
        <w:tc>
          <w:tcPr>
            <w:tcW w:w="2376" w:type="dxa"/>
            <w:tcBorders>
              <w:bottom w:val="single" w:sz="4" w:space="0" w:color="auto"/>
            </w:tcBorders>
            <w:shd w:val="clear" w:color="auto" w:fill="auto"/>
          </w:tcPr>
          <w:p w14:paraId="1669E7C8" w14:textId="77777777" w:rsidR="00B33542" w:rsidRPr="005071A1" w:rsidRDefault="00B33542" w:rsidP="009B7AF5">
            <w:pPr>
              <w:pStyle w:val="Tabletext"/>
            </w:pPr>
            <w:r w:rsidRPr="005071A1">
              <w:t>52</w:t>
            </w:r>
          </w:p>
        </w:tc>
        <w:tc>
          <w:tcPr>
            <w:tcW w:w="2410" w:type="dxa"/>
            <w:tcBorders>
              <w:bottom w:val="single" w:sz="4" w:space="0" w:color="auto"/>
            </w:tcBorders>
            <w:shd w:val="clear" w:color="auto" w:fill="auto"/>
          </w:tcPr>
          <w:p w14:paraId="77EDA451" w14:textId="77777777" w:rsidR="00B33542" w:rsidRPr="005071A1" w:rsidRDefault="00B33542" w:rsidP="009B7AF5">
            <w:pPr>
              <w:pStyle w:val="Tabletext"/>
            </w:pPr>
            <w:r w:rsidRPr="005071A1">
              <w:t>0.28</w:t>
            </w:r>
          </w:p>
        </w:tc>
        <w:tc>
          <w:tcPr>
            <w:tcW w:w="2510" w:type="dxa"/>
            <w:tcBorders>
              <w:bottom w:val="single" w:sz="4" w:space="0" w:color="auto"/>
            </w:tcBorders>
            <w:shd w:val="clear" w:color="auto" w:fill="auto"/>
          </w:tcPr>
          <w:p w14:paraId="72C5AE42" w14:textId="77777777" w:rsidR="00B33542" w:rsidRPr="005071A1" w:rsidRDefault="00B33542" w:rsidP="009B7AF5">
            <w:pPr>
              <w:pStyle w:val="Tabletext"/>
            </w:pPr>
            <w:r w:rsidRPr="005071A1">
              <w:t>0.14</w:t>
            </w:r>
          </w:p>
        </w:tc>
      </w:tr>
      <w:tr w:rsidR="00B33542" w:rsidRPr="005071A1" w14:paraId="384E84B1" w14:textId="77777777" w:rsidTr="00640BB6">
        <w:tc>
          <w:tcPr>
            <w:tcW w:w="2376" w:type="dxa"/>
            <w:tcBorders>
              <w:top w:val="single" w:sz="4" w:space="0" w:color="auto"/>
              <w:bottom w:val="single" w:sz="4" w:space="0" w:color="auto"/>
            </w:tcBorders>
            <w:shd w:val="clear" w:color="auto" w:fill="auto"/>
          </w:tcPr>
          <w:p w14:paraId="3966A2C5" w14:textId="77777777" w:rsidR="00B33542" w:rsidRPr="005071A1" w:rsidRDefault="00B33542" w:rsidP="009B7AF5">
            <w:pPr>
              <w:pStyle w:val="Tabletext"/>
            </w:pPr>
            <w:r w:rsidRPr="005071A1">
              <w:t>53</w:t>
            </w:r>
          </w:p>
        </w:tc>
        <w:tc>
          <w:tcPr>
            <w:tcW w:w="2410" w:type="dxa"/>
            <w:tcBorders>
              <w:top w:val="single" w:sz="4" w:space="0" w:color="auto"/>
              <w:bottom w:val="single" w:sz="4" w:space="0" w:color="auto"/>
            </w:tcBorders>
            <w:shd w:val="clear" w:color="auto" w:fill="auto"/>
          </w:tcPr>
          <w:p w14:paraId="317F240D" w14:textId="77777777" w:rsidR="00B33542" w:rsidRPr="005071A1" w:rsidRDefault="00B33542" w:rsidP="009B7AF5">
            <w:pPr>
              <w:pStyle w:val="Tabletext"/>
            </w:pPr>
            <w:r w:rsidRPr="005071A1">
              <w:t>0.30</w:t>
            </w:r>
          </w:p>
        </w:tc>
        <w:tc>
          <w:tcPr>
            <w:tcW w:w="2510" w:type="dxa"/>
            <w:tcBorders>
              <w:top w:val="single" w:sz="4" w:space="0" w:color="auto"/>
              <w:bottom w:val="single" w:sz="4" w:space="0" w:color="auto"/>
            </w:tcBorders>
            <w:shd w:val="clear" w:color="auto" w:fill="auto"/>
          </w:tcPr>
          <w:p w14:paraId="7596E14F" w14:textId="77777777" w:rsidR="00B33542" w:rsidRPr="005071A1" w:rsidRDefault="00B33542" w:rsidP="009B7AF5">
            <w:pPr>
              <w:pStyle w:val="Tabletext"/>
            </w:pPr>
            <w:r w:rsidRPr="005071A1">
              <w:t>0.15</w:t>
            </w:r>
          </w:p>
        </w:tc>
      </w:tr>
      <w:tr w:rsidR="00B33542" w:rsidRPr="005071A1" w14:paraId="0CD23776" w14:textId="77777777" w:rsidTr="00640BB6">
        <w:tc>
          <w:tcPr>
            <w:tcW w:w="2376" w:type="dxa"/>
            <w:tcBorders>
              <w:bottom w:val="single" w:sz="4" w:space="0" w:color="auto"/>
            </w:tcBorders>
            <w:shd w:val="clear" w:color="auto" w:fill="auto"/>
          </w:tcPr>
          <w:p w14:paraId="374550D8" w14:textId="77777777" w:rsidR="00B33542" w:rsidRPr="005071A1" w:rsidRDefault="00B33542" w:rsidP="009B7AF5">
            <w:pPr>
              <w:pStyle w:val="Tabletext"/>
            </w:pPr>
            <w:r w:rsidRPr="005071A1">
              <w:t>54</w:t>
            </w:r>
          </w:p>
        </w:tc>
        <w:tc>
          <w:tcPr>
            <w:tcW w:w="2410" w:type="dxa"/>
            <w:tcBorders>
              <w:bottom w:val="single" w:sz="4" w:space="0" w:color="auto"/>
            </w:tcBorders>
            <w:shd w:val="clear" w:color="auto" w:fill="auto"/>
          </w:tcPr>
          <w:p w14:paraId="793B4070" w14:textId="77777777" w:rsidR="00B33542" w:rsidRPr="005071A1" w:rsidRDefault="00B33542" w:rsidP="009B7AF5">
            <w:pPr>
              <w:pStyle w:val="Tabletext"/>
            </w:pPr>
            <w:r w:rsidRPr="005071A1">
              <w:t>0.36</w:t>
            </w:r>
          </w:p>
        </w:tc>
        <w:tc>
          <w:tcPr>
            <w:tcW w:w="2510" w:type="dxa"/>
            <w:tcBorders>
              <w:bottom w:val="single" w:sz="4" w:space="0" w:color="auto"/>
            </w:tcBorders>
            <w:shd w:val="clear" w:color="auto" w:fill="auto"/>
          </w:tcPr>
          <w:p w14:paraId="7123FDF3" w14:textId="77777777" w:rsidR="00B33542" w:rsidRPr="005071A1" w:rsidRDefault="00B33542" w:rsidP="009B7AF5">
            <w:pPr>
              <w:pStyle w:val="Tabletext"/>
            </w:pPr>
            <w:r w:rsidRPr="005071A1">
              <w:t>0.18</w:t>
            </w:r>
          </w:p>
        </w:tc>
      </w:tr>
      <w:tr w:rsidR="00B33542" w:rsidRPr="005071A1" w14:paraId="40D29F50" w14:textId="77777777" w:rsidTr="00640BB6">
        <w:tc>
          <w:tcPr>
            <w:tcW w:w="2376" w:type="dxa"/>
            <w:tcBorders>
              <w:top w:val="single" w:sz="4" w:space="0" w:color="auto"/>
            </w:tcBorders>
            <w:shd w:val="clear" w:color="auto" w:fill="auto"/>
          </w:tcPr>
          <w:p w14:paraId="77A657CC" w14:textId="77777777" w:rsidR="00B33542" w:rsidRPr="005071A1" w:rsidRDefault="00B33542" w:rsidP="009B7AF5">
            <w:pPr>
              <w:pStyle w:val="Tabletext"/>
            </w:pPr>
            <w:r w:rsidRPr="005071A1">
              <w:t>55</w:t>
            </w:r>
          </w:p>
        </w:tc>
        <w:tc>
          <w:tcPr>
            <w:tcW w:w="2410" w:type="dxa"/>
            <w:tcBorders>
              <w:top w:val="single" w:sz="4" w:space="0" w:color="auto"/>
            </w:tcBorders>
            <w:shd w:val="clear" w:color="auto" w:fill="auto"/>
          </w:tcPr>
          <w:p w14:paraId="43831436" w14:textId="77777777" w:rsidR="00B33542" w:rsidRPr="005071A1" w:rsidRDefault="00B33542" w:rsidP="009B7AF5">
            <w:pPr>
              <w:pStyle w:val="Tabletext"/>
            </w:pPr>
            <w:r w:rsidRPr="005071A1">
              <w:t>0.42</w:t>
            </w:r>
          </w:p>
        </w:tc>
        <w:tc>
          <w:tcPr>
            <w:tcW w:w="2510" w:type="dxa"/>
            <w:tcBorders>
              <w:top w:val="single" w:sz="4" w:space="0" w:color="auto"/>
            </w:tcBorders>
            <w:shd w:val="clear" w:color="auto" w:fill="auto"/>
          </w:tcPr>
          <w:p w14:paraId="16AB3310" w14:textId="77777777" w:rsidR="00B33542" w:rsidRPr="005071A1" w:rsidRDefault="00B33542" w:rsidP="009B7AF5">
            <w:pPr>
              <w:pStyle w:val="Tabletext"/>
            </w:pPr>
            <w:r w:rsidRPr="005071A1">
              <w:t>0.21</w:t>
            </w:r>
          </w:p>
        </w:tc>
      </w:tr>
      <w:tr w:rsidR="00B33542" w:rsidRPr="005071A1" w14:paraId="12DC0151" w14:textId="77777777" w:rsidTr="009B7AF5">
        <w:tc>
          <w:tcPr>
            <w:tcW w:w="2376" w:type="dxa"/>
            <w:shd w:val="clear" w:color="auto" w:fill="auto"/>
          </w:tcPr>
          <w:p w14:paraId="6B36AA3C" w14:textId="77777777" w:rsidR="00B33542" w:rsidRPr="005071A1" w:rsidRDefault="00B33542" w:rsidP="009B7AF5">
            <w:pPr>
              <w:pStyle w:val="Tabletext"/>
            </w:pPr>
            <w:r w:rsidRPr="005071A1">
              <w:t>56</w:t>
            </w:r>
          </w:p>
        </w:tc>
        <w:tc>
          <w:tcPr>
            <w:tcW w:w="2410" w:type="dxa"/>
            <w:shd w:val="clear" w:color="auto" w:fill="auto"/>
          </w:tcPr>
          <w:p w14:paraId="2B2DA866" w14:textId="77777777" w:rsidR="00B33542" w:rsidRPr="005071A1" w:rsidRDefault="00B33542" w:rsidP="009B7AF5">
            <w:pPr>
              <w:pStyle w:val="Tabletext"/>
            </w:pPr>
            <w:r w:rsidRPr="005071A1">
              <w:t>0.52</w:t>
            </w:r>
          </w:p>
        </w:tc>
        <w:tc>
          <w:tcPr>
            <w:tcW w:w="2510" w:type="dxa"/>
            <w:shd w:val="clear" w:color="auto" w:fill="auto"/>
          </w:tcPr>
          <w:p w14:paraId="11A21A6A" w14:textId="77777777" w:rsidR="00B33542" w:rsidRPr="005071A1" w:rsidRDefault="00B33542" w:rsidP="009B7AF5">
            <w:pPr>
              <w:pStyle w:val="Tabletext"/>
            </w:pPr>
            <w:r w:rsidRPr="005071A1">
              <w:t>0.26</w:t>
            </w:r>
          </w:p>
        </w:tc>
      </w:tr>
      <w:tr w:rsidR="00B33542" w:rsidRPr="005071A1" w14:paraId="5CC25797" w14:textId="77777777" w:rsidTr="009B7AF5">
        <w:tc>
          <w:tcPr>
            <w:tcW w:w="2376" w:type="dxa"/>
            <w:shd w:val="clear" w:color="auto" w:fill="auto"/>
          </w:tcPr>
          <w:p w14:paraId="1D2B4BBB" w14:textId="77777777" w:rsidR="00B33542" w:rsidRPr="005071A1" w:rsidRDefault="00B33542" w:rsidP="009B7AF5">
            <w:pPr>
              <w:pStyle w:val="Tabletext"/>
            </w:pPr>
            <w:r w:rsidRPr="005071A1">
              <w:t>57</w:t>
            </w:r>
          </w:p>
        </w:tc>
        <w:tc>
          <w:tcPr>
            <w:tcW w:w="2410" w:type="dxa"/>
            <w:shd w:val="clear" w:color="auto" w:fill="auto"/>
          </w:tcPr>
          <w:p w14:paraId="21050D77" w14:textId="77777777" w:rsidR="00B33542" w:rsidRPr="005071A1" w:rsidRDefault="00B33542" w:rsidP="009B7AF5">
            <w:pPr>
              <w:pStyle w:val="Tabletext"/>
            </w:pPr>
            <w:r w:rsidRPr="005071A1">
              <w:t>0.70</w:t>
            </w:r>
          </w:p>
        </w:tc>
        <w:tc>
          <w:tcPr>
            <w:tcW w:w="2510" w:type="dxa"/>
            <w:shd w:val="clear" w:color="auto" w:fill="auto"/>
          </w:tcPr>
          <w:p w14:paraId="59E26179" w14:textId="77777777" w:rsidR="00B33542" w:rsidRPr="005071A1" w:rsidRDefault="00B33542" w:rsidP="009B7AF5">
            <w:pPr>
              <w:pStyle w:val="Tabletext"/>
            </w:pPr>
            <w:r w:rsidRPr="005071A1">
              <w:t>0.35</w:t>
            </w:r>
          </w:p>
        </w:tc>
      </w:tr>
      <w:tr w:rsidR="00B33542" w:rsidRPr="005071A1" w14:paraId="437885FA" w14:textId="77777777" w:rsidTr="009B7AF5">
        <w:tc>
          <w:tcPr>
            <w:tcW w:w="2376" w:type="dxa"/>
            <w:shd w:val="clear" w:color="auto" w:fill="auto"/>
          </w:tcPr>
          <w:p w14:paraId="26A726A1" w14:textId="77777777" w:rsidR="00B33542" w:rsidRPr="005071A1" w:rsidRDefault="00B33542" w:rsidP="009B7AF5">
            <w:pPr>
              <w:pStyle w:val="Tabletext"/>
            </w:pPr>
            <w:r w:rsidRPr="005071A1">
              <w:t>58</w:t>
            </w:r>
          </w:p>
        </w:tc>
        <w:tc>
          <w:tcPr>
            <w:tcW w:w="2410" w:type="dxa"/>
            <w:shd w:val="clear" w:color="auto" w:fill="auto"/>
          </w:tcPr>
          <w:p w14:paraId="7581C21B" w14:textId="77777777" w:rsidR="00B33542" w:rsidRPr="005071A1" w:rsidRDefault="00B33542" w:rsidP="009B7AF5">
            <w:pPr>
              <w:pStyle w:val="Tabletext"/>
            </w:pPr>
            <w:r w:rsidRPr="005071A1">
              <w:t>1.04</w:t>
            </w:r>
          </w:p>
        </w:tc>
        <w:tc>
          <w:tcPr>
            <w:tcW w:w="2510" w:type="dxa"/>
            <w:shd w:val="clear" w:color="auto" w:fill="auto"/>
          </w:tcPr>
          <w:p w14:paraId="0E007AED" w14:textId="77777777" w:rsidR="00B33542" w:rsidRPr="005071A1" w:rsidRDefault="00B33542" w:rsidP="009B7AF5">
            <w:pPr>
              <w:pStyle w:val="Tabletext"/>
            </w:pPr>
            <w:r w:rsidRPr="005071A1">
              <w:t>0.52</w:t>
            </w:r>
          </w:p>
        </w:tc>
      </w:tr>
      <w:tr w:rsidR="00B33542" w:rsidRPr="005071A1" w14:paraId="3ACE7A00" w14:textId="77777777" w:rsidTr="009B7AF5">
        <w:tc>
          <w:tcPr>
            <w:tcW w:w="2376" w:type="dxa"/>
            <w:tcBorders>
              <w:bottom w:val="single" w:sz="4" w:space="0" w:color="auto"/>
            </w:tcBorders>
            <w:shd w:val="clear" w:color="auto" w:fill="auto"/>
          </w:tcPr>
          <w:p w14:paraId="01B8A449" w14:textId="77777777" w:rsidR="00B33542" w:rsidRPr="005071A1" w:rsidRDefault="00B33542" w:rsidP="009B7AF5">
            <w:pPr>
              <w:pStyle w:val="Tabletext"/>
            </w:pPr>
            <w:r w:rsidRPr="005071A1">
              <w:t>59</w:t>
            </w:r>
          </w:p>
        </w:tc>
        <w:tc>
          <w:tcPr>
            <w:tcW w:w="2410" w:type="dxa"/>
            <w:tcBorders>
              <w:bottom w:val="single" w:sz="4" w:space="0" w:color="auto"/>
            </w:tcBorders>
            <w:shd w:val="clear" w:color="auto" w:fill="auto"/>
          </w:tcPr>
          <w:p w14:paraId="23833D8B" w14:textId="77777777" w:rsidR="00B33542" w:rsidRPr="005071A1" w:rsidRDefault="00B33542" w:rsidP="009B7AF5">
            <w:pPr>
              <w:pStyle w:val="Tabletext"/>
            </w:pPr>
            <w:r w:rsidRPr="005071A1">
              <w:t>2.08</w:t>
            </w:r>
          </w:p>
        </w:tc>
        <w:tc>
          <w:tcPr>
            <w:tcW w:w="2510" w:type="dxa"/>
            <w:tcBorders>
              <w:bottom w:val="single" w:sz="4" w:space="0" w:color="auto"/>
            </w:tcBorders>
            <w:shd w:val="clear" w:color="auto" w:fill="auto"/>
          </w:tcPr>
          <w:p w14:paraId="7CDCB9BD" w14:textId="77777777" w:rsidR="00B33542" w:rsidRPr="005071A1" w:rsidRDefault="00B33542" w:rsidP="009B7AF5">
            <w:pPr>
              <w:pStyle w:val="Tabletext"/>
            </w:pPr>
            <w:r w:rsidRPr="005071A1">
              <w:t>1.04</w:t>
            </w:r>
          </w:p>
        </w:tc>
      </w:tr>
      <w:tr w:rsidR="00B33542" w:rsidRPr="005071A1" w14:paraId="1A182258" w14:textId="77777777" w:rsidTr="009B7AF5">
        <w:tc>
          <w:tcPr>
            <w:tcW w:w="2376" w:type="dxa"/>
            <w:tcBorders>
              <w:bottom w:val="single" w:sz="12" w:space="0" w:color="auto"/>
            </w:tcBorders>
            <w:shd w:val="clear" w:color="auto" w:fill="auto"/>
          </w:tcPr>
          <w:p w14:paraId="1E2B3309" w14:textId="77777777" w:rsidR="00B33542" w:rsidRPr="005071A1" w:rsidRDefault="00B33542" w:rsidP="009B7AF5">
            <w:pPr>
              <w:pStyle w:val="Tabletext"/>
            </w:pPr>
            <w:r w:rsidRPr="005071A1">
              <w:t>60</w:t>
            </w:r>
          </w:p>
        </w:tc>
        <w:tc>
          <w:tcPr>
            <w:tcW w:w="2410" w:type="dxa"/>
            <w:tcBorders>
              <w:bottom w:val="single" w:sz="12" w:space="0" w:color="auto"/>
            </w:tcBorders>
            <w:shd w:val="clear" w:color="auto" w:fill="auto"/>
          </w:tcPr>
          <w:p w14:paraId="7A519C5C" w14:textId="77777777" w:rsidR="00B33542" w:rsidRPr="005071A1" w:rsidRDefault="00B33542" w:rsidP="009B7AF5">
            <w:pPr>
              <w:pStyle w:val="Tabletext"/>
            </w:pPr>
            <w:r w:rsidRPr="005071A1">
              <w:t>1.80</w:t>
            </w:r>
          </w:p>
        </w:tc>
        <w:tc>
          <w:tcPr>
            <w:tcW w:w="2510" w:type="dxa"/>
            <w:tcBorders>
              <w:bottom w:val="single" w:sz="12" w:space="0" w:color="auto"/>
            </w:tcBorders>
            <w:shd w:val="clear" w:color="auto" w:fill="auto"/>
          </w:tcPr>
          <w:p w14:paraId="27E86930" w14:textId="77777777" w:rsidR="00B33542" w:rsidRPr="005071A1" w:rsidRDefault="00B33542" w:rsidP="009B7AF5">
            <w:pPr>
              <w:pStyle w:val="Tabletext"/>
            </w:pPr>
            <w:r w:rsidRPr="005071A1">
              <w:t>0.90</w:t>
            </w:r>
          </w:p>
        </w:tc>
      </w:tr>
    </w:tbl>
    <w:p w14:paraId="2AEA3D85" w14:textId="77777777" w:rsidR="00B33542" w:rsidRPr="005071A1" w:rsidRDefault="00B33542" w:rsidP="00674A0D">
      <w:pPr>
        <w:pStyle w:val="ActHead5"/>
        <w:pageBreakBefore/>
      </w:pPr>
      <w:bookmarkStart w:id="317" w:name="_Toc185577699"/>
      <w:r w:rsidRPr="005071A1">
        <w:lastRenderedPageBreak/>
        <w:t>Table VII</w:t>
      </w:r>
      <w:bookmarkEnd w:id="317"/>
    </w:p>
    <w:p w14:paraId="7746EFF4" w14:textId="77777777" w:rsidR="00B33542" w:rsidRPr="005071A1" w:rsidRDefault="00B33542" w:rsidP="00B33542">
      <w:pPr>
        <w:spacing w:before="120"/>
      </w:pPr>
      <w:r w:rsidRPr="005071A1">
        <w:t>Reductions in fortnightly rates of contribution payable on or after 1st July, 1962, by male contributors (other than contributors who have elected that section</w:t>
      </w:r>
      <w:r w:rsidR="008B2950" w:rsidRPr="005071A1">
        <w:t> </w:t>
      </w:r>
      <w:r w:rsidRPr="005071A1">
        <w:t>26 shall not apply to them) for units of pension based on a retiring age of 65 years and the age next birthday of the contributor when the obligation to contribute for those units came into existence</w:t>
      </w:r>
    </w:p>
    <w:p w14:paraId="77705F45"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2065"/>
        <w:gridCol w:w="2329"/>
        <w:gridCol w:w="1801"/>
      </w:tblGrid>
      <w:tr w:rsidR="00B33542" w:rsidRPr="005071A1" w14:paraId="7EBB11B1" w14:textId="77777777" w:rsidTr="009B7AF5">
        <w:trPr>
          <w:tblHeader/>
        </w:trPr>
        <w:tc>
          <w:tcPr>
            <w:tcW w:w="1101" w:type="dxa"/>
            <w:tcBorders>
              <w:top w:val="single" w:sz="12" w:space="0" w:color="auto"/>
              <w:bottom w:val="single" w:sz="6" w:space="0" w:color="auto"/>
            </w:tcBorders>
            <w:shd w:val="clear" w:color="auto" w:fill="auto"/>
          </w:tcPr>
          <w:p w14:paraId="2D03CF2E" w14:textId="77777777" w:rsidR="00B33542" w:rsidRPr="005071A1" w:rsidRDefault="00B33542" w:rsidP="009B7AF5">
            <w:pPr>
              <w:pStyle w:val="TableHeading"/>
            </w:pPr>
            <w:r w:rsidRPr="005071A1">
              <w:t>Column 1</w:t>
            </w:r>
          </w:p>
        </w:tc>
        <w:tc>
          <w:tcPr>
            <w:tcW w:w="2065" w:type="dxa"/>
            <w:tcBorders>
              <w:top w:val="single" w:sz="12" w:space="0" w:color="auto"/>
              <w:bottom w:val="single" w:sz="6" w:space="0" w:color="auto"/>
            </w:tcBorders>
            <w:shd w:val="clear" w:color="auto" w:fill="auto"/>
          </w:tcPr>
          <w:p w14:paraId="062FEDF5" w14:textId="77777777" w:rsidR="00B33542" w:rsidRPr="005071A1" w:rsidRDefault="00B33542" w:rsidP="009B7AF5">
            <w:pPr>
              <w:pStyle w:val="TableHeading"/>
            </w:pPr>
            <w:r w:rsidRPr="005071A1">
              <w:t>Column 2</w:t>
            </w:r>
          </w:p>
        </w:tc>
        <w:tc>
          <w:tcPr>
            <w:tcW w:w="2329" w:type="dxa"/>
            <w:tcBorders>
              <w:top w:val="single" w:sz="12" w:space="0" w:color="auto"/>
              <w:bottom w:val="single" w:sz="6" w:space="0" w:color="auto"/>
            </w:tcBorders>
            <w:shd w:val="clear" w:color="auto" w:fill="auto"/>
          </w:tcPr>
          <w:p w14:paraId="77C88619" w14:textId="77777777" w:rsidR="00B33542" w:rsidRPr="005071A1" w:rsidRDefault="00B33542" w:rsidP="009B7AF5">
            <w:pPr>
              <w:pStyle w:val="TableHeading"/>
            </w:pPr>
            <w:r w:rsidRPr="005071A1">
              <w:t>Column 3</w:t>
            </w:r>
          </w:p>
        </w:tc>
        <w:tc>
          <w:tcPr>
            <w:tcW w:w="1801" w:type="dxa"/>
            <w:tcBorders>
              <w:top w:val="single" w:sz="12" w:space="0" w:color="auto"/>
              <w:bottom w:val="single" w:sz="6" w:space="0" w:color="auto"/>
            </w:tcBorders>
            <w:shd w:val="clear" w:color="auto" w:fill="auto"/>
          </w:tcPr>
          <w:p w14:paraId="62CD72D4" w14:textId="77777777" w:rsidR="00B33542" w:rsidRPr="005071A1" w:rsidRDefault="00B33542" w:rsidP="009B7AF5">
            <w:pPr>
              <w:pStyle w:val="TableHeading"/>
            </w:pPr>
            <w:r w:rsidRPr="005071A1">
              <w:t>Column 4</w:t>
            </w:r>
          </w:p>
        </w:tc>
      </w:tr>
      <w:tr w:rsidR="00B33542" w:rsidRPr="005071A1" w14:paraId="45190A4C" w14:textId="77777777" w:rsidTr="009B7AF5">
        <w:trPr>
          <w:tblHeader/>
        </w:trPr>
        <w:tc>
          <w:tcPr>
            <w:tcW w:w="1101" w:type="dxa"/>
            <w:tcBorders>
              <w:top w:val="single" w:sz="6" w:space="0" w:color="auto"/>
              <w:bottom w:val="single" w:sz="6" w:space="0" w:color="auto"/>
            </w:tcBorders>
            <w:shd w:val="clear" w:color="auto" w:fill="auto"/>
          </w:tcPr>
          <w:p w14:paraId="69A2BBF8"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2065" w:type="dxa"/>
            <w:tcBorders>
              <w:top w:val="single" w:sz="6" w:space="0" w:color="auto"/>
              <w:bottom w:val="single" w:sz="6" w:space="0" w:color="auto"/>
            </w:tcBorders>
            <w:shd w:val="clear" w:color="auto" w:fill="auto"/>
          </w:tcPr>
          <w:p w14:paraId="2311FEEC"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First Two Units where the Obligation to Contribute for those Units came into existence after 2nd November, 1942, and before 14th December, 1959</w:t>
            </w:r>
          </w:p>
        </w:tc>
        <w:tc>
          <w:tcPr>
            <w:tcW w:w="2329" w:type="dxa"/>
            <w:tcBorders>
              <w:top w:val="single" w:sz="6" w:space="0" w:color="auto"/>
              <w:bottom w:val="single" w:sz="6" w:space="0" w:color="auto"/>
            </w:tcBorders>
            <w:shd w:val="clear" w:color="auto" w:fill="auto"/>
          </w:tcPr>
          <w:p w14:paraId="046D77CF" w14:textId="77777777" w:rsidR="00B33542" w:rsidRPr="005071A1" w:rsidRDefault="00B33542" w:rsidP="005C01B5">
            <w:pPr>
              <w:pStyle w:val="TableHeading"/>
              <w:spacing w:before="40" w:after="40" w:line="180" w:lineRule="atLeast"/>
              <w:rPr>
                <w:sz w:val="16"/>
                <w:szCs w:val="16"/>
              </w:rPr>
            </w:pPr>
            <w:r w:rsidRPr="005071A1">
              <w:rPr>
                <w:sz w:val="16"/>
                <w:szCs w:val="16"/>
              </w:rPr>
              <w:t>Reduction in Contribution for—</w:t>
            </w:r>
          </w:p>
          <w:p w14:paraId="7699EC07"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a</w:t>
            </w:r>
            <w:r w:rsidRPr="005071A1">
              <w:rPr>
                <w:sz w:val="16"/>
                <w:szCs w:val="16"/>
              </w:rPr>
              <w:t xml:space="preserve">) </w:t>
            </w:r>
            <w:r w:rsidR="00B33542" w:rsidRPr="005071A1">
              <w:rPr>
                <w:sz w:val="16"/>
                <w:szCs w:val="16"/>
              </w:rPr>
              <w:t>Additional Unit where Contributor did not become liable to Contribute for other Additional Units at the same time and the Obligation to Contribute for that Additional Unit came into existence after 2nd November, 1942, and before 1st November, 1951;</w:t>
            </w:r>
          </w:p>
          <w:p w14:paraId="0A00D2B7"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b</w:t>
            </w:r>
            <w:r w:rsidRPr="005071A1">
              <w:rPr>
                <w:sz w:val="16"/>
                <w:szCs w:val="16"/>
              </w:rPr>
              <w:t xml:space="preserve">) </w:t>
            </w:r>
            <w:r w:rsidR="00B33542" w:rsidRPr="005071A1">
              <w:rPr>
                <w:sz w:val="16"/>
                <w:szCs w:val="16"/>
              </w:rPr>
              <w:t>One of a number of Additional Units for which Contributor became liable to Contribute at the same time, being a number that is not two or a multiple of two, where the Obligation to Contribute for those Additional Units came into existence after 2nd November, 1942, and before 1st November, 1951; and</w:t>
            </w:r>
          </w:p>
          <w:p w14:paraId="5CA067DB"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c</w:t>
            </w:r>
            <w:r w:rsidRPr="005071A1">
              <w:rPr>
                <w:sz w:val="16"/>
                <w:szCs w:val="16"/>
              </w:rPr>
              <w:t xml:space="preserve">) </w:t>
            </w:r>
            <w:r w:rsidR="00B33542" w:rsidRPr="005071A1">
              <w:rPr>
                <w:sz w:val="16"/>
                <w:szCs w:val="16"/>
              </w:rPr>
              <w:t>Each Additional Unit where the Obligation to Contribute for that Additional Unit came into existence on or after 1st November, 1951, and before 14th December, 1959</w:t>
            </w:r>
          </w:p>
        </w:tc>
        <w:tc>
          <w:tcPr>
            <w:tcW w:w="1801" w:type="dxa"/>
            <w:tcBorders>
              <w:top w:val="single" w:sz="6" w:space="0" w:color="auto"/>
              <w:bottom w:val="single" w:sz="6" w:space="0" w:color="auto"/>
            </w:tcBorders>
            <w:shd w:val="clear" w:color="auto" w:fill="auto"/>
          </w:tcPr>
          <w:p w14:paraId="10BD314D"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each Additional Two Units included in a number of Additional Units for which Contributor became liable to Contribute at the same time, excluding any Unit to which Column 3 of this Table applies, where the Obligation to Contribute for those Additional Units came into existence after 2nd November, 1942, and before 1st November, 1951</w:t>
            </w:r>
          </w:p>
        </w:tc>
      </w:tr>
      <w:tr w:rsidR="00B33542" w:rsidRPr="005071A1" w14:paraId="63DAF98C" w14:textId="77777777" w:rsidTr="009B7AF5">
        <w:trPr>
          <w:tblHeader/>
        </w:trPr>
        <w:tc>
          <w:tcPr>
            <w:tcW w:w="1101" w:type="dxa"/>
            <w:tcBorders>
              <w:top w:val="single" w:sz="6" w:space="0" w:color="auto"/>
              <w:bottom w:val="single" w:sz="12" w:space="0" w:color="auto"/>
            </w:tcBorders>
            <w:shd w:val="clear" w:color="auto" w:fill="auto"/>
          </w:tcPr>
          <w:p w14:paraId="6CACEFB5" w14:textId="77777777" w:rsidR="00B33542" w:rsidRPr="005071A1" w:rsidRDefault="00B33542" w:rsidP="005C01B5">
            <w:pPr>
              <w:pStyle w:val="TableHeading"/>
            </w:pPr>
          </w:p>
        </w:tc>
        <w:tc>
          <w:tcPr>
            <w:tcW w:w="2065" w:type="dxa"/>
            <w:tcBorders>
              <w:top w:val="single" w:sz="6" w:space="0" w:color="auto"/>
              <w:bottom w:val="single" w:sz="12" w:space="0" w:color="auto"/>
            </w:tcBorders>
            <w:shd w:val="clear" w:color="auto" w:fill="auto"/>
          </w:tcPr>
          <w:p w14:paraId="4174D463" w14:textId="77777777" w:rsidR="00B33542" w:rsidRPr="005071A1" w:rsidRDefault="00B33542" w:rsidP="005C01B5">
            <w:pPr>
              <w:pStyle w:val="TableHeading"/>
            </w:pPr>
            <w:r w:rsidRPr="005071A1">
              <w:t>$</w:t>
            </w:r>
          </w:p>
        </w:tc>
        <w:tc>
          <w:tcPr>
            <w:tcW w:w="2329" w:type="dxa"/>
            <w:tcBorders>
              <w:top w:val="single" w:sz="6" w:space="0" w:color="auto"/>
              <w:bottom w:val="single" w:sz="12" w:space="0" w:color="auto"/>
            </w:tcBorders>
            <w:shd w:val="clear" w:color="auto" w:fill="auto"/>
          </w:tcPr>
          <w:p w14:paraId="3A04A784" w14:textId="77777777" w:rsidR="00B33542" w:rsidRPr="005071A1" w:rsidRDefault="00B33542" w:rsidP="005C01B5">
            <w:pPr>
              <w:pStyle w:val="TableHeading"/>
            </w:pPr>
            <w:r w:rsidRPr="005071A1">
              <w:t>$</w:t>
            </w:r>
          </w:p>
        </w:tc>
        <w:tc>
          <w:tcPr>
            <w:tcW w:w="1801" w:type="dxa"/>
            <w:tcBorders>
              <w:top w:val="single" w:sz="6" w:space="0" w:color="auto"/>
              <w:bottom w:val="single" w:sz="12" w:space="0" w:color="auto"/>
            </w:tcBorders>
            <w:shd w:val="clear" w:color="auto" w:fill="auto"/>
          </w:tcPr>
          <w:p w14:paraId="5F9B4CB7" w14:textId="77777777" w:rsidR="00B33542" w:rsidRPr="005071A1" w:rsidRDefault="00B33542" w:rsidP="005C01B5">
            <w:pPr>
              <w:pStyle w:val="TableHeading"/>
            </w:pPr>
            <w:r w:rsidRPr="005071A1">
              <w:t>$</w:t>
            </w:r>
          </w:p>
        </w:tc>
      </w:tr>
      <w:tr w:rsidR="00B33542" w:rsidRPr="005071A1" w14:paraId="5EC4B7EA" w14:textId="77777777" w:rsidTr="009B7AF5">
        <w:tc>
          <w:tcPr>
            <w:tcW w:w="1101" w:type="dxa"/>
            <w:tcBorders>
              <w:top w:val="single" w:sz="12" w:space="0" w:color="auto"/>
            </w:tcBorders>
            <w:shd w:val="clear" w:color="auto" w:fill="auto"/>
          </w:tcPr>
          <w:p w14:paraId="62A44D5E" w14:textId="77777777" w:rsidR="00B33542" w:rsidRPr="005071A1" w:rsidRDefault="00B33542" w:rsidP="009B7AF5">
            <w:pPr>
              <w:pStyle w:val="Tabletext"/>
            </w:pPr>
            <w:r w:rsidRPr="005071A1">
              <w:t>15</w:t>
            </w:r>
          </w:p>
        </w:tc>
        <w:tc>
          <w:tcPr>
            <w:tcW w:w="2065" w:type="dxa"/>
            <w:tcBorders>
              <w:top w:val="single" w:sz="12" w:space="0" w:color="auto"/>
            </w:tcBorders>
            <w:shd w:val="clear" w:color="auto" w:fill="auto"/>
          </w:tcPr>
          <w:p w14:paraId="5439035C" w14:textId="77777777" w:rsidR="00B33542" w:rsidRPr="005071A1" w:rsidRDefault="00B33542" w:rsidP="009B7AF5">
            <w:pPr>
              <w:pStyle w:val="Tabletext"/>
            </w:pPr>
            <w:r w:rsidRPr="005071A1">
              <w:t>0.08</w:t>
            </w:r>
          </w:p>
        </w:tc>
        <w:tc>
          <w:tcPr>
            <w:tcW w:w="2329" w:type="dxa"/>
            <w:tcBorders>
              <w:top w:val="single" w:sz="12" w:space="0" w:color="auto"/>
            </w:tcBorders>
            <w:shd w:val="clear" w:color="auto" w:fill="auto"/>
          </w:tcPr>
          <w:p w14:paraId="2A42D610" w14:textId="77777777" w:rsidR="00B33542" w:rsidRPr="005071A1" w:rsidRDefault="00B33542" w:rsidP="009B7AF5">
            <w:pPr>
              <w:pStyle w:val="Tabletext"/>
            </w:pPr>
            <w:r w:rsidRPr="005071A1">
              <w:t>0.03</w:t>
            </w:r>
          </w:p>
        </w:tc>
        <w:tc>
          <w:tcPr>
            <w:tcW w:w="1801" w:type="dxa"/>
            <w:tcBorders>
              <w:top w:val="single" w:sz="12" w:space="0" w:color="auto"/>
            </w:tcBorders>
            <w:shd w:val="clear" w:color="auto" w:fill="auto"/>
          </w:tcPr>
          <w:p w14:paraId="611ADE08" w14:textId="77777777" w:rsidR="00B33542" w:rsidRPr="005071A1" w:rsidRDefault="00B33542" w:rsidP="009B7AF5">
            <w:pPr>
              <w:pStyle w:val="Tabletext"/>
            </w:pPr>
            <w:r w:rsidRPr="005071A1">
              <w:t>0.06</w:t>
            </w:r>
          </w:p>
        </w:tc>
      </w:tr>
      <w:tr w:rsidR="00B33542" w:rsidRPr="005071A1" w14:paraId="0D1BBC60" w14:textId="77777777" w:rsidTr="00D57394">
        <w:tc>
          <w:tcPr>
            <w:tcW w:w="1101" w:type="dxa"/>
            <w:tcBorders>
              <w:bottom w:val="single" w:sz="4" w:space="0" w:color="auto"/>
            </w:tcBorders>
            <w:shd w:val="clear" w:color="auto" w:fill="auto"/>
          </w:tcPr>
          <w:p w14:paraId="3BD07223" w14:textId="77777777" w:rsidR="00B33542" w:rsidRPr="005071A1" w:rsidRDefault="00B33542" w:rsidP="009B7AF5">
            <w:pPr>
              <w:pStyle w:val="Tabletext"/>
            </w:pPr>
            <w:r w:rsidRPr="005071A1">
              <w:lastRenderedPageBreak/>
              <w:t>16</w:t>
            </w:r>
          </w:p>
        </w:tc>
        <w:tc>
          <w:tcPr>
            <w:tcW w:w="2065" w:type="dxa"/>
            <w:tcBorders>
              <w:bottom w:val="single" w:sz="4" w:space="0" w:color="auto"/>
            </w:tcBorders>
            <w:shd w:val="clear" w:color="auto" w:fill="auto"/>
          </w:tcPr>
          <w:p w14:paraId="46B7724B" w14:textId="77777777" w:rsidR="00B33542" w:rsidRPr="005071A1" w:rsidRDefault="00B33542" w:rsidP="009B7AF5">
            <w:pPr>
              <w:pStyle w:val="Tabletext"/>
            </w:pPr>
            <w:r w:rsidRPr="005071A1">
              <w:t>0.08</w:t>
            </w:r>
          </w:p>
        </w:tc>
        <w:tc>
          <w:tcPr>
            <w:tcW w:w="2329" w:type="dxa"/>
            <w:tcBorders>
              <w:bottom w:val="single" w:sz="4" w:space="0" w:color="auto"/>
            </w:tcBorders>
            <w:shd w:val="clear" w:color="auto" w:fill="auto"/>
          </w:tcPr>
          <w:p w14:paraId="06A88F53" w14:textId="77777777" w:rsidR="00B33542" w:rsidRPr="005071A1" w:rsidRDefault="00B33542" w:rsidP="009B7AF5">
            <w:pPr>
              <w:pStyle w:val="Tabletext"/>
            </w:pPr>
            <w:r w:rsidRPr="005071A1">
              <w:t>0.03</w:t>
            </w:r>
          </w:p>
        </w:tc>
        <w:tc>
          <w:tcPr>
            <w:tcW w:w="1801" w:type="dxa"/>
            <w:tcBorders>
              <w:bottom w:val="single" w:sz="4" w:space="0" w:color="auto"/>
            </w:tcBorders>
            <w:shd w:val="clear" w:color="auto" w:fill="auto"/>
          </w:tcPr>
          <w:p w14:paraId="0B8F2218" w14:textId="77777777" w:rsidR="00B33542" w:rsidRPr="005071A1" w:rsidRDefault="00B33542" w:rsidP="009B7AF5">
            <w:pPr>
              <w:pStyle w:val="Tabletext"/>
            </w:pPr>
            <w:r w:rsidRPr="005071A1">
              <w:t>0.06</w:t>
            </w:r>
          </w:p>
        </w:tc>
      </w:tr>
      <w:tr w:rsidR="00B33542" w:rsidRPr="005071A1" w14:paraId="1A814F7E" w14:textId="77777777" w:rsidTr="00D57394">
        <w:tc>
          <w:tcPr>
            <w:tcW w:w="1101" w:type="dxa"/>
            <w:tcBorders>
              <w:bottom w:val="single" w:sz="4" w:space="0" w:color="auto"/>
            </w:tcBorders>
            <w:shd w:val="clear" w:color="auto" w:fill="auto"/>
          </w:tcPr>
          <w:p w14:paraId="7C16778D" w14:textId="77777777" w:rsidR="00B33542" w:rsidRPr="005071A1" w:rsidRDefault="00B33542" w:rsidP="009B7AF5">
            <w:pPr>
              <w:pStyle w:val="Tabletext"/>
            </w:pPr>
            <w:r w:rsidRPr="005071A1">
              <w:t>17</w:t>
            </w:r>
          </w:p>
        </w:tc>
        <w:tc>
          <w:tcPr>
            <w:tcW w:w="2065" w:type="dxa"/>
            <w:tcBorders>
              <w:bottom w:val="single" w:sz="4" w:space="0" w:color="auto"/>
            </w:tcBorders>
            <w:shd w:val="clear" w:color="auto" w:fill="auto"/>
          </w:tcPr>
          <w:p w14:paraId="04F563C6" w14:textId="77777777" w:rsidR="00B33542" w:rsidRPr="005071A1" w:rsidRDefault="00B33542" w:rsidP="009B7AF5">
            <w:pPr>
              <w:pStyle w:val="Tabletext"/>
            </w:pPr>
            <w:r w:rsidRPr="005071A1">
              <w:t>0.08</w:t>
            </w:r>
          </w:p>
        </w:tc>
        <w:tc>
          <w:tcPr>
            <w:tcW w:w="2329" w:type="dxa"/>
            <w:tcBorders>
              <w:bottom w:val="single" w:sz="4" w:space="0" w:color="auto"/>
            </w:tcBorders>
            <w:shd w:val="clear" w:color="auto" w:fill="auto"/>
          </w:tcPr>
          <w:p w14:paraId="550146AB" w14:textId="77777777" w:rsidR="00B33542" w:rsidRPr="005071A1" w:rsidRDefault="00B33542" w:rsidP="009B7AF5">
            <w:pPr>
              <w:pStyle w:val="Tabletext"/>
            </w:pPr>
            <w:r w:rsidRPr="005071A1">
              <w:t>0.03</w:t>
            </w:r>
          </w:p>
        </w:tc>
        <w:tc>
          <w:tcPr>
            <w:tcW w:w="1801" w:type="dxa"/>
            <w:tcBorders>
              <w:bottom w:val="single" w:sz="4" w:space="0" w:color="auto"/>
            </w:tcBorders>
            <w:shd w:val="clear" w:color="auto" w:fill="auto"/>
          </w:tcPr>
          <w:p w14:paraId="2D01009D" w14:textId="77777777" w:rsidR="00B33542" w:rsidRPr="005071A1" w:rsidRDefault="00B33542" w:rsidP="009B7AF5">
            <w:pPr>
              <w:pStyle w:val="Tabletext"/>
            </w:pPr>
            <w:r w:rsidRPr="005071A1">
              <w:t>0.06</w:t>
            </w:r>
          </w:p>
        </w:tc>
      </w:tr>
      <w:tr w:rsidR="00B33542" w:rsidRPr="005071A1" w14:paraId="7420EBF9" w14:textId="77777777" w:rsidTr="00640BB6">
        <w:tc>
          <w:tcPr>
            <w:tcW w:w="1101" w:type="dxa"/>
            <w:tcBorders>
              <w:top w:val="single" w:sz="4" w:space="0" w:color="auto"/>
              <w:bottom w:val="single" w:sz="4" w:space="0" w:color="auto"/>
            </w:tcBorders>
            <w:shd w:val="clear" w:color="auto" w:fill="auto"/>
          </w:tcPr>
          <w:p w14:paraId="6DD3610C" w14:textId="77777777" w:rsidR="00B33542" w:rsidRPr="005071A1" w:rsidRDefault="00B33542" w:rsidP="009B7AF5">
            <w:pPr>
              <w:pStyle w:val="Tabletext"/>
            </w:pPr>
            <w:r w:rsidRPr="005071A1">
              <w:t>18</w:t>
            </w:r>
          </w:p>
        </w:tc>
        <w:tc>
          <w:tcPr>
            <w:tcW w:w="2065" w:type="dxa"/>
            <w:tcBorders>
              <w:top w:val="single" w:sz="4" w:space="0" w:color="auto"/>
              <w:bottom w:val="single" w:sz="4" w:space="0" w:color="auto"/>
            </w:tcBorders>
            <w:shd w:val="clear" w:color="auto" w:fill="auto"/>
          </w:tcPr>
          <w:p w14:paraId="613F061D" w14:textId="77777777" w:rsidR="00B33542" w:rsidRPr="005071A1" w:rsidRDefault="00B33542" w:rsidP="009B7AF5">
            <w:pPr>
              <w:pStyle w:val="Tabletext"/>
            </w:pPr>
            <w:r w:rsidRPr="005071A1">
              <w:t>0.08</w:t>
            </w:r>
          </w:p>
        </w:tc>
        <w:tc>
          <w:tcPr>
            <w:tcW w:w="2329" w:type="dxa"/>
            <w:tcBorders>
              <w:top w:val="single" w:sz="4" w:space="0" w:color="auto"/>
              <w:bottom w:val="single" w:sz="4" w:space="0" w:color="auto"/>
            </w:tcBorders>
            <w:shd w:val="clear" w:color="auto" w:fill="auto"/>
          </w:tcPr>
          <w:p w14:paraId="49DA7102" w14:textId="77777777" w:rsidR="00B33542" w:rsidRPr="005071A1" w:rsidRDefault="00B33542" w:rsidP="009B7AF5">
            <w:pPr>
              <w:pStyle w:val="Tabletext"/>
            </w:pPr>
            <w:r w:rsidRPr="005071A1">
              <w:t>0.03</w:t>
            </w:r>
          </w:p>
        </w:tc>
        <w:tc>
          <w:tcPr>
            <w:tcW w:w="1801" w:type="dxa"/>
            <w:tcBorders>
              <w:top w:val="single" w:sz="4" w:space="0" w:color="auto"/>
              <w:bottom w:val="single" w:sz="4" w:space="0" w:color="auto"/>
            </w:tcBorders>
            <w:shd w:val="clear" w:color="auto" w:fill="auto"/>
          </w:tcPr>
          <w:p w14:paraId="5C2E37D6" w14:textId="77777777" w:rsidR="00B33542" w:rsidRPr="005071A1" w:rsidRDefault="00B33542" w:rsidP="009B7AF5">
            <w:pPr>
              <w:pStyle w:val="Tabletext"/>
            </w:pPr>
            <w:r w:rsidRPr="005071A1">
              <w:t>0.06</w:t>
            </w:r>
          </w:p>
        </w:tc>
      </w:tr>
      <w:tr w:rsidR="00B33542" w:rsidRPr="005071A1" w14:paraId="7AC84A9D" w14:textId="77777777" w:rsidTr="00640BB6">
        <w:tc>
          <w:tcPr>
            <w:tcW w:w="1101" w:type="dxa"/>
            <w:tcBorders>
              <w:bottom w:val="single" w:sz="4" w:space="0" w:color="auto"/>
            </w:tcBorders>
            <w:shd w:val="clear" w:color="auto" w:fill="auto"/>
          </w:tcPr>
          <w:p w14:paraId="2E09AA7E" w14:textId="77777777" w:rsidR="00B33542" w:rsidRPr="005071A1" w:rsidRDefault="00B33542" w:rsidP="009B7AF5">
            <w:pPr>
              <w:pStyle w:val="Tabletext"/>
            </w:pPr>
            <w:r w:rsidRPr="005071A1">
              <w:t>19</w:t>
            </w:r>
          </w:p>
        </w:tc>
        <w:tc>
          <w:tcPr>
            <w:tcW w:w="2065" w:type="dxa"/>
            <w:tcBorders>
              <w:bottom w:val="single" w:sz="4" w:space="0" w:color="auto"/>
            </w:tcBorders>
            <w:shd w:val="clear" w:color="auto" w:fill="auto"/>
          </w:tcPr>
          <w:p w14:paraId="43DE6124" w14:textId="77777777" w:rsidR="00B33542" w:rsidRPr="005071A1" w:rsidRDefault="00B33542" w:rsidP="009B7AF5">
            <w:pPr>
              <w:pStyle w:val="Tabletext"/>
            </w:pPr>
            <w:r w:rsidRPr="005071A1">
              <w:t>0.08</w:t>
            </w:r>
          </w:p>
        </w:tc>
        <w:tc>
          <w:tcPr>
            <w:tcW w:w="2329" w:type="dxa"/>
            <w:tcBorders>
              <w:bottom w:val="single" w:sz="4" w:space="0" w:color="auto"/>
            </w:tcBorders>
            <w:shd w:val="clear" w:color="auto" w:fill="auto"/>
          </w:tcPr>
          <w:p w14:paraId="454172DA" w14:textId="77777777" w:rsidR="00B33542" w:rsidRPr="005071A1" w:rsidRDefault="00B33542" w:rsidP="009B7AF5">
            <w:pPr>
              <w:pStyle w:val="Tabletext"/>
            </w:pPr>
            <w:r w:rsidRPr="005071A1">
              <w:t>0.03</w:t>
            </w:r>
          </w:p>
        </w:tc>
        <w:tc>
          <w:tcPr>
            <w:tcW w:w="1801" w:type="dxa"/>
            <w:tcBorders>
              <w:bottom w:val="single" w:sz="4" w:space="0" w:color="auto"/>
            </w:tcBorders>
            <w:shd w:val="clear" w:color="auto" w:fill="auto"/>
          </w:tcPr>
          <w:p w14:paraId="7ADFE7B0" w14:textId="77777777" w:rsidR="00B33542" w:rsidRPr="005071A1" w:rsidRDefault="00B33542" w:rsidP="009B7AF5">
            <w:pPr>
              <w:pStyle w:val="Tabletext"/>
            </w:pPr>
            <w:r w:rsidRPr="005071A1">
              <w:t>0.06</w:t>
            </w:r>
          </w:p>
        </w:tc>
      </w:tr>
      <w:tr w:rsidR="00B33542" w:rsidRPr="005071A1" w14:paraId="4D36DB15" w14:textId="77777777" w:rsidTr="00640BB6">
        <w:tc>
          <w:tcPr>
            <w:tcW w:w="1101" w:type="dxa"/>
            <w:tcBorders>
              <w:top w:val="single" w:sz="4" w:space="0" w:color="auto"/>
            </w:tcBorders>
            <w:shd w:val="clear" w:color="auto" w:fill="auto"/>
          </w:tcPr>
          <w:p w14:paraId="70E356A7" w14:textId="77777777" w:rsidR="00B33542" w:rsidRPr="005071A1" w:rsidRDefault="00B33542" w:rsidP="009B7AF5">
            <w:pPr>
              <w:pStyle w:val="Tabletext"/>
            </w:pPr>
            <w:r w:rsidRPr="005071A1">
              <w:t>20</w:t>
            </w:r>
          </w:p>
        </w:tc>
        <w:tc>
          <w:tcPr>
            <w:tcW w:w="2065" w:type="dxa"/>
            <w:tcBorders>
              <w:top w:val="single" w:sz="4" w:space="0" w:color="auto"/>
            </w:tcBorders>
            <w:shd w:val="clear" w:color="auto" w:fill="auto"/>
          </w:tcPr>
          <w:p w14:paraId="5C803AFA" w14:textId="77777777" w:rsidR="00B33542" w:rsidRPr="005071A1" w:rsidRDefault="00B33542" w:rsidP="009B7AF5">
            <w:pPr>
              <w:pStyle w:val="Tabletext"/>
            </w:pPr>
            <w:r w:rsidRPr="005071A1">
              <w:t>0.08</w:t>
            </w:r>
          </w:p>
        </w:tc>
        <w:tc>
          <w:tcPr>
            <w:tcW w:w="2329" w:type="dxa"/>
            <w:tcBorders>
              <w:top w:val="single" w:sz="4" w:space="0" w:color="auto"/>
            </w:tcBorders>
            <w:shd w:val="clear" w:color="auto" w:fill="auto"/>
          </w:tcPr>
          <w:p w14:paraId="3E6381D4" w14:textId="77777777" w:rsidR="00B33542" w:rsidRPr="005071A1" w:rsidRDefault="00B33542" w:rsidP="009B7AF5">
            <w:pPr>
              <w:pStyle w:val="Tabletext"/>
            </w:pPr>
            <w:r w:rsidRPr="005071A1">
              <w:t>0.03</w:t>
            </w:r>
          </w:p>
        </w:tc>
        <w:tc>
          <w:tcPr>
            <w:tcW w:w="1801" w:type="dxa"/>
            <w:tcBorders>
              <w:top w:val="single" w:sz="4" w:space="0" w:color="auto"/>
            </w:tcBorders>
            <w:shd w:val="clear" w:color="auto" w:fill="auto"/>
          </w:tcPr>
          <w:p w14:paraId="0A788945" w14:textId="77777777" w:rsidR="00B33542" w:rsidRPr="005071A1" w:rsidRDefault="00B33542" w:rsidP="009B7AF5">
            <w:pPr>
              <w:pStyle w:val="Tabletext"/>
            </w:pPr>
            <w:r w:rsidRPr="005071A1">
              <w:t>0.06</w:t>
            </w:r>
          </w:p>
        </w:tc>
      </w:tr>
      <w:tr w:rsidR="00B33542" w:rsidRPr="005071A1" w14:paraId="02826C49" w14:textId="77777777" w:rsidTr="009B7AF5">
        <w:tc>
          <w:tcPr>
            <w:tcW w:w="1101" w:type="dxa"/>
            <w:shd w:val="clear" w:color="auto" w:fill="auto"/>
          </w:tcPr>
          <w:p w14:paraId="4C7F8540" w14:textId="77777777" w:rsidR="00B33542" w:rsidRPr="005071A1" w:rsidRDefault="00B33542" w:rsidP="009B7AF5">
            <w:pPr>
              <w:pStyle w:val="Tabletext"/>
            </w:pPr>
            <w:r w:rsidRPr="005071A1">
              <w:t>21</w:t>
            </w:r>
          </w:p>
        </w:tc>
        <w:tc>
          <w:tcPr>
            <w:tcW w:w="2065" w:type="dxa"/>
            <w:shd w:val="clear" w:color="auto" w:fill="auto"/>
          </w:tcPr>
          <w:p w14:paraId="5327D32C" w14:textId="77777777" w:rsidR="00B33542" w:rsidRPr="005071A1" w:rsidRDefault="00B33542" w:rsidP="009B7AF5">
            <w:pPr>
              <w:pStyle w:val="Tabletext"/>
            </w:pPr>
            <w:r w:rsidRPr="005071A1">
              <w:t>0.08</w:t>
            </w:r>
          </w:p>
        </w:tc>
        <w:tc>
          <w:tcPr>
            <w:tcW w:w="2329" w:type="dxa"/>
            <w:shd w:val="clear" w:color="auto" w:fill="auto"/>
          </w:tcPr>
          <w:p w14:paraId="39DD208B" w14:textId="77777777" w:rsidR="00B33542" w:rsidRPr="005071A1" w:rsidRDefault="00B33542" w:rsidP="009B7AF5">
            <w:pPr>
              <w:pStyle w:val="Tabletext"/>
            </w:pPr>
            <w:r w:rsidRPr="005071A1">
              <w:t>0.03</w:t>
            </w:r>
          </w:p>
        </w:tc>
        <w:tc>
          <w:tcPr>
            <w:tcW w:w="1801" w:type="dxa"/>
            <w:shd w:val="clear" w:color="auto" w:fill="auto"/>
          </w:tcPr>
          <w:p w14:paraId="73363B00" w14:textId="77777777" w:rsidR="00B33542" w:rsidRPr="005071A1" w:rsidRDefault="00B33542" w:rsidP="009B7AF5">
            <w:pPr>
              <w:pStyle w:val="Tabletext"/>
            </w:pPr>
            <w:r w:rsidRPr="005071A1">
              <w:t>0.06</w:t>
            </w:r>
          </w:p>
        </w:tc>
      </w:tr>
      <w:tr w:rsidR="00B33542" w:rsidRPr="005071A1" w14:paraId="79FBE339" w14:textId="77777777" w:rsidTr="009B7AF5">
        <w:tc>
          <w:tcPr>
            <w:tcW w:w="1101" w:type="dxa"/>
            <w:shd w:val="clear" w:color="auto" w:fill="auto"/>
          </w:tcPr>
          <w:p w14:paraId="6080D49B" w14:textId="77777777" w:rsidR="00B33542" w:rsidRPr="005071A1" w:rsidRDefault="00B33542" w:rsidP="009B7AF5">
            <w:pPr>
              <w:pStyle w:val="Tabletext"/>
            </w:pPr>
            <w:r w:rsidRPr="005071A1">
              <w:t>22</w:t>
            </w:r>
          </w:p>
        </w:tc>
        <w:tc>
          <w:tcPr>
            <w:tcW w:w="2065" w:type="dxa"/>
            <w:shd w:val="clear" w:color="auto" w:fill="auto"/>
          </w:tcPr>
          <w:p w14:paraId="49691EF8" w14:textId="77777777" w:rsidR="00B33542" w:rsidRPr="005071A1" w:rsidRDefault="00B33542" w:rsidP="009B7AF5">
            <w:pPr>
              <w:pStyle w:val="Tabletext"/>
            </w:pPr>
            <w:r w:rsidRPr="005071A1">
              <w:t>0.08</w:t>
            </w:r>
          </w:p>
        </w:tc>
        <w:tc>
          <w:tcPr>
            <w:tcW w:w="2329" w:type="dxa"/>
            <w:shd w:val="clear" w:color="auto" w:fill="auto"/>
          </w:tcPr>
          <w:p w14:paraId="60D5E6B6" w14:textId="77777777" w:rsidR="00B33542" w:rsidRPr="005071A1" w:rsidRDefault="00B33542" w:rsidP="009B7AF5">
            <w:pPr>
              <w:pStyle w:val="Tabletext"/>
            </w:pPr>
            <w:r w:rsidRPr="005071A1">
              <w:t>0.04</w:t>
            </w:r>
          </w:p>
        </w:tc>
        <w:tc>
          <w:tcPr>
            <w:tcW w:w="1801" w:type="dxa"/>
            <w:shd w:val="clear" w:color="auto" w:fill="auto"/>
          </w:tcPr>
          <w:p w14:paraId="0900AD10" w14:textId="77777777" w:rsidR="00B33542" w:rsidRPr="005071A1" w:rsidRDefault="00B33542" w:rsidP="009B7AF5">
            <w:pPr>
              <w:pStyle w:val="Tabletext"/>
            </w:pPr>
            <w:r w:rsidRPr="005071A1">
              <w:t>0.08</w:t>
            </w:r>
          </w:p>
        </w:tc>
      </w:tr>
      <w:tr w:rsidR="00B33542" w:rsidRPr="005071A1" w14:paraId="74D76385" w14:textId="77777777" w:rsidTr="009B7AF5">
        <w:tc>
          <w:tcPr>
            <w:tcW w:w="1101" w:type="dxa"/>
            <w:shd w:val="clear" w:color="auto" w:fill="auto"/>
          </w:tcPr>
          <w:p w14:paraId="4F490C8C" w14:textId="77777777" w:rsidR="00B33542" w:rsidRPr="005071A1" w:rsidRDefault="00B33542" w:rsidP="009B7AF5">
            <w:pPr>
              <w:pStyle w:val="Tabletext"/>
            </w:pPr>
            <w:r w:rsidRPr="005071A1">
              <w:lastRenderedPageBreak/>
              <w:t>23</w:t>
            </w:r>
          </w:p>
        </w:tc>
        <w:tc>
          <w:tcPr>
            <w:tcW w:w="2065" w:type="dxa"/>
            <w:shd w:val="clear" w:color="auto" w:fill="auto"/>
          </w:tcPr>
          <w:p w14:paraId="40734707" w14:textId="77777777" w:rsidR="00B33542" w:rsidRPr="005071A1" w:rsidRDefault="00B33542" w:rsidP="009B7AF5">
            <w:pPr>
              <w:pStyle w:val="Tabletext"/>
            </w:pPr>
            <w:r w:rsidRPr="005071A1">
              <w:t>0.08</w:t>
            </w:r>
          </w:p>
        </w:tc>
        <w:tc>
          <w:tcPr>
            <w:tcW w:w="2329" w:type="dxa"/>
            <w:shd w:val="clear" w:color="auto" w:fill="auto"/>
          </w:tcPr>
          <w:p w14:paraId="2178AE2A" w14:textId="77777777" w:rsidR="00B33542" w:rsidRPr="005071A1" w:rsidRDefault="00B33542" w:rsidP="009B7AF5">
            <w:pPr>
              <w:pStyle w:val="Tabletext"/>
            </w:pPr>
            <w:r w:rsidRPr="005071A1">
              <w:t>0.04</w:t>
            </w:r>
          </w:p>
        </w:tc>
        <w:tc>
          <w:tcPr>
            <w:tcW w:w="1801" w:type="dxa"/>
            <w:shd w:val="clear" w:color="auto" w:fill="auto"/>
          </w:tcPr>
          <w:p w14:paraId="2DBE33D6" w14:textId="77777777" w:rsidR="00B33542" w:rsidRPr="005071A1" w:rsidRDefault="00B33542" w:rsidP="009B7AF5">
            <w:pPr>
              <w:pStyle w:val="Tabletext"/>
            </w:pPr>
            <w:r w:rsidRPr="005071A1">
              <w:t>0.08</w:t>
            </w:r>
          </w:p>
        </w:tc>
      </w:tr>
      <w:tr w:rsidR="00B33542" w:rsidRPr="005071A1" w14:paraId="223E3CF5" w14:textId="77777777" w:rsidTr="009B7AF5">
        <w:tc>
          <w:tcPr>
            <w:tcW w:w="1101" w:type="dxa"/>
            <w:shd w:val="clear" w:color="auto" w:fill="auto"/>
          </w:tcPr>
          <w:p w14:paraId="0611C9CD" w14:textId="77777777" w:rsidR="00B33542" w:rsidRPr="005071A1" w:rsidRDefault="00B33542" w:rsidP="009B7AF5">
            <w:pPr>
              <w:pStyle w:val="Tabletext"/>
            </w:pPr>
            <w:r w:rsidRPr="005071A1">
              <w:t>24</w:t>
            </w:r>
          </w:p>
        </w:tc>
        <w:tc>
          <w:tcPr>
            <w:tcW w:w="2065" w:type="dxa"/>
            <w:shd w:val="clear" w:color="auto" w:fill="auto"/>
          </w:tcPr>
          <w:p w14:paraId="737760E9" w14:textId="77777777" w:rsidR="00B33542" w:rsidRPr="005071A1" w:rsidRDefault="00B33542" w:rsidP="009B7AF5">
            <w:pPr>
              <w:pStyle w:val="Tabletext"/>
            </w:pPr>
            <w:r w:rsidRPr="005071A1">
              <w:t>0.10</w:t>
            </w:r>
          </w:p>
        </w:tc>
        <w:tc>
          <w:tcPr>
            <w:tcW w:w="2329" w:type="dxa"/>
            <w:shd w:val="clear" w:color="auto" w:fill="auto"/>
          </w:tcPr>
          <w:p w14:paraId="45CDC7A0" w14:textId="77777777" w:rsidR="00B33542" w:rsidRPr="005071A1" w:rsidRDefault="00B33542" w:rsidP="009B7AF5">
            <w:pPr>
              <w:pStyle w:val="Tabletext"/>
            </w:pPr>
            <w:r w:rsidRPr="005071A1">
              <w:t>0.04</w:t>
            </w:r>
          </w:p>
        </w:tc>
        <w:tc>
          <w:tcPr>
            <w:tcW w:w="1801" w:type="dxa"/>
            <w:shd w:val="clear" w:color="auto" w:fill="auto"/>
          </w:tcPr>
          <w:p w14:paraId="02701E12" w14:textId="77777777" w:rsidR="00B33542" w:rsidRPr="005071A1" w:rsidRDefault="00B33542" w:rsidP="009B7AF5">
            <w:pPr>
              <w:pStyle w:val="Tabletext"/>
            </w:pPr>
            <w:r w:rsidRPr="005071A1">
              <w:t>0.08</w:t>
            </w:r>
          </w:p>
        </w:tc>
      </w:tr>
      <w:tr w:rsidR="00B33542" w:rsidRPr="005071A1" w14:paraId="1BD2AA95" w14:textId="77777777" w:rsidTr="009B7AF5">
        <w:tc>
          <w:tcPr>
            <w:tcW w:w="1101" w:type="dxa"/>
            <w:shd w:val="clear" w:color="auto" w:fill="auto"/>
          </w:tcPr>
          <w:p w14:paraId="48B5411F" w14:textId="77777777" w:rsidR="00B33542" w:rsidRPr="005071A1" w:rsidRDefault="00B33542" w:rsidP="009B7AF5">
            <w:pPr>
              <w:pStyle w:val="Tabletext"/>
            </w:pPr>
            <w:r w:rsidRPr="005071A1">
              <w:t>25</w:t>
            </w:r>
          </w:p>
        </w:tc>
        <w:tc>
          <w:tcPr>
            <w:tcW w:w="2065" w:type="dxa"/>
            <w:shd w:val="clear" w:color="auto" w:fill="auto"/>
          </w:tcPr>
          <w:p w14:paraId="6C9022FE" w14:textId="77777777" w:rsidR="00B33542" w:rsidRPr="005071A1" w:rsidRDefault="00B33542" w:rsidP="009B7AF5">
            <w:pPr>
              <w:pStyle w:val="Tabletext"/>
            </w:pPr>
            <w:r w:rsidRPr="005071A1">
              <w:t>0.10</w:t>
            </w:r>
          </w:p>
        </w:tc>
        <w:tc>
          <w:tcPr>
            <w:tcW w:w="2329" w:type="dxa"/>
            <w:shd w:val="clear" w:color="auto" w:fill="auto"/>
          </w:tcPr>
          <w:p w14:paraId="709B5737" w14:textId="77777777" w:rsidR="00B33542" w:rsidRPr="005071A1" w:rsidRDefault="00B33542" w:rsidP="009B7AF5">
            <w:pPr>
              <w:pStyle w:val="Tabletext"/>
            </w:pPr>
            <w:r w:rsidRPr="005071A1">
              <w:t>0.04</w:t>
            </w:r>
          </w:p>
        </w:tc>
        <w:tc>
          <w:tcPr>
            <w:tcW w:w="1801" w:type="dxa"/>
            <w:shd w:val="clear" w:color="auto" w:fill="auto"/>
          </w:tcPr>
          <w:p w14:paraId="126DDD62" w14:textId="77777777" w:rsidR="00B33542" w:rsidRPr="005071A1" w:rsidRDefault="00B33542" w:rsidP="009B7AF5">
            <w:pPr>
              <w:pStyle w:val="Tabletext"/>
            </w:pPr>
            <w:r w:rsidRPr="005071A1">
              <w:t>0.08</w:t>
            </w:r>
          </w:p>
        </w:tc>
      </w:tr>
      <w:tr w:rsidR="00B33542" w:rsidRPr="005071A1" w14:paraId="25A52349" w14:textId="77777777" w:rsidTr="009B7AF5">
        <w:tc>
          <w:tcPr>
            <w:tcW w:w="1101" w:type="dxa"/>
            <w:shd w:val="clear" w:color="auto" w:fill="auto"/>
          </w:tcPr>
          <w:p w14:paraId="7BE6CF85" w14:textId="77777777" w:rsidR="00B33542" w:rsidRPr="005071A1" w:rsidRDefault="00B33542" w:rsidP="009B7AF5">
            <w:pPr>
              <w:pStyle w:val="Tabletext"/>
            </w:pPr>
            <w:r w:rsidRPr="005071A1">
              <w:t>26</w:t>
            </w:r>
          </w:p>
        </w:tc>
        <w:tc>
          <w:tcPr>
            <w:tcW w:w="2065" w:type="dxa"/>
            <w:shd w:val="clear" w:color="auto" w:fill="auto"/>
          </w:tcPr>
          <w:p w14:paraId="60B426C3" w14:textId="77777777" w:rsidR="00B33542" w:rsidRPr="005071A1" w:rsidRDefault="00B33542" w:rsidP="009B7AF5">
            <w:pPr>
              <w:pStyle w:val="Tabletext"/>
            </w:pPr>
            <w:r w:rsidRPr="005071A1">
              <w:t>0.10</w:t>
            </w:r>
          </w:p>
        </w:tc>
        <w:tc>
          <w:tcPr>
            <w:tcW w:w="2329" w:type="dxa"/>
            <w:shd w:val="clear" w:color="auto" w:fill="auto"/>
          </w:tcPr>
          <w:p w14:paraId="7A3FF402" w14:textId="77777777" w:rsidR="00B33542" w:rsidRPr="005071A1" w:rsidRDefault="00B33542" w:rsidP="009B7AF5">
            <w:pPr>
              <w:pStyle w:val="Tabletext"/>
            </w:pPr>
            <w:r w:rsidRPr="005071A1">
              <w:t>0.04</w:t>
            </w:r>
          </w:p>
        </w:tc>
        <w:tc>
          <w:tcPr>
            <w:tcW w:w="1801" w:type="dxa"/>
            <w:shd w:val="clear" w:color="auto" w:fill="auto"/>
          </w:tcPr>
          <w:p w14:paraId="0280E385" w14:textId="77777777" w:rsidR="00B33542" w:rsidRPr="005071A1" w:rsidRDefault="00B33542" w:rsidP="009B7AF5">
            <w:pPr>
              <w:pStyle w:val="Tabletext"/>
            </w:pPr>
            <w:r w:rsidRPr="005071A1">
              <w:t>0.08</w:t>
            </w:r>
          </w:p>
        </w:tc>
      </w:tr>
      <w:tr w:rsidR="00B33542" w:rsidRPr="005071A1" w14:paraId="66D3C216" w14:textId="77777777" w:rsidTr="00D57394">
        <w:tc>
          <w:tcPr>
            <w:tcW w:w="1101" w:type="dxa"/>
            <w:tcBorders>
              <w:bottom w:val="single" w:sz="4" w:space="0" w:color="auto"/>
            </w:tcBorders>
            <w:shd w:val="clear" w:color="auto" w:fill="auto"/>
          </w:tcPr>
          <w:p w14:paraId="4B476350" w14:textId="77777777" w:rsidR="00B33542" w:rsidRPr="005071A1" w:rsidRDefault="00B33542" w:rsidP="009B7AF5">
            <w:pPr>
              <w:pStyle w:val="Tabletext"/>
            </w:pPr>
            <w:r w:rsidRPr="005071A1">
              <w:t>27</w:t>
            </w:r>
          </w:p>
        </w:tc>
        <w:tc>
          <w:tcPr>
            <w:tcW w:w="2065" w:type="dxa"/>
            <w:tcBorders>
              <w:bottom w:val="single" w:sz="4" w:space="0" w:color="auto"/>
            </w:tcBorders>
            <w:shd w:val="clear" w:color="auto" w:fill="auto"/>
          </w:tcPr>
          <w:p w14:paraId="0CB9E2F6" w14:textId="77777777" w:rsidR="00B33542" w:rsidRPr="005071A1" w:rsidRDefault="00B33542" w:rsidP="009B7AF5">
            <w:pPr>
              <w:pStyle w:val="Tabletext"/>
            </w:pPr>
            <w:r w:rsidRPr="005071A1">
              <w:t>0.10</w:t>
            </w:r>
          </w:p>
        </w:tc>
        <w:tc>
          <w:tcPr>
            <w:tcW w:w="2329" w:type="dxa"/>
            <w:tcBorders>
              <w:bottom w:val="single" w:sz="4" w:space="0" w:color="auto"/>
            </w:tcBorders>
            <w:shd w:val="clear" w:color="auto" w:fill="auto"/>
          </w:tcPr>
          <w:p w14:paraId="5244A440" w14:textId="77777777" w:rsidR="00B33542" w:rsidRPr="005071A1" w:rsidRDefault="00B33542" w:rsidP="009B7AF5">
            <w:pPr>
              <w:pStyle w:val="Tabletext"/>
            </w:pPr>
            <w:r w:rsidRPr="005071A1">
              <w:t>0.04</w:t>
            </w:r>
          </w:p>
        </w:tc>
        <w:tc>
          <w:tcPr>
            <w:tcW w:w="1801" w:type="dxa"/>
            <w:tcBorders>
              <w:bottom w:val="single" w:sz="4" w:space="0" w:color="auto"/>
            </w:tcBorders>
            <w:shd w:val="clear" w:color="auto" w:fill="auto"/>
          </w:tcPr>
          <w:p w14:paraId="2E5DFD86" w14:textId="77777777" w:rsidR="00B33542" w:rsidRPr="005071A1" w:rsidRDefault="00B33542" w:rsidP="009B7AF5">
            <w:pPr>
              <w:pStyle w:val="Tabletext"/>
            </w:pPr>
            <w:r w:rsidRPr="005071A1">
              <w:t>0.08</w:t>
            </w:r>
          </w:p>
        </w:tc>
      </w:tr>
      <w:tr w:rsidR="00B33542" w:rsidRPr="005071A1" w14:paraId="00E767E5" w14:textId="77777777" w:rsidTr="00D57394">
        <w:tc>
          <w:tcPr>
            <w:tcW w:w="1101" w:type="dxa"/>
            <w:tcBorders>
              <w:bottom w:val="single" w:sz="4" w:space="0" w:color="auto"/>
            </w:tcBorders>
            <w:shd w:val="clear" w:color="auto" w:fill="auto"/>
          </w:tcPr>
          <w:p w14:paraId="64C9BFF9" w14:textId="77777777" w:rsidR="00B33542" w:rsidRPr="005071A1" w:rsidRDefault="00B33542" w:rsidP="009B7AF5">
            <w:pPr>
              <w:pStyle w:val="Tabletext"/>
            </w:pPr>
            <w:r w:rsidRPr="005071A1">
              <w:t>28</w:t>
            </w:r>
          </w:p>
        </w:tc>
        <w:tc>
          <w:tcPr>
            <w:tcW w:w="2065" w:type="dxa"/>
            <w:tcBorders>
              <w:bottom w:val="single" w:sz="4" w:space="0" w:color="auto"/>
            </w:tcBorders>
            <w:shd w:val="clear" w:color="auto" w:fill="auto"/>
          </w:tcPr>
          <w:p w14:paraId="2AD6A892" w14:textId="77777777" w:rsidR="00B33542" w:rsidRPr="005071A1" w:rsidRDefault="00B33542" w:rsidP="009B7AF5">
            <w:pPr>
              <w:pStyle w:val="Tabletext"/>
            </w:pPr>
            <w:r w:rsidRPr="005071A1">
              <w:t>0.10</w:t>
            </w:r>
          </w:p>
        </w:tc>
        <w:tc>
          <w:tcPr>
            <w:tcW w:w="2329" w:type="dxa"/>
            <w:tcBorders>
              <w:bottom w:val="single" w:sz="4" w:space="0" w:color="auto"/>
            </w:tcBorders>
            <w:shd w:val="clear" w:color="auto" w:fill="auto"/>
          </w:tcPr>
          <w:p w14:paraId="080DBF36" w14:textId="77777777" w:rsidR="00B33542" w:rsidRPr="005071A1" w:rsidRDefault="00B33542" w:rsidP="009B7AF5">
            <w:pPr>
              <w:pStyle w:val="Tabletext"/>
            </w:pPr>
            <w:r w:rsidRPr="005071A1">
              <w:t>0.04</w:t>
            </w:r>
          </w:p>
        </w:tc>
        <w:tc>
          <w:tcPr>
            <w:tcW w:w="1801" w:type="dxa"/>
            <w:tcBorders>
              <w:bottom w:val="single" w:sz="4" w:space="0" w:color="auto"/>
            </w:tcBorders>
            <w:shd w:val="clear" w:color="auto" w:fill="auto"/>
          </w:tcPr>
          <w:p w14:paraId="126D29C0" w14:textId="77777777" w:rsidR="00B33542" w:rsidRPr="005071A1" w:rsidRDefault="00B33542" w:rsidP="009B7AF5">
            <w:pPr>
              <w:pStyle w:val="Tabletext"/>
            </w:pPr>
            <w:r w:rsidRPr="005071A1">
              <w:t>0.08</w:t>
            </w:r>
          </w:p>
        </w:tc>
      </w:tr>
      <w:tr w:rsidR="00B33542" w:rsidRPr="005071A1" w14:paraId="45C9C8E7" w14:textId="77777777" w:rsidTr="00D57394">
        <w:tc>
          <w:tcPr>
            <w:tcW w:w="1101" w:type="dxa"/>
            <w:tcBorders>
              <w:top w:val="single" w:sz="4" w:space="0" w:color="auto"/>
            </w:tcBorders>
            <w:shd w:val="clear" w:color="auto" w:fill="auto"/>
          </w:tcPr>
          <w:p w14:paraId="4889780F" w14:textId="77777777" w:rsidR="00B33542" w:rsidRPr="005071A1" w:rsidRDefault="00B33542" w:rsidP="009B7AF5">
            <w:pPr>
              <w:pStyle w:val="Tabletext"/>
            </w:pPr>
            <w:r w:rsidRPr="005071A1">
              <w:t>29</w:t>
            </w:r>
          </w:p>
        </w:tc>
        <w:tc>
          <w:tcPr>
            <w:tcW w:w="2065" w:type="dxa"/>
            <w:tcBorders>
              <w:top w:val="single" w:sz="4" w:space="0" w:color="auto"/>
            </w:tcBorders>
            <w:shd w:val="clear" w:color="auto" w:fill="auto"/>
          </w:tcPr>
          <w:p w14:paraId="5CCFB64F" w14:textId="77777777" w:rsidR="00B33542" w:rsidRPr="005071A1" w:rsidRDefault="00B33542" w:rsidP="009B7AF5">
            <w:pPr>
              <w:pStyle w:val="Tabletext"/>
            </w:pPr>
            <w:r w:rsidRPr="005071A1">
              <w:t>0.10</w:t>
            </w:r>
          </w:p>
        </w:tc>
        <w:tc>
          <w:tcPr>
            <w:tcW w:w="2329" w:type="dxa"/>
            <w:tcBorders>
              <w:top w:val="single" w:sz="4" w:space="0" w:color="auto"/>
            </w:tcBorders>
            <w:shd w:val="clear" w:color="auto" w:fill="auto"/>
          </w:tcPr>
          <w:p w14:paraId="2791D85B" w14:textId="77777777" w:rsidR="00B33542" w:rsidRPr="005071A1" w:rsidRDefault="00B33542" w:rsidP="009B7AF5">
            <w:pPr>
              <w:pStyle w:val="Tabletext"/>
            </w:pPr>
            <w:r w:rsidRPr="005071A1">
              <w:t>0.04</w:t>
            </w:r>
          </w:p>
        </w:tc>
        <w:tc>
          <w:tcPr>
            <w:tcW w:w="1801" w:type="dxa"/>
            <w:tcBorders>
              <w:top w:val="single" w:sz="4" w:space="0" w:color="auto"/>
            </w:tcBorders>
            <w:shd w:val="clear" w:color="auto" w:fill="auto"/>
          </w:tcPr>
          <w:p w14:paraId="2125E4DD" w14:textId="77777777" w:rsidR="00B33542" w:rsidRPr="005071A1" w:rsidRDefault="00B33542" w:rsidP="009B7AF5">
            <w:pPr>
              <w:pStyle w:val="Tabletext"/>
            </w:pPr>
            <w:r w:rsidRPr="005071A1">
              <w:t>0.08</w:t>
            </w:r>
          </w:p>
        </w:tc>
      </w:tr>
      <w:tr w:rsidR="00B33542" w:rsidRPr="005071A1" w14:paraId="5FA848A5" w14:textId="77777777" w:rsidTr="00640BB6">
        <w:tc>
          <w:tcPr>
            <w:tcW w:w="1101" w:type="dxa"/>
            <w:tcBorders>
              <w:bottom w:val="single" w:sz="4" w:space="0" w:color="auto"/>
            </w:tcBorders>
            <w:shd w:val="clear" w:color="auto" w:fill="auto"/>
          </w:tcPr>
          <w:p w14:paraId="692D1EDB" w14:textId="77777777" w:rsidR="00B33542" w:rsidRPr="005071A1" w:rsidRDefault="00B33542" w:rsidP="009B7AF5">
            <w:pPr>
              <w:pStyle w:val="Tabletext"/>
            </w:pPr>
            <w:r w:rsidRPr="005071A1">
              <w:t>30</w:t>
            </w:r>
          </w:p>
        </w:tc>
        <w:tc>
          <w:tcPr>
            <w:tcW w:w="2065" w:type="dxa"/>
            <w:tcBorders>
              <w:bottom w:val="single" w:sz="4" w:space="0" w:color="auto"/>
            </w:tcBorders>
            <w:shd w:val="clear" w:color="auto" w:fill="auto"/>
          </w:tcPr>
          <w:p w14:paraId="0305A8B4" w14:textId="77777777" w:rsidR="00B33542" w:rsidRPr="005071A1" w:rsidRDefault="00B33542" w:rsidP="009B7AF5">
            <w:pPr>
              <w:pStyle w:val="Tabletext"/>
            </w:pPr>
            <w:r w:rsidRPr="005071A1">
              <w:t>0.10</w:t>
            </w:r>
          </w:p>
        </w:tc>
        <w:tc>
          <w:tcPr>
            <w:tcW w:w="2329" w:type="dxa"/>
            <w:tcBorders>
              <w:bottom w:val="single" w:sz="4" w:space="0" w:color="auto"/>
            </w:tcBorders>
            <w:shd w:val="clear" w:color="auto" w:fill="auto"/>
          </w:tcPr>
          <w:p w14:paraId="0B25BF82" w14:textId="77777777" w:rsidR="00B33542" w:rsidRPr="005071A1" w:rsidRDefault="00B33542" w:rsidP="009B7AF5">
            <w:pPr>
              <w:pStyle w:val="Tabletext"/>
            </w:pPr>
            <w:r w:rsidRPr="005071A1">
              <w:t>0.04</w:t>
            </w:r>
          </w:p>
        </w:tc>
        <w:tc>
          <w:tcPr>
            <w:tcW w:w="1801" w:type="dxa"/>
            <w:tcBorders>
              <w:bottom w:val="single" w:sz="4" w:space="0" w:color="auto"/>
            </w:tcBorders>
            <w:shd w:val="clear" w:color="auto" w:fill="auto"/>
          </w:tcPr>
          <w:p w14:paraId="4230A7F5" w14:textId="77777777" w:rsidR="00B33542" w:rsidRPr="005071A1" w:rsidRDefault="00B33542" w:rsidP="009B7AF5">
            <w:pPr>
              <w:pStyle w:val="Tabletext"/>
            </w:pPr>
            <w:r w:rsidRPr="005071A1">
              <w:t>0.08</w:t>
            </w:r>
          </w:p>
        </w:tc>
      </w:tr>
      <w:tr w:rsidR="00B33542" w:rsidRPr="005071A1" w14:paraId="0DA393DA" w14:textId="77777777" w:rsidTr="00640BB6">
        <w:tc>
          <w:tcPr>
            <w:tcW w:w="1101" w:type="dxa"/>
            <w:tcBorders>
              <w:bottom w:val="single" w:sz="4" w:space="0" w:color="auto"/>
            </w:tcBorders>
            <w:shd w:val="clear" w:color="auto" w:fill="auto"/>
          </w:tcPr>
          <w:p w14:paraId="55F7CD03" w14:textId="77777777" w:rsidR="00B33542" w:rsidRPr="005071A1" w:rsidRDefault="00B33542" w:rsidP="009B7AF5">
            <w:pPr>
              <w:pStyle w:val="Tabletext"/>
            </w:pPr>
            <w:r w:rsidRPr="005071A1">
              <w:t>31</w:t>
            </w:r>
          </w:p>
        </w:tc>
        <w:tc>
          <w:tcPr>
            <w:tcW w:w="2065" w:type="dxa"/>
            <w:tcBorders>
              <w:bottom w:val="single" w:sz="4" w:space="0" w:color="auto"/>
            </w:tcBorders>
            <w:shd w:val="clear" w:color="auto" w:fill="auto"/>
          </w:tcPr>
          <w:p w14:paraId="1E80DB96" w14:textId="77777777" w:rsidR="00B33542" w:rsidRPr="005071A1" w:rsidRDefault="00B33542" w:rsidP="009B7AF5">
            <w:pPr>
              <w:pStyle w:val="Tabletext"/>
            </w:pPr>
            <w:r w:rsidRPr="005071A1">
              <w:t>0.10</w:t>
            </w:r>
          </w:p>
        </w:tc>
        <w:tc>
          <w:tcPr>
            <w:tcW w:w="2329" w:type="dxa"/>
            <w:tcBorders>
              <w:bottom w:val="single" w:sz="4" w:space="0" w:color="auto"/>
            </w:tcBorders>
            <w:shd w:val="clear" w:color="auto" w:fill="auto"/>
          </w:tcPr>
          <w:p w14:paraId="5074C7C2" w14:textId="77777777" w:rsidR="00B33542" w:rsidRPr="005071A1" w:rsidRDefault="00B33542" w:rsidP="009B7AF5">
            <w:pPr>
              <w:pStyle w:val="Tabletext"/>
            </w:pPr>
            <w:r w:rsidRPr="005071A1">
              <w:t>0.04</w:t>
            </w:r>
          </w:p>
        </w:tc>
        <w:tc>
          <w:tcPr>
            <w:tcW w:w="1801" w:type="dxa"/>
            <w:tcBorders>
              <w:bottom w:val="single" w:sz="4" w:space="0" w:color="auto"/>
            </w:tcBorders>
            <w:shd w:val="clear" w:color="auto" w:fill="auto"/>
          </w:tcPr>
          <w:p w14:paraId="2B203525" w14:textId="77777777" w:rsidR="00B33542" w:rsidRPr="005071A1" w:rsidRDefault="00B33542" w:rsidP="009B7AF5">
            <w:pPr>
              <w:pStyle w:val="Tabletext"/>
            </w:pPr>
            <w:r w:rsidRPr="005071A1">
              <w:t>0.08</w:t>
            </w:r>
          </w:p>
        </w:tc>
      </w:tr>
      <w:tr w:rsidR="00B33542" w:rsidRPr="005071A1" w14:paraId="66A57AAD" w14:textId="77777777" w:rsidTr="00640BB6">
        <w:tc>
          <w:tcPr>
            <w:tcW w:w="1101" w:type="dxa"/>
            <w:tcBorders>
              <w:top w:val="single" w:sz="4" w:space="0" w:color="auto"/>
            </w:tcBorders>
            <w:shd w:val="clear" w:color="auto" w:fill="auto"/>
          </w:tcPr>
          <w:p w14:paraId="576BC9A4" w14:textId="77777777" w:rsidR="00B33542" w:rsidRPr="005071A1" w:rsidRDefault="00B33542" w:rsidP="009B7AF5">
            <w:pPr>
              <w:pStyle w:val="Tabletext"/>
            </w:pPr>
            <w:r w:rsidRPr="005071A1">
              <w:lastRenderedPageBreak/>
              <w:t>32</w:t>
            </w:r>
          </w:p>
        </w:tc>
        <w:tc>
          <w:tcPr>
            <w:tcW w:w="2065" w:type="dxa"/>
            <w:tcBorders>
              <w:top w:val="single" w:sz="4" w:space="0" w:color="auto"/>
            </w:tcBorders>
            <w:shd w:val="clear" w:color="auto" w:fill="auto"/>
          </w:tcPr>
          <w:p w14:paraId="5D23824D" w14:textId="77777777" w:rsidR="00B33542" w:rsidRPr="005071A1" w:rsidRDefault="00B33542" w:rsidP="009B7AF5">
            <w:pPr>
              <w:pStyle w:val="Tabletext"/>
            </w:pPr>
            <w:r w:rsidRPr="005071A1">
              <w:t>0.10</w:t>
            </w:r>
          </w:p>
        </w:tc>
        <w:tc>
          <w:tcPr>
            <w:tcW w:w="2329" w:type="dxa"/>
            <w:tcBorders>
              <w:top w:val="single" w:sz="4" w:space="0" w:color="auto"/>
            </w:tcBorders>
            <w:shd w:val="clear" w:color="auto" w:fill="auto"/>
          </w:tcPr>
          <w:p w14:paraId="364AA920" w14:textId="77777777" w:rsidR="00B33542" w:rsidRPr="005071A1" w:rsidRDefault="00B33542" w:rsidP="009B7AF5">
            <w:pPr>
              <w:pStyle w:val="Tabletext"/>
            </w:pPr>
            <w:r w:rsidRPr="005071A1">
              <w:t>0.04</w:t>
            </w:r>
          </w:p>
        </w:tc>
        <w:tc>
          <w:tcPr>
            <w:tcW w:w="1801" w:type="dxa"/>
            <w:tcBorders>
              <w:top w:val="single" w:sz="4" w:space="0" w:color="auto"/>
            </w:tcBorders>
            <w:shd w:val="clear" w:color="auto" w:fill="auto"/>
          </w:tcPr>
          <w:p w14:paraId="694712B4" w14:textId="77777777" w:rsidR="00B33542" w:rsidRPr="005071A1" w:rsidRDefault="00B33542" w:rsidP="009B7AF5">
            <w:pPr>
              <w:pStyle w:val="Tabletext"/>
            </w:pPr>
            <w:r w:rsidRPr="005071A1">
              <w:t>0.08</w:t>
            </w:r>
          </w:p>
        </w:tc>
      </w:tr>
      <w:tr w:rsidR="00B33542" w:rsidRPr="005071A1" w14:paraId="2F8E22A4" w14:textId="77777777" w:rsidTr="009B7AF5">
        <w:tc>
          <w:tcPr>
            <w:tcW w:w="1101" w:type="dxa"/>
            <w:shd w:val="clear" w:color="auto" w:fill="auto"/>
          </w:tcPr>
          <w:p w14:paraId="75601F47" w14:textId="77777777" w:rsidR="00B33542" w:rsidRPr="005071A1" w:rsidRDefault="00B33542" w:rsidP="009B7AF5">
            <w:pPr>
              <w:pStyle w:val="Tabletext"/>
            </w:pPr>
            <w:r w:rsidRPr="005071A1">
              <w:t>33</w:t>
            </w:r>
          </w:p>
        </w:tc>
        <w:tc>
          <w:tcPr>
            <w:tcW w:w="2065" w:type="dxa"/>
            <w:shd w:val="clear" w:color="auto" w:fill="auto"/>
          </w:tcPr>
          <w:p w14:paraId="039CDE3C" w14:textId="77777777" w:rsidR="00B33542" w:rsidRPr="005071A1" w:rsidRDefault="00B33542" w:rsidP="009B7AF5">
            <w:pPr>
              <w:pStyle w:val="Tabletext"/>
            </w:pPr>
            <w:r w:rsidRPr="005071A1">
              <w:t>0.10</w:t>
            </w:r>
          </w:p>
        </w:tc>
        <w:tc>
          <w:tcPr>
            <w:tcW w:w="2329" w:type="dxa"/>
            <w:shd w:val="clear" w:color="auto" w:fill="auto"/>
          </w:tcPr>
          <w:p w14:paraId="34064597" w14:textId="77777777" w:rsidR="00B33542" w:rsidRPr="005071A1" w:rsidRDefault="00B33542" w:rsidP="009B7AF5">
            <w:pPr>
              <w:pStyle w:val="Tabletext"/>
            </w:pPr>
            <w:r w:rsidRPr="005071A1">
              <w:t>0.04</w:t>
            </w:r>
          </w:p>
        </w:tc>
        <w:tc>
          <w:tcPr>
            <w:tcW w:w="1801" w:type="dxa"/>
            <w:shd w:val="clear" w:color="auto" w:fill="auto"/>
          </w:tcPr>
          <w:p w14:paraId="6FA8889F" w14:textId="77777777" w:rsidR="00B33542" w:rsidRPr="005071A1" w:rsidRDefault="00B33542" w:rsidP="009B7AF5">
            <w:pPr>
              <w:pStyle w:val="Tabletext"/>
            </w:pPr>
            <w:r w:rsidRPr="005071A1">
              <w:t>0.08</w:t>
            </w:r>
          </w:p>
        </w:tc>
      </w:tr>
      <w:tr w:rsidR="00B33542" w:rsidRPr="005071A1" w14:paraId="40915DD1" w14:textId="77777777" w:rsidTr="009B7AF5">
        <w:tc>
          <w:tcPr>
            <w:tcW w:w="1101" w:type="dxa"/>
            <w:shd w:val="clear" w:color="auto" w:fill="auto"/>
          </w:tcPr>
          <w:p w14:paraId="7AD3B030" w14:textId="77777777" w:rsidR="00B33542" w:rsidRPr="005071A1" w:rsidRDefault="00B33542" w:rsidP="009B7AF5">
            <w:pPr>
              <w:pStyle w:val="Tabletext"/>
            </w:pPr>
            <w:r w:rsidRPr="005071A1">
              <w:t>34</w:t>
            </w:r>
          </w:p>
        </w:tc>
        <w:tc>
          <w:tcPr>
            <w:tcW w:w="2065" w:type="dxa"/>
            <w:shd w:val="clear" w:color="auto" w:fill="auto"/>
          </w:tcPr>
          <w:p w14:paraId="261B0DA3" w14:textId="77777777" w:rsidR="00B33542" w:rsidRPr="005071A1" w:rsidRDefault="00B33542" w:rsidP="009B7AF5">
            <w:pPr>
              <w:pStyle w:val="Tabletext"/>
            </w:pPr>
            <w:r w:rsidRPr="005071A1">
              <w:t>0.10</w:t>
            </w:r>
          </w:p>
        </w:tc>
        <w:tc>
          <w:tcPr>
            <w:tcW w:w="2329" w:type="dxa"/>
            <w:shd w:val="clear" w:color="auto" w:fill="auto"/>
          </w:tcPr>
          <w:p w14:paraId="76E6E4C7" w14:textId="77777777" w:rsidR="00B33542" w:rsidRPr="005071A1" w:rsidRDefault="00B33542" w:rsidP="009B7AF5">
            <w:pPr>
              <w:pStyle w:val="Tabletext"/>
            </w:pPr>
            <w:r w:rsidRPr="005071A1">
              <w:t>0.04</w:t>
            </w:r>
          </w:p>
        </w:tc>
        <w:tc>
          <w:tcPr>
            <w:tcW w:w="1801" w:type="dxa"/>
            <w:shd w:val="clear" w:color="auto" w:fill="auto"/>
          </w:tcPr>
          <w:p w14:paraId="12E399D6" w14:textId="77777777" w:rsidR="00B33542" w:rsidRPr="005071A1" w:rsidRDefault="00B33542" w:rsidP="009B7AF5">
            <w:pPr>
              <w:pStyle w:val="Tabletext"/>
            </w:pPr>
            <w:r w:rsidRPr="005071A1">
              <w:t>0.08</w:t>
            </w:r>
          </w:p>
        </w:tc>
      </w:tr>
      <w:tr w:rsidR="00B33542" w:rsidRPr="005071A1" w14:paraId="7F6A265B" w14:textId="77777777" w:rsidTr="009B7AF5">
        <w:tc>
          <w:tcPr>
            <w:tcW w:w="1101" w:type="dxa"/>
            <w:shd w:val="clear" w:color="auto" w:fill="auto"/>
          </w:tcPr>
          <w:p w14:paraId="23C8E1CF" w14:textId="77777777" w:rsidR="00B33542" w:rsidRPr="005071A1" w:rsidRDefault="00B33542" w:rsidP="009B7AF5">
            <w:pPr>
              <w:pStyle w:val="Tabletext"/>
            </w:pPr>
            <w:r w:rsidRPr="005071A1">
              <w:t>35</w:t>
            </w:r>
          </w:p>
        </w:tc>
        <w:tc>
          <w:tcPr>
            <w:tcW w:w="2065" w:type="dxa"/>
            <w:shd w:val="clear" w:color="auto" w:fill="auto"/>
          </w:tcPr>
          <w:p w14:paraId="6C8B9598" w14:textId="77777777" w:rsidR="00B33542" w:rsidRPr="005071A1" w:rsidRDefault="00B33542" w:rsidP="009B7AF5">
            <w:pPr>
              <w:pStyle w:val="Tabletext"/>
            </w:pPr>
            <w:r w:rsidRPr="005071A1">
              <w:t>0.10</w:t>
            </w:r>
          </w:p>
        </w:tc>
        <w:tc>
          <w:tcPr>
            <w:tcW w:w="2329" w:type="dxa"/>
            <w:shd w:val="clear" w:color="auto" w:fill="auto"/>
          </w:tcPr>
          <w:p w14:paraId="41F6C86D" w14:textId="77777777" w:rsidR="00B33542" w:rsidRPr="005071A1" w:rsidRDefault="00B33542" w:rsidP="009B7AF5">
            <w:pPr>
              <w:pStyle w:val="Tabletext"/>
            </w:pPr>
            <w:r w:rsidRPr="005071A1">
              <w:t>0.04</w:t>
            </w:r>
          </w:p>
        </w:tc>
        <w:tc>
          <w:tcPr>
            <w:tcW w:w="1801" w:type="dxa"/>
            <w:shd w:val="clear" w:color="auto" w:fill="auto"/>
          </w:tcPr>
          <w:p w14:paraId="3373E021" w14:textId="77777777" w:rsidR="00B33542" w:rsidRPr="005071A1" w:rsidRDefault="00B33542" w:rsidP="009B7AF5">
            <w:pPr>
              <w:pStyle w:val="Tabletext"/>
            </w:pPr>
            <w:r w:rsidRPr="005071A1">
              <w:t>0.08</w:t>
            </w:r>
          </w:p>
        </w:tc>
      </w:tr>
      <w:tr w:rsidR="00B33542" w:rsidRPr="005071A1" w14:paraId="4711744E" w14:textId="77777777" w:rsidTr="009B7AF5">
        <w:tc>
          <w:tcPr>
            <w:tcW w:w="1101" w:type="dxa"/>
            <w:shd w:val="clear" w:color="auto" w:fill="auto"/>
          </w:tcPr>
          <w:p w14:paraId="264E5F21" w14:textId="77777777" w:rsidR="00B33542" w:rsidRPr="005071A1" w:rsidRDefault="00B33542" w:rsidP="009B7AF5">
            <w:pPr>
              <w:pStyle w:val="Tabletext"/>
            </w:pPr>
            <w:r w:rsidRPr="005071A1">
              <w:t>36</w:t>
            </w:r>
          </w:p>
        </w:tc>
        <w:tc>
          <w:tcPr>
            <w:tcW w:w="2065" w:type="dxa"/>
            <w:shd w:val="clear" w:color="auto" w:fill="auto"/>
          </w:tcPr>
          <w:p w14:paraId="27A44863" w14:textId="77777777" w:rsidR="00B33542" w:rsidRPr="005071A1" w:rsidRDefault="00B33542" w:rsidP="009B7AF5">
            <w:pPr>
              <w:pStyle w:val="Tabletext"/>
            </w:pPr>
            <w:r w:rsidRPr="005071A1">
              <w:t>0.10</w:t>
            </w:r>
          </w:p>
        </w:tc>
        <w:tc>
          <w:tcPr>
            <w:tcW w:w="2329" w:type="dxa"/>
            <w:shd w:val="clear" w:color="auto" w:fill="auto"/>
          </w:tcPr>
          <w:p w14:paraId="6479B7CF" w14:textId="77777777" w:rsidR="00B33542" w:rsidRPr="005071A1" w:rsidRDefault="00B33542" w:rsidP="009B7AF5">
            <w:pPr>
              <w:pStyle w:val="Tabletext"/>
            </w:pPr>
            <w:r w:rsidRPr="005071A1">
              <w:t>0.04</w:t>
            </w:r>
          </w:p>
        </w:tc>
        <w:tc>
          <w:tcPr>
            <w:tcW w:w="1801" w:type="dxa"/>
            <w:shd w:val="clear" w:color="auto" w:fill="auto"/>
          </w:tcPr>
          <w:p w14:paraId="2C8D62BB" w14:textId="77777777" w:rsidR="00B33542" w:rsidRPr="005071A1" w:rsidRDefault="00B33542" w:rsidP="009B7AF5">
            <w:pPr>
              <w:pStyle w:val="Tabletext"/>
            </w:pPr>
            <w:r w:rsidRPr="005071A1">
              <w:t>0.08</w:t>
            </w:r>
          </w:p>
        </w:tc>
      </w:tr>
      <w:tr w:rsidR="00B33542" w:rsidRPr="005071A1" w14:paraId="63620523" w14:textId="77777777" w:rsidTr="009B7AF5">
        <w:tc>
          <w:tcPr>
            <w:tcW w:w="1101" w:type="dxa"/>
            <w:shd w:val="clear" w:color="auto" w:fill="auto"/>
          </w:tcPr>
          <w:p w14:paraId="03A79C0C" w14:textId="77777777" w:rsidR="00B33542" w:rsidRPr="005071A1" w:rsidRDefault="00B33542" w:rsidP="009B7AF5">
            <w:pPr>
              <w:pStyle w:val="Tabletext"/>
            </w:pPr>
            <w:r w:rsidRPr="005071A1">
              <w:t>37</w:t>
            </w:r>
          </w:p>
        </w:tc>
        <w:tc>
          <w:tcPr>
            <w:tcW w:w="2065" w:type="dxa"/>
            <w:shd w:val="clear" w:color="auto" w:fill="auto"/>
          </w:tcPr>
          <w:p w14:paraId="501A2551" w14:textId="77777777" w:rsidR="00B33542" w:rsidRPr="005071A1" w:rsidRDefault="00B33542" w:rsidP="009B7AF5">
            <w:pPr>
              <w:pStyle w:val="Tabletext"/>
            </w:pPr>
            <w:r w:rsidRPr="005071A1">
              <w:t>0.10</w:t>
            </w:r>
          </w:p>
        </w:tc>
        <w:tc>
          <w:tcPr>
            <w:tcW w:w="2329" w:type="dxa"/>
            <w:shd w:val="clear" w:color="auto" w:fill="auto"/>
          </w:tcPr>
          <w:p w14:paraId="16166DAB" w14:textId="77777777" w:rsidR="00B33542" w:rsidRPr="005071A1" w:rsidRDefault="00B33542" w:rsidP="009B7AF5">
            <w:pPr>
              <w:pStyle w:val="Tabletext"/>
            </w:pPr>
            <w:r w:rsidRPr="005071A1">
              <w:t>0.04</w:t>
            </w:r>
          </w:p>
        </w:tc>
        <w:tc>
          <w:tcPr>
            <w:tcW w:w="1801" w:type="dxa"/>
            <w:shd w:val="clear" w:color="auto" w:fill="auto"/>
          </w:tcPr>
          <w:p w14:paraId="7579F968" w14:textId="77777777" w:rsidR="00B33542" w:rsidRPr="005071A1" w:rsidRDefault="00B33542" w:rsidP="009B7AF5">
            <w:pPr>
              <w:pStyle w:val="Tabletext"/>
            </w:pPr>
            <w:r w:rsidRPr="005071A1">
              <w:t>0.08</w:t>
            </w:r>
          </w:p>
        </w:tc>
      </w:tr>
      <w:tr w:rsidR="00B33542" w:rsidRPr="005071A1" w14:paraId="49F1A4F8" w14:textId="77777777" w:rsidTr="00D57394">
        <w:tc>
          <w:tcPr>
            <w:tcW w:w="1101" w:type="dxa"/>
            <w:tcBorders>
              <w:bottom w:val="single" w:sz="4" w:space="0" w:color="auto"/>
            </w:tcBorders>
            <w:shd w:val="clear" w:color="auto" w:fill="auto"/>
          </w:tcPr>
          <w:p w14:paraId="426C0162" w14:textId="77777777" w:rsidR="00B33542" w:rsidRPr="005071A1" w:rsidRDefault="00B33542" w:rsidP="009B7AF5">
            <w:pPr>
              <w:pStyle w:val="Tabletext"/>
            </w:pPr>
            <w:r w:rsidRPr="005071A1">
              <w:t>38</w:t>
            </w:r>
          </w:p>
        </w:tc>
        <w:tc>
          <w:tcPr>
            <w:tcW w:w="2065" w:type="dxa"/>
            <w:tcBorders>
              <w:bottom w:val="single" w:sz="4" w:space="0" w:color="auto"/>
            </w:tcBorders>
            <w:shd w:val="clear" w:color="auto" w:fill="auto"/>
          </w:tcPr>
          <w:p w14:paraId="447DD522" w14:textId="77777777" w:rsidR="00B33542" w:rsidRPr="005071A1" w:rsidRDefault="00B33542" w:rsidP="009B7AF5">
            <w:pPr>
              <w:pStyle w:val="Tabletext"/>
            </w:pPr>
            <w:r w:rsidRPr="005071A1">
              <w:t>0.10</w:t>
            </w:r>
          </w:p>
        </w:tc>
        <w:tc>
          <w:tcPr>
            <w:tcW w:w="2329" w:type="dxa"/>
            <w:tcBorders>
              <w:bottom w:val="single" w:sz="4" w:space="0" w:color="auto"/>
            </w:tcBorders>
            <w:shd w:val="clear" w:color="auto" w:fill="auto"/>
          </w:tcPr>
          <w:p w14:paraId="2A664C99" w14:textId="77777777" w:rsidR="00B33542" w:rsidRPr="005071A1" w:rsidRDefault="00B33542" w:rsidP="009B7AF5">
            <w:pPr>
              <w:pStyle w:val="Tabletext"/>
            </w:pPr>
            <w:r w:rsidRPr="005071A1">
              <w:t>0.04</w:t>
            </w:r>
          </w:p>
        </w:tc>
        <w:tc>
          <w:tcPr>
            <w:tcW w:w="1801" w:type="dxa"/>
            <w:tcBorders>
              <w:bottom w:val="single" w:sz="4" w:space="0" w:color="auto"/>
            </w:tcBorders>
            <w:shd w:val="clear" w:color="auto" w:fill="auto"/>
          </w:tcPr>
          <w:p w14:paraId="31955BDB" w14:textId="77777777" w:rsidR="00B33542" w:rsidRPr="005071A1" w:rsidRDefault="00B33542" w:rsidP="009B7AF5">
            <w:pPr>
              <w:pStyle w:val="Tabletext"/>
            </w:pPr>
            <w:r w:rsidRPr="005071A1">
              <w:t>0.08</w:t>
            </w:r>
          </w:p>
        </w:tc>
      </w:tr>
      <w:tr w:rsidR="00B33542" w:rsidRPr="005071A1" w14:paraId="0C1DAE32" w14:textId="77777777" w:rsidTr="00D57394">
        <w:tc>
          <w:tcPr>
            <w:tcW w:w="1101" w:type="dxa"/>
            <w:tcBorders>
              <w:bottom w:val="single" w:sz="4" w:space="0" w:color="auto"/>
            </w:tcBorders>
            <w:shd w:val="clear" w:color="auto" w:fill="auto"/>
          </w:tcPr>
          <w:p w14:paraId="565291B6" w14:textId="77777777" w:rsidR="00B33542" w:rsidRPr="005071A1" w:rsidRDefault="00B33542" w:rsidP="009B7AF5">
            <w:pPr>
              <w:pStyle w:val="Tabletext"/>
            </w:pPr>
            <w:r w:rsidRPr="005071A1">
              <w:lastRenderedPageBreak/>
              <w:t>39</w:t>
            </w:r>
          </w:p>
        </w:tc>
        <w:tc>
          <w:tcPr>
            <w:tcW w:w="2065" w:type="dxa"/>
            <w:tcBorders>
              <w:bottom w:val="single" w:sz="4" w:space="0" w:color="auto"/>
            </w:tcBorders>
            <w:shd w:val="clear" w:color="auto" w:fill="auto"/>
          </w:tcPr>
          <w:p w14:paraId="38ACE83B" w14:textId="77777777" w:rsidR="00B33542" w:rsidRPr="005071A1" w:rsidRDefault="00B33542" w:rsidP="009B7AF5">
            <w:pPr>
              <w:pStyle w:val="Tabletext"/>
            </w:pPr>
            <w:r w:rsidRPr="005071A1">
              <w:t>0.10</w:t>
            </w:r>
          </w:p>
        </w:tc>
        <w:tc>
          <w:tcPr>
            <w:tcW w:w="2329" w:type="dxa"/>
            <w:tcBorders>
              <w:bottom w:val="single" w:sz="4" w:space="0" w:color="auto"/>
            </w:tcBorders>
            <w:shd w:val="clear" w:color="auto" w:fill="auto"/>
          </w:tcPr>
          <w:p w14:paraId="5C55F59A" w14:textId="77777777" w:rsidR="00B33542" w:rsidRPr="005071A1" w:rsidRDefault="00B33542" w:rsidP="009B7AF5">
            <w:pPr>
              <w:pStyle w:val="Tabletext"/>
            </w:pPr>
            <w:r w:rsidRPr="005071A1">
              <w:t>0.04</w:t>
            </w:r>
          </w:p>
        </w:tc>
        <w:tc>
          <w:tcPr>
            <w:tcW w:w="1801" w:type="dxa"/>
            <w:tcBorders>
              <w:bottom w:val="single" w:sz="4" w:space="0" w:color="auto"/>
            </w:tcBorders>
            <w:shd w:val="clear" w:color="auto" w:fill="auto"/>
          </w:tcPr>
          <w:p w14:paraId="68BBEA70" w14:textId="77777777" w:rsidR="00B33542" w:rsidRPr="005071A1" w:rsidRDefault="00B33542" w:rsidP="009B7AF5">
            <w:pPr>
              <w:pStyle w:val="Tabletext"/>
            </w:pPr>
            <w:r w:rsidRPr="005071A1">
              <w:t>0.08</w:t>
            </w:r>
          </w:p>
        </w:tc>
      </w:tr>
      <w:tr w:rsidR="00B33542" w:rsidRPr="005071A1" w14:paraId="6FEA20EA" w14:textId="77777777" w:rsidTr="00D57394">
        <w:tc>
          <w:tcPr>
            <w:tcW w:w="1101" w:type="dxa"/>
            <w:tcBorders>
              <w:top w:val="single" w:sz="4" w:space="0" w:color="auto"/>
            </w:tcBorders>
            <w:shd w:val="clear" w:color="auto" w:fill="auto"/>
          </w:tcPr>
          <w:p w14:paraId="69B07008" w14:textId="77777777" w:rsidR="00B33542" w:rsidRPr="005071A1" w:rsidRDefault="00B33542" w:rsidP="009B7AF5">
            <w:pPr>
              <w:pStyle w:val="Tabletext"/>
            </w:pPr>
            <w:r w:rsidRPr="005071A1">
              <w:t>40</w:t>
            </w:r>
          </w:p>
        </w:tc>
        <w:tc>
          <w:tcPr>
            <w:tcW w:w="2065" w:type="dxa"/>
            <w:tcBorders>
              <w:top w:val="single" w:sz="4" w:space="0" w:color="auto"/>
            </w:tcBorders>
            <w:shd w:val="clear" w:color="auto" w:fill="auto"/>
          </w:tcPr>
          <w:p w14:paraId="30C6C1C4" w14:textId="77777777" w:rsidR="00B33542" w:rsidRPr="005071A1" w:rsidRDefault="00B33542" w:rsidP="009B7AF5">
            <w:pPr>
              <w:pStyle w:val="Tabletext"/>
            </w:pPr>
            <w:r w:rsidRPr="005071A1">
              <w:t>0.10</w:t>
            </w:r>
          </w:p>
        </w:tc>
        <w:tc>
          <w:tcPr>
            <w:tcW w:w="2329" w:type="dxa"/>
            <w:tcBorders>
              <w:top w:val="single" w:sz="4" w:space="0" w:color="auto"/>
            </w:tcBorders>
            <w:shd w:val="clear" w:color="auto" w:fill="auto"/>
          </w:tcPr>
          <w:p w14:paraId="54045465" w14:textId="77777777" w:rsidR="00B33542" w:rsidRPr="005071A1" w:rsidRDefault="00B33542" w:rsidP="009B7AF5">
            <w:pPr>
              <w:pStyle w:val="Tabletext"/>
            </w:pPr>
            <w:r w:rsidRPr="005071A1">
              <w:t>0.04</w:t>
            </w:r>
          </w:p>
        </w:tc>
        <w:tc>
          <w:tcPr>
            <w:tcW w:w="1801" w:type="dxa"/>
            <w:tcBorders>
              <w:top w:val="single" w:sz="4" w:space="0" w:color="auto"/>
            </w:tcBorders>
            <w:shd w:val="clear" w:color="auto" w:fill="auto"/>
          </w:tcPr>
          <w:p w14:paraId="45267883" w14:textId="77777777" w:rsidR="00B33542" w:rsidRPr="005071A1" w:rsidRDefault="00B33542" w:rsidP="009B7AF5">
            <w:pPr>
              <w:pStyle w:val="Tabletext"/>
            </w:pPr>
            <w:r w:rsidRPr="005071A1">
              <w:t>0.08</w:t>
            </w:r>
          </w:p>
        </w:tc>
      </w:tr>
      <w:tr w:rsidR="00B33542" w:rsidRPr="005071A1" w14:paraId="70986567" w14:textId="77777777" w:rsidTr="009B7AF5">
        <w:tc>
          <w:tcPr>
            <w:tcW w:w="1101" w:type="dxa"/>
            <w:shd w:val="clear" w:color="auto" w:fill="auto"/>
          </w:tcPr>
          <w:p w14:paraId="03FD9D5C" w14:textId="77777777" w:rsidR="00B33542" w:rsidRPr="005071A1" w:rsidRDefault="00B33542" w:rsidP="009B7AF5">
            <w:pPr>
              <w:pStyle w:val="Tabletext"/>
            </w:pPr>
            <w:r w:rsidRPr="005071A1">
              <w:t>41</w:t>
            </w:r>
          </w:p>
        </w:tc>
        <w:tc>
          <w:tcPr>
            <w:tcW w:w="2065" w:type="dxa"/>
            <w:shd w:val="clear" w:color="auto" w:fill="auto"/>
          </w:tcPr>
          <w:p w14:paraId="338A78B6" w14:textId="77777777" w:rsidR="00B33542" w:rsidRPr="005071A1" w:rsidRDefault="00B33542" w:rsidP="009B7AF5">
            <w:pPr>
              <w:pStyle w:val="Tabletext"/>
            </w:pPr>
            <w:r w:rsidRPr="005071A1">
              <w:t>0.10</w:t>
            </w:r>
          </w:p>
        </w:tc>
        <w:tc>
          <w:tcPr>
            <w:tcW w:w="2329" w:type="dxa"/>
            <w:shd w:val="clear" w:color="auto" w:fill="auto"/>
          </w:tcPr>
          <w:p w14:paraId="6245B0FC" w14:textId="77777777" w:rsidR="00B33542" w:rsidRPr="005071A1" w:rsidRDefault="00B33542" w:rsidP="009B7AF5">
            <w:pPr>
              <w:pStyle w:val="Tabletext"/>
            </w:pPr>
            <w:r w:rsidRPr="005071A1">
              <w:t>0.04</w:t>
            </w:r>
          </w:p>
        </w:tc>
        <w:tc>
          <w:tcPr>
            <w:tcW w:w="1801" w:type="dxa"/>
            <w:shd w:val="clear" w:color="auto" w:fill="auto"/>
          </w:tcPr>
          <w:p w14:paraId="26A3AFB4" w14:textId="77777777" w:rsidR="00B33542" w:rsidRPr="005071A1" w:rsidRDefault="00B33542" w:rsidP="009B7AF5">
            <w:pPr>
              <w:pStyle w:val="Tabletext"/>
            </w:pPr>
            <w:r w:rsidRPr="005071A1">
              <w:t>0.08</w:t>
            </w:r>
          </w:p>
        </w:tc>
      </w:tr>
      <w:tr w:rsidR="00B33542" w:rsidRPr="005071A1" w14:paraId="638D1DAC" w14:textId="77777777" w:rsidTr="00640BB6">
        <w:tc>
          <w:tcPr>
            <w:tcW w:w="1101" w:type="dxa"/>
            <w:tcBorders>
              <w:bottom w:val="single" w:sz="4" w:space="0" w:color="auto"/>
            </w:tcBorders>
            <w:shd w:val="clear" w:color="auto" w:fill="auto"/>
          </w:tcPr>
          <w:p w14:paraId="21771888" w14:textId="77777777" w:rsidR="00B33542" w:rsidRPr="005071A1" w:rsidRDefault="00B33542" w:rsidP="009B7AF5">
            <w:pPr>
              <w:pStyle w:val="Tabletext"/>
            </w:pPr>
            <w:r w:rsidRPr="005071A1">
              <w:t>42</w:t>
            </w:r>
          </w:p>
        </w:tc>
        <w:tc>
          <w:tcPr>
            <w:tcW w:w="2065" w:type="dxa"/>
            <w:tcBorders>
              <w:bottom w:val="single" w:sz="4" w:space="0" w:color="auto"/>
            </w:tcBorders>
            <w:shd w:val="clear" w:color="auto" w:fill="auto"/>
          </w:tcPr>
          <w:p w14:paraId="70F4D379" w14:textId="77777777" w:rsidR="00B33542" w:rsidRPr="005071A1" w:rsidRDefault="00B33542" w:rsidP="009B7AF5">
            <w:pPr>
              <w:pStyle w:val="Tabletext"/>
            </w:pPr>
            <w:r w:rsidRPr="005071A1">
              <w:t>0.12</w:t>
            </w:r>
          </w:p>
        </w:tc>
        <w:tc>
          <w:tcPr>
            <w:tcW w:w="2329" w:type="dxa"/>
            <w:tcBorders>
              <w:bottom w:val="single" w:sz="4" w:space="0" w:color="auto"/>
            </w:tcBorders>
            <w:shd w:val="clear" w:color="auto" w:fill="auto"/>
          </w:tcPr>
          <w:p w14:paraId="7B61C064" w14:textId="77777777" w:rsidR="00B33542" w:rsidRPr="005071A1" w:rsidRDefault="00B33542" w:rsidP="009B7AF5">
            <w:pPr>
              <w:pStyle w:val="Tabletext"/>
            </w:pPr>
            <w:r w:rsidRPr="005071A1">
              <w:t>0.04</w:t>
            </w:r>
          </w:p>
        </w:tc>
        <w:tc>
          <w:tcPr>
            <w:tcW w:w="1801" w:type="dxa"/>
            <w:tcBorders>
              <w:bottom w:val="single" w:sz="4" w:space="0" w:color="auto"/>
            </w:tcBorders>
            <w:shd w:val="clear" w:color="auto" w:fill="auto"/>
          </w:tcPr>
          <w:p w14:paraId="701EAAD8" w14:textId="77777777" w:rsidR="00B33542" w:rsidRPr="005071A1" w:rsidRDefault="00B33542" w:rsidP="009B7AF5">
            <w:pPr>
              <w:pStyle w:val="Tabletext"/>
            </w:pPr>
            <w:r w:rsidRPr="005071A1">
              <w:t>0.08</w:t>
            </w:r>
          </w:p>
        </w:tc>
      </w:tr>
      <w:tr w:rsidR="00B33542" w:rsidRPr="005071A1" w14:paraId="428FE75A" w14:textId="77777777" w:rsidTr="00640BB6">
        <w:tc>
          <w:tcPr>
            <w:tcW w:w="1101" w:type="dxa"/>
            <w:tcBorders>
              <w:bottom w:val="single" w:sz="4" w:space="0" w:color="auto"/>
            </w:tcBorders>
            <w:shd w:val="clear" w:color="auto" w:fill="auto"/>
          </w:tcPr>
          <w:p w14:paraId="37B83D68" w14:textId="77777777" w:rsidR="00B33542" w:rsidRPr="005071A1" w:rsidRDefault="00B33542" w:rsidP="009B7AF5">
            <w:pPr>
              <w:pStyle w:val="Tabletext"/>
            </w:pPr>
            <w:r w:rsidRPr="005071A1">
              <w:t>43</w:t>
            </w:r>
          </w:p>
        </w:tc>
        <w:tc>
          <w:tcPr>
            <w:tcW w:w="2065" w:type="dxa"/>
            <w:tcBorders>
              <w:bottom w:val="single" w:sz="4" w:space="0" w:color="auto"/>
            </w:tcBorders>
            <w:shd w:val="clear" w:color="auto" w:fill="auto"/>
          </w:tcPr>
          <w:p w14:paraId="3218842B" w14:textId="77777777" w:rsidR="00B33542" w:rsidRPr="005071A1" w:rsidRDefault="00B33542" w:rsidP="009B7AF5">
            <w:pPr>
              <w:pStyle w:val="Tabletext"/>
            </w:pPr>
            <w:r w:rsidRPr="005071A1">
              <w:t>0.12</w:t>
            </w:r>
          </w:p>
        </w:tc>
        <w:tc>
          <w:tcPr>
            <w:tcW w:w="2329" w:type="dxa"/>
            <w:tcBorders>
              <w:bottom w:val="single" w:sz="4" w:space="0" w:color="auto"/>
            </w:tcBorders>
            <w:shd w:val="clear" w:color="auto" w:fill="auto"/>
          </w:tcPr>
          <w:p w14:paraId="719320BD" w14:textId="77777777" w:rsidR="00B33542" w:rsidRPr="005071A1" w:rsidRDefault="00B33542" w:rsidP="009B7AF5">
            <w:pPr>
              <w:pStyle w:val="Tabletext"/>
            </w:pPr>
            <w:r w:rsidRPr="005071A1">
              <w:t>0.04</w:t>
            </w:r>
          </w:p>
        </w:tc>
        <w:tc>
          <w:tcPr>
            <w:tcW w:w="1801" w:type="dxa"/>
            <w:tcBorders>
              <w:bottom w:val="single" w:sz="4" w:space="0" w:color="auto"/>
            </w:tcBorders>
            <w:shd w:val="clear" w:color="auto" w:fill="auto"/>
          </w:tcPr>
          <w:p w14:paraId="345BD890" w14:textId="77777777" w:rsidR="00B33542" w:rsidRPr="005071A1" w:rsidRDefault="00B33542" w:rsidP="009B7AF5">
            <w:pPr>
              <w:pStyle w:val="Tabletext"/>
            </w:pPr>
            <w:r w:rsidRPr="005071A1">
              <w:t>0.08</w:t>
            </w:r>
          </w:p>
        </w:tc>
      </w:tr>
      <w:tr w:rsidR="00B33542" w:rsidRPr="005071A1" w14:paraId="057ED99E" w14:textId="77777777" w:rsidTr="00640BB6">
        <w:tc>
          <w:tcPr>
            <w:tcW w:w="1101" w:type="dxa"/>
            <w:tcBorders>
              <w:top w:val="single" w:sz="4" w:space="0" w:color="auto"/>
            </w:tcBorders>
            <w:shd w:val="clear" w:color="auto" w:fill="auto"/>
          </w:tcPr>
          <w:p w14:paraId="25AB35C6" w14:textId="77777777" w:rsidR="00B33542" w:rsidRPr="005071A1" w:rsidRDefault="00B33542" w:rsidP="009B7AF5">
            <w:pPr>
              <w:pStyle w:val="Tabletext"/>
            </w:pPr>
            <w:r w:rsidRPr="005071A1">
              <w:t>44</w:t>
            </w:r>
          </w:p>
        </w:tc>
        <w:tc>
          <w:tcPr>
            <w:tcW w:w="2065" w:type="dxa"/>
            <w:tcBorders>
              <w:top w:val="single" w:sz="4" w:space="0" w:color="auto"/>
            </w:tcBorders>
            <w:shd w:val="clear" w:color="auto" w:fill="auto"/>
          </w:tcPr>
          <w:p w14:paraId="343AAABF" w14:textId="77777777" w:rsidR="00B33542" w:rsidRPr="005071A1" w:rsidRDefault="00B33542" w:rsidP="009B7AF5">
            <w:pPr>
              <w:pStyle w:val="Tabletext"/>
            </w:pPr>
            <w:r w:rsidRPr="005071A1">
              <w:t>0.14</w:t>
            </w:r>
          </w:p>
        </w:tc>
        <w:tc>
          <w:tcPr>
            <w:tcW w:w="2329" w:type="dxa"/>
            <w:tcBorders>
              <w:top w:val="single" w:sz="4" w:space="0" w:color="auto"/>
            </w:tcBorders>
            <w:shd w:val="clear" w:color="auto" w:fill="auto"/>
          </w:tcPr>
          <w:p w14:paraId="49B5359B" w14:textId="77777777" w:rsidR="00B33542" w:rsidRPr="005071A1" w:rsidRDefault="00B33542" w:rsidP="009B7AF5">
            <w:pPr>
              <w:pStyle w:val="Tabletext"/>
            </w:pPr>
            <w:r w:rsidRPr="005071A1">
              <w:t>0.05</w:t>
            </w:r>
          </w:p>
        </w:tc>
        <w:tc>
          <w:tcPr>
            <w:tcW w:w="1801" w:type="dxa"/>
            <w:tcBorders>
              <w:top w:val="single" w:sz="4" w:space="0" w:color="auto"/>
            </w:tcBorders>
            <w:shd w:val="clear" w:color="auto" w:fill="auto"/>
          </w:tcPr>
          <w:p w14:paraId="47D65B71" w14:textId="77777777" w:rsidR="00B33542" w:rsidRPr="005071A1" w:rsidRDefault="00B33542" w:rsidP="009B7AF5">
            <w:pPr>
              <w:pStyle w:val="Tabletext"/>
            </w:pPr>
            <w:r w:rsidRPr="005071A1">
              <w:t>0.10</w:t>
            </w:r>
          </w:p>
        </w:tc>
      </w:tr>
      <w:tr w:rsidR="00B33542" w:rsidRPr="005071A1" w14:paraId="3C7D4615" w14:textId="77777777" w:rsidTr="009B7AF5">
        <w:tc>
          <w:tcPr>
            <w:tcW w:w="1101" w:type="dxa"/>
            <w:shd w:val="clear" w:color="auto" w:fill="auto"/>
          </w:tcPr>
          <w:p w14:paraId="6E6F3486" w14:textId="77777777" w:rsidR="00B33542" w:rsidRPr="005071A1" w:rsidRDefault="00B33542" w:rsidP="009B7AF5">
            <w:pPr>
              <w:pStyle w:val="Tabletext"/>
            </w:pPr>
            <w:r w:rsidRPr="005071A1">
              <w:t>45</w:t>
            </w:r>
          </w:p>
        </w:tc>
        <w:tc>
          <w:tcPr>
            <w:tcW w:w="2065" w:type="dxa"/>
            <w:shd w:val="clear" w:color="auto" w:fill="auto"/>
          </w:tcPr>
          <w:p w14:paraId="3B3EE660" w14:textId="77777777" w:rsidR="00B33542" w:rsidRPr="005071A1" w:rsidRDefault="00B33542" w:rsidP="009B7AF5">
            <w:pPr>
              <w:pStyle w:val="Tabletext"/>
            </w:pPr>
            <w:r w:rsidRPr="005071A1">
              <w:t>0.12</w:t>
            </w:r>
          </w:p>
        </w:tc>
        <w:tc>
          <w:tcPr>
            <w:tcW w:w="2329" w:type="dxa"/>
            <w:shd w:val="clear" w:color="auto" w:fill="auto"/>
          </w:tcPr>
          <w:p w14:paraId="7718C7B7" w14:textId="77777777" w:rsidR="00B33542" w:rsidRPr="005071A1" w:rsidRDefault="00B33542" w:rsidP="009B7AF5">
            <w:pPr>
              <w:pStyle w:val="Tabletext"/>
            </w:pPr>
            <w:r w:rsidRPr="005071A1">
              <w:t>0.05</w:t>
            </w:r>
          </w:p>
        </w:tc>
        <w:tc>
          <w:tcPr>
            <w:tcW w:w="1801" w:type="dxa"/>
            <w:shd w:val="clear" w:color="auto" w:fill="auto"/>
          </w:tcPr>
          <w:p w14:paraId="0CB2A554" w14:textId="77777777" w:rsidR="00B33542" w:rsidRPr="005071A1" w:rsidRDefault="00B33542" w:rsidP="009B7AF5">
            <w:pPr>
              <w:pStyle w:val="Tabletext"/>
            </w:pPr>
            <w:r w:rsidRPr="005071A1">
              <w:t>0.10</w:t>
            </w:r>
          </w:p>
        </w:tc>
      </w:tr>
      <w:tr w:rsidR="00B33542" w:rsidRPr="005071A1" w14:paraId="4660DF4F" w14:textId="77777777" w:rsidTr="009B7AF5">
        <w:tc>
          <w:tcPr>
            <w:tcW w:w="1101" w:type="dxa"/>
            <w:shd w:val="clear" w:color="auto" w:fill="auto"/>
          </w:tcPr>
          <w:p w14:paraId="2CF660CE" w14:textId="77777777" w:rsidR="00B33542" w:rsidRPr="005071A1" w:rsidRDefault="00B33542" w:rsidP="009B7AF5">
            <w:pPr>
              <w:pStyle w:val="Tabletext"/>
            </w:pPr>
            <w:r w:rsidRPr="005071A1">
              <w:t>46</w:t>
            </w:r>
          </w:p>
        </w:tc>
        <w:tc>
          <w:tcPr>
            <w:tcW w:w="2065" w:type="dxa"/>
            <w:shd w:val="clear" w:color="auto" w:fill="auto"/>
          </w:tcPr>
          <w:p w14:paraId="02EC9C20" w14:textId="77777777" w:rsidR="00B33542" w:rsidRPr="005071A1" w:rsidRDefault="00B33542" w:rsidP="009B7AF5">
            <w:pPr>
              <w:pStyle w:val="Tabletext"/>
            </w:pPr>
            <w:r w:rsidRPr="005071A1">
              <w:t>0.12</w:t>
            </w:r>
          </w:p>
        </w:tc>
        <w:tc>
          <w:tcPr>
            <w:tcW w:w="2329" w:type="dxa"/>
            <w:shd w:val="clear" w:color="auto" w:fill="auto"/>
          </w:tcPr>
          <w:p w14:paraId="4A2E3092" w14:textId="77777777" w:rsidR="00B33542" w:rsidRPr="005071A1" w:rsidRDefault="00B33542" w:rsidP="009B7AF5">
            <w:pPr>
              <w:pStyle w:val="Tabletext"/>
            </w:pPr>
            <w:r w:rsidRPr="005071A1">
              <w:t>0.05</w:t>
            </w:r>
          </w:p>
        </w:tc>
        <w:tc>
          <w:tcPr>
            <w:tcW w:w="1801" w:type="dxa"/>
            <w:shd w:val="clear" w:color="auto" w:fill="auto"/>
          </w:tcPr>
          <w:p w14:paraId="690A2CAD" w14:textId="77777777" w:rsidR="00B33542" w:rsidRPr="005071A1" w:rsidRDefault="00B33542" w:rsidP="009B7AF5">
            <w:pPr>
              <w:pStyle w:val="Tabletext"/>
            </w:pPr>
            <w:r w:rsidRPr="005071A1">
              <w:t>0.10</w:t>
            </w:r>
          </w:p>
        </w:tc>
      </w:tr>
      <w:tr w:rsidR="00B33542" w:rsidRPr="005071A1" w14:paraId="20214848" w14:textId="77777777" w:rsidTr="009B7AF5">
        <w:tc>
          <w:tcPr>
            <w:tcW w:w="1101" w:type="dxa"/>
            <w:shd w:val="clear" w:color="auto" w:fill="auto"/>
          </w:tcPr>
          <w:p w14:paraId="0D63BA36" w14:textId="77777777" w:rsidR="00B33542" w:rsidRPr="005071A1" w:rsidRDefault="00B33542" w:rsidP="009B7AF5">
            <w:pPr>
              <w:pStyle w:val="Tabletext"/>
            </w:pPr>
            <w:r w:rsidRPr="005071A1">
              <w:t>47</w:t>
            </w:r>
          </w:p>
        </w:tc>
        <w:tc>
          <w:tcPr>
            <w:tcW w:w="2065" w:type="dxa"/>
            <w:shd w:val="clear" w:color="auto" w:fill="auto"/>
          </w:tcPr>
          <w:p w14:paraId="45EB5B4B" w14:textId="77777777" w:rsidR="00B33542" w:rsidRPr="005071A1" w:rsidRDefault="00B33542" w:rsidP="009B7AF5">
            <w:pPr>
              <w:pStyle w:val="Tabletext"/>
            </w:pPr>
            <w:r w:rsidRPr="005071A1">
              <w:t>0.14</w:t>
            </w:r>
          </w:p>
        </w:tc>
        <w:tc>
          <w:tcPr>
            <w:tcW w:w="2329" w:type="dxa"/>
            <w:shd w:val="clear" w:color="auto" w:fill="auto"/>
          </w:tcPr>
          <w:p w14:paraId="711A367E" w14:textId="77777777" w:rsidR="00B33542" w:rsidRPr="005071A1" w:rsidRDefault="00B33542" w:rsidP="009B7AF5">
            <w:pPr>
              <w:pStyle w:val="Tabletext"/>
            </w:pPr>
            <w:r w:rsidRPr="005071A1">
              <w:t>0.06</w:t>
            </w:r>
          </w:p>
        </w:tc>
        <w:tc>
          <w:tcPr>
            <w:tcW w:w="1801" w:type="dxa"/>
            <w:shd w:val="clear" w:color="auto" w:fill="auto"/>
          </w:tcPr>
          <w:p w14:paraId="15A96F58" w14:textId="77777777" w:rsidR="00B33542" w:rsidRPr="005071A1" w:rsidRDefault="00B33542" w:rsidP="009B7AF5">
            <w:pPr>
              <w:pStyle w:val="Tabletext"/>
            </w:pPr>
            <w:r w:rsidRPr="005071A1">
              <w:t>0.12</w:t>
            </w:r>
          </w:p>
        </w:tc>
      </w:tr>
      <w:tr w:rsidR="00B33542" w:rsidRPr="005071A1" w14:paraId="42AB0805" w14:textId="77777777" w:rsidTr="009B7AF5">
        <w:tc>
          <w:tcPr>
            <w:tcW w:w="1101" w:type="dxa"/>
            <w:shd w:val="clear" w:color="auto" w:fill="auto"/>
          </w:tcPr>
          <w:p w14:paraId="37DEA64F" w14:textId="77777777" w:rsidR="00B33542" w:rsidRPr="005071A1" w:rsidRDefault="00B33542" w:rsidP="009B7AF5">
            <w:pPr>
              <w:pStyle w:val="Tabletext"/>
            </w:pPr>
            <w:r w:rsidRPr="005071A1">
              <w:lastRenderedPageBreak/>
              <w:t>48</w:t>
            </w:r>
          </w:p>
        </w:tc>
        <w:tc>
          <w:tcPr>
            <w:tcW w:w="2065" w:type="dxa"/>
            <w:shd w:val="clear" w:color="auto" w:fill="auto"/>
          </w:tcPr>
          <w:p w14:paraId="739EE85B" w14:textId="77777777" w:rsidR="00B33542" w:rsidRPr="005071A1" w:rsidRDefault="00B33542" w:rsidP="009B7AF5">
            <w:pPr>
              <w:pStyle w:val="Tabletext"/>
            </w:pPr>
            <w:r w:rsidRPr="005071A1">
              <w:t>0.14</w:t>
            </w:r>
          </w:p>
        </w:tc>
        <w:tc>
          <w:tcPr>
            <w:tcW w:w="2329" w:type="dxa"/>
            <w:shd w:val="clear" w:color="auto" w:fill="auto"/>
          </w:tcPr>
          <w:p w14:paraId="3244EC16" w14:textId="77777777" w:rsidR="00B33542" w:rsidRPr="005071A1" w:rsidRDefault="00B33542" w:rsidP="009B7AF5">
            <w:pPr>
              <w:pStyle w:val="Tabletext"/>
            </w:pPr>
            <w:r w:rsidRPr="005071A1">
              <w:t>0.06</w:t>
            </w:r>
          </w:p>
        </w:tc>
        <w:tc>
          <w:tcPr>
            <w:tcW w:w="1801" w:type="dxa"/>
            <w:shd w:val="clear" w:color="auto" w:fill="auto"/>
          </w:tcPr>
          <w:p w14:paraId="1921D9BE" w14:textId="77777777" w:rsidR="00B33542" w:rsidRPr="005071A1" w:rsidRDefault="00B33542" w:rsidP="009B7AF5">
            <w:pPr>
              <w:pStyle w:val="Tabletext"/>
            </w:pPr>
            <w:r w:rsidRPr="005071A1">
              <w:t>0.12</w:t>
            </w:r>
          </w:p>
        </w:tc>
      </w:tr>
      <w:tr w:rsidR="00B33542" w:rsidRPr="005071A1" w14:paraId="4A87155D" w14:textId="77777777" w:rsidTr="00D57394">
        <w:tc>
          <w:tcPr>
            <w:tcW w:w="1101" w:type="dxa"/>
            <w:tcBorders>
              <w:bottom w:val="single" w:sz="4" w:space="0" w:color="auto"/>
            </w:tcBorders>
            <w:shd w:val="clear" w:color="auto" w:fill="auto"/>
          </w:tcPr>
          <w:p w14:paraId="365F71EC" w14:textId="77777777" w:rsidR="00B33542" w:rsidRPr="005071A1" w:rsidRDefault="00B33542" w:rsidP="009B7AF5">
            <w:pPr>
              <w:pStyle w:val="Tabletext"/>
            </w:pPr>
            <w:r w:rsidRPr="005071A1">
              <w:t>49</w:t>
            </w:r>
          </w:p>
        </w:tc>
        <w:tc>
          <w:tcPr>
            <w:tcW w:w="2065" w:type="dxa"/>
            <w:tcBorders>
              <w:bottom w:val="single" w:sz="4" w:space="0" w:color="auto"/>
            </w:tcBorders>
            <w:shd w:val="clear" w:color="auto" w:fill="auto"/>
          </w:tcPr>
          <w:p w14:paraId="06A236DE" w14:textId="77777777" w:rsidR="00B33542" w:rsidRPr="005071A1" w:rsidRDefault="00B33542" w:rsidP="009B7AF5">
            <w:pPr>
              <w:pStyle w:val="Tabletext"/>
            </w:pPr>
            <w:r w:rsidRPr="005071A1">
              <w:t>0.16</w:t>
            </w:r>
          </w:p>
        </w:tc>
        <w:tc>
          <w:tcPr>
            <w:tcW w:w="2329" w:type="dxa"/>
            <w:tcBorders>
              <w:bottom w:val="single" w:sz="4" w:space="0" w:color="auto"/>
            </w:tcBorders>
            <w:shd w:val="clear" w:color="auto" w:fill="auto"/>
          </w:tcPr>
          <w:p w14:paraId="181F84BE" w14:textId="77777777" w:rsidR="00B33542" w:rsidRPr="005071A1" w:rsidRDefault="00B33542" w:rsidP="009B7AF5">
            <w:pPr>
              <w:pStyle w:val="Tabletext"/>
            </w:pPr>
            <w:r w:rsidRPr="005071A1">
              <w:t>0.06</w:t>
            </w:r>
          </w:p>
        </w:tc>
        <w:tc>
          <w:tcPr>
            <w:tcW w:w="1801" w:type="dxa"/>
            <w:tcBorders>
              <w:bottom w:val="single" w:sz="4" w:space="0" w:color="auto"/>
            </w:tcBorders>
            <w:shd w:val="clear" w:color="auto" w:fill="auto"/>
          </w:tcPr>
          <w:p w14:paraId="0C34394E" w14:textId="77777777" w:rsidR="00B33542" w:rsidRPr="005071A1" w:rsidRDefault="00B33542" w:rsidP="009B7AF5">
            <w:pPr>
              <w:pStyle w:val="Tabletext"/>
            </w:pPr>
            <w:r w:rsidRPr="005071A1">
              <w:t>0.12</w:t>
            </w:r>
          </w:p>
        </w:tc>
      </w:tr>
      <w:tr w:rsidR="00B33542" w:rsidRPr="005071A1" w14:paraId="3DA6A7F2" w14:textId="77777777" w:rsidTr="00D57394">
        <w:tc>
          <w:tcPr>
            <w:tcW w:w="1101" w:type="dxa"/>
            <w:tcBorders>
              <w:bottom w:val="single" w:sz="4" w:space="0" w:color="auto"/>
            </w:tcBorders>
            <w:shd w:val="clear" w:color="auto" w:fill="auto"/>
          </w:tcPr>
          <w:p w14:paraId="3B4B7B2F" w14:textId="77777777" w:rsidR="00B33542" w:rsidRPr="005071A1" w:rsidRDefault="00B33542" w:rsidP="009B7AF5">
            <w:pPr>
              <w:pStyle w:val="Tabletext"/>
            </w:pPr>
            <w:r w:rsidRPr="005071A1">
              <w:t>50</w:t>
            </w:r>
          </w:p>
        </w:tc>
        <w:tc>
          <w:tcPr>
            <w:tcW w:w="2065" w:type="dxa"/>
            <w:tcBorders>
              <w:bottom w:val="single" w:sz="4" w:space="0" w:color="auto"/>
            </w:tcBorders>
            <w:shd w:val="clear" w:color="auto" w:fill="auto"/>
          </w:tcPr>
          <w:p w14:paraId="59C19137" w14:textId="77777777" w:rsidR="00B33542" w:rsidRPr="005071A1" w:rsidRDefault="00B33542" w:rsidP="009B7AF5">
            <w:pPr>
              <w:pStyle w:val="Tabletext"/>
            </w:pPr>
            <w:r w:rsidRPr="005071A1">
              <w:t>0.18</w:t>
            </w:r>
          </w:p>
        </w:tc>
        <w:tc>
          <w:tcPr>
            <w:tcW w:w="2329" w:type="dxa"/>
            <w:tcBorders>
              <w:bottom w:val="single" w:sz="4" w:space="0" w:color="auto"/>
            </w:tcBorders>
            <w:shd w:val="clear" w:color="auto" w:fill="auto"/>
          </w:tcPr>
          <w:p w14:paraId="71ECCE55" w14:textId="77777777" w:rsidR="00B33542" w:rsidRPr="005071A1" w:rsidRDefault="00B33542" w:rsidP="009B7AF5">
            <w:pPr>
              <w:pStyle w:val="Tabletext"/>
            </w:pPr>
            <w:r w:rsidRPr="005071A1">
              <w:t>0.07</w:t>
            </w:r>
          </w:p>
        </w:tc>
        <w:tc>
          <w:tcPr>
            <w:tcW w:w="1801" w:type="dxa"/>
            <w:tcBorders>
              <w:bottom w:val="single" w:sz="4" w:space="0" w:color="auto"/>
            </w:tcBorders>
            <w:shd w:val="clear" w:color="auto" w:fill="auto"/>
          </w:tcPr>
          <w:p w14:paraId="24B48D8A" w14:textId="77777777" w:rsidR="00B33542" w:rsidRPr="005071A1" w:rsidRDefault="00B33542" w:rsidP="009B7AF5">
            <w:pPr>
              <w:pStyle w:val="Tabletext"/>
            </w:pPr>
            <w:r w:rsidRPr="005071A1">
              <w:t>0.14</w:t>
            </w:r>
          </w:p>
        </w:tc>
      </w:tr>
      <w:tr w:rsidR="00B33542" w:rsidRPr="005071A1" w14:paraId="53462CC6" w14:textId="77777777" w:rsidTr="00D57394">
        <w:tc>
          <w:tcPr>
            <w:tcW w:w="1101" w:type="dxa"/>
            <w:tcBorders>
              <w:top w:val="single" w:sz="4" w:space="0" w:color="auto"/>
            </w:tcBorders>
            <w:shd w:val="clear" w:color="auto" w:fill="auto"/>
          </w:tcPr>
          <w:p w14:paraId="3D85CD53" w14:textId="77777777" w:rsidR="00B33542" w:rsidRPr="005071A1" w:rsidRDefault="00B33542" w:rsidP="009B7AF5">
            <w:pPr>
              <w:pStyle w:val="Tabletext"/>
            </w:pPr>
            <w:r w:rsidRPr="005071A1">
              <w:t>51</w:t>
            </w:r>
          </w:p>
        </w:tc>
        <w:tc>
          <w:tcPr>
            <w:tcW w:w="2065" w:type="dxa"/>
            <w:tcBorders>
              <w:top w:val="single" w:sz="4" w:space="0" w:color="auto"/>
            </w:tcBorders>
            <w:shd w:val="clear" w:color="auto" w:fill="auto"/>
          </w:tcPr>
          <w:p w14:paraId="5122BDE5" w14:textId="77777777" w:rsidR="00B33542" w:rsidRPr="005071A1" w:rsidRDefault="00B33542" w:rsidP="009B7AF5">
            <w:pPr>
              <w:pStyle w:val="Tabletext"/>
            </w:pPr>
            <w:r w:rsidRPr="005071A1">
              <w:t>0.18</w:t>
            </w:r>
          </w:p>
        </w:tc>
        <w:tc>
          <w:tcPr>
            <w:tcW w:w="2329" w:type="dxa"/>
            <w:tcBorders>
              <w:top w:val="single" w:sz="4" w:space="0" w:color="auto"/>
            </w:tcBorders>
            <w:shd w:val="clear" w:color="auto" w:fill="auto"/>
          </w:tcPr>
          <w:p w14:paraId="3CDBE4BD" w14:textId="77777777" w:rsidR="00B33542" w:rsidRPr="005071A1" w:rsidRDefault="00B33542" w:rsidP="009B7AF5">
            <w:pPr>
              <w:pStyle w:val="Tabletext"/>
            </w:pPr>
            <w:r w:rsidRPr="005071A1">
              <w:t>0.08</w:t>
            </w:r>
          </w:p>
        </w:tc>
        <w:tc>
          <w:tcPr>
            <w:tcW w:w="1801" w:type="dxa"/>
            <w:tcBorders>
              <w:top w:val="single" w:sz="4" w:space="0" w:color="auto"/>
            </w:tcBorders>
            <w:shd w:val="clear" w:color="auto" w:fill="auto"/>
          </w:tcPr>
          <w:p w14:paraId="5AE30BBD" w14:textId="77777777" w:rsidR="00B33542" w:rsidRPr="005071A1" w:rsidRDefault="00B33542" w:rsidP="009B7AF5">
            <w:pPr>
              <w:pStyle w:val="Tabletext"/>
            </w:pPr>
            <w:r w:rsidRPr="005071A1">
              <w:t>0.16</w:t>
            </w:r>
          </w:p>
        </w:tc>
      </w:tr>
      <w:tr w:rsidR="00B33542" w:rsidRPr="005071A1" w14:paraId="5D0EABEA" w14:textId="77777777" w:rsidTr="009B7AF5">
        <w:tc>
          <w:tcPr>
            <w:tcW w:w="1101" w:type="dxa"/>
            <w:shd w:val="clear" w:color="auto" w:fill="auto"/>
          </w:tcPr>
          <w:p w14:paraId="46307CF9" w14:textId="77777777" w:rsidR="00B33542" w:rsidRPr="005071A1" w:rsidRDefault="00B33542" w:rsidP="009B7AF5">
            <w:pPr>
              <w:pStyle w:val="Tabletext"/>
            </w:pPr>
            <w:r w:rsidRPr="005071A1">
              <w:t>52</w:t>
            </w:r>
          </w:p>
        </w:tc>
        <w:tc>
          <w:tcPr>
            <w:tcW w:w="2065" w:type="dxa"/>
            <w:shd w:val="clear" w:color="auto" w:fill="auto"/>
          </w:tcPr>
          <w:p w14:paraId="4D373C84" w14:textId="77777777" w:rsidR="00B33542" w:rsidRPr="005071A1" w:rsidRDefault="00B33542" w:rsidP="009B7AF5">
            <w:pPr>
              <w:pStyle w:val="Tabletext"/>
            </w:pPr>
            <w:r w:rsidRPr="005071A1">
              <w:t>0.20</w:t>
            </w:r>
          </w:p>
        </w:tc>
        <w:tc>
          <w:tcPr>
            <w:tcW w:w="2329" w:type="dxa"/>
            <w:shd w:val="clear" w:color="auto" w:fill="auto"/>
          </w:tcPr>
          <w:p w14:paraId="5B19688C" w14:textId="77777777" w:rsidR="00B33542" w:rsidRPr="005071A1" w:rsidRDefault="00B33542" w:rsidP="009B7AF5">
            <w:pPr>
              <w:pStyle w:val="Tabletext"/>
            </w:pPr>
            <w:r w:rsidRPr="005071A1">
              <w:t>0.09</w:t>
            </w:r>
          </w:p>
        </w:tc>
        <w:tc>
          <w:tcPr>
            <w:tcW w:w="1801" w:type="dxa"/>
            <w:shd w:val="clear" w:color="auto" w:fill="auto"/>
          </w:tcPr>
          <w:p w14:paraId="78CC9F78" w14:textId="77777777" w:rsidR="00B33542" w:rsidRPr="005071A1" w:rsidRDefault="00B33542" w:rsidP="009B7AF5">
            <w:pPr>
              <w:pStyle w:val="Tabletext"/>
            </w:pPr>
            <w:r w:rsidRPr="005071A1">
              <w:t>0.18</w:t>
            </w:r>
          </w:p>
        </w:tc>
      </w:tr>
      <w:tr w:rsidR="00B33542" w:rsidRPr="005071A1" w14:paraId="14BF62D0" w14:textId="77777777" w:rsidTr="009B7AF5">
        <w:tc>
          <w:tcPr>
            <w:tcW w:w="1101" w:type="dxa"/>
            <w:shd w:val="clear" w:color="auto" w:fill="auto"/>
          </w:tcPr>
          <w:p w14:paraId="16E60A73" w14:textId="77777777" w:rsidR="00B33542" w:rsidRPr="005071A1" w:rsidRDefault="00B33542" w:rsidP="009B7AF5">
            <w:pPr>
              <w:pStyle w:val="Tabletext"/>
            </w:pPr>
            <w:r w:rsidRPr="005071A1">
              <w:t>53</w:t>
            </w:r>
          </w:p>
        </w:tc>
        <w:tc>
          <w:tcPr>
            <w:tcW w:w="2065" w:type="dxa"/>
            <w:shd w:val="clear" w:color="auto" w:fill="auto"/>
          </w:tcPr>
          <w:p w14:paraId="122B9A79" w14:textId="77777777" w:rsidR="00B33542" w:rsidRPr="005071A1" w:rsidRDefault="00B33542" w:rsidP="009B7AF5">
            <w:pPr>
              <w:pStyle w:val="Tabletext"/>
            </w:pPr>
            <w:r w:rsidRPr="005071A1">
              <w:t>0.22</w:t>
            </w:r>
          </w:p>
        </w:tc>
        <w:tc>
          <w:tcPr>
            <w:tcW w:w="2329" w:type="dxa"/>
            <w:shd w:val="clear" w:color="auto" w:fill="auto"/>
          </w:tcPr>
          <w:p w14:paraId="2DD1CC61" w14:textId="77777777" w:rsidR="00B33542" w:rsidRPr="005071A1" w:rsidRDefault="00B33542" w:rsidP="009B7AF5">
            <w:pPr>
              <w:pStyle w:val="Tabletext"/>
            </w:pPr>
            <w:r w:rsidRPr="005071A1">
              <w:t>0.09</w:t>
            </w:r>
          </w:p>
        </w:tc>
        <w:tc>
          <w:tcPr>
            <w:tcW w:w="1801" w:type="dxa"/>
            <w:shd w:val="clear" w:color="auto" w:fill="auto"/>
          </w:tcPr>
          <w:p w14:paraId="649A7675" w14:textId="77777777" w:rsidR="00B33542" w:rsidRPr="005071A1" w:rsidRDefault="00B33542" w:rsidP="009B7AF5">
            <w:pPr>
              <w:pStyle w:val="Tabletext"/>
            </w:pPr>
            <w:r w:rsidRPr="005071A1">
              <w:t>0.18</w:t>
            </w:r>
          </w:p>
        </w:tc>
      </w:tr>
      <w:tr w:rsidR="00B33542" w:rsidRPr="005071A1" w14:paraId="313B5F70" w14:textId="77777777" w:rsidTr="00640BB6">
        <w:tc>
          <w:tcPr>
            <w:tcW w:w="1101" w:type="dxa"/>
            <w:tcBorders>
              <w:bottom w:val="single" w:sz="4" w:space="0" w:color="auto"/>
            </w:tcBorders>
            <w:shd w:val="clear" w:color="auto" w:fill="auto"/>
          </w:tcPr>
          <w:p w14:paraId="0D3E8627" w14:textId="77777777" w:rsidR="00B33542" w:rsidRPr="005071A1" w:rsidRDefault="00B33542" w:rsidP="009B7AF5">
            <w:pPr>
              <w:pStyle w:val="Tabletext"/>
            </w:pPr>
            <w:r w:rsidRPr="005071A1">
              <w:t>54</w:t>
            </w:r>
          </w:p>
        </w:tc>
        <w:tc>
          <w:tcPr>
            <w:tcW w:w="2065" w:type="dxa"/>
            <w:tcBorders>
              <w:bottom w:val="single" w:sz="4" w:space="0" w:color="auto"/>
            </w:tcBorders>
            <w:shd w:val="clear" w:color="auto" w:fill="auto"/>
          </w:tcPr>
          <w:p w14:paraId="32AD4FAC" w14:textId="77777777" w:rsidR="00B33542" w:rsidRPr="005071A1" w:rsidRDefault="00B33542" w:rsidP="009B7AF5">
            <w:pPr>
              <w:pStyle w:val="Tabletext"/>
            </w:pPr>
            <w:r w:rsidRPr="005071A1">
              <w:t>0.24</w:t>
            </w:r>
          </w:p>
        </w:tc>
        <w:tc>
          <w:tcPr>
            <w:tcW w:w="2329" w:type="dxa"/>
            <w:tcBorders>
              <w:bottom w:val="single" w:sz="4" w:space="0" w:color="auto"/>
            </w:tcBorders>
            <w:shd w:val="clear" w:color="auto" w:fill="auto"/>
          </w:tcPr>
          <w:p w14:paraId="3DD65A98" w14:textId="77777777" w:rsidR="00B33542" w:rsidRPr="005071A1" w:rsidRDefault="00B33542" w:rsidP="009B7AF5">
            <w:pPr>
              <w:pStyle w:val="Tabletext"/>
            </w:pPr>
            <w:r w:rsidRPr="005071A1">
              <w:t>0.10</w:t>
            </w:r>
          </w:p>
        </w:tc>
        <w:tc>
          <w:tcPr>
            <w:tcW w:w="1801" w:type="dxa"/>
            <w:tcBorders>
              <w:bottom w:val="single" w:sz="4" w:space="0" w:color="auto"/>
            </w:tcBorders>
            <w:shd w:val="clear" w:color="auto" w:fill="auto"/>
          </w:tcPr>
          <w:p w14:paraId="635E3C47" w14:textId="77777777" w:rsidR="00B33542" w:rsidRPr="005071A1" w:rsidRDefault="00B33542" w:rsidP="009B7AF5">
            <w:pPr>
              <w:pStyle w:val="Tabletext"/>
            </w:pPr>
            <w:r w:rsidRPr="005071A1">
              <w:t>0.20</w:t>
            </w:r>
          </w:p>
        </w:tc>
      </w:tr>
      <w:tr w:rsidR="00B33542" w:rsidRPr="005071A1" w14:paraId="75AC25C1" w14:textId="77777777" w:rsidTr="00640BB6">
        <w:tc>
          <w:tcPr>
            <w:tcW w:w="1101" w:type="dxa"/>
            <w:tcBorders>
              <w:bottom w:val="single" w:sz="4" w:space="0" w:color="auto"/>
            </w:tcBorders>
            <w:shd w:val="clear" w:color="auto" w:fill="auto"/>
          </w:tcPr>
          <w:p w14:paraId="4DC917E4" w14:textId="77777777" w:rsidR="00B33542" w:rsidRPr="005071A1" w:rsidRDefault="00B33542" w:rsidP="009B7AF5">
            <w:pPr>
              <w:pStyle w:val="Tabletext"/>
            </w:pPr>
            <w:r w:rsidRPr="005071A1">
              <w:lastRenderedPageBreak/>
              <w:t>55</w:t>
            </w:r>
          </w:p>
        </w:tc>
        <w:tc>
          <w:tcPr>
            <w:tcW w:w="2065" w:type="dxa"/>
            <w:tcBorders>
              <w:bottom w:val="single" w:sz="4" w:space="0" w:color="auto"/>
            </w:tcBorders>
            <w:shd w:val="clear" w:color="auto" w:fill="auto"/>
          </w:tcPr>
          <w:p w14:paraId="36A65541" w14:textId="77777777" w:rsidR="00B33542" w:rsidRPr="005071A1" w:rsidRDefault="00B33542" w:rsidP="009B7AF5">
            <w:pPr>
              <w:pStyle w:val="Tabletext"/>
            </w:pPr>
            <w:r w:rsidRPr="005071A1">
              <w:t>0.26</w:t>
            </w:r>
          </w:p>
        </w:tc>
        <w:tc>
          <w:tcPr>
            <w:tcW w:w="2329" w:type="dxa"/>
            <w:tcBorders>
              <w:bottom w:val="single" w:sz="4" w:space="0" w:color="auto"/>
            </w:tcBorders>
            <w:shd w:val="clear" w:color="auto" w:fill="auto"/>
          </w:tcPr>
          <w:p w14:paraId="262166C5" w14:textId="77777777" w:rsidR="00B33542" w:rsidRPr="005071A1" w:rsidRDefault="00B33542" w:rsidP="009B7AF5">
            <w:pPr>
              <w:pStyle w:val="Tabletext"/>
            </w:pPr>
            <w:r w:rsidRPr="005071A1">
              <w:t>0.11</w:t>
            </w:r>
          </w:p>
        </w:tc>
        <w:tc>
          <w:tcPr>
            <w:tcW w:w="1801" w:type="dxa"/>
            <w:tcBorders>
              <w:bottom w:val="single" w:sz="4" w:space="0" w:color="auto"/>
            </w:tcBorders>
            <w:shd w:val="clear" w:color="auto" w:fill="auto"/>
          </w:tcPr>
          <w:p w14:paraId="6A706A55" w14:textId="77777777" w:rsidR="00B33542" w:rsidRPr="005071A1" w:rsidRDefault="00B33542" w:rsidP="009B7AF5">
            <w:pPr>
              <w:pStyle w:val="Tabletext"/>
            </w:pPr>
            <w:r w:rsidRPr="005071A1">
              <w:t>0.22</w:t>
            </w:r>
          </w:p>
        </w:tc>
      </w:tr>
      <w:tr w:rsidR="00B33542" w:rsidRPr="005071A1" w14:paraId="6A677111" w14:textId="77777777" w:rsidTr="00640BB6">
        <w:tc>
          <w:tcPr>
            <w:tcW w:w="1101" w:type="dxa"/>
            <w:tcBorders>
              <w:top w:val="single" w:sz="4" w:space="0" w:color="auto"/>
            </w:tcBorders>
            <w:shd w:val="clear" w:color="auto" w:fill="auto"/>
          </w:tcPr>
          <w:p w14:paraId="68314603" w14:textId="77777777" w:rsidR="00B33542" w:rsidRPr="005071A1" w:rsidRDefault="00B33542" w:rsidP="009B7AF5">
            <w:pPr>
              <w:pStyle w:val="Tabletext"/>
            </w:pPr>
            <w:r w:rsidRPr="005071A1">
              <w:t>56</w:t>
            </w:r>
          </w:p>
        </w:tc>
        <w:tc>
          <w:tcPr>
            <w:tcW w:w="2065" w:type="dxa"/>
            <w:tcBorders>
              <w:top w:val="single" w:sz="4" w:space="0" w:color="auto"/>
            </w:tcBorders>
            <w:shd w:val="clear" w:color="auto" w:fill="auto"/>
          </w:tcPr>
          <w:p w14:paraId="4557C651" w14:textId="77777777" w:rsidR="00B33542" w:rsidRPr="005071A1" w:rsidRDefault="00B33542" w:rsidP="009B7AF5">
            <w:pPr>
              <w:pStyle w:val="Tabletext"/>
            </w:pPr>
            <w:r w:rsidRPr="005071A1">
              <w:t>0.28</w:t>
            </w:r>
          </w:p>
        </w:tc>
        <w:tc>
          <w:tcPr>
            <w:tcW w:w="2329" w:type="dxa"/>
            <w:tcBorders>
              <w:top w:val="single" w:sz="4" w:space="0" w:color="auto"/>
            </w:tcBorders>
            <w:shd w:val="clear" w:color="auto" w:fill="auto"/>
          </w:tcPr>
          <w:p w14:paraId="535FFA79" w14:textId="77777777" w:rsidR="00B33542" w:rsidRPr="005071A1" w:rsidRDefault="00B33542" w:rsidP="009B7AF5">
            <w:pPr>
              <w:pStyle w:val="Tabletext"/>
            </w:pPr>
            <w:r w:rsidRPr="005071A1">
              <w:t>0.13</w:t>
            </w:r>
          </w:p>
        </w:tc>
        <w:tc>
          <w:tcPr>
            <w:tcW w:w="1801" w:type="dxa"/>
            <w:tcBorders>
              <w:top w:val="single" w:sz="4" w:space="0" w:color="auto"/>
            </w:tcBorders>
            <w:shd w:val="clear" w:color="auto" w:fill="auto"/>
          </w:tcPr>
          <w:p w14:paraId="2418E720" w14:textId="77777777" w:rsidR="00B33542" w:rsidRPr="005071A1" w:rsidRDefault="00B33542" w:rsidP="009B7AF5">
            <w:pPr>
              <w:pStyle w:val="Tabletext"/>
            </w:pPr>
            <w:r w:rsidRPr="005071A1">
              <w:t>0.26</w:t>
            </w:r>
          </w:p>
        </w:tc>
      </w:tr>
      <w:tr w:rsidR="00B33542" w:rsidRPr="005071A1" w14:paraId="55D9753E" w14:textId="77777777" w:rsidTr="009B7AF5">
        <w:tc>
          <w:tcPr>
            <w:tcW w:w="1101" w:type="dxa"/>
            <w:shd w:val="clear" w:color="auto" w:fill="auto"/>
          </w:tcPr>
          <w:p w14:paraId="1D698D18" w14:textId="77777777" w:rsidR="00B33542" w:rsidRPr="005071A1" w:rsidRDefault="00B33542" w:rsidP="009B7AF5">
            <w:pPr>
              <w:pStyle w:val="Tabletext"/>
            </w:pPr>
            <w:r w:rsidRPr="005071A1">
              <w:t>57</w:t>
            </w:r>
          </w:p>
        </w:tc>
        <w:tc>
          <w:tcPr>
            <w:tcW w:w="2065" w:type="dxa"/>
            <w:shd w:val="clear" w:color="auto" w:fill="auto"/>
          </w:tcPr>
          <w:p w14:paraId="7556851E" w14:textId="77777777" w:rsidR="00B33542" w:rsidRPr="005071A1" w:rsidRDefault="00B33542" w:rsidP="009B7AF5">
            <w:pPr>
              <w:pStyle w:val="Tabletext"/>
            </w:pPr>
            <w:r w:rsidRPr="005071A1">
              <w:t>0.32</w:t>
            </w:r>
          </w:p>
        </w:tc>
        <w:tc>
          <w:tcPr>
            <w:tcW w:w="2329" w:type="dxa"/>
            <w:shd w:val="clear" w:color="auto" w:fill="auto"/>
          </w:tcPr>
          <w:p w14:paraId="133DC0F8" w14:textId="77777777" w:rsidR="00B33542" w:rsidRPr="005071A1" w:rsidRDefault="00B33542" w:rsidP="009B7AF5">
            <w:pPr>
              <w:pStyle w:val="Tabletext"/>
            </w:pPr>
            <w:r w:rsidRPr="005071A1">
              <w:t>0.14</w:t>
            </w:r>
          </w:p>
        </w:tc>
        <w:tc>
          <w:tcPr>
            <w:tcW w:w="1801" w:type="dxa"/>
            <w:shd w:val="clear" w:color="auto" w:fill="auto"/>
          </w:tcPr>
          <w:p w14:paraId="4320A151" w14:textId="77777777" w:rsidR="00B33542" w:rsidRPr="005071A1" w:rsidRDefault="00B33542" w:rsidP="009B7AF5">
            <w:pPr>
              <w:pStyle w:val="Tabletext"/>
            </w:pPr>
            <w:r w:rsidRPr="005071A1">
              <w:t>0.28</w:t>
            </w:r>
          </w:p>
        </w:tc>
      </w:tr>
      <w:tr w:rsidR="00B33542" w:rsidRPr="005071A1" w14:paraId="78F37318" w14:textId="77777777" w:rsidTr="009B7AF5">
        <w:tc>
          <w:tcPr>
            <w:tcW w:w="1101" w:type="dxa"/>
            <w:shd w:val="clear" w:color="auto" w:fill="auto"/>
          </w:tcPr>
          <w:p w14:paraId="1273BD0B" w14:textId="77777777" w:rsidR="00B33542" w:rsidRPr="005071A1" w:rsidRDefault="00B33542" w:rsidP="009B7AF5">
            <w:pPr>
              <w:pStyle w:val="Tabletext"/>
            </w:pPr>
            <w:r w:rsidRPr="005071A1">
              <w:t>58</w:t>
            </w:r>
          </w:p>
        </w:tc>
        <w:tc>
          <w:tcPr>
            <w:tcW w:w="2065" w:type="dxa"/>
            <w:shd w:val="clear" w:color="auto" w:fill="auto"/>
          </w:tcPr>
          <w:p w14:paraId="7D280996" w14:textId="77777777" w:rsidR="00B33542" w:rsidRPr="005071A1" w:rsidRDefault="00B33542" w:rsidP="009B7AF5">
            <w:pPr>
              <w:pStyle w:val="Tabletext"/>
            </w:pPr>
            <w:r w:rsidRPr="005071A1">
              <w:t>0.34</w:t>
            </w:r>
          </w:p>
        </w:tc>
        <w:tc>
          <w:tcPr>
            <w:tcW w:w="2329" w:type="dxa"/>
            <w:shd w:val="clear" w:color="auto" w:fill="auto"/>
          </w:tcPr>
          <w:p w14:paraId="0404C159" w14:textId="77777777" w:rsidR="00B33542" w:rsidRPr="005071A1" w:rsidRDefault="00B33542" w:rsidP="009B7AF5">
            <w:pPr>
              <w:pStyle w:val="Tabletext"/>
            </w:pPr>
            <w:r w:rsidRPr="005071A1">
              <w:t>0.16</w:t>
            </w:r>
          </w:p>
        </w:tc>
        <w:tc>
          <w:tcPr>
            <w:tcW w:w="1801" w:type="dxa"/>
            <w:shd w:val="clear" w:color="auto" w:fill="auto"/>
          </w:tcPr>
          <w:p w14:paraId="457A1E91" w14:textId="77777777" w:rsidR="00B33542" w:rsidRPr="005071A1" w:rsidRDefault="00B33542" w:rsidP="009B7AF5">
            <w:pPr>
              <w:pStyle w:val="Tabletext"/>
            </w:pPr>
            <w:r w:rsidRPr="005071A1">
              <w:t>0.32</w:t>
            </w:r>
          </w:p>
        </w:tc>
      </w:tr>
      <w:tr w:rsidR="00B33542" w:rsidRPr="005071A1" w14:paraId="7235C1AC" w14:textId="77777777" w:rsidTr="009B7AF5">
        <w:tc>
          <w:tcPr>
            <w:tcW w:w="1101" w:type="dxa"/>
            <w:shd w:val="clear" w:color="auto" w:fill="auto"/>
          </w:tcPr>
          <w:p w14:paraId="2E93586E" w14:textId="77777777" w:rsidR="00B33542" w:rsidRPr="005071A1" w:rsidRDefault="00B33542" w:rsidP="009B7AF5">
            <w:pPr>
              <w:pStyle w:val="Tabletext"/>
            </w:pPr>
            <w:r w:rsidRPr="005071A1">
              <w:t>59</w:t>
            </w:r>
          </w:p>
        </w:tc>
        <w:tc>
          <w:tcPr>
            <w:tcW w:w="2065" w:type="dxa"/>
            <w:shd w:val="clear" w:color="auto" w:fill="auto"/>
          </w:tcPr>
          <w:p w14:paraId="65B43F69" w14:textId="77777777" w:rsidR="00B33542" w:rsidRPr="005071A1" w:rsidRDefault="00B33542" w:rsidP="009B7AF5">
            <w:pPr>
              <w:pStyle w:val="Tabletext"/>
            </w:pPr>
            <w:r w:rsidRPr="005071A1">
              <w:t>0.42</w:t>
            </w:r>
          </w:p>
        </w:tc>
        <w:tc>
          <w:tcPr>
            <w:tcW w:w="2329" w:type="dxa"/>
            <w:shd w:val="clear" w:color="auto" w:fill="auto"/>
          </w:tcPr>
          <w:p w14:paraId="4EF19BF9" w14:textId="77777777" w:rsidR="00B33542" w:rsidRPr="005071A1" w:rsidRDefault="00B33542" w:rsidP="009B7AF5">
            <w:pPr>
              <w:pStyle w:val="Tabletext"/>
            </w:pPr>
            <w:r w:rsidRPr="005071A1">
              <w:t>0.19</w:t>
            </w:r>
          </w:p>
        </w:tc>
        <w:tc>
          <w:tcPr>
            <w:tcW w:w="1801" w:type="dxa"/>
            <w:shd w:val="clear" w:color="auto" w:fill="auto"/>
          </w:tcPr>
          <w:p w14:paraId="25F990D3" w14:textId="77777777" w:rsidR="00B33542" w:rsidRPr="005071A1" w:rsidRDefault="00B33542" w:rsidP="009B7AF5">
            <w:pPr>
              <w:pStyle w:val="Tabletext"/>
            </w:pPr>
            <w:r w:rsidRPr="005071A1">
              <w:t>0.38</w:t>
            </w:r>
          </w:p>
        </w:tc>
      </w:tr>
      <w:tr w:rsidR="00B33542" w:rsidRPr="005071A1" w14:paraId="22F9A15F" w14:textId="77777777" w:rsidTr="00D57394">
        <w:tc>
          <w:tcPr>
            <w:tcW w:w="1101" w:type="dxa"/>
            <w:tcBorders>
              <w:bottom w:val="single" w:sz="4" w:space="0" w:color="auto"/>
            </w:tcBorders>
            <w:shd w:val="clear" w:color="auto" w:fill="auto"/>
          </w:tcPr>
          <w:p w14:paraId="1353C738" w14:textId="77777777" w:rsidR="00B33542" w:rsidRPr="005071A1" w:rsidRDefault="00B33542" w:rsidP="009B7AF5">
            <w:pPr>
              <w:pStyle w:val="Tabletext"/>
            </w:pPr>
            <w:r w:rsidRPr="005071A1">
              <w:t>60</w:t>
            </w:r>
          </w:p>
        </w:tc>
        <w:tc>
          <w:tcPr>
            <w:tcW w:w="2065" w:type="dxa"/>
            <w:tcBorders>
              <w:bottom w:val="single" w:sz="4" w:space="0" w:color="auto"/>
            </w:tcBorders>
            <w:shd w:val="clear" w:color="auto" w:fill="auto"/>
          </w:tcPr>
          <w:p w14:paraId="100E59D5" w14:textId="77777777" w:rsidR="00B33542" w:rsidRPr="005071A1" w:rsidRDefault="00B33542" w:rsidP="009B7AF5">
            <w:pPr>
              <w:pStyle w:val="Tabletext"/>
            </w:pPr>
            <w:r w:rsidRPr="005071A1">
              <w:t>0.48</w:t>
            </w:r>
          </w:p>
        </w:tc>
        <w:tc>
          <w:tcPr>
            <w:tcW w:w="2329" w:type="dxa"/>
            <w:tcBorders>
              <w:bottom w:val="single" w:sz="4" w:space="0" w:color="auto"/>
            </w:tcBorders>
            <w:shd w:val="clear" w:color="auto" w:fill="auto"/>
          </w:tcPr>
          <w:p w14:paraId="1198F37C" w14:textId="77777777" w:rsidR="00B33542" w:rsidRPr="005071A1" w:rsidRDefault="00B33542" w:rsidP="009B7AF5">
            <w:pPr>
              <w:pStyle w:val="Tabletext"/>
            </w:pPr>
            <w:r w:rsidRPr="005071A1">
              <w:t>0.22</w:t>
            </w:r>
          </w:p>
        </w:tc>
        <w:tc>
          <w:tcPr>
            <w:tcW w:w="1801" w:type="dxa"/>
            <w:tcBorders>
              <w:bottom w:val="single" w:sz="4" w:space="0" w:color="auto"/>
            </w:tcBorders>
            <w:shd w:val="clear" w:color="auto" w:fill="auto"/>
          </w:tcPr>
          <w:p w14:paraId="33C18AE1" w14:textId="77777777" w:rsidR="00B33542" w:rsidRPr="005071A1" w:rsidRDefault="00B33542" w:rsidP="009B7AF5">
            <w:pPr>
              <w:pStyle w:val="Tabletext"/>
            </w:pPr>
            <w:r w:rsidRPr="005071A1">
              <w:t>0.44</w:t>
            </w:r>
          </w:p>
        </w:tc>
      </w:tr>
      <w:tr w:rsidR="00B33542" w:rsidRPr="005071A1" w14:paraId="07EE62C2" w14:textId="77777777" w:rsidTr="00D57394">
        <w:tc>
          <w:tcPr>
            <w:tcW w:w="1101" w:type="dxa"/>
            <w:tcBorders>
              <w:bottom w:val="single" w:sz="4" w:space="0" w:color="auto"/>
            </w:tcBorders>
            <w:shd w:val="clear" w:color="auto" w:fill="auto"/>
          </w:tcPr>
          <w:p w14:paraId="5DB085DD" w14:textId="77777777" w:rsidR="00B33542" w:rsidRPr="005071A1" w:rsidRDefault="00B33542" w:rsidP="009B7AF5">
            <w:pPr>
              <w:pStyle w:val="Tabletext"/>
            </w:pPr>
            <w:r w:rsidRPr="005071A1">
              <w:t>61</w:t>
            </w:r>
          </w:p>
        </w:tc>
        <w:tc>
          <w:tcPr>
            <w:tcW w:w="2065" w:type="dxa"/>
            <w:tcBorders>
              <w:bottom w:val="single" w:sz="4" w:space="0" w:color="auto"/>
            </w:tcBorders>
            <w:shd w:val="clear" w:color="auto" w:fill="auto"/>
          </w:tcPr>
          <w:p w14:paraId="580C4CA5" w14:textId="77777777" w:rsidR="00B33542" w:rsidRPr="005071A1" w:rsidRDefault="00B33542" w:rsidP="009B7AF5">
            <w:pPr>
              <w:pStyle w:val="Tabletext"/>
            </w:pPr>
            <w:r w:rsidRPr="005071A1">
              <w:t>0.58</w:t>
            </w:r>
          </w:p>
        </w:tc>
        <w:tc>
          <w:tcPr>
            <w:tcW w:w="2329" w:type="dxa"/>
            <w:tcBorders>
              <w:bottom w:val="single" w:sz="4" w:space="0" w:color="auto"/>
            </w:tcBorders>
            <w:shd w:val="clear" w:color="auto" w:fill="auto"/>
          </w:tcPr>
          <w:p w14:paraId="6AE53C37" w14:textId="77777777" w:rsidR="00B33542" w:rsidRPr="005071A1" w:rsidRDefault="00B33542" w:rsidP="009B7AF5">
            <w:pPr>
              <w:pStyle w:val="Tabletext"/>
            </w:pPr>
            <w:r w:rsidRPr="005071A1">
              <w:t>0.27</w:t>
            </w:r>
          </w:p>
        </w:tc>
        <w:tc>
          <w:tcPr>
            <w:tcW w:w="1801" w:type="dxa"/>
            <w:tcBorders>
              <w:bottom w:val="single" w:sz="4" w:space="0" w:color="auto"/>
            </w:tcBorders>
            <w:shd w:val="clear" w:color="auto" w:fill="auto"/>
          </w:tcPr>
          <w:p w14:paraId="774407DB" w14:textId="77777777" w:rsidR="00B33542" w:rsidRPr="005071A1" w:rsidRDefault="00B33542" w:rsidP="009B7AF5">
            <w:pPr>
              <w:pStyle w:val="Tabletext"/>
            </w:pPr>
            <w:r w:rsidRPr="005071A1">
              <w:t>0.54</w:t>
            </w:r>
          </w:p>
        </w:tc>
      </w:tr>
      <w:tr w:rsidR="00B33542" w:rsidRPr="005071A1" w14:paraId="7746C96A" w14:textId="77777777" w:rsidTr="00D57394">
        <w:tc>
          <w:tcPr>
            <w:tcW w:w="1101" w:type="dxa"/>
            <w:tcBorders>
              <w:top w:val="single" w:sz="4" w:space="0" w:color="auto"/>
            </w:tcBorders>
            <w:shd w:val="clear" w:color="auto" w:fill="auto"/>
          </w:tcPr>
          <w:p w14:paraId="5F4F6C3D" w14:textId="77777777" w:rsidR="00B33542" w:rsidRPr="005071A1" w:rsidRDefault="00B33542" w:rsidP="009B7AF5">
            <w:pPr>
              <w:pStyle w:val="Tabletext"/>
            </w:pPr>
            <w:r w:rsidRPr="005071A1">
              <w:t>62</w:t>
            </w:r>
          </w:p>
        </w:tc>
        <w:tc>
          <w:tcPr>
            <w:tcW w:w="2065" w:type="dxa"/>
            <w:tcBorders>
              <w:top w:val="single" w:sz="4" w:space="0" w:color="auto"/>
            </w:tcBorders>
            <w:shd w:val="clear" w:color="auto" w:fill="auto"/>
          </w:tcPr>
          <w:p w14:paraId="04F8501B" w14:textId="77777777" w:rsidR="00B33542" w:rsidRPr="005071A1" w:rsidRDefault="00B33542" w:rsidP="009B7AF5">
            <w:pPr>
              <w:pStyle w:val="Tabletext"/>
            </w:pPr>
            <w:r w:rsidRPr="005071A1">
              <w:t>0.78</w:t>
            </w:r>
          </w:p>
        </w:tc>
        <w:tc>
          <w:tcPr>
            <w:tcW w:w="2329" w:type="dxa"/>
            <w:tcBorders>
              <w:top w:val="single" w:sz="4" w:space="0" w:color="auto"/>
            </w:tcBorders>
            <w:shd w:val="clear" w:color="auto" w:fill="auto"/>
          </w:tcPr>
          <w:p w14:paraId="4525DD85" w14:textId="77777777" w:rsidR="00B33542" w:rsidRPr="005071A1" w:rsidRDefault="00B33542" w:rsidP="009B7AF5">
            <w:pPr>
              <w:pStyle w:val="Tabletext"/>
            </w:pPr>
            <w:r w:rsidRPr="005071A1">
              <w:t>0.37</w:t>
            </w:r>
          </w:p>
        </w:tc>
        <w:tc>
          <w:tcPr>
            <w:tcW w:w="1801" w:type="dxa"/>
            <w:tcBorders>
              <w:top w:val="single" w:sz="4" w:space="0" w:color="auto"/>
            </w:tcBorders>
            <w:shd w:val="clear" w:color="auto" w:fill="auto"/>
          </w:tcPr>
          <w:p w14:paraId="58B01C9E" w14:textId="77777777" w:rsidR="00B33542" w:rsidRPr="005071A1" w:rsidRDefault="00B33542" w:rsidP="009B7AF5">
            <w:pPr>
              <w:pStyle w:val="Tabletext"/>
            </w:pPr>
            <w:r w:rsidRPr="005071A1">
              <w:t>0.74</w:t>
            </w:r>
          </w:p>
        </w:tc>
      </w:tr>
      <w:tr w:rsidR="00B33542" w:rsidRPr="005071A1" w14:paraId="31031715" w14:textId="77777777" w:rsidTr="009B7AF5">
        <w:tc>
          <w:tcPr>
            <w:tcW w:w="1101" w:type="dxa"/>
            <w:shd w:val="clear" w:color="auto" w:fill="auto"/>
          </w:tcPr>
          <w:p w14:paraId="71A9D68D" w14:textId="77777777" w:rsidR="00B33542" w:rsidRPr="005071A1" w:rsidRDefault="00B33542" w:rsidP="009B7AF5">
            <w:pPr>
              <w:pStyle w:val="Tabletext"/>
            </w:pPr>
            <w:r w:rsidRPr="005071A1">
              <w:t>63</w:t>
            </w:r>
          </w:p>
        </w:tc>
        <w:tc>
          <w:tcPr>
            <w:tcW w:w="2065" w:type="dxa"/>
            <w:shd w:val="clear" w:color="auto" w:fill="auto"/>
          </w:tcPr>
          <w:p w14:paraId="1B98C08F" w14:textId="77777777" w:rsidR="00B33542" w:rsidRPr="005071A1" w:rsidRDefault="00B33542" w:rsidP="009B7AF5">
            <w:pPr>
              <w:pStyle w:val="Tabletext"/>
            </w:pPr>
            <w:r w:rsidRPr="005071A1">
              <w:t>1.16</w:t>
            </w:r>
          </w:p>
        </w:tc>
        <w:tc>
          <w:tcPr>
            <w:tcW w:w="2329" w:type="dxa"/>
            <w:shd w:val="clear" w:color="auto" w:fill="auto"/>
          </w:tcPr>
          <w:p w14:paraId="4E1FDFA0" w14:textId="77777777" w:rsidR="00B33542" w:rsidRPr="005071A1" w:rsidRDefault="00B33542" w:rsidP="009B7AF5">
            <w:pPr>
              <w:pStyle w:val="Tabletext"/>
            </w:pPr>
            <w:r w:rsidRPr="005071A1">
              <w:t>0.55</w:t>
            </w:r>
          </w:p>
        </w:tc>
        <w:tc>
          <w:tcPr>
            <w:tcW w:w="1801" w:type="dxa"/>
            <w:shd w:val="clear" w:color="auto" w:fill="auto"/>
          </w:tcPr>
          <w:p w14:paraId="37D2E760" w14:textId="77777777" w:rsidR="00B33542" w:rsidRPr="005071A1" w:rsidRDefault="00B33542" w:rsidP="009B7AF5">
            <w:pPr>
              <w:pStyle w:val="Tabletext"/>
            </w:pPr>
            <w:r w:rsidRPr="005071A1">
              <w:t>1.10</w:t>
            </w:r>
          </w:p>
        </w:tc>
      </w:tr>
      <w:tr w:rsidR="00B33542" w:rsidRPr="005071A1" w14:paraId="3B261832" w14:textId="77777777" w:rsidTr="009B7AF5">
        <w:tc>
          <w:tcPr>
            <w:tcW w:w="1101" w:type="dxa"/>
            <w:tcBorders>
              <w:bottom w:val="single" w:sz="4" w:space="0" w:color="auto"/>
            </w:tcBorders>
            <w:shd w:val="clear" w:color="auto" w:fill="auto"/>
          </w:tcPr>
          <w:p w14:paraId="5E9945DC" w14:textId="77777777" w:rsidR="00B33542" w:rsidRPr="005071A1" w:rsidRDefault="00B33542" w:rsidP="009B7AF5">
            <w:pPr>
              <w:pStyle w:val="Tabletext"/>
            </w:pPr>
            <w:r w:rsidRPr="005071A1">
              <w:lastRenderedPageBreak/>
              <w:t>64</w:t>
            </w:r>
          </w:p>
        </w:tc>
        <w:tc>
          <w:tcPr>
            <w:tcW w:w="2065" w:type="dxa"/>
            <w:tcBorders>
              <w:bottom w:val="single" w:sz="4" w:space="0" w:color="auto"/>
            </w:tcBorders>
            <w:shd w:val="clear" w:color="auto" w:fill="auto"/>
          </w:tcPr>
          <w:p w14:paraId="391A02D5" w14:textId="77777777" w:rsidR="00B33542" w:rsidRPr="005071A1" w:rsidRDefault="00B33542" w:rsidP="009B7AF5">
            <w:pPr>
              <w:pStyle w:val="Tabletext"/>
            </w:pPr>
            <w:r w:rsidRPr="005071A1">
              <w:t>2.34</w:t>
            </w:r>
          </w:p>
        </w:tc>
        <w:tc>
          <w:tcPr>
            <w:tcW w:w="2329" w:type="dxa"/>
            <w:tcBorders>
              <w:bottom w:val="single" w:sz="4" w:space="0" w:color="auto"/>
            </w:tcBorders>
            <w:shd w:val="clear" w:color="auto" w:fill="auto"/>
          </w:tcPr>
          <w:p w14:paraId="35EB6D29" w14:textId="77777777" w:rsidR="00B33542" w:rsidRPr="005071A1" w:rsidRDefault="00B33542" w:rsidP="009B7AF5">
            <w:pPr>
              <w:pStyle w:val="Tabletext"/>
            </w:pPr>
            <w:r w:rsidRPr="005071A1">
              <w:t>1.11</w:t>
            </w:r>
          </w:p>
        </w:tc>
        <w:tc>
          <w:tcPr>
            <w:tcW w:w="1801" w:type="dxa"/>
            <w:tcBorders>
              <w:bottom w:val="single" w:sz="4" w:space="0" w:color="auto"/>
            </w:tcBorders>
            <w:shd w:val="clear" w:color="auto" w:fill="auto"/>
          </w:tcPr>
          <w:p w14:paraId="23C7982F" w14:textId="77777777" w:rsidR="00B33542" w:rsidRPr="005071A1" w:rsidRDefault="00B33542" w:rsidP="009B7AF5">
            <w:pPr>
              <w:pStyle w:val="Tabletext"/>
            </w:pPr>
            <w:r w:rsidRPr="005071A1">
              <w:t>2.22</w:t>
            </w:r>
          </w:p>
        </w:tc>
      </w:tr>
      <w:tr w:rsidR="00B33542" w:rsidRPr="005071A1" w14:paraId="5CC4FA67" w14:textId="77777777" w:rsidTr="009B7AF5">
        <w:tc>
          <w:tcPr>
            <w:tcW w:w="1101" w:type="dxa"/>
            <w:tcBorders>
              <w:bottom w:val="single" w:sz="12" w:space="0" w:color="auto"/>
            </w:tcBorders>
            <w:shd w:val="clear" w:color="auto" w:fill="auto"/>
          </w:tcPr>
          <w:p w14:paraId="3F7AF6D4" w14:textId="77777777" w:rsidR="00B33542" w:rsidRPr="005071A1" w:rsidRDefault="00B33542" w:rsidP="009B7AF5">
            <w:pPr>
              <w:pStyle w:val="Tabletext"/>
            </w:pPr>
            <w:r w:rsidRPr="005071A1">
              <w:t>65</w:t>
            </w:r>
          </w:p>
        </w:tc>
        <w:tc>
          <w:tcPr>
            <w:tcW w:w="2065" w:type="dxa"/>
            <w:tcBorders>
              <w:bottom w:val="single" w:sz="12" w:space="0" w:color="auto"/>
            </w:tcBorders>
            <w:shd w:val="clear" w:color="auto" w:fill="auto"/>
          </w:tcPr>
          <w:p w14:paraId="6B5BF37C" w14:textId="77777777" w:rsidR="00B33542" w:rsidRPr="005071A1" w:rsidRDefault="00B33542" w:rsidP="009B7AF5">
            <w:pPr>
              <w:pStyle w:val="Tabletext"/>
            </w:pPr>
            <w:r w:rsidRPr="005071A1">
              <w:t>1.88</w:t>
            </w:r>
          </w:p>
        </w:tc>
        <w:tc>
          <w:tcPr>
            <w:tcW w:w="2329" w:type="dxa"/>
            <w:tcBorders>
              <w:bottom w:val="single" w:sz="12" w:space="0" w:color="auto"/>
            </w:tcBorders>
            <w:shd w:val="clear" w:color="auto" w:fill="auto"/>
          </w:tcPr>
          <w:p w14:paraId="4198DF65" w14:textId="77777777" w:rsidR="00B33542" w:rsidRPr="005071A1" w:rsidRDefault="00B33542" w:rsidP="009B7AF5">
            <w:pPr>
              <w:pStyle w:val="Tabletext"/>
            </w:pPr>
            <w:r w:rsidRPr="005071A1">
              <w:t>0.89</w:t>
            </w:r>
          </w:p>
        </w:tc>
        <w:tc>
          <w:tcPr>
            <w:tcW w:w="1801" w:type="dxa"/>
            <w:tcBorders>
              <w:bottom w:val="single" w:sz="12" w:space="0" w:color="auto"/>
            </w:tcBorders>
            <w:shd w:val="clear" w:color="auto" w:fill="auto"/>
          </w:tcPr>
          <w:p w14:paraId="20BF0F91" w14:textId="77777777" w:rsidR="00B33542" w:rsidRPr="005071A1" w:rsidRDefault="00B33542" w:rsidP="009B7AF5">
            <w:pPr>
              <w:pStyle w:val="Tabletext"/>
            </w:pPr>
            <w:r w:rsidRPr="005071A1">
              <w:t>1.78</w:t>
            </w:r>
          </w:p>
        </w:tc>
      </w:tr>
    </w:tbl>
    <w:p w14:paraId="0BC71B43" w14:textId="77777777" w:rsidR="00B33542" w:rsidRPr="005071A1" w:rsidRDefault="00B33542" w:rsidP="00674A0D">
      <w:pPr>
        <w:pStyle w:val="ActHead5"/>
        <w:pageBreakBefore/>
      </w:pPr>
      <w:bookmarkStart w:id="318" w:name="_Toc185577700"/>
      <w:r w:rsidRPr="005071A1">
        <w:lastRenderedPageBreak/>
        <w:t>Table VIII</w:t>
      </w:r>
      <w:bookmarkEnd w:id="318"/>
    </w:p>
    <w:p w14:paraId="706D84A5" w14:textId="77777777" w:rsidR="00B33542" w:rsidRPr="005071A1" w:rsidRDefault="00B33542" w:rsidP="00B33542">
      <w:pPr>
        <w:spacing w:before="120"/>
      </w:pPr>
      <w:r w:rsidRPr="005071A1">
        <w:t>Reductions in fortnightly rates of contribution payable on or after 1st July, 1962, by male contributors (being contributors who have elected that section</w:t>
      </w:r>
      <w:r w:rsidR="008B2950" w:rsidRPr="005071A1">
        <w:t> </w:t>
      </w:r>
      <w:r w:rsidRPr="005071A1">
        <w:t>26 shall not apply to them) for units of pension based on a retiring age of 65 years and the age next birthday of the contributor when the obligation to contribute for those units came into existence</w:t>
      </w:r>
    </w:p>
    <w:p w14:paraId="3486ADB2"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1701"/>
        <w:gridCol w:w="2247"/>
        <w:gridCol w:w="2247"/>
      </w:tblGrid>
      <w:tr w:rsidR="00B33542" w:rsidRPr="005071A1" w14:paraId="7C4F9F2F" w14:textId="77777777" w:rsidTr="009B7AF5">
        <w:trPr>
          <w:tblHeader/>
        </w:trPr>
        <w:tc>
          <w:tcPr>
            <w:tcW w:w="1101" w:type="dxa"/>
            <w:tcBorders>
              <w:top w:val="single" w:sz="12" w:space="0" w:color="auto"/>
              <w:bottom w:val="single" w:sz="6" w:space="0" w:color="auto"/>
            </w:tcBorders>
            <w:shd w:val="clear" w:color="auto" w:fill="auto"/>
          </w:tcPr>
          <w:p w14:paraId="2DC253F7" w14:textId="77777777" w:rsidR="00B33542" w:rsidRPr="005071A1" w:rsidRDefault="00B33542" w:rsidP="009B7AF5">
            <w:pPr>
              <w:pStyle w:val="TableHeading"/>
            </w:pPr>
            <w:r w:rsidRPr="005071A1">
              <w:t>Column 1</w:t>
            </w:r>
          </w:p>
        </w:tc>
        <w:tc>
          <w:tcPr>
            <w:tcW w:w="1701" w:type="dxa"/>
            <w:tcBorders>
              <w:top w:val="single" w:sz="12" w:space="0" w:color="auto"/>
              <w:bottom w:val="single" w:sz="6" w:space="0" w:color="auto"/>
            </w:tcBorders>
            <w:shd w:val="clear" w:color="auto" w:fill="auto"/>
          </w:tcPr>
          <w:p w14:paraId="131BFD74" w14:textId="77777777" w:rsidR="00B33542" w:rsidRPr="005071A1" w:rsidRDefault="00B33542" w:rsidP="009B7AF5">
            <w:pPr>
              <w:pStyle w:val="TableHeading"/>
            </w:pPr>
            <w:r w:rsidRPr="005071A1">
              <w:t>Column 2</w:t>
            </w:r>
          </w:p>
        </w:tc>
        <w:tc>
          <w:tcPr>
            <w:tcW w:w="2247" w:type="dxa"/>
            <w:tcBorders>
              <w:top w:val="single" w:sz="12" w:space="0" w:color="auto"/>
              <w:bottom w:val="single" w:sz="6" w:space="0" w:color="auto"/>
            </w:tcBorders>
            <w:shd w:val="clear" w:color="auto" w:fill="auto"/>
          </w:tcPr>
          <w:p w14:paraId="33D712FF" w14:textId="77777777" w:rsidR="00B33542" w:rsidRPr="005071A1" w:rsidRDefault="00B33542" w:rsidP="009B7AF5">
            <w:pPr>
              <w:pStyle w:val="TableHeading"/>
            </w:pPr>
            <w:r w:rsidRPr="005071A1">
              <w:t>Column 3</w:t>
            </w:r>
          </w:p>
        </w:tc>
        <w:tc>
          <w:tcPr>
            <w:tcW w:w="2247" w:type="dxa"/>
            <w:tcBorders>
              <w:top w:val="single" w:sz="12" w:space="0" w:color="auto"/>
              <w:bottom w:val="single" w:sz="6" w:space="0" w:color="auto"/>
            </w:tcBorders>
            <w:shd w:val="clear" w:color="auto" w:fill="auto"/>
          </w:tcPr>
          <w:p w14:paraId="5D00A1E4" w14:textId="77777777" w:rsidR="00B33542" w:rsidRPr="005071A1" w:rsidRDefault="00B33542" w:rsidP="009B7AF5">
            <w:pPr>
              <w:pStyle w:val="TableHeading"/>
            </w:pPr>
            <w:r w:rsidRPr="005071A1">
              <w:t>Column 4</w:t>
            </w:r>
          </w:p>
        </w:tc>
      </w:tr>
      <w:tr w:rsidR="00B33542" w:rsidRPr="005071A1" w14:paraId="0721F40E" w14:textId="77777777" w:rsidTr="009B7AF5">
        <w:trPr>
          <w:tblHeader/>
        </w:trPr>
        <w:tc>
          <w:tcPr>
            <w:tcW w:w="1101" w:type="dxa"/>
            <w:tcBorders>
              <w:top w:val="single" w:sz="6" w:space="0" w:color="auto"/>
              <w:bottom w:val="single" w:sz="6" w:space="0" w:color="auto"/>
            </w:tcBorders>
            <w:shd w:val="clear" w:color="auto" w:fill="auto"/>
          </w:tcPr>
          <w:p w14:paraId="159ADBD7"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701" w:type="dxa"/>
            <w:tcBorders>
              <w:top w:val="single" w:sz="6" w:space="0" w:color="auto"/>
              <w:bottom w:val="single" w:sz="6" w:space="0" w:color="auto"/>
            </w:tcBorders>
            <w:shd w:val="clear" w:color="auto" w:fill="auto"/>
          </w:tcPr>
          <w:p w14:paraId="70F0940E"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First Two Units where the Obligation to Contribute for those Units came into existence after 2nd November, 1942, and before 14th December, 1959</w:t>
            </w:r>
          </w:p>
        </w:tc>
        <w:tc>
          <w:tcPr>
            <w:tcW w:w="2247" w:type="dxa"/>
            <w:tcBorders>
              <w:top w:val="single" w:sz="6" w:space="0" w:color="auto"/>
              <w:bottom w:val="single" w:sz="6" w:space="0" w:color="auto"/>
            </w:tcBorders>
            <w:shd w:val="clear" w:color="auto" w:fill="auto"/>
          </w:tcPr>
          <w:p w14:paraId="586CCBD4" w14:textId="77777777" w:rsidR="00B33542" w:rsidRPr="005071A1" w:rsidRDefault="00B33542" w:rsidP="005C01B5">
            <w:pPr>
              <w:pStyle w:val="TableHeading"/>
              <w:spacing w:before="40" w:after="40" w:line="180" w:lineRule="atLeast"/>
              <w:rPr>
                <w:sz w:val="16"/>
                <w:szCs w:val="16"/>
              </w:rPr>
            </w:pPr>
            <w:r w:rsidRPr="005071A1">
              <w:rPr>
                <w:sz w:val="16"/>
                <w:szCs w:val="16"/>
              </w:rPr>
              <w:t>Reduction in Contribution for—</w:t>
            </w:r>
          </w:p>
          <w:p w14:paraId="60D46FD6"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a</w:t>
            </w:r>
            <w:r w:rsidRPr="005071A1">
              <w:rPr>
                <w:sz w:val="16"/>
                <w:szCs w:val="16"/>
              </w:rPr>
              <w:t xml:space="preserve">) </w:t>
            </w:r>
            <w:r w:rsidR="00B33542" w:rsidRPr="005071A1">
              <w:rPr>
                <w:sz w:val="16"/>
                <w:szCs w:val="16"/>
              </w:rPr>
              <w:t>Additional Unit where Contributor did not become liable to Contribute for other Additional Units at the same time and the Obligation to Contribute for that Additional Unit came into existence after 2nd November, 1942, and before 1st November, 1951;</w:t>
            </w:r>
          </w:p>
          <w:p w14:paraId="50D34D31"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b</w:t>
            </w:r>
            <w:r w:rsidRPr="005071A1">
              <w:rPr>
                <w:sz w:val="16"/>
                <w:szCs w:val="16"/>
              </w:rPr>
              <w:t xml:space="preserve">) </w:t>
            </w:r>
            <w:r w:rsidR="00B33542" w:rsidRPr="005071A1">
              <w:rPr>
                <w:sz w:val="16"/>
                <w:szCs w:val="16"/>
              </w:rPr>
              <w:t>One of a number of Additional Units for which Contributor became liable to Contribute at the same time, being a number that is not two or a multiple of two, where the Obligation to Contribute for those Additional Units came into existence after 2nd November, 1942, and before 1st November, 1951; and</w:t>
            </w:r>
          </w:p>
          <w:p w14:paraId="55453295"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c</w:t>
            </w:r>
            <w:r w:rsidRPr="005071A1">
              <w:rPr>
                <w:sz w:val="16"/>
                <w:szCs w:val="16"/>
              </w:rPr>
              <w:t xml:space="preserve">) </w:t>
            </w:r>
            <w:r w:rsidR="00B33542" w:rsidRPr="005071A1">
              <w:rPr>
                <w:sz w:val="16"/>
                <w:szCs w:val="16"/>
              </w:rPr>
              <w:t>Each Additional Unit where the Obligation to Contribute for that Additional Unit came into existence on or after 1st November, 1951, and before 14th December, 1959</w:t>
            </w:r>
          </w:p>
        </w:tc>
        <w:tc>
          <w:tcPr>
            <w:tcW w:w="2247" w:type="dxa"/>
            <w:tcBorders>
              <w:top w:val="single" w:sz="6" w:space="0" w:color="auto"/>
              <w:bottom w:val="single" w:sz="6" w:space="0" w:color="auto"/>
            </w:tcBorders>
            <w:shd w:val="clear" w:color="auto" w:fill="auto"/>
          </w:tcPr>
          <w:p w14:paraId="5AB2598A"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each Additional Two Units included in a number of Additional Units for which Contributor became liable to Contribute at the same time, excluding any Unit to which Column 3 of this Table applies, where the Obligation to Contribute for those Additional Units came into existence after 2nd November, 1942, and before 1st November, 1951</w:t>
            </w:r>
          </w:p>
        </w:tc>
      </w:tr>
      <w:tr w:rsidR="00B33542" w:rsidRPr="005071A1" w14:paraId="5B42E2B5" w14:textId="77777777" w:rsidTr="009B7AF5">
        <w:trPr>
          <w:tblHeader/>
        </w:trPr>
        <w:tc>
          <w:tcPr>
            <w:tcW w:w="1101" w:type="dxa"/>
            <w:tcBorders>
              <w:top w:val="single" w:sz="6" w:space="0" w:color="auto"/>
              <w:bottom w:val="single" w:sz="12" w:space="0" w:color="auto"/>
            </w:tcBorders>
            <w:shd w:val="clear" w:color="auto" w:fill="auto"/>
          </w:tcPr>
          <w:p w14:paraId="3C9C664C" w14:textId="77777777" w:rsidR="00B33542" w:rsidRPr="005071A1" w:rsidRDefault="00B33542" w:rsidP="005C01B5">
            <w:pPr>
              <w:pStyle w:val="TableHeading"/>
            </w:pPr>
          </w:p>
        </w:tc>
        <w:tc>
          <w:tcPr>
            <w:tcW w:w="1701" w:type="dxa"/>
            <w:tcBorders>
              <w:top w:val="single" w:sz="6" w:space="0" w:color="auto"/>
              <w:bottom w:val="single" w:sz="12" w:space="0" w:color="auto"/>
            </w:tcBorders>
            <w:shd w:val="clear" w:color="auto" w:fill="auto"/>
          </w:tcPr>
          <w:p w14:paraId="570D47B3" w14:textId="77777777" w:rsidR="00B33542" w:rsidRPr="005071A1" w:rsidRDefault="00B33542" w:rsidP="005C01B5">
            <w:pPr>
              <w:pStyle w:val="TableHeading"/>
            </w:pPr>
            <w:r w:rsidRPr="005071A1">
              <w:t>$</w:t>
            </w:r>
          </w:p>
        </w:tc>
        <w:tc>
          <w:tcPr>
            <w:tcW w:w="2247" w:type="dxa"/>
            <w:tcBorders>
              <w:top w:val="single" w:sz="6" w:space="0" w:color="auto"/>
              <w:bottom w:val="single" w:sz="12" w:space="0" w:color="auto"/>
            </w:tcBorders>
            <w:shd w:val="clear" w:color="auto" w:fill="auto"/>
          </w:tcPr>
          <w:p w14:paraId="338492EB" w14:textId="77777777" w:rsidR="00B33542" w:rsidRPr="005071A1" w:rsidRDefault="00B33542" w:rsidP="005C01B5">
            <w:pPr>
              <w:pStyle w:val="TableHeading"/>
            </w:pPr>
            <w:r w:rsidRPr="005071A1">
              <w:t>$</w:t>
            </w:r>
          </w:p>
        </w:tc>
        <w:tc>
          <w:tcPr>
            <w:tcW w:w="2247" w:type="dxa"/>
            <w:tcBorders>
              <w:top w:val="single" w:sz="6" w:space="0" w:color="auto"/>
              <w:bottom w:val="single" w:sz="12" w:space="0" w:color="auto"/>
            </w:tcBorders>
            <w:shd w:val="clear" w:color="auto" w:fill="auto"/>
          </w:tcPr>
          <w:p w14:paraId="000502A3" w14:textId="77777777" w:rsidR="00B33542" w:rsidRPr="005071A1" w:rsidRDefault="00B33542" w:rsidP="005C01B5">
            <w:pPr>
              <w:pStyle w:val="TableHeading"/>
            </w:pPr>
            <w:r w:rsidRPr="005071A1">
              <w:t>$</w:t>
            </w:r>
          </w:p>
        </w:tc>
      </w:tr>
      <w:tr w:rsidR="00B33542" w:rsidRPr="005071A1" w14:paraId="2D0C535F" w14:textId="77777777" w:rsidTr="00D57394">
        <w:tc>
          <w:tcPr>
            <w:tcW w:w="1101" w:type="dxa"/>
            <w:tcBorders>
              <w:top w:val="single" w:sz="12" w:space="0" w:color="auto"/>
              <w:bottom w:val="single" w:sz="4" w:space="0" w:color="auto"/>
            </w:tcBorders>
            <w:shd w:val="clear" w:color="auto" w:fill="auto"/>
          </w:tcPr>
          <w:p w14:paraId="30001C23" w14:textId="77777777" w:rsidR="00B33542" w:rsidRPr="005071A1" w:rsidRDefault="00B33542" w:rsidP="009B7AF5">
            <w:pPr>
              <w:pStyle w:val="Tabletext"/>
            </w:pPr>
            <w:r w:rsidRPr="005071A1">
              <w:t>15</w:t>
            </w:r>
          </w:p>
        </w:tc>
        <w:tc>
          <w:tcPr>
            <w:tcW w:w="1701" w:type="dxa"/>
            <w:tcBorders>
              <w:top w:val="single" w:sz="12" w:space="0" w:color="auto"/>
              <w:bottom w:val="single" w:sz="4" w:space="0" w:color="auto"/>
            </w:tcBorders>
            <w:shd w:val="clear" w:color="auto" w:fill="auto"/>
          </w:tcPr>
          <w:p w14:paraId="0F443F03" w14:textId="77777777" w:rsidR="00B33542" w:rsidRPr="005071A1" w:rsidRDefault="00B33542" w:rsidP="009B7AF5">
            <w:pPr>
              <w:pStyle w:val="Tabletext"/>
            </w:pPr>
            <w:r w:rsidRPr="005071A1">
              <w:t>0.08</w:t>
            </w:r>
          </w:p>
        </w:tc>
        <w:tc>
          <w:tcPr>
            <w:tcW w:w="2247" w:type="dxa"/>
            <w:tcBorders>
              <w:top w:val="single" w:sz="12" w:space="0" w:color="auto"/>
              <w:bottom w:val="single" w:sz="4" w:space="0" w:color="auto"/>
            </w:tcBorders>
            <w:shd w:val="clear" w:color="auto" w:fill="auto"/>
          </w:tcPr>
          <w:p w14:paraId="483216D4" w14:textId="77777777" w:rsidR="00B33542" w:rsidRPr="005071A1" w:rsidRDefault="00B33542" w:rsidP="009B7AF5">
            <w:pPr>
              <w:pStyle w:val="Tabletext"/>
            </w:pPr>
            <w:r w:rsidRPr="005071A1">
              <w:t>0.03</w:t>
            </w:r>
          </w:p>
        </w:tc>
        <w:tc>
          <w:tcPr>
            <w:tcW w:w="2247" w:type="dxa"/>
            <w:tcBorders>
              <w:top w:val="single" w:sz="12" w:space="0" w:color="auto"/>
              <w:bottom w:val="single" w:sz="4" w:space="0" w:color="auto"/>
            </w:tcBorders>
            <w:shd w:val="clear" w:color="auto" w:fill="auto"/>
          </w:tcPr>
          <w:p w14:paraId="44A29A75" w14:textId="77777777" w:rsidR="00B33542" w:rsidRPr="005071A1" w:rsidRDefault="00B33542" w:rsidP="009B7AF5">
            <w:pPr>
              <w:pStyle w:val="Tabletext"/>
            </w:pPr>
            <w:r w:rsidRPr="005071A1">
              <w:t>0.06</w:t>
            </w:r>
          </w:p>
        </w:tc>
      </w:tr>
      <w:tr w:rsidR="00B33542" w:rsidRPr="005071A1" w14:paraId="1E5544B1" w14:textId="77777777" w:rsidTr="00D57394">
        <w:tc>
          <w:tcPr>
            <w:tcW w:w="1101" w:type="dxa"/>
            <w:tcBorders>
              <w:bottom w:val="single" w:sz="4" w:space="0" w:color="auto"/>
            </w:tcBorders>
            <w:shd w:val="clear" w:color="auto" w:fill="auto"/>
          </w:tcPr>
          <w:p w14:paraId="4CE72752" w14:textId="77777777" w:rsidR="00B33542" w:rsidRPr="005071A1" w:rsidRDefault="00B33542" w:rsidP="009B7AF5">
            <w:pPr>
              <w:pStyle w:val="Tabletext"/>
            </w:pPr>
            <w:r w:rsidRPr="005071A1">
              <w:lastRenderedPageBreak/>
              <w:t>16</w:t>
            </w:r>
          </w:p>
        </w:tc>
        <w:tc>
          <w:tcPr>
            <w:tcW w:w="1701" w:type="dxa"/>
            <w:tcBorders>
              <w:bottom w:val="single" w:sz="4" w:space="0" w:color="auto"/>
            </w:tcBorders>
            <w:shd w:val="clear" w:color="auto" w:fill="auto"/>
          </w:tcPr>
          <w:p w14:paraId="5ADC5D63" w14:textId="77777777" w:rsidR="00B33542" w:rsidRPr="005071A1" w:rsidRDefault="00B33542" w:rsidP="009B7AF5">
            <w:pPr>
              <w:pStyle w:val="Tabletext"/>
            </w:pPr>
            <w:r w:rsidRPr="005071A1">
              <w:t>0.08</w:t>
            </w:r>
          </w:p>
        </w:tc>
        <w:tc>
          <w:tcPr>
            <w:tcW w:w="2247" w:type="dxa"/>
            <w:tcBorders>
              <w:bottom w:val="single" w:sz="4" w:space="0" w:color="auto"/>
            </w:tcBorders>
            <w:shd w:val="clear" w:color="auto" w:fill="auto"/>
          </w:tcPr>
          <w:p w14:paraId="52F78EAF" w14:textId="77777777" w:rsidR="00B33542" w:rsidRPr="005071A1" w:rsidRDefault="00B33542" w:rsidP="009B7AF5">
            <w:pPr>
              <w:pStyle w:val="Tabletext"/>
            </w:pPr>
            <w:r w:rsidRPr="005071A1">
              <w:t>0.03</w:t>
            </w:r>
          </w:p>
        </w:tc>
        <w:tc>
          <w:tcPr>
            <w:tcW w:w="2247" w:type="dxa"/>
            <w:tcBorders>
              <w:bottom w:val="single" w:sz="4" w:space="0" w:color="auto"/>
            </w:tcBorders>
            <w:shd w:val="clear" w:color="auto" w:fill="auto"/>
          </w:tcPr>
          <w:p w14:paraId="7E29A2BE" w14:textId="77777777" w:rsidR="00B33542" w:rsidRPr="005071A1" w:rsidRDefault="00B33542" w:rsidP="009B7AF5">
            <w:pPr>
              <w:pStyle w:val="Tabletext"/>
            </w:pPr>
            <w:r w:rsidRPr="005071A1">
              <w:t>0.06</w:t>
            </w:r>
          </w:p>
        </w:tc>
      </w:tr>
      <w:tr w:rsidR="00B33542" w:rsidRPr="005071A1" w14:paraId="1006BD39" w14:textId="77777777" w:rsidTr="00640BB6">
        <w:tc>
          <w:tcPr>
            <w:tcW w:w="1101" w:type="dxa"/>
            <w:tcBorders>
              <w:top w:val="single" w:sz="4" w:space="0" w:color="auto"/>
              <w:bottom w:val="single" w:sz="4" w:space="0" w:color="auto"/>
            </w:tcBorders>
            <w:shd w:val="clear" w:color="auto" w:fill="auto"/>
          </w:tcPr>
          <w:p w14:paraId="483902E8" w14:textId="77777777" w:rsidR="00B33542" w:rsidRPr="005071A1" w:rsidRDefault="00B33542" w:rsidP="009B7AF5">
            <w:pPr>
              <w:pStyle w:val="Tabletext"/>
            </w:pPr>
            <w:r w:rsidRPr="005071A1">
              <w:t>17</w:t>
            </w:r>
          </w:p>
        </w:tc>
        <w:tc>
          <w:tcPr>
            <w:tcW w:w="1701" w:type="dxa"/>
            <w:tcBorders>
              <w:top w:val="single" w:sz="4" w:space="0" w:color="auto"/>
              <w:bottom w:val="single" w:sz="4" w:space="0" w:color="auto"/>
            </w:tcBorders>
            <w:shd w:val="clear" w:color="auto" w:fill="auto"/>
          </w:tcPr>
          <w:p w14:paraId="4E31587F" w14:textId="77777777" w:rsidR="00B33542" w:rsidRPr="005071A1" w:rsidRDefault="00B33542" w:rsidP="009B7AF5">
            <w:pPr>
              <w:pStyle w:val="Tabletext"/>
            </w:pPr>
            <w:r w:rsidRPr="005071A1">
              <w:t>0.08</w:t>
            </w:r>
          </w:p>
        </w:tc>
        <w:tc>
          <w:tcPr>
            <w:tcW w:w="2247" w:type="dxa"/>
            <w:tcBorders>
              <w:top w:val="single" w:sz="4" w:space="0" w:color="auto"/>
              <w:bottom w:val="single" w:sz="4" w:space="0" w:color="auto"/>
            </w:tcBorders>
            <w:shd w:val="clear" w:color="auto" w:fill="auto"/>
          </w:tcPr>
          <w:p w14:paraId="561CCE49" w14:textId="77777777" w:rsidR="00B33542" w:rsidRPr="005071A1" w:rsidRDefault="00B33542" w:rsidP="009B7AF5">
            <w:pPr>
              <w:pStyle w:val="Tabletext"/>
            </w:pPr>
            <w:r w:rsidRPr="005071A1">
              <w:t>0.03</w:t>
            </w:r>
          </w:p>
        </w:tc>
        <w:tc>
          <w:tcPr>
            <w:tcW w:w="2247" w:type="dxa"/>
            <w:tcBorders>
              <w:top w:val="single" w:sz="4" w:space="0" w:color="auto"/>
              <w:bottom w:val="single" w:sz="4" w:space="0" w:color="auto"/>
            </w:tcBorders>
            <w:shd w:val="clear" w:color="auto" w:fill="auto"/>
          </w:tcPr>
          <w:p w14:paraId="2A22B1AB" w14:textId="77777777" w:rsidR="00B33542" w:rsidRPr="005071A1" w:rsidRDefault="00B33542" w:rsidP="009B7AF5">
            <w:pPr>
              <w:pStyle w:val="Tabletext"/>
            </w:pPr>
            <w:r w:rsidRPr="005071A1">
              <w:t>0.06</w:t>
            </w:r>
          </w:p>
        </w:tc>
      </w:tr>
      <w:tr w:rsidR="00B33542" w:rsidRPr="005071A1" w14:paraId="094B3ECE" w14:textId="77777777" w:rsidTr="00640BB6">
        <w:tc>
          <w:tcPr>
            <w:tcW w:w="1101" w:type="dxa"/>
            <w:tcBorders>
              <w:bottom w:val="single" w:sz="4" w:space="0" w:color="auto"/>
            </w:tcBorders>
            <w:shd w:val="clear" w:color="auto" w:fill="auto"/>
          </w:tcPr>
          <w:p w14:paraId="6D95EDD9" w14:textId="77777777" w:rsidR="00B33542" w:rsidRPr="005071A1" w:rsidRDefault="00B33542" w:rsidP="009B7AF5">
            <w:pPr>
              <w:pStyle w:val="Tabletext"/>
            </w:pPr>
            <w:r w:rsidRPr="005071A1">
              <w:t>18</w:t>
            </w:r>
          </w:p>
        </w:tc>
        <w:tc>
          <w:tcPr>
            <w:tcW w:w="1701" w:type="dxa"/>
            <w:tcBorders>
              <w:bottom w:val="single" w:sz="4" w:space="0" w:color="auto"/>
            </w:tcBorders>
            <w:shd w:val="clear" w:color="auto" w:fill="auto"/>
          </w:tcPr>
          <w:p w14:paraId="2BD29C3D" w14:textId="77777777" w:rsidR="00B33542" w:rsidRPr="005071A1" w:rsidRDefault="00B33542" w:rsidP="009B7AF5">
            <w:pPr>
              <w:pStyle w:val="Tabletext"/>
            </w:pPr>
            <w:r w:rsidRPr="005071A1">
              <w:t>0.08</w:t>
            </w:r>
          </w:p>
        </w:tc>
        <w:tc>
          <w:tcPr>
            <w:tcW w:w="2247" w:type="dxa"/>
            <w:tcBorders>
              <w:bottom w:val="single" w:sz="4" w:space="0" w:color="auto"/>
            </w:tcBorders>
            <w:shd w:val="clear" w:color="auto" w:fill="auto"/>
          </w:tcPr>
          <w:p w14:paraId="49C0941F" w14:textId="77777777" w:rsidR="00B33542" w:rsidRPr="005071A1" w:rsidRDefault="00B33542" w:rsidP="009B7AF5">
            <w:pPr>
              <w:pStyle w:val="Tabletext"/>
            </w:pPr>
            <w:r w:rsidRPr="005071A1">
              <w:t>0.03</w:t>
            </w:r>
          </w:p>
        </w:tc>
        <w:tc>
          <w:tcPr>
            <w:tcW w:w="2247" w:type="dxa"/>
            <w:tcBorders>
              <w:bottom w:val="single" w:sz="4" w:space="0" w:color="auto"/>
            </w:tcBorders>
            <w:shd w:val="clear" w:color="auto" w:fill="auto"/>
          </w:tcPr>
          <w:p w14:paraId="7BFF396F" w14:textId="77777777" w:rsidR="00B33542" w:rsidRPr="005071A1" w:rsidRDefault="00B33542" w:rsidP="009B7AF5">
            <w:pPr>
              <w:pStyle w:val="Tabletext"/>
            </w:pPr>
            <w:r w:rsidRPr="005071A1">
              <w:t>0.06</w:t>
            </w:r>
          </w:p>
        </w:tc>
      </w:tr>
      <w:tr w:rsidR="00B33542" w:rsidRPr="005071A1" w14:paraId="43F3B93B" w14:textId="77777777" w:rsidTr="00640BB6">
        <w:tc>
          <w:tcPr>
            <w:tcW w:w="1101" w:type="dxa"/>
            <w:tcBorders>
              <w:top w:val="single" w:sz="4" w:space="0" w:color="auto"/>
            </w:tcBorders>
            <w:shd w:val="clear" w:color="auto" w:fill="auto"/>
          </w:tcPr>
          <w:p w14:paraId="26B51278" w14:textId="77777777" w:rsidR="00B33542" w:rsidRPr="005071A1" w:rsidRDefault="00B33542" w:rsidP="009B7AF5">
            <w:pPr>
              <w:pStyle w:val="Tabletext"/>
            </w:pPr>
            <w:r w:rsidRPr="005071A1">
              <w:t>19</w:t>
            </w:r>
          </w:p>
        </w:tc>
        <w:tc>
          <w:tcPr>
            <w:tcW w:w="1701" w:type="dxa"/>
            <w:tcBorders>
              <w:top w:val="single" w:sz="4" w:space="0" w:color="auto"/>
            </w:tcBorders>
            <w:shd w:val="clear" w:color="auto" w:fill="auto"/>
          </w:tcPr>
          <w:p w14:paraId="0B9250D3" w14:textId="77777777" w:rsidR="00B33542" w:rsidRPr="005071A1" w:rsidRDefault="00B33542" w:rsidP="009B7AF5">
            <w:pPr>
              <w:pStyle w:val="Tabletext"/>
            </w:pPr>
            <w:r w:rsidRPr="005071A1">
              <w:t>0.08</w:t>
            </w:r>
          </w:p>
        </w:tc>
        <w:tc>
          <w:tcPr>
            <w:tcW w:w="2247" w:type="dxa"/>
            <w:tcBorders>
              <w:top w:val="single" w:sz="4" w:space="0" w:color="auto"/>
            </w:tcBorders>
            <w:shd w:val="clear" w:color="auto" w:fill="auto"/>
          </w:tcPr>
          <w:p w14:paraId="07337038" w14:textId="77777777" w:rsidR="00B33542" w:rsidRPr="005071A1" w:rsidRDefault="00B33542" w:rsidP="009B7AF5">
            <w:pPr>
              <w:pStyle w:val="Tabletext"/>
            </w:pPr>
            <w:r w:rsidRPr="005071A1">
              <w:t>0.03</w:t>
            </w:r>
          </w:p>
        </w:tc>
        <w:tc>
          <w:tcPr>
            <w:tcW w:w="2247" w:type="dxa"/>
            <w:tcBorders>
              <w:top w:val="single" w:sz="4" w:space="0" w:color="auto"/>
            </w:tcBorders>
            <w:shd w:val="clear" w:color="auto" w:fill="auto"/>
          </w:tcPr>
          <w:p w14:paraId="5B64C558" w14:textId="77777777" w:rsidR="00B33542" w:rsidRPr="005071A1" w:rsidRDefault="00B33542" w:rsidP="009B7AF5">
            <w:pPr>
              <w:pStyle w:val="Tabletext"/>
            </w:pPr>
            <w:r w:rsidRPr="005071A1">
              <w:t>0.06</w:t>
            </w:r>
          </w:p>
        </w:tc>
      </w:tr>
      <w:tr w:rsidR="00B33542" w:rsidRPr="005071A1" w14:paraId="33BBB06C" w14:textId="77777777" w:rsidTr="009B7AF5">
        <w:tc>
          <w:tcPr>
            <w:tcW w:w="1101" w:type="dxa"/>
            <w:shd w:val="clear" w:color="auto" w:fill="auto"/>
          </w:tcPr>
          <w:p w14:paraId="7815D45D" w14:textId="77777777" w:rsidR="00B33542" w:rsidRPr="005071A1" w:rsidRDefault="00B33542" w:rsidP="009B7AF5">
            <w:pPr>
              <w:pStyle w:val="Tabletext"/>
            </w:pPr>
            <w:r w:rsidRPr="005071A1">
              <w:t>20</w:t>
            </w:r>
          </w:p>
        </w:tc>
        <w:tc>
          <w:tcPr>
            <w:tcW w:w="1701" w:type="dxa"/>
            <w:shd w:val="clear" w:color="auto" w:fill="auto"/>
          </w:tcPr>
          <w:p w14:paraId="7880DC02" w14:textId="77777777" w:rsidR="00B33542" w:rsidRPr="005071A1" w:rsidRDefault="00B33542" w:rsidP="009B7AF5">
            <w:pPr>
              <w:pStyle w:val="Tabletext"/>
            </w:pPr>
            <w:r w:rsidRPr="005071A1">
              <w:t>0.08</w:t>
            </w:r>
          </w:p>
        </w:tc>
        <w:tc>
          <w:tcPr>
            <w:tcW w:w="2247" w:type="dxa"/>
            <w:shd w:val="clear" w:color="auto" w:fill="auto"/>
          </w:tcPr>
          <w:p w14:paraId="02852C0C" w14:textId="77777777" w:rsidR="00B33542" w:rsidRPr="005071A1" w:rsidRDefault="00B33542" w:rsidP="009B7AF5">
            <w:pPr>
              <w:pStyle w:val="Tabletext"/>
            </w:pPr>
            <w:r w:rsidRPr="005071A1">
              <w:t>0.03</w:t>
            </w:r>
          </w:p>
        </w:tc>
        <w:tc>
          <w:tcPr>
            <w:tcW w:w="2247" w:type="dxa"/>
            <w:shd w:val="clear" w:color="auto" w:fill="auto"/>
          </w:tcPr>
          <w:p w14:paraId="49F76A74" w14:textId="77777777" w:rsidR="00B33542" w:rsidRPr="005071A1" w:rsidRDefault="00B33542" w:rsidP="009B7AF5">
            <w:pPr>
              <w:pStyle w:val="Tabletext"/>
            </w:pPr>
            <w:r w:rsidRPr="005071A1">
              <w:t>0.06</w:t>
            </w:r>
          </w:p>
        </w:tc>
      </w:tr>
      <w:tr w:rsidR="00B33542" w:rsidRPr="005071A1" w14:paraId="3FDE2298" w14:textId="77777777" w:rsidTr="009B7AF5">
        <w:tc>
          <w:tcPr>
            <w:tcW w:w="1101" w:type="dxa"/>
            <w:shd w:val="clear" w:color="auto" w:fill="auto"/>
          </w:tcPr>
          <w:p w14:paraId="426BE644" w14:textId="77777777" w:rsidR="00B33542" w:rsidRPr="005071A1" w:rsidRDefault="00B33542" w:rsidP="009B7AF5">
            <w:pPr>
              <w:pStyle w:val="Tabletext"/>
            </w:pPr>
            <w:r w:rsidRPr="005071A1">
              <w:t>21</w:t>
            </w:r>
          </w:p>
        </w:tc>
        <w:tc>
          <w:tcPr>
            <w:tcW w:w="1701" w:type="dxa"/>
            <w:shd w:val="clear" w:color="auto" w:fill="auto"/>
          </w:tcPr>
          <w:p w14:paraId="406DA009" w14:textId="77777777" w:rsidR="00B33542" w:rsidRPr="005071A1" w:rsidRDefault="00B33542" w:rsidP="009B7AF5">
            <w:pPr>
              <w:pStyle w:val="Tabletext"/>
            </w:pPr>
            <w:r w:rsidRPr="005071A1">
              <w:t>0.08</w:t>
            </w:r>
          </w:p>
        </w:tc>
        <w:tc>
          <w:tcPr>
            <w:tcW w:w="2247" w:type="dxa"/>
            <w:shd w:val="clear" w:color="auto" w:fill="auto"/>
          </w:tcPr>
          <w:p w14:paraId="48A1513C" w14:textId="77777777" w:rsidR="00B33542" w:rsidRPr="005071A1" w:rsidRDefault="00B33542" w:rsidP="009B7AF5">
            <w:pPr>
              <w:pStyle w:val="Tabletext"/>
            </w:pPr>
            <w:r w:rsidRPr="005071A1">
              <w:t>0.03</w:t>
            </w:r>
          </w:p>
        </w:tc>
        <w:tc>
          <w:tcPr>
            <w:tcW w:w="2247" w:type="dxa"/>
            <w:shd w:val="clear" w:color="auto" w:fill="auto"/>
          </w:tcPr>
          <w:p w14:paraId="6FB64E13" w14:textId="77777777" w:rsidR="00B33542" w:rsidRPr="005071A1" w:rsidRDefault="00B33542" w:rsidP="009B7AF5">
            <w:pPr>
              <w:pStyle w:val="Tabletext"/>
            </w:pPr>
            <w:r w:rsidRPr="005071A1">
              <w:t>0.06</w:t>
            </w:r>
          </w:p>
        </w:tc>
      </w:tr>
      <w:tr w:rsidR="00B33542" w:rsidRPr="005071A1" w14:paraId="4D49BFA0" w14:textId="77777777" w:rsidTr="009B7AF5">
        <w:tc>
          <w:tcPr>
            <w:tcW w:w="1101" w:type="dxa"/>
            <w:shd w:val="clear" w:color="auto" w:fill="auto"/>
          </w:tcPr>
          <w:p w14:paraId="47E1E614" w14:textId="77777777" w:rsidR="00B33542" w:rsidRPr="005071A1" w:rsidRDefault="00B33542" w:rsidP="009B7AF5">
            <w:pPr>
              <w:pStyle w:val="Tabletext"/>
            </w:pPr>
            <w:r w:rsidRPr="005071A1">
              <w:lastRenderedPageBreak/>
              <w:t>22</w:t>
            </w:r>
          </w:p>
        </w:tc>
        <w:tc>
          <w:tcPr>
            <w:tcW w:w="1701" w:type="dxa"/>
            <w:shd w:val="clear" w:color="auto" w:fill="auto"/>
          </w:tcPr>
          <w:p w14:paraId="40446455" w14:textId="77777777" w:rsidR="00B33542" w:rsidRPr="005071A1" w:rsidRDefault="00B33542" w:rsidP="009B7AF5">
            <w:pPr>
              <w:pStyle w:val="Tabletext"/>
            </w:pPr>
            <w:r w:rsidRPr="005071A1">
              <w:t>0.08</w:t>
            </w:r>
          </w:p>
        </w:tc>
        <w:tc>
          <w:tcPr>
            <w:tcW w:w="2247" w:type="dxa"/>
            <w:shd w:val="clear" w:color="auto" w:fill="auto"/>
          </w:tcPr>
          <w:p w14:paraId="1AC9ED45" w14:textId="77777777" w:rsidR="00B33542" w:rsidRPr="005071A1" w:rsidRDefault="00B33542" w:rsidP="009B7AF5">
            <w:pPr>
              <w:pStyle w:val="Tabletext"/>
            </w:pPr>
            <w:r w:rsidRPr="005071A1">
              <w:t>0.04</w:t>
            </w:r>
          </w:p>
        </w:tc>
        <w:tc>
          <w:tcPr>
            <w:tcW w:w="2247" w:type="dxa"/>
            <w:shd w:val="clear" w:color="auto" w:fill="auto"/>
          </w:tcPr>
          <w:p w14:paraId="4FA0221E" w14:textId="77777777" w:rsidR="00B33542" w:rsidRPr="005071A1" w:rsidRDefault="00B33542" w:rsidP="009B7AF5">
            <w:pPr>
              <w:pStyle w:val="Tabletext"/>
            </w:pPr>
            <w:r w:rsidRPr="005071A1">
              <w:t>0.08</w:t>
            </w:r>
          </w:p>
        </w:tc>
      </w:tr>
      <w:tr w:rsidR="00B33542" w:rsidRPr="005071A1" w14:paraId="28042DE3" w14:textId="77777777" w:rsidTr="009B7AF5">
        <w:tc>
          <w:tcPr>
            <w:tcW w:w="1101" w:type="dxa"/>
            <w:shd w:val="clear" w:color="auto" w:fill="auto"/>
          </w:tcPr>
          <w:p w14:paraId="21493817" w14:textId="77777777" w:rsidR="00B33542" w:rsidRPr="005071A1" w:rsidRDefault="00B33542" w:rsidP="009B7AF5">
            <w:pPr>
              <w:pStyle w:val="Tabletext"/>
            </w:pPr>
            <w:r w:rsidRPr="005071A1">
              <w:t>23</w:t>
            </w:r>
          </w:p>
        </w:tc>
        <w:tc>
          <w:tcPr>
            <w:tcW w:w="1701" w:type="dxa"/>
            <w:shd w:val="clear" w:color="auto" w:fill="auto"/>
          </w:tcPr>
          <w:p w14:paraId="10F99177" w14:textId="77777777" w:rsidR="00B33542" w:rsidRPr="005071A1" w:rsidRDefault="00B33542" w:rsidP="009B7AF5">
            <w:pPr>
              <w:pStyle w:val="Tabletext"/>
            </w:pPr>
            <w:r w:rsidRPr="005071A1">
              <w:t>0.08</w:t>
            </w:r>
          </w:p>
        </w:tc>
        <w:tc>
          <w:tcPr>
            <w:tcW w:w="2247" w:type="dxa"/>
            <w:shd w:val="clear" w:color="auto" w:fill="auto"/>
          </w:tcPr>
          <w:p w14:paraId="514E442B" w14:textId="77777777" w:rsidR="00B33542" w:rsidRPr="005071A1" w:rsidRDefault="00B33542" w:rsidP="009B7AF5">
            <w:pPr>
              <w:pStyle w:val="Tabletext"/>
            </w:pPr>
            <w:r w:rsidRPr="005071A1">
              <w:t>0.04</w:t>
            </w:r>
          </w:p>
        </w:tc>
        <w:tc>
          <w:tcPr>
            <w:tcW w:w="2247" w:type="dxa"/>
            <w:shd w:val="clear" w:color="auto" w:fill="auto"/>
          </w:tcPr>
          <w:p w14:paraId="4299F977" w14:textId="77777777" w:rsidR="00B33542" w:rsidRPr="005071A1" w:rsidRDefault="00B33542" w:rsidP="009B7AF5">
            <w:pPr>
              <w:pStyle w:val="Tabletext"/>
            </w:pPr>
            <w:r w:rsidRPr="005071A1">
              <w:t>0.08</w:t>
            </w:r>
          </w:p>
        </w:tc>
      </w:tr>
      <w:tr w:rsidR="00B33542" w:rsidRPr="005071A1" w14:paraId="163ED9EB" w14:textId="77777777" w:rsidTr="009B7AF5">
        <w:tc>
          <w:tcPr>
            <w:tcW w:w="1101" w:type="dxa"/>
            <w:shd w:val="clear" w:color="auto" w:fill="auto"/>
          </w:tcPr>
          <w:p w14:paraId="43612745" w14:textId="77777777" w:rsidR="00B33542" w:rsidRPr="005071A1" w:rsidRDefault="00B33542" w:rsidP="009B7AF5">
            <w:pPr>
              <w:pStyle w:val="Tabletext"/>
            </w:pPr>
            <w:r w:rsidRPr="005071A1">
              <w:t>24</w:t>
            </w:r>
          </w:p>
        </w:tc>
        <w:tc>
          <w:tcPr>
            <w:tcW w:w="1701" w:type="dxa"/>
            <w:shd w:val="clear" w:color="auto" w:fill="auto"/>
          </w:tcPr>
          <w:p w14:paraId="012C58B0" w14:textId="77777777" w:rsidR="00B33542" w:rsidRPr="005071A1" w:rsidRDefault="00B33542" w:rsidP="009B7AF5">
            <w:pPr>
              <w:pStyle w:val="Tabletext"/>
            </w:pPr>
            <w:r w:rsidRPr="005071A1">
              <w:t>0.10</w:t>
            </w:r>
          </w:p>
        </w:tc>
        <w:tc>
          <w:tcPr>
            <w:tcW w:w="2247" w:type="dxa"/>
            <w:shd w:val="clear" w:color="auto" w:fill="auto"/>
          </w:tcPr>
          <w:p w14:paraId="1D530A84" w14:textId="77777777" w:rsidR="00B33542" w:rsidRPr="005071A1" w:rsidRDefault="00B33542" w:rsidP="009B7AF5">
            <w:pPr>
              <w:pStyle w:val="Tabletext"/>
            </w:pPr>
            <w:r w:rsidRPr="005071A1">
              <w:t>0.04</w:t>
            </w:r>
          </w:p>
        </w:tc>
        <w:tc>
          <w:tcPr>
            <w:tcW w:w="2247" w:type="dxa"/>
            <w:shd w:val="clear" w:color="auto" w:fill="auto"/>
          </w:tcPr>
          <w:p w14:paraId="15C734BC" w14:textId="77777777" w:rsidR="00B33542" w:rsidRPr="005071A1" w:rsidRDefault="00B33542" w:rsidP="009B7AF5">
            <w:pPr>
              <w:pStyle w:val="Tabletext"/>
            </w:pPr>
            <w:r w:rsidRPr="005071A1">
              <w:t>0.08</w:t>
            </w:r>
          </w:p>
        </w:tc>
      </w:tr>
      <w:tr w:rsidR="00B33542" w:rsidRPr="005071A1" w14:paraId="75D9663A" w14:textId="77777777" w:rsidTr="009B7AF5">
        <w:tc>
          <w:tcPr>
            <w:tcW w:w="1101" w:type="dxa"/>
            <w:shd w:val="clear" w:color="auto" w:fill="auto"/>
          </w:tcPr>
          <w:p w14:paraId="043ABE64" w14:textId="77777777" w:rsidR="00B33542" w:rsidRPr="005071A1" w:rsidRDefault="00B33542" w:rsidP="009B7AF5">
            <w:pPr>
              <w:pStyle w:val="Tabletext"/>
            </w:pPr>
            <w:r w:rsidRPr="005071A1">
              <w:t>25</w:t>
            </w:r>
          </w:p>
        </w:tc>
        <w:tc>
          <w:tcPr>
            <w:tcW w:w="1701" w:type="dxa"/>
            <w:shd w:val="clear" w:color="auto" w:fill="auto"/>
          </w:tcPr>
          <w:p w14:paraId="5CA6AC06" w14:textId="77777777" w:rsidR="00B33542" w:rsidRPr="005071A1" w:rsidRDefault="00B33542" w:rsidP="009B7AF5">
            <w:pPr>
              <w:pStyle w:val="Tabletext"/>
            </w:pPr>
            <w:r w:rsidRPr="005071A1">
              <w:t>0.10</w:t>
            </w:r>
          </w:p>
        </w:tc>
        <w:tc>
          <w:tcPr>
            <w:tcW w:w="2247" w:type="dxa"/>
            <w:shd w:val="clear" w:color="auto" w:fill="auto"/>
          </w:tcPr>
          <w:p w14:paraId="01225264" w14:textId="77777777" w:rsidR="00B33542" w:rsidRPr="005071A1" w:rsidRDefault="00B33542" w:rsidP="009B7AF5">
            <w:pPr>
              <w:pStyle w:val="Tabletext"/>
            </w:pPr>
            <w:r w:rsidRPr="005071A1">
              <w:t>0.04</w:t>
            </w:r>
          </w:p>
        </w:tc>
        <w:tc>
          <w:tcPr>
            <w:tcW w:w="2247" w:type="dxa"/>
            <w:shd w:val="clear" w:color="auto" w:fill="auto"/>
          </w:tcPr>
          <w:p w14:paraId="1CBF66D9" w14:textId="77777777" w:rsidR="00B33542" w:rsidRPr="005071A1" w:rsidRDefault="00B33542" w:rsidP="009B7AF5">
            <w:pPr>
              <w:pStyle w:val="Tabletext"/>
            </w:pPr>
            <w:r w:rsidRPr="005071A1">
              <w:t>0.08</w:t>
            </w:r>
          </w:p>
        </w:tc>
      </w:tr>
      <w:tr w:rsidR="00B33542" w:rsidRPr="005071A1" w14:paraId="1518B188" w14:textId="77777777" w:rsidTr="00D57394">
        <w:tc>
          <w:tcPr>
            <w:tcW w:w="1101" w:type="dxa"/>
            <w:tcBorders>
              <w:bottom w:val="single" w:sz="4" w:space="0" w:color="auto"/>
            </w:tcBorders>
            <w:shd w:val="clear" w:color="auto" w:fill="auto"/>
          </w:tcPr>
          <w:p w14:paraId="3033AAC8" w14:textId="77777777" w:rsidR="00B33542" w:rsidRPr="005071A1" w:rsidRDefault="00B33542" w:rsidP="009B7AF5">
            <w:pPr>
              <w:pStyle w:val="Tabletext"/>
            </w:pPr>
            <w:r w:rsidRPr="005071A1">
              <w:t>26</w:t>
            </w:r>
          </w:p>
        </w:tc>
        <w:tc>
          <w:tcPr>
            <w:tcW w:w="1701" w:type="dxa"/>
            <w:tcBorders>
              <w:bottom w:val="single" w:sz="4" w:space="0" w:color="auto"/>
            </w:tcBorders>
            <w:shd w:val="clear" w:color="auto" w:fill="auto"/>
          </w:tcPr>
          <w:p w14:paraId="492B8582" w14:textId="77777777" w:rsidR="00B33542" w:rsidRPr="005071A1" w:rsidRDefault="00B33542" w:rsidP="009B7AF5">
            <w:pPr>
              <w:pStyle w:val="Tabletext"/>
            </w:pPr>
            <w:r w:rsidRPr="005071A1">
              <w:t>0.10</w:t>
            </w:r>
          </w:p>
        </w:tc>
        <w:tc>
          <w:tcPr>
            <w:tcW w:w="2247" w:type="dxa"/>
            <w:tcBorders>
              <w:bottom w:val="single" w:sz="4" w:space="0" w:color="auto"/>
            </w:tcBorders>
            <w:shd w:val="clear" w:color="auto" w:fill="auto"/>
          </w:tcPr>
          <w:p w14:paraId="25ADB7AD" w14:textId="77777777" w:rsidR="00B33542" w:rsidRPr="005071A1" w:rsidRDefault="00B33542" w:rsidP="009B7AF5">
            <w:pPr>
              <w:pStyle w:val="Tabletext"/>
            </w:pPr>
            <w:r w:rsidRPr="005071A1">
              <w:t>0.04</w:t>
            </w:r>
          </w:p>
        </w:tc>
        <w:tc>
          <w:tcPr>
            <w:tcW w:w="2247" w:type="dxa"/>
            <w:tcBorders>
              <w:bottom w:val="single" w:sz="4" w:space="0" w:color="auto"/>
            </w:tcBorders>
            <w:shd w:val="clear" w:color="auto" w:fill="auto"/>
          </w:tcPr>
          <w:p w14:paraId="146C2D76" w14:textId="77777777" w:rsidR="00B33542" w:rsidRPr="005071A1" w:rsidRDefault="00B33542" w:rsidP="009B7AF5">
            <w:pPr>
              <w:pStyle w:val="Tabletext"/>
            </w:pPr>
            <w:r w:rsidRPr="005071A1">
              <w:t>0.08</w:t>
            </w:r>
          </w:p>
        </w:tc>
      </w:tr>
      <w:tr w:rsidR="00B33542" w:rsidRPr="005071A1" w14:paraId="0CDE9CAA" w14:textId="77777777" w:rsidTr="00D57394">
        <w:tc>
          <w:tcPr>
            <w:tcW w:w="1101" w:type="dxa"/>
            <w:tcBorders>
              <w:bottom w:val="single" w:sz="4" w:space="0" w:color="auto"/>
            </w:tcBorders>
            <w:shd w:val="clear" w:color="auto" w:fill="auto"/>
          </w:tcPr>
          <w:p w14:paraId="6F5F6194" w14:textId="77777777" w:rsidR="00B33542" w:rsidRPr="005071A1" w:rsidRDefault="00B33542" w:rsidP="009B7AF5">
            <w:pPr>
              <w:pStyle w:val="Tabletext"/>
            </w:pPr>
            <w:r w:rsidRPr="005071A1">
              <w:t>27</w:t>
            </w:r>
          </w:p>
        </w:tc>
        <w:tc>
          <w:tcPr>
            <w:tcW w:w="1701" w:type="dxa"/>
            <w:tcBorders>
              <w:bottom w:val="single" w:sz="4" w:space="0" w:color="auto"/>
            </w:tcBorders>
            <w:shd w:val="clear" w:color="auto" w:fill="auto"/>
          </w:tcPr>
          <w:p w14:paraId="392F6D4B" w14:textId="77777777" w:rsidR="00B33542" w:rsidRPr="005071A1" w:rsidRDefault="00B33542" w:rsidP="009B7AF5">
            <w:pPr>
              <w:pStyle w:val="Tabletext"/>
            </w:pPr>
            <w:r w:rsidRPr="005071A1">
              <w:t>0.10</w:t>
            </w:r>
          </w:p>
        </w:tc>
        <w:tc>
          <w:tcPr>
            <w:tcW w:w="2247" w:type="dxa"/>
            <w:tcBorders>
              <w:bottom w:val="single" w:sz="4" w:space="0" w:color="auto"/>
            </w:tcBorders>
            <w:shd w:val="clear" w:color="auto" w:fill="auto"/>
          </w:tcPr>
          <w:p w14:paraId="6B8099E7" w14:textId="77777777" w:rsidR="00B33542" w:rsidRPr="005071A1" w:rsidRDefault="00B33542" w:rsidP="009B7AF5">
            <w:pPr>
              <w:pStyle w:val="Tabletext"/>
            </w:pPr>
            <w:r w:rsidRPr="005071A1">
              <w:t>0.04</w:t>
            </w:r>
          </w:p>
        </w:tc>
        <w:tc>
          <w:tcPr>
            <w:tcW w:w="2247" w:type="dxa"/>
            <w:tcBorders>
              <w:bottom w:val="single" w:sz="4" w:space="0" w:color="auto"/>
            </w:tcBorders>
            <w:shd w:val="clear" w:color="auto" w:fill="auto"/>
          </w:tcPr>
          <w:p w14:paraId="3F9D33F2" w14:textId="77777777" w:rsidR="00B33542" w:rsidRPr="005071A1" w:rsidRDefault="00B33542" w:rsidP="009B7AF5">
            <w:pPr>
              <w:pStyle w:val="Tabletext"/>
            </w:pPr>
            <w:r w:rsidRPr="005071A1">
              <w:t>0.08</w:t>
            </w:r>
          </w:p>
        </w:tc>
      </w:tr>
      <w:tr w:rsidR="00B33542" w:rsidRPr="005071A1" w14:paraId="3981FDDC" w14:textId="77777777" w:rsidTr="00640BB6">
        <w:tc>
          <w:tcPr>
            <w:tcW w:w="1101" w:type="dxa"/>
            <w:tcBorders>
              <w:top w:val="single" w:sz="4" w:space="0" w:color="auto"/>
              <w:bottom w:val="single" w:sz="4" w:space="0" w:color="auto"/>
            </w:tcBorders>
            <w:shd w:val="clear" w:color="auto" w:fill="auto"/>
          </w:tcPr>
          <w:p w14:paraId="532CDFC0" w14:textId="77777777" w:rsidR="00B33542" w:rsidRPr="005071A1" w:rsidRDefault="00B33542" w:rsidP="009B7AF5">
            <w:pPr>
              <w:pStyle w:val="Tabletext"/>
            </w:pPr>
            <w:r w:rsidRPr="005071A1">
              <w:t>28</w:t>
            </w:r>
          </w:p>
        </w:tc>
        <w:tc>
          <w:tcPr>
            <w:tcW w:w="1701" w:type="dxa"/>
            <w:tcBorders>
              <w:top w:val="single" w:sz="4" w:space="0" w:color="auto"/>
              <w:bottom w:val="single" w:sz="4" w:space="0" w:color="auto"/>
            </w:tcBorders>
            <w:shd w:val="clear" w:color="auto" w:fill="auto"/>
          </w:tcPr>
          <w:p w14:paraId="7B90B937" w14:textId="77777777" w:rsidR="00B33542" w:rsidRPr="005071A1" w:rsidRDefault="00B33542" w:rsidP="009B7AF5">
            <w:pPr>
              <w:pStyle w:val="Tabletext"/>
            </w:pPr>
            <w:r w:rsidRPr="005071A1">
              <w:t>0.10</w:t>
            </w:r>
          </w:p>
        </w:tc>
        <w:tc>
          <w:tcPr>
            <w:tcW w:w="2247" w:type="dxa"/>
            <w:tcBorders>
              <w:top w:val="single" w:sz="4" w:space="0" w:color="auto"/>
              <w:bottom w:val="single" w:sz="4" w:space="0" w:color="auto"/>
            </w:tcBorders>
            <w:shd w:val="clear" w:color="auto" w:fill="auto"/>
          </w:tcPr>
          <w:p w14:paraId="7A1E6578" w14:textId="77777777" w:rsidR="00B33542" w:rsidRPr="005071A1" w:rsidRDefault="00B33542" w:rsidP="009B7AF5">
            <w:pPr>
              <w:pStyle w:val="Tabletext"/>
            </w:pPr>
            <w:r w:rsidRPr="005071A1">
              <w:t>0.04</w:t>
            </w:r>
          </w:p>
        </w:tc>
        <w:tc>
          <w:tcPr>
            <w:tcW w:w="2247" w:type="dxa"/>
            <w:tcBorders>
              <w:top w:val="single" w:sz="4" w:space="0" w:color="auto"/>
              <w:bottom w:val="single" w:sz="4" w:space="0" w:color="auto"/>
            </w:tcBorders>
            <w:shd w:val="clear" w:color="auto" w:fill="auto"/>
          </w:tcPr>
          <w:p w14:paraId="7B279B69" w14:textId="77777777" w:rsidR="00B33542" w:rsidRPr="005071A1" w:rsidRDefault="00B33542" w:rsidP="009B7AF5">
            <w:pPr>
              <w:pStyle w:val="Tabletext"/>
            </w:pPr>
            <w:r w:rsidRPr="005071A1">
              <w:t>0.08</w:t>
            </w:r>
          </w:p>
        </w:tc>
      </w:tr>
      <w:tr w:rsidR="00B33542" w:rsidRPr="005071A1" w14:paraId="094D9E9D" w14:textId="77777777" w:rsidTr="00640BB6">
        <w:tc>
          <w:tcPr>
            <w:tcW w:w="1101" w:type="dxa"/>
            <w:tcBorders>
              <w:bottom w:val="single" w:sz="4" w:space="0" w:color="auto"/>
            </w:tcBorders>
            <w:shd w:val="clear" w:color="auto" w:fill="auto"/>
          </w:tcPr>
          <w:p w14:paraId="4AF4BE5B" w14:textId="77777777" w:rsidR="00B33542" w:rsidRPr="005071A1" w:rsidRDefault="00B33542" w:rsidP="009B7AF5">
            <w:pPr>
              <w:pStyle w:val="Tabletext"/>
            </w:pPr>
            <w:r w:rsidRPr="005071A1">
              <w:t>29</w:t>
            </w:r>
          </w:p>
        </w:tc>
        <w:tc>
          <w:tcPr>
            <w:tcW w:w="1701" w:type="dxa"/>
            <w:tcBorders>
              <w:bottom w:val="single" w:sz="4" w:space="0" w:color="auto"/>
            </w:tcBorders>
            <w:shd w:val="clear" w:color="auto" w:fill="auto"/>
          </w:tcPr>
          <w:p w14:paraId="2A37964E" w14:textId="77777777" w:rsidR="00B33542" w:rsidRPr="005071A1" w:rsidRDefault="00B33542" w:rsidP="009B7AF5">
            <w:pPr>
              <w:pStyle w:val="Tabletext"/>
            </w:pPr>
            <w:r w:rsidRPr="005071A1">
              <w:t>0.10</w:t>
            </w:r>
          </w:p>
        </w:tc>
        <w:tc>
          <w:tcPr>
            <w:tcW w:w="2247" w:type="dxa"/>
            <w:tcBorders>
              <w:bottom w:val="single" w:sz="4" w:space="0" w:color="auto"/>
            </w:tcBorders>
            <w:shd w:val="clear" w:color="auto" w:fill="auto"/>
          </w:tcPr>
          <w:p w14:paraId="318E01BB" w14:textId="77777777" w:rsidR="00B33542" w:rsidRPr="005071A1" w:rsidRDefault="00B33542" w:rsidP="009B7AF5">
            <w:pPr>
              <w:pStyle w:val="Tabletext"/>
            </w:pPr>
            <w:r w:rsidRPr="005071A1">
              <w:t>0.04</w:t>
            </w:r>
          </w:p>
        </w:tc>
        <w:tc>
          <w:tcPr>
            <w:tcW w:w="2247" w:type="dxa"/>
            <w:tcBorders>
              <w:bottom w:val="single" w:sz="4" w:space="0" w:color="auto"/>
            </w:tcBorders>
            <w:shd w:val="clear" w:color="auto" w:fill="auto"/>
          </w:tcPr>
          <w:p w14:paraId="2FE54325" w14:textId="77777777" w:rsidR="00B33542" w:rsidRPr="005071A1" w:rsidRDefault="00B33542" w:rsidP="009B7AF5">
            <w:pPr>
              <w:pStyle w:val="Tabletext"/>
            </w:pPr>
            <w:r w:rsidRPr="005071A1">
              <w:t>0.08</w:t>
            </w:r>
          </w:p>
        </w:tc>
      </w:tr>
      <w:tr w:rsidR="00B33542" w:rsidRPr="005071A1" w14:paraId="56CB1D02" w14:textId="77777777" w:rsidTr="00640BB6">
        <w:tc>
          <w:tcPr>
            <w:tcW w:w="1101" w:type="dxa"/>
            <w:tcBorders>
              <w:top w:val="single" w:sz="4" w:space="0" w:color="auto"/>
            </w:tcBorders>
            <w:shd w:val="clear" w:color="auto" w:fill="auto"/>
          </w:tcPr>
          <w:p w14:paraId="01CA9B0C" w14:textId="77777777" w:rsidR="00B33542" w:rsidRPr="005071A1" w:rsidRDefault="00B33542" w:rsidP="009B7AF5">
            <w:pPr>
              <w:pStyle w:val="Tabletext"/>
            </w:pPr>
            <w:r w:rsidRPr="005071A1">
              <w:lastRenderedPageBreak/>
              <w:t>30</w:t>
            </w:r>
          </w:p>
        </w:tc>
        <w:tc>
          <w:tcPr>
            <w:tcW w:w="1701" w:type="dxa"/>
            <w:tcBorders>
              <w:top w:val="single" w:sz="4" w:space="0" w:color="auto"/>
            </w:tcBorders>
            <w:shd w:val="clear" w:color="auto" w:fill="auto"/>
          </w:tcPr>
          <w:p w14:paraId="54AABCB4" w14:textId="77777777" w:rsidR="00B33542" w:rsidRPr="005071A1" w:rsidRDefault="00B33542" w:rsidP="009B7AF5">
            <w:pPr>
              <w:pStyle w:val="Tabletext"/>
            </w:pPr>
            <w:r w:rsidRPr="005071A1">
              <w:t>0.12</w:t>
            </w:r>
          </w:p>
        </w:tc>
        <w:tc>
          <w:tcPr>
            <w:tcW w:w="2247" w:type="dxa"/>
            <w:tcBorders>
              <w:top w:val="single" w:sz="4" w:space="0" w:color="auto"/>
            </w:tcBorders>
            <w:shd w:val="clear" w:color="auto" w:fill="auto"/>
          </w:tcPr>
          <w:p w14:paraId="351618B7" w14:textId="77777777" w:rsidR="00B33542" w:rsidRPr="005071A1" w:rsidRDefault="00B33542" w:rsidP="009B7AF5">
            <w:pPr>
              <w:pStyle w:val="Tabletext"/>
            </w:pPr>
            <w:r w:rsidRPr="005071A1">
              <w:t>0.05</w:t>
            </w:r>
          </w:p>
        </w:tc>
        <w:tc>
          <w:tcPr>
            <w:tcW w:w="2247" w:type="dxa"/>
            <w:tcBorders>
              <w:top w:val="single" w:sz="4" w:space="0" w:color="auto"/>
            </w:tcBorders>
            <w:shd w:val="clear" w:color="auto" w:fill="auto"/>
          </w:tcPr>
          <w:p w14:paraId="2BBEEE5D" w14:textId="77777777" w:rsidR="00B33542" w:rsidRPr="005071A1" w:rsidRDefault="00B33542" w:rsidP="009B7AF5">
            <w:pPr>
              <w:pStyle w:val="Tabletext"/>
            </w:pPr>
            <w:r w:rsidRPr="005071A1">
              <w:t>0.10</w:t>
            </w:r>
          </w:p>
        </w:tc>
      </w:tr>
      <w:tr w:rsidR="00B33542" w:rsidRPr="005071A1" w14:paraId="30729D5B" w14:textId="77777777" w:rsidTr="009B7AF5">
        <w:tc>
          <w:tcPr>
            <w:tcW w:w="1101" w:type="dxa"/>
            <w:shd w:val="clear" w:color="auto" w:fill="auto"/>
          </w:tcPr>
          <w:p w14:paraId="4924AA8C" w14:textId="77777777" w:rsidR="00B33542" w:rsidRPr="005071A1" w:rsidRDefault="00B33542" w:rsidP="009B7AF5">
            <w:pPr>
              <w:pStyle w:val="Tabletext"/>
            </w:pPr>
            <w:r w:rsidRPr="005071A1">
              <w:t>31</w:t>
            </w:r>
          </w:p>
        </w:tc>
        <w:tc>
          <w:tcPr>
            <w:tcW w:w="1701" w:type="dxa"/>
            <w:shd w:val="clear" w:color="auto" w:fill="auto"/>
          </w:tcPr>
          <w:p w14:paraId="1EAF8804" w14:textId="77777777" w:rsidR="00B33542" w:rsidRPr="005071A1" w:rsidRDefault="00B33542" w:rsidP="009B7AF5">
            <w:pPr>
              <w:pStyle w:val="Tabletext"/>
            </w:pPr>
            <w:r w:rsidRPr="005071A1">
              <w:t>0.12</w:t>
            </w:r>
          </w:p>
        </w:tc>
        <w:tc>
          <w:tcPr>
            <w:tcW w:w="2247" w:type="dxa"/>
            <w:shd w:val="clear" w:color="auto" w:fill="auto"/>
          </w:tcPr>
          <w:p w14:paraId="4F01BC0C" w14:textId="77777777" w:rsidR="00B33542" w:rsidRPr="005071A1" w:rsidRDefault="00B33542" w:rsidP="009B7AF5">
            <w:pPr>
              <w:pStyle w:val="Tabletext"/>
            </w:pPr>
            <w:r w:rsidRPr="005071A1">
              <w:t>0.05</w:t>
            </w:r>
          </w:p>
        </w:tc>
        <w:tc>
          <w:tcPr>
            <w:tcW w:w="2247" w:type="dxa"/>
            <w:shd w:val="clear" w:color="auto" w:fill="auto"/>
          </w:tcPr>
          <w:p w14:paraId="1097F3DA" w14:textId="77777777" w:rsidR="00B33542" w:rsidRPr="005071A1" w:rsidRDefault="00B33542" w:rsidP="009B7AF5">
            <w:pPr>
              <w:pStyle w:val="Tabletext"/>
            </w:pPr>
            <w:r w:rsidRPr="005071A1">
              <w:t>0.10</w:t>
            </w:r>
          </w:p>
        </w:tc>
      </w:tr>
      <w:tr w:rsidR="00B33542" w:rsidRPr="005071A1" w14:paraId="4BBAA2A0" w14:textId="77777777" w:rsidTr="009B7AF5">
        <w:tc>
          <w:tcPr>
            <w:tcW w:w="1101" w:type="dxa"/>
            <w:shd w:val="clear" w:color="auto" w:fill="auto"/>
          </w:tcPr>
          <w:p w14:paraId="380B7783" w14:textId="77777777" w:rsidR="00B33542" w:rsidRPr="005071A1" w:rsidRDefault="00B33542" w:rsidP="009B7AF5">
            <w:pPr>
              <w:pStyle w:val="Tabletext"/>
            </w:pPr>
            <w:r w:rsidRPr="005071A1">
              <w:t>32</w:t>
            </w:r>
          </w:p>
        </w:tc>
        <w:tc>
          <w:tcPr>
            <w:tcW w:w="1701" w:type="dxa"/>
            <w:shd w:val="clear" w:color="auto" w:fill="auto"/>
          </w:tcPr>
          <w:p w14:paraId="2AF4B30F" w14:textId="77777777" w:rsidR="00B33542" w:rsidRPr="005071A1" w:rsidRDefault="00B33542" w:rsidP="009B7AF5">
            <w:pPr>
              <w:pStyle w:val="Tabletext"/>
            </w:pPr>
            <w:r w:rsidRPr="005071A1">
              <w:t>0.12</w:t>
            </w:r>
          </w:p>
        </w:tc>
        <w:tc>
          <w:tcPr>
            <w:tcW w:w="2247" w:type="dxa"/>
            <w:shd w:val="clear" w:color="auto" w:fill="auto"/>
          </w:tcPr>
          <w:p w14:paraId="08861175" w14:textId="77777777" w:rsidR="00B33542" w:rsidRPr="005071A1" w:rsidRDefault="00B33542" w:rsidP="009B7AF5">
            <w:pPr>
              <w:pStyle w:val="Tabletext"/>
            </w:pPr>
            <w:r w:rsidRPr="005071A1">
              <w:t>0.05</w:t>
            </w:r>
          </w:p>
        </w:tc>
        <w:tc>
          <w:tcPr>
            <w:tcW w:w="2247" w:type="dxa"/>
            <w:shd w:val="clear" w:color="auto" w:fill="auto"/>
          </w:tcPr>
          <w:p w14:paraId="1A58622A" w14:textId="77777777" w:rsidR="00B33542" w:rsidRPr="005071A1" w:rsidRDefault="00B33542" w:rsidP="009B7AF5">
            <w:pPr>
              <w:pStyle w:val="Tabletext"/>
            </w:pPr>
            <w:r w:rsidRPr="005071A1">
              <w:t>0.10</w:t>
            </w:r>
          </w:p>
        </w:tc>
      </w:tr>
      <w:tr w:rsidR="00B33542" w:rsidRPr="005071A1" w14:paraId="61C7EAC6" w14:textId="77777777" w:rsidTr="009B7AF5">
        <w:tc>
          <w:tcPr>
            <w:tcW w:w="1101" w:type="dxa"/>
            <w:shd w:val="clear" w:color="auto" w:fill="auto"/>
          </w:tcPr>
          <w:p w14:paraId="51FDA4E6" w14:textId="77777777" w:rsidR="00B33542" w:rsidRPr="005071A1" w:rsidRDefault="00B33542" w:rsidP="009B7AF5">
            <w:pPr>
              <w:pStyle w:val="Tabletext"/>
            </w:pPr>
            <w:r w:rsidRPr="005071A1">
              <w:t>33</w:t>
            </w:r>
          </w:p>
        </w:tc>
        <w:tc>
          <w:tcPr>
            <w:tcW w:w="1701" w:type="dxa"/>
            <w:shd w:val="clear" w:color="auto" w:fill="auto"/>
          </w:tcPr>
          <w:p w14:paraId="0AABDE0E" w14:textId="77777777" w:rsidR="00B33542" w:rsidRPr="005071A1" w:rsidRDefault="00B33542" w:rsidP="009B7AF5">
            <w:pPr>
              <w:pStyle w:val="Tabletext"/>
            </w:pPr>
            <w:r w:rsidRPr="005071A1">
              <w:t>0.12</w:t>
            </w:r>
          </w:p>
        </w:tc>
        <w:tc>
          <w:tcPr>
            <w:tcW w:w="2247" w:type="dxa"/>
            <w:shd w:val="clear" w:color="auto" w:fill="auto"/>
          </w:tcPr>
          <w:p w14:paraId="7E727209" w14:textId="77777777" w:rsidR="00B33542" w:rsidRPr="005071A1" w:rsidRDefault="00B33542" w:rsidP="009B7AF5">
            <w:pPr>
              <w:pStyle w:val="Tabletext"/>
            </w:pPr>
            <w:r w:rsidRPr="005071A1">
              <w:t>0.05</w:t>
            </w:r>
          </w:p>
        </w:tc>
        <w:tc>
          <w:tcPr>
            <w:tcW w:w="2247" w:type="dxa"/>
            <w:shd w:val="clear" w:color="auto" w:fill="auto"/>
          </w:tcPr>
          <w:p w14:paraId="078DB0E5" w14:textId="77777777" w:rsidR="00B33542" w:rsidRPr="005071A1" w:rsidRDefault="00B33542" w:rsidP="009B7AF5">
            <w:pPr>
              <w:pStyle w:val="Tabletext"/>
            </w:pPr>
            <w:r w:rsidRPr="005071A1">
              <w:t>0.10</w:t>
            </w:r>
          </w:p>
        </w:tc>
      </w:tr>
      <w:tr w:rsidR="00B33542" w:rsidRPr="005071A1" w14:paraId="1DA68BBE" w14:textId="77777777" w:rsidTr="009B7AF5">
        <w:tc>
          <w:tcPr>
            <w:tcW w:w="1101" w:type="dxa"/>
            <w:shd w:val="clear" w:color="auto" w:fill="auto"/>
          </w:tcPr>
          <w:p w14:paraId="4D86A6DD" w14:textId="77777777" w:rsidR="00B33542" w:rsidRPr="005071A1" w:rsidRDefault="00B33542" w:rsidP="009B7AF5">
            <w:pPr>
              <w:pStyle w:val="Tabletext"/>
            </w:pPr>
            <w:r w:rsidRPr="005071A1">
              <w:t>34</w:t>
            </w:r>
          </w:p>
        </w:tc>
        <w:tc>
          <w:tcPr>
            <w:tcW w:w="1701" w:type="dxa"/>
            <w:shd w:val="clear" w:color="auto" w:fill="auto"/>
          </w:tcPr>
          <w:p w14:paraId="41BC4C91" w14:textId="77777777" w:rsidR="00B33542" w:rsidRPr="005071A1" w:rsidRDefault="00B33542" w:rsidP="009B7AF5">
            <w:pPr>
              <w:pStyle w:val="Tabletext"/>
            </w:pPr>
            <w:r w:rsidRPr="005071A1">
              <w:t>0.12</w:t>
            </w:r>
          </w:p>
        </w:tc>
        <w:tc>
          <w:tcPr>
            <w:tcW w:w="2247" w:type="dxa"/>
            <w:shd w:val="clear" w:color="auto" w:fill="auto"/>
          </w:tcPr>
          <w:p w14:paraId="6FD2402C" w14:textId="77777777" w:rsidR="00B33542" w:rsidRPr="005071A1" w:rsidRDefault="00B33542" w:rsidP="009B7AF5">
            <w:pPr>
              <w:pStyle w:val="Tabletext"/>
            </w:pPr>
            <w:r w:rsidRPr="005071A1">
              <w:t>0.05</w:t>
            </w:r>
          </w:p>
        </w:tc>
        <w:tc>
          <w:tcPr>
            <w:tcW w:w="2247" w:type="dxa"/>
            <w:shd w:val="clear" w:color="auto" w:fill="auto"/>
          </w:tcPr>
          <w:p w14:paraId="6FF4CE98" w14:textId="77777777" w:rsidR="00B33542" w:rsidRPr="005071A1" w:rsidRDefault="00B33542" w:rsidP="009B7AF5">
            <w:pPr>
              <w:pStyle w:val="Tabletext"/>
            </w:pPr>
            <w:r w:rsidRPr="005071A1">
              <w:t>0.10</w:t>
            </w:r>
          </w:p>
        </w:tc>
      </w:tr>
      <w:tr w:rsidR="00B33542" w:rsidRPr="005071A1" w14:paraId="5FFA2B70" w14:textId="77777777" w:rsidTr="009B7AF5">
        <w:tc>
          <w:tcPr>
            <w:tcW w:w="1101" w:type="dxa"/>
            <w:shd w:val="clear" w:color="auto" w:fill="auto"/>
          </w:tcPr>
          <w:p w14:paraId="194BA881" w14:textId="77777777" w:rsidR="00B33542" w:rsidRPr="005071A1" w:rsidRDefault="00B33542" w:rsidP="009B7AF5">
            <w:pPr>
              <w:pStyle w:val="Tabletext"/>
            </w:pPr>
            <w:r w:rsidRPr="005071A1">
              <w:t>35</w:t>
            </w:r>
          </w:p>
        </w:tc>
        <w:tc>
          <w:tcPr>
            <w:tcW w:w="1701" w:type="dxa"/>
            <w:shd w:val="clear" w:color="auto" w:fill="auto"/>
          </w:tcPr>
          <w:p w14:paraId="068C2459" w14:textId="77777777" w:rsidR="00B33542" w:rsidRPr="005071A1" w:rsidRDefault="00B33542" w:rsidP="009B7AF5">
            <w:pPr>
              <w:pStyle w:val="Tabletext"/>
            </w:pPr>
            <w:r w:rsidRPr="005071A1">
              <w:t>0.12</w:t>
            </w:r>
          </w:p>
        </w:tc>
        <w:tc>
          <w:tcPr>
            <w:tcW w:w="2247" w:type="dxa"/>
            <w:shd w:val="clear" w:color="auto" w:fill="auto"/>
          </w:tcPr>
          <w:p w14:paraId="495B28BF" w14:textId="77777777" w:rsidR="00B33542" w:rsidRPr="005071A1" w:rsidRDefault="00B33542" w:rsidP="009B7AF5">
            <w:pPr>
              <w:pStyle w:val="Tabletext"/>
            </w:pPr>
            <w:r w:rsidRPr="005071A1">
              <w:t>0.05</w:t>
            </w:r>
          </w:p>
        </w:tc>
        <w:tc>
          <w:tcPr>
            <w:tcW w:w="2247" w:type="dxa"/>
            <w:shd w:val="clear" w:color="auto" w:fill="auto"/>
          </w:tcPr>
          <w:p w14:paraId="49370CFD" w14:textId="77777777" w:rsidR="00B33542" w:rsidRPr="005071A1" w:rsidRDefault="00B33542" w:rsidP="009B7AF5">
            <w:pPr>
              <w:pStyle w:val="Tabletext"/>
            </w:pPr>
            <w:r w:rsidRPr="005071A1">
              <w:t>0.10</w:t>
            </w:r>
          </w:p>
        </w:tc>
      </w:tr>
      <w:tr w:rsidR="00B33542" w:rsidRPr="005071A1" w14:paraId="5A0D1F28" w14:textId="77777777" w:rsidTr="009B7AF5">
        <w:tc>
          <w:tcPr>
            <w:tcW w:w="1101" w:type="dxa"/>
            <w:shd w:val="clear" w:color="auto" w:fill="auto"/>
          </w:tcPr>
          <w:p w14:paraId="1B614640" w14:textId="77777777" w:rsidR="00B33542" w:rsidRPr="005071A1" w:rsidRDefault="00B33542" w:rsidP="009B7AF5">
            <w:pPr>
              <w:pStyle w:val="Tabletext"/>
            </w:pPr>
            <w:r w:rsidRPr="005071A1">
              <w:t>36</w:t>
            </w:r>
          </w:p>
        </w:tc>
        <w:tc>
          <w:tcPr>
            <w:tcW w:w="1701" w:type="dxa"/>
            <w:shd w:val="clear" w:color="auto" w:fill="auto"/>
          </w:tcPr>
          <w:p w14:paraId="7DD0C190" w14:textId="77777777" w:rsidR="00B33542" w:rsidRPr="005071A1" w:rsidRDefault="00B33542" w:rsidP="009B7AF5">
            <w:pPr>
              <w:pStyle w:val="Tabletext"/>
            </w:pPr>
            <w:r w:rsidRPr="005071A1">
              <w:t>0.12</w:t>
            </w:r>
          </w:p>
        </w:tc>
        <w:tc>
          <w:tcPr>
            <w:tcW w:w="2247" w:type="dxa"/>
            <w:shd w:val="clear" w:color="auto" w:fill="auto"/>
          </w:tcPr>
          <w:p w14:paraId="4C9EB9FB" w14:textId="77777777" w:rsidR="00B33542" w:rsidRPr="005071A1" w:rsidRDefault="00B33542" w:rsidP="009B7AF5">
            <w:pPr>
              <w:pStyle w:val="Tabletext"/>
            </w:pPr>
            <w:r w:rsidRPr="005071A1">
              <w:t>0.05</w:t>
            </w:r>
          </w:p>
        </w:tc>
        <w:tc>
          <w:tcPr>
            <w:tcW w:w="2247" w:type="dxa"/>
            <w:shd w:val="clear" w:color="auto" w:fill="auto"/>
          </w:tcPr>
          <w:p w14:paraId="0051B804" w14:textId="77777777" w:rsidR="00B33542" w:rsidRPr="005071A1" w:rsidRDefault="00B33542" w:rsidP="009B7AF5">
            <w:pPr>
              <w:pStyle w:val="Tabletext"/>
            </w:pPr>
            <w:r w:rsidRPr="005071A1">
              <w:t>0.10</w:t>
            </w:r>
          </w:p>
        </w:tc>
      </w:tr>
      <w:tr w:rsidR="00B33542" w:rsidRPr="005071A1" w14:paraId="1CE3F4A1" w14:textId="77777777" w:rsidTr="00D57394">
        <w:tc>
          <w:tcPr>
            <w:tcW w:w="1101" w:type="dxa"/>
            <w:tcBorders>
              <w:bottom w:val="single" w:sz="4" w:space="0" w:color="auto"/>
            </w:tcBorders>
            <w:shd w:val="clear" w:color="auto" w:fill="auto"/>
          </w:tcPr>
          <w:p w14:paraId="44713A18" w14:textId="77777777" w:rsidR="00B33542" w:rsidRPr="005071A1" w:rsidRDefault="00B33542" w:rsidP="009B7AF5">
            <w:pPr>
              <w:pStyle w:val="Tabletext"/>
            </w:pPr>
            <w:r w:rsidRPr="005071A1">
              <w:t>37</w:t>
            </w:r>
          </w:p>
        </w:tc>
        <w:tc>
          <w:tcPr>
            <w:tcW w:w="1701" w:type="dxa"/>
            <w:tcBorders>
              <w:bottom w:val="single" w:sz="4" w:space="0" w:color="auto"/>
            </w:tcBorders>
            <w:shd w:val="clear" w:color="auto" w:fill="auto"/>
          </w:tcPr>
          <w:p w14:paraId="46CE768C" w14:textId="77777777" w:rsidR="00B33542" w:rsidRPr="005071A1" w:rsidRDefault="00B33542" w:rsidP="009B7AF5">
            <w:pPr>
              <w:pStyle w:val="Tabletext"/>
            </w:pPr>
            <w:r w:rsidRPr="005071A1">
              <w:t>0.14</w:t>
            </w:r>
          </w:p>
        </w:tc>
        <w:tc>
          <w:tcPr>
            <w:tcW w:w="2247" w:type="dxa"/>
            <w:tcBorders>
              <w:bottom w:val="single" w:sz="4" w:space="0" w:color="auto"/>
            </w:tcBorders>
            <w:shd w:val="clear" w:color="auto" w:fill="auto"/>
          </w:tcPr>
          <w:p w14:paraId="79A6ABCD" w14:textId="77777777" w:rsidR="00B33542" w:rsidRPr="005071A1" w:rsidRDefault="00B33542" w:rsidP="009B7AF5">
            <w:pPr>
              <w:pStyle w:val="Tabletext"/>
            </w:pPr>
            <w:r w:rsidRPr="005071A1">
              <w:t>0.06</w:t>
            </w:r>
          </w:p>
        </w:tc>
        <w:tc>
          <w:tcPr>
            <w:tcW w:w="2247" w:type="dxa"/>
            <w:tcBorders>
              <w:bottom w:val="single" w:sz="4" w:space="0" w:color="auto"/>
            </w:tcBorders>
            <w:shd w:val="clear" w:color="auto" w:fill="auto"/>
          </w:tcPr>
          <w:p w14:paraId="0A19DA9A" w14:textId="77777777" w:rsidR="00B33542" w:rsidRPr="005071A1" w:rsidRDefault="00B33542" w:rsidP="009B7AF5">
            <w:pPr>
              <w:pStyle w:val="Tabletext"/>
            </w:pPr>
            <w:r w:rsidRPr="005071A1">
              <w:t>0.12</w:t>
            </w:r>
          </w:p>
        </w:tc>
      </w:tr>
      <w:tr w:rsidR="00B33542" w:rsidRPr="005071A1" w14:paraId="4FB5BDBD" w14:textId="77777777" w:rsidTr="00D57394">
        <w:tc>
          <w:tcPr>
            <w:tcW w:w="1101" w:type="dxa"/>
            <w:tcBorders>
              <w:bottom w:val="single" w:sz="4" w:space="0" w:color="auto"/>
            </w:tcBorders>
            <w:shd w:val="clear" w:color="auto" w:fill="auto"/>
          </w:tcPr>
          <w:p w14:paraId="702C7E2E" w14:textId="77777777" w:rsidR="00B33542" w:rsidRPr="005071A1" w:rsidRDefault="00B33542" w:rsidP="009B7AF5">
            <w:pPr>
              <w:pStyle w:val="Tabletext"/>
            </w:pPr>
            <w:r w:rsidRPr="005071A1">
              <w:t>38</w:t>
            </w:r>
          </w:p>
        </w:tc>
        <w:tc>
          <w:tcPr>
            <w:tcW w:w="1701" w:type="dxa"/>
            <w:tcBorders>
              <w:bottom w:val="single" w:sz="4" w:space="0" w:color="auto"/>
            </w:tcBorders>
            <w:shd w:val="clear" w:color="auto" w:fill="auto"/>
          </w:tcPr>
          <w:p w14:paraId="75F1A5AA" w14:textId="77777777" w:rsidR="00B33542" w:rsidRPr="005071A1" w:rsidRDefault="00B33542" w:rsidP="009B7AF5">
            <w:pPr>
              <w:pStyle w:val="Tabletext"/>
            </w:pPr>
            <w:r w:rsidRPr="005071A1">
              <w:t>0.14</w:t>
            </w:r>
          </w:p>
        </w:tc>
        <w:tc>
          <w:tcPr>
            <w:tcW w:w="2247" w:type="dxa"/>
            <w:tcBorders>
              <w:bottom w:val="single" w:sz="4" w:space="0" w:color="auto"/>
            </w:tcBorders>
            <w:shd w:val="clear" w:color="auto" w:fill="auto"/>
          </w:tcPr>
          <w:p w14:paraId="526D6DCE" w14:textId="77777777" w:rsidR="00B33542" w:rsidRPr="005071A1" w:rsidRDefault="00B33542" w:rsidP="009B7AF5">
            <w:pPr>
              <w:pStyle w:val="Tabletext"/>
            </w:pPr>
            <w:r w:rsidRPr="005071A1">
              <w:t>0.06</w:t>
            </w:r>
          </w:p>
        </w:tc>
        <w:tc>
          <w:tcPr>
            <w:tcW w:w="2247" w:type="dxa"/>
            <w:tcBorders>
              <w:bottom w:val="single" w:sz="4" w:space="0" w:color="auto"/>
            </w:tcBorders>
            <w:shd w:val="clear" w:color="auto" w:fill="auto"/>
          </w:tcPr>
          <w:p w14:paraId="4B1A6C33" w14:textId="77777777" w:rsidR="00B33542" w:rsidRPr="005071A1" w:rsidRDefault="00B33542" w:rsidP="009B7AF5">
            <w:pPr>
              <w:pStyle w:val="Tabletext"/>
            </w:pPr>
            <w:r w:rsidRPr="005071A1">
              <w:t>0.12</w:t>
            </w:r>
          </w:p>
        </w:tc>
      </w:tr>
      <w:tr w:rsidR="00B33542" w:rsidRPr="005071A1" w14:paraId="615448D1" w14:textId="77777777" w:rsidTr="00640BB6">
        <w:tc>
          <w:tcPr>
            <w:tcW w:w="1101" w:type="dxa"/>
            <w:tcBorders>
              <w:top w:val="single" w:sz="4" w:space="0" w:color="auto"/>
              <w:bottom w:val="single" w:sz="4" w:space="0" w:color="auto"/>
            </w:tcBorders>
            <w:shd w:val="clear" w:color="auto" w:fill="auto"/>
          </w:tcPr>
          <w:p w14:paraId="0A3CD401" w14:textId="77777777" w:rsidR="00B33542" w:rsidRPr="005071A1" w:rsidRDefault="00B33542" w:rsidP="009B7AF5">
            <w:pPr>
              <w:pStyle w:val="Tabletext"/>
            </w:pPr>
            <w:r w:rsidRPr="005071A1">
              <w:t>39</w:t>
            </w:r>
          </w:p>
        </w:tc>
        <w:tc>
          <w:tcPr>
            <w:tcW w:w="1701" w:type="dxa"/>
            <w:tcBorders>
              <w:top w:val="single" w:sz="4" w:space="0" w:color="auto"/>
              <w:bottom w:val="single" w:sz="4" w:space="0" w:color="auto"/>
            </w:tcBorders>
            <w:shd w:val="clear" w:color="auto" w:fill="auto"/>
          </w:tcPr>
          <w:p w14:paraId="5A9DE3C2" w14:textId="77777777" w:rsidR="00B33542" w:rsidRPr="005071A1" w:rsidRDefault="00B33542" w:rsidP="009B7AF5">
            <w:pPr>
              <w:pStyle w:val="Tabletext"/>
            </w:pPr>
            <w:r w:rsidRPr="005071A1">
              <w:t>0.14</w:t>
            </w:r>
          </w:p>
        </w:tc>
        <w:tc>
          <w:tcPr>
            <w:tcW w:w="2247" w:type="dxa"/>
            <w:tcBorders>
              <w:top w:val="single" w:sz="4" w:space="0" w:color="auto"/>
              <w:bottom w:val="single" w:sz="4" w:space="0" w:color="auto"/>
            </w:tcBorders>
            <w:shd w:val="clear" w:color="auto" w:fill="auto"/>
          </w:tcPr>
          <w:p w14:paraId="7637688F" w14:textId="77777777" w:rsidR="00B33542" w:rsidRPr="005071A1" w:rsidRDefault="00B33542" w:rsidP="009B7AF5">
            <w:pPr>
              <w:pStyle w:val="Tabletext"/>
            </w:pPr>
            <w:r w:rsidRPr="005071A1">
              <w:t>0.06</w:t>
            </w:r>
          </w:p>
        </w:tc>
        <w:tc>
          <w:tcPr>
            <w:tcW w:w="2247" w:type="dxa"/>
            <w:tcBorders>
              <w:top w:val="single" w:sz="4" w:space="0" w:color="auto"/>
              <w:bottom w:val="single" w:sz="4" w:space="0" w:color="auto"/>
            </w:tcBorders>
            <w:shd w:val="clear" w:color="auto" w:fill="auto"/>
          </w:tcPr>
          <w:p w14:paraId="46B3230B" w14:textId="77777777" w:rsidR="00B33542" w:rsidRPr="005071A1" w:rsidRDefault="00B33542" w:rsidP="009B7AF5">
            <w:pPr>
              <w:pStyle w:val="Tabletext"/>
            </w:pPr>
            <w:r w:rsidRPr="005071A1">
              <w:t>0.12</w:t>
            </w:r>
          </w:p>
        </w:tc>
      </w:tr>
      <w:tr w:rsidR="00B33542" w:rsidRPr="005071A1" w14:paraId="3A31048F" w14:textId="77777777" w:rsidTr="00640BB6">
        <w:tc>
          <w:tcPr>
            <w:tcW w:w="1101" w:type="dxa"/>
            <w:tcBorders>
              <w:bottom w:val="single" w:sz="4" w:space="0" w:color="auto"/>
            </w:tcBorders>
            <w:shd w:val="clear" w:color="auto" w:fill="auto"/>
          </w:tcPr>
          <w:p w14:paraId="797A625F" w14:textId="77777777" w:rsidR="00B33542" w:rsidRPr="005071A1" w:rsidRDefault="00B33542" w:rsidP="009B7AF5">
            <w:pPr>
              <w:pStyle w:val="Tabletext"/>
            </w:pPr>
            <w:r w:rsidRPr="005071A1">
              <w:t>40</w:t>
            </w:r>
          </w:p>
        </w:tc>
        <w:tc>
          <w:tcPr>
            <w:tcW w:w="1701" w:type="dxa"/>
            <w:tcBorders>
              <w:bottom w:val="single" w:sz="4" w:space="0" w:color="auto"/>
            </w:tcBorders>
            <w:shd w:val="clear" w:color="auto" w:fill="auto"/>
          </w:tcPr>
          <w:p w14:paraId="671CDEA8" w14:textId="77777777" w:rsidR="00B33542" w:rsidRPr="005071A1" w:rsidRDefault="00B33542" w:rsidP="009B7AF5">
            <w:pPr>
              <w:pStyle w:val="Tabletext"/>
            </w:pPr>
            <w:r w:rsidRPr="005071A1">
              <w:t>0.14</w:t>
            </w:r>
          </w:p>
        </w:tc>
        <w:tc>
          <w:tcPr>
            <w:tcW w:w="2247" w:type="dxa"/>
            <w:tcBorders>
              <w:bottom w:val="single" w:sz="4" w:space="0" w:color="auto"/>
            </w:tcBorders>
            <w:shd w:val="clear" w:color="auto" w:fill="auto"/>
          </w:tcPr>
          <w:p w14:paraId="5996AE84" w14:textId="77777777" w:rsidR="00B33542" w:rsidRPr="005071A1" w:rsidRDefault="00B33542" w:rsidP="009B7AF5">
            <w:pPr>
              <w:pStyle w:val="Tabletext"/>
            </w:pPr>
            <w:r w:rsidRPr="005071A1">
              <w:t>0.06</w:t>
            </w:r>
          </w:p>
        </w:tc>
        <w:tc>
          <w:tcPr>
            <w:tcW w:w="2247" w:type="dxa"/>
            <w:tcBorders>
              <w:bottom w:val="single" w:sz="4" w:space="0" w:color="auto"/>
            </w:tcBorders>
            <w:shd w:val="clear" w:color="auto" w:fill="auto"/>
          </w:tcPr>
          <w:p w14:paraId="04B1F5D8" w14:textId="77777777" w:rsidR="00B33542" w:rsidRPr="005071A1" w:rsidRDefault="00B33542" w:rsidP="009B7AF5">
            <w:pPr>
              <w:pStyle w:val="Tabletext"/>
            </w:pPr>
            <w:r w:rsidRPr="005071A1">
              <w:t>0.12</w:t>
            </w:r>
          </w:p>
        </w:tc>
      </w:tr>
      <w:tr w:rsidR="00B33542" w:rsidRPr="005071A1" w14:paraId="4C7E0902" w14:textId="77777777" w:rsidTr="00640BB6">
        <w:tc>
          <w:tcPr>
            <w:tcW w:w="1101" w:type="dxa"/>
            <w:tcBorders>
              <w:top w:val="single" w:sz="4" w:space="0" w:color="auto"/>
            </w:tcBorders>
            <w:shd w:val="clear" w:color="auto" w:fill="auto"/>
          </w:tcPr>
          <w:p w14:paraId="0588B86C" w14:textId="77777777" w:rsidR="00B33542" w:rsidRPr="005071A1" w:rsidRDefault="00B33542" w:rsidP="009B7AF5">
            <w:pPr>
              <w:pStyle w:val="Tabletext"/>
            </w:pPr>
            <w:r w:rsidRPr="005071A1">
              <w:t>41</w:t>
            </w:r>
          </w:p>
        </w:tc>
        <w:tc>
          <w:tcPr>
            <w:tcW w:w="1701" w:type="dxa"/>
            <w:tcBorders>
              <w:top w:val="single" w:sz="4" w:space="0" w:color="auto"/>
            </w:tcBorders>
            <w:shd w:val="clear" w:color="auto" w:fill="auto"/>
          </w:tcPr>
          <w:p w14:paraId="6917ABDF" w14:textId="77777777" w:rsidR="00B33542" w:rsidRPr="005071A1" w:rsidRDefault="00B33542" w:rsidP="009B7AF5">
            <w:pPr>
              <w:pStyle w:val="Tabletext"/>
            </w:pPr>
            <w:r w:rsidRPr="005071A1">
              <w:t>0.14</w:t>
            </w:r>
          </w:p>
        </w:tc>
        <w:tc>
          <w:tcPr>
            <w:tcW w:w="2247" w:type="dxa"/>
            <w:tcBorders>
              <w:top w:val="single" w:sz="4" w:space="0" w:color="auto"/>
            </w:tcBorders>
            <w:shd w:val="clear" w:color="auto" w:fill="auto"/>
          </w:tcPr>
          <w:p w14:paraId="4C298365" w14:textId="77777777" w:rsidR="00B33542" w:rsidRPr="005071A1" w:rsidRDefault="00B33542" w:rsidP="009B7AF5">
            <w:pPr>
              <w:pStyle w:val="Tabletext"/>
            </w:pPr>
            <w:r w:rsidRPr="005071A1">
              <w:t>0.06</w:t>
            </w:r>
          </w:p>
        </w:tc>
        <w:tc>
          <w:tcPr>
            <w:tcW w:w="2247" w:type="dxa"/>
            <w:tcBorders>
              <w:top w:val="single" w:sz="4" w:space="0" w:color="auto"/>
            </w:tcBorders>
            <w:shd w:val="clear" w:color="auto" w:fill="auto"/>
          </w:tcPr>
          <w:p w14:paraId="6FA29D6B" w14:textId="77777777" w:rsidR="00B33542" w:rsidRPr="005071A1" w:rsidRDefault="00B33542" w:rsidP="009B7AF5">
            <w:pPr>
              <w:pStyle w:val="Tabletext"/>
            </w:pPr>
            <w:r w:rsidRPr="005071A1">
              <w:t>0.12</w:t>
            </w:r>
          </w:p>
        </w:tc>
      </w:tr>
      <w:tr w:rsidR="00B33542" w:rsidRPr="005071A1" w14:paraId="342EB3A7" w14:textId="77777777" w:rsidTr="009B7AF5">
        <w:tc>
          <w:tcPr>
            <w:tcW w:w="1101" w:type="dxa"/>
            <w:shd w:val="clear" w:color="auto" w:fill="auto"/>
          </w:tcPr>
          <w:p w14:paraId="1A2C6460" w14:textId="77777777" w:rsidR="00B33542" w:rsidRPr="005071A1" w:rsidRDefault="00B33542" w:rsidP="009B7AF5">
            <w:pPr>
              <w:pStyle w:val="Tabletext"/>
            </w:pPr>
            <w:r w:rsidRPr="005071A1">
              <w:t>42</w:t>
            </w:r>
          </w:p>
        </w:tc>
        <w:tc>
          <w:tcPr>
            <w:tcW w:w="1701" w:type="dxa"/>
            <w:shd w:val="clear" w:color="auto" w:fill="auto"/>
          </w:tcPr>
          <w:p w14:paraId="341377C4" w14:textId="77777777" w:rsidR="00B33542" w:rsidRPr="005071A1" w:rsidRDefault="00B33542" w:rsidP="009B7AF5">
            <w:pPr>
              <w:pStyle w:val="Tabletext"/>
            </w:pPr>
            <w:r w:rsidRPr="005071A1">
              <w:t>0.16</w:t>
            </w:r>
          </w:p>
        </w:tc>
        <w:tc>
          <w:tcPr>
            <w:tcW w:w="2247" w:type="dxa"/>
            <w:shd w:val="clear" w:color="auto" w:fill="auto"/>
          </w:tcPr>
          <w:p w14:paraId="69E65937" w14:textId="77777777" w:rsidR="00B33542" w:rsidRPr="005071A1" w:rsidRDefault="00B33542" w:rsidP="009B7AF5">
            <w:pPr>
              <w:pStyle w:val="Tabletext"/>
            </w:pPr>
            <w:r w:rsidRPr="005071A1">
              <w:t>0.06</w:t>
            </w:r>
          </w:p>
        </w:tc>
        <w:tc>
          <w:tcPr>
            <w:tcW w:w="2247" w:type="dxa"/>
            <w:shd w:val="clear" w:color="auto" w:fill="auto"/>
          </w:tcPr>
          <w:p w14:paraId="44F989F7" w14:textId="77777777" w:rsidR="00B33542" w:rsidRPr="005071A1" w:rsidRDefault="00B33542" w:rsidP="009B7AF5">
            <w:pPr>
              <w:pStyle w:val="Tabletext"/>
            </w:pPr>
            <w:r w:rsidRPr="005071A1">
              <w:t>0.12</w:t>
            </w:r>
          </w:p>
        </w:tc>
      </w:tr>
      <w:tr w:rsidR="00B33542" w:rsidRPr="005071A1" w14:paraId="6681AEBA" w14:textId="77777777" w:rsidTr="009B7AF5">
        <w:tc>
          <w:tcPr>
            <w:tcW w:w="1101" w:type="dxa"/>
            <w:shd w:val="clear" w:color="auto" w:fill="auto"/>
          </w:tcPr>
          <w:p w14:paraId="7EAEEF39" w14:textId="77777777" w:rsidR="00B33542" w:rsidRPr="005071A1" w:rsidRDefault="00B33542" w:rsidP="009B7AF5">
            <w:pPr>
              <w:pStyle w:val="Tabletext"/>
            </w:pPr>
            <w:r w:rsidRPr="005071A1">
              <w:t>43</w:t>
            </w:r>
          </w:p>
        </w:tc>
        <w:tc>
          <w:tcPr>
            <w:tcW w:w="1701" w:type="dxa"/>
            <w:shd w:val="clear" w:color="auto" w:fill="auto"/>
          </w:tcPr>
          <w:p w14:paraId="181C4A95" w14:textId="77777777" w:rsidR="00B33542" w:rsidRPr="005071A1" w:rsidRDefault="00B33542" w:rsidP="009B7AF5">
            <w:pPr>
              <w:pStyle w:val="Tabletext"/>
            </w:pPr>
            <w:r w:rsidRPr="005071A1">
              <w:t>0.16</w:t>
            </w:r>
          </w:p>
        </w:tc>
        <w:tc>
          <w:tcPr>
            <w:tcW w:w="2247" w:type="dxa"/>
            <w:shd w:val="clear" w:color="auto" w:fill="auto"/>
          </w:tcPr>
          <w:p w14:paraId="1065E6C3" w14:textId="77777777" w:rsidR="00B33542" w:rsidRPr="005071A1" w:rsidRDefault="00B33542" w:rsidP="009B7AF5">
            <w:pPr>
              <w:pStyle w:val="Tabletext"/>
            </w:pPr>
            <w:r w:rsidRPr="005071A1">
              <w:t>0.06</w:t>
            </w:r>
          </w:p>
        </w:tc>
        <w:tc>
          <w:tcPr>
            <w:tcW w:w="2247" w:type="dxa"/>
            <w:shd w:val="clear" w:color="auto" w:fill="auto"/>
          </w:tcPr>
          <w:p w14:paraId="305275E5" w14:textId="77777777" w:rsidR="00B33542" w:rsidRPr="005071A1" w:rsidRDefault="00B33542" w:rsidP="009B7AF5">
            <w:pPr>
              <w:pStyle w:val="Tabletext"/>
            </w:pPr>
            <w:r w:rsidRPr="005071A1">
              <w:t>0.12</w:t>
            </w:r>
          </w:p>
        </w:tc>
      </w:tr>
      <w:tr w:rsidR="00B33542" w:rsidRPr="005071A1" w14:paraId="218F810C" w14:textId="77777777" w:rsidTr="009B7AF5">
        <w:tc>
          <w:tcPr>
            <w:tcW w:w="1101" w:type="dxa"/>
            <w:shd w:val="clear" w:color="auto" w:fill="auto"/>
          </w:tcPr>
          <w:p w14:paraId="1818FBED" w14:textId="77777777" w:rsidR="00B33542" w:rsidRPr="005071A1" w:rsidRDefault="00B33542" w:rsidP="009B7AF5">
            <w:pPr>
              <w:pStyle w:val="Tabletext"/>
            </w:pPr>
            <w:r w:rsidRPr="005071A1">
              <w:t>44</w:t>
            </w:r>
          </w:p>
        </w:tc>
        <w:tc>
          <w:tcPr>
            <w:tcW w:w="1701" w:type="dxa"/>
            <w:shd w:val="clear" w:color="auto" w:fill="auto"/>
          </w:tcPr>
          <w:p w14:paraId="11856B39" w14:textId="77777777" w:rsidR="00B33542" w:rsidRPr="005071A1" w:rsidRDefault="00B33542" w:rsidP="009B7AF5">
            <w:pPr>
              <w:pStyle w:val="Tabletext"/>
            </w:pPr>
            <w:r w:rsidRPr="005071A1">
              <w:t>0.16</w:t>
            </w:r>
          </w:p>
        </w:tc>
        <w:tc>
          <w:tcPr>
            <w:tcW w:w="2247" w:type="dxa"/>
            <w:shd w:val="clear" w:color="auto" w:fill="auto"/>
          </w:tcPr>
          <w:p w14:paraId="466F1F0E" w14:textId="77777777" w:rsidR="00B33542" w:rsidRPr="005071A1" w:rsidRDefault="00B33542" w:rsidP="009B7AF5">
            <w:pPr>
              <w:pStyle w:val="Tabletext"/>
            </w:pPr>
            <w:r w:rsidRPr="005071A1">
              <w:t>0.06</w:t>
            </w:r>
          </w:p>
        </w:tc>
        <w:tc>
          <w:tcPr>
            <w:tcW w:w="2247" w:type="dxa"/>
            <w:shd w:val="clear" w:color="auto" w:fill="auto"/>
          </w:tcPr>
          <w:p w14:paraId="30074284" w14:textId="77777777" w:rsidR="00B33542" w:rsidRPr="005071A1" w:rsidRDefault="00B33542" w:rsidP="009B7AF5">
            <w:pPr>
              <w:pStyle w:val="Tabletext"/>
            </w:pPr>
            <w:r w:rsidRPr="005071A1">
              <w:t>0.12</w:t>
            </w:r>
          </w:p>
        </w:tc>
      </w:tr>
      <w:tr w:rsidR="00B33542" w:rsidRPr="005071A1" w14:paraId="5E16F657" w14:textId="77777777" w:rsidTr="009B7AF5">
        <w:tc>
          <w:tcPr>
            <w:tcW w:w="1101" w:type="dxa"/>
            <w:shd w:val="clear" w:color="auto" w:fill="auto"/>
          </w:tcPr>
          <w:p w14:paraId="19565A97" w14:textId="77777777" w:rsidR="00B33542" w:rsidRPr="005071A1" w:rsidRDefault="00B33542" w:rsidP="009B7AF5">
            <w:pPr>
              <w:pStyle w:val="Tabletext"/>
            </w:pPr>
            <w:r w:rsidRPr="005071A1">
              <w:t>45</w:t>
            </w:r>
          </w:p>
        </w:tc>
        <w:tc>
          <w:tcPr>
            <w:tcW w:w="1701" w:type="dxa"/>
            <w:shd w:val="clear" w:color="auto" w:fill="auto"/>
          </w:tcPr>
          <w:p w14:paraId="20DE134C" w14:textId="77777777" w:rsidR="00B33542" w:rsidRPr="005071A1" w:rsidRDefault="00B33542" w:rsidP="009B7AF5">
            <w:pPr>
              <w:pStyle w:val="Tabletext"/>
            </w:pPr>
            <w:r w:rsidRPr="005071A1">
              <w:t>0.16</w:t>
            </w:r>
          </w:p>
        </w:tc>
        <w:tc>
          <w:tcPr>
            <w:tcW w:w="2247" w:type="dxa"/>
            <w:shd w:val="clear" w:color="auto" w:fill="auto"/>
          </w:tcPr>
          <w:p w14:paraId="0297062E" w14:textId="77777777" w:rsidR="00B33542" w:rsidRPr="005071A1" w:rsidRDefault="00B33542" w:rsidP="009B7AF5">
            <w:pPr>
              <w:pStyle w:val="Tabletext"/>
            </w:pPr>
            <w:r w:rsidRPr="005071A1">
              <w:t>0.07</w:t>
            </w:r>
          </w:p>
        </w:tc>
        <w:tc>
          <w:tcPr>
            <w:tcW w:w="2247" w:type="dxa"/>
            <w:shd w:val="clear" w:color="auto" w:fill="auto"/>
          </w:tcPr>
          <w:p w14:paraId="76D4D5B2" w14:textId="77777777" w:rsidR="00B33542" w:rsidRPr="005071A1" w:rsidRDefault="00B33542" w:rsidP="009B7AF5">
            <w:pPr>
              <w:pStyle w:val="Tabletext"/>
            </w:pPr>
            <w:r w:rsidRPr="005071A1">
              <w:t>0.14</w:t>
            </w:r>
          </w:p>
        </w:tc>
      </w:tr>
      <w:tr w:rsidR="00B33542" w:rsidRPr="005071A1" w14:paraId="573B0930" w14:textId="77777777" w:rsidTr="009B7AF5">
        <w:tc>
          <w:tcPr>
            <w:tcW w:w="1101" w:type="dxa"/>
            <w:shd w:val="clear" w:color="auto" w:fill="auto"/>
          </w:tcPr>
          <w:p w14:paraId="31F54EEF" w14:textId="77777777" w:rsidR="00B33542" w:rsidRPr="005071A1" w:rsidRDefault="00B33542" w:rsidP="009B7AF5">
            <w:pPr>
              <w:pStyle w:val="Tabletext"/>
            </w:pPr>
            <w:r w:rsidRPr="005071A1">
              <w:t>46</w:t>
            </w:r>
          </w:p>
        </w:tc>
        <w:tc>
          <w:tcPr>
            <w:tcW w:w="1701" w:type="dxa"/>
            <w:shd w:val="clear" w:color="auto" w:fill="auto"/>
          </w:tcPr>
          <w:p w14:paraId="2AE1ECCF" w14:textId="77777777" w:rsidR="00B33542" w:rsidRPr="005071A1" w:rsidRDefault="00B33542" w:rsidP="009B7AF5">
            <w:pPr>
              <w:pStyle w:val="Tabletext"/>
            </w:pPr>
            <w:r w:rsidRPr="005071A1">
              <w:t>0.16</w:t>
            </w:r>
          </w:p>
        </w:tc>
        <w:tc>
          <w:tcPr>
            <w:tcW w:w="2247" w:type="dxa"/>
            <w:shd w:val="clear" w:color="auto" w:fill="auto"/>
          </w:tcPr>
          <w:p w14:paraId="38468DB4" w14:textId="77777777" w:rsidR="00B33542" w:rsidRPr="005071A1" w:rsidRDefault="00B33542" w:rsidP="009B7AF5">
            <w:pPr>
              <w:pStyle w:val="Tabletext"/>
            </w:pPr>
            <w:r w:rsidRPr="005071A1">
              <w:t>0.07</w:t>
            </w:r>
          </w:p>
        </w:tc>
        <w:tc>
          <w:tcPr>
            <w:tcW w:w="2247" w:type="dxa"/>
            <w:shd w:val="clear" w:color="auto" w:fill="auto"/>
          </w:tcPr>
          <w:p w14:paraId="05B6F754" w14:textId="77777777" w:rsidR="00B33542" w:rsidRPr="005071A1" w:rsidRDefault="00B33542" w:rsidP="009B7AF5">
            <w:pPr>
              <w:pStyle w:val="Tabletext"/>
            </w:pPr>
            <w:r w:rsidRPr="005071A1">
              <w:t>0.14</w:t>
            </w:r>
          </w:p>
        </w:tc>
      </w:tr>
      <w:tr w:rsidR="00B33542" w:rsidRPr="005071A1" w14:paraId="2FACBEEA" w14:textId="77777777" w:rsidTr="009B7AF5">
        <w:tc>
          <w:tcPr>
            <w:tcW w:w="1101" w:type="dxa"/>
            <w:shd w:val="clear" w:color="auto" w:fill="auto"/>
          </w:tcPr>
          <w:p w14:paraId="0EDC4EB5" w14:textId="77777777" w:rsidR="00B33542" w:rsidRPr="005071A1" w:rsidRDefault="00B33542" w:rsidP="009B7AF5">
            <w:pPr>
              <w:pStyle w:val="Tabletext"/>
            </w:pPr>
            <w:r w:rsidRPr="005071A1">
              <w:t>47</w:t>
            </w:r>
          </w:p>
        </w:tc>
        <w:tc>
          <w:tcPr>
            <w:tcW w:w="1701" w:type="dxa"/>
            <w:shd w:val="clear" w:color="auto" w:fill="auto"/>
          </w:tcPr>
          <w:p w14:paraId="34C4282F" w14:textId="77777777" w:rsidR="00B33542" w:rsidRPr="005071A1" w:rsidRDefault="00B33542" w:rsidP="009B7AF5">
            <w:pPr>
              <w:pStyle w:val="Tabletext"/>
            </w:pPr>
            <w:r w:rsidRPr="005071A1">
              <w:t>0.18</w:t>
            </w:r>
          </w:p>
        </w:tc>
        <w:tc>
          <w:tcPr>
            <w:tcW w:w="2247" w:type="dxa"/>
            <w:shd w:val="clear" w:color="auto" w:fill="auto"/>
          </w:tcPr>
          <w:p w14:paraId="64464FEA" w14:textId="77777777" w:rsidR="00B33542" w:rsidRPr="005071A1" w:rsidRDefault="00B33542" w:rsidP="009B7AF5">
            <w:pPr>
              <w:pStyle w:val="Tabletext"/>
            </w:pPr>
            <w:r w:rsidRPr="005071A1">
              <w:t>0.08</w:t>
            </w:r>
          </w:p>
        </w:tc>
        <w:tc>
          <w:tcPr>
            <w:tcW w:w="2247" w:type="dxa"/>
            <w:shd w:val="clear" w:color="auto" w:fill="auto"/>
          </w:tcPr>
          <w:p w14:paraId="7874B0BA" w14:textId="77777777" w:rsidR="00B33542" w:rsidRPr="005071A1" w:rsidRDefault="00B33542" w:rsidP="009B7AF5">
            <w:pPr>
              <w:pStyle w:val="Tabletext"/>
            </w:pPr>
            <w:r w:rsidRPr="005071A1">
              <w:t>0.16</w:t>
            </w:r>
          </w:p>
        </w:tc>
      </w:tr>
      <w:tr w:rsidR="00B33542" w:rsidRPr="005071A1" w14:paraId="52E29819" w14:textId="77777777" w:rsidTr="00D57394">
        <w:tc>
          <w:tcPr>
            <w:tcW w:w="1101" w:type="dxa"/>
            <w:tcBorders>
              <w:bottom w:val="single" w:sz="4" w:space="0" w:color="auto"/>
            </w:tcBorders>
            <w:shd w:val="clear" w:color="auto" w:fill="auto"/>
          </w:tcPr>
          <w:p w14:paraId="1124EDDA" w14:textId="77777777" w:rsidR="00B33542" w:rsidRPr="005071A1" w:rsidRDefault="00B33542" w:rsidP="009B7AF5">
            <w:pPr>
              <w:pStyle w:val="Tabletext"/>
            </w:pPr>
            <w:r w:rsidRPr="005071A1">
              <w:t>48</w:t>
            </w:r>
          </w:p>
        </w:tc>
        <w:tc>
          <w:tcPr>
            <w:tcW w:w="1701" w:type="dxa"/>
            <w:tcBorders>
              <w:bottom w:val="single" w:sz="4" w:space="0" w:color="auto"/>
            </w:tcBorders>
            <w:shd w:val="clear" w:color="auto" w:fill="auto"/>
          </w:tcPr>
          <w:p w14:paraId="50C58BAD" w14:textId="77777777" w:rsidR="00B33542" w:rsidRPr="005071A1" w:rsidRDefault="00B33542" w:rsidP="009B7AF5">
            <w:pPr>
              <w:pStyle w:val="Tabletext"/>
            </w:pPr>
            <w:r w:rsidRPr="005071A1">
              <w:t>0.18</w:t>
            </w:r>
          </w:p>
        </w:tc>
        <w:tc>
          <w:tcPr>
            <w:tcW w:w="2247" w:type="dxa"/>
            <w:tcBorders>
              <w:bottom w:val="single" w:sz="4" w:space="0" w:color="auto"/>
            </w:tcBorders>
            <w:shd w:val="clear" w:color="auto" w:fill="auto"/>
          </w:tcPr>
          <w:p w14:paraId="458C50A0" w14:textId="77777777" w:rsidR="00B33542" w:rsidRPr="005071A1" w:rsidRDefault="00B33542" w:rsidP="009B7AF5">
            <w:pPr>
              <w:pStyle w:val="Tabletext"/>
            </w:pPr>
            <w:r w:rsidRPr="005071A1">
              <w:t>0.08</w:t>
            </w:r>
          </w:p>
        </w:tc>
        <w:tc>
          <w:tcPr>
            <w:tcW w:w="2247" w:type="dxa"/>
            <w:tcBorders>
              <w:bottom w:val="single" w:sz="4" w:space="0" w:color="auto"/>
            </w:tcBorders>
            <w:shd w:val="clear" w:color="auto" w:fill="auto"/>
          </w:tcPr>
          <w:p w14:paraId="32FDEFBB" w14:textId="77777777" w:rsidR="00B33542" w:rsidRPr="005071A1" w:rsidRDefault="00B33542" w:rsidP="009B7AF5">
            <w:pPr>
              <w:pStyle w:val="Tabletext"/>
            </w:pPr>
            <w:r w:rsidRPr="005071A1">
              <w:t>0.16</w:t>
            </w:r>
          </w:p>
        </w:tc>
      </w:tr>
      <w:tr w:rsidR="00B33542" w:rsidRPr="005071A1" w14:paraId="2EE3D39E" w14:textId="77777777" w:rsidTr="00D57394">
        <w:tc>
          <w:tcPr>
            <w:tcW w:w="1101" w:type="dxa"/>
            <w:tcBorders>
              <w:bottom w:val="single" w:sz="4" w:space="0" w:color="auto"/>
            </w:tcBorders>
            <w:shd w:val="clear" w:color="auto" w:fill="auto"/>
          </w:tcPr>
          <w:p w14:paraId="59F1D5A4" w14:textId="77777777" w:rsidR="00B33542" w:rsidRPr="005071A1" w:rsidRDefault="00B33542" w:rsidP="009B7AF5">
            <w:pPr>
              <w:pStyle w:val="Tabletext"/>
            </w:pPr>
            <w:r w:rsidRPr="005071A1">
              <w:t>49</w:t>
            </w:r>
          </w:p>
        </w:tc>
        <w:tc>
          <w:tcPr>
            <w:tcW w:w="1701" w:type="dxa"/>
            <w:tcBorders>
              <w:bottom w:val="single" w:sz="4" w:space="0" w:color="auto"/>
            </w:tcBorders>
            <w:shd w:val="clear" w:color="auto" w:fill="auto"/>
          </w:tcPr>
          <w:p w14:paraId="2D9DD743" w14:textId="77777777" w:rsidR="00B33542" w:rsidRPr="005071A1" w:rsidRDefault="00B33542" w:rsidP="009B7AF5">
            <w:pPr>
              <w:pStyle w:val="Tabletext"/>
            </w:pPr>
            <w:r w:rsidRPr="005071A1">
              <w:t>0.20</w:t>
            </w:r>
          </w:p>
        </w:tc>
        <w:tc>
          <w:tcPr>
            <w:tcW w:w="2247" w:type="dxa"/>
            <w:tcBorders>
              <w:bottom w:val="single" w:sz="4" w:space="0" w:color="auto"/>
            </w:tcBorders>
            <w:shd w:val="clear" w:color="auto" w:fill="auto"/>
          </w:tcPr>
          <w:p w14:paraId="1B57E149" w14:textId="77777777" w:rsidR="00B33542" w:rsidRPr="005071A1" w:rsidRDefault="00B33542" w:rsidP="009B7AF5">
            <w:pPr>
              <w:pStyle w:val="Tabletext"/>
            </w:pPr>
            <w:r w:rsidRPr="005071A1">
              <w:t>0.08</w:t>
            </w:r>
          </w:p>
        </w:tc>
        <w:tc>
          <w:tcPr>
            <w:tcW w:w="2247" w:type="dxa"/>
            <w:tcBorders>
              <w:bottom w:val="single" w:sz="4" w:space="0" w:color="auto"/>
            </w:tcBorders>
            <w:shd w:val="clear" w:color="auto" w:fill="auto"/>
          </w:tcPr>
          <w:p w14:paraId="156A6CFD" w14:textId="77777777" w:rsidR="00B33542" w:rsidRPr="005071A1" w:rsidRDefault="00B33542" w:rsidP="009B7AF5">
            <w:pPr>
              <w:pStyle w:val="Tabletext"/>
            </w:pPr>
            <w:r w:rsidRPr="005071A1">
              <w:t>0.16</w:t>
            </w:r>
          </w:p>
        </w:tc>
      </w:tr>
      <w:tr w:rsidR="00B33542" w:rsidRPr="005071A1" w14:paraId="3778C9DD" w14:textId="77777777" w:rsidTr="00640BB6">
        <w:tc>
          <w:tcPr>
            <w:tcW w:w="1101" w:type="dxa"/>
            <w:tcBorders>
              <w:top w:val="single" w:sz="4" w:space="0" w:color="auto"/>
              <w:bottom w:val="single" w:sz="4" w:space="0" w:color="auto"/>
            </w:tcBorders>
            <w:shd w:val="clear" w:color="auto" w:fill="auto"/>
          </w:tcPr>
          <w:p w14:paraId="753A2698" w14:textId="77777777" w:rsidR="00B33542" w:rsidRPr="005071A1" w:rsidRDefault="00B33542" w:rsidP="009B7AF5">
            <w:pPr>
              <w:pStyle w:val="Tabletext"/>
            </w:pPr>
            <w:r w:rsidRPr="005071A1">
              <w:t>50</w:t>
            </w:r>
          </w:p>
        </w:tc>
        <w:tc>
          <w:tcPr>
            <w:tcW w:w="1701" w:type="dxa"/>
            <w:tcBorders>
              <w:top w:val="single" w:sz="4" w:space="0" w:color="auto"/>
              <w:bottom w:val="single" w:sz="4" w:space="0" w:color="auto"/>
            </w:tcBorders>
            <w:shd w:val="clear" w:color="auto" w:fill="auto"/>
          </w:tcPr>
          <w:p w14:paraId="52E77906" w14:textId="77777777" w:rsidR="00B33542" w:rsidRPr="005071A1" w:rsidRDefault="00B33542" w:rsidP="009B7AF5">
            <w:pPr>
              <w:pStyle w:val="Tabletext"/>
            </w:pPr>
            <w:r w:rsidRPr="005071A1">
              <w:t>0.22</w:t>
            </w:r>
          </w:p>
        </w:tc>
        <w:tc>
          <w:tcPr>
            <w:tcW w:w="2247" w:type="dxa"/>
            <w:tcBorders>
              <w:top w:val="single" w:sz="4" w:space="0" w:color="auto"/>
              <w:bottom w:val="single" w:sz="4" w:space="0" w:color="auto"/>
            </w:tcBorders>
            <w:shd w:val="clear" w:color="auto" w:fill="auto"/>
          </w:tcPr>
          <w:p w14:paraId="151AB2EC" w14:textId="77777777" w:rsidR="00B33542" w:rsidRPr="005071A1" w:rsidRDefault="00B33542" w:rsidP="009B7AF5">
            <w:pPr>
              <w:pStyle w:val="Tabletext"/>
            </w:pPr>
            <w:r w:rsidRPr="005071A1">
              <w:t>0.09</w:t>
            </w:r>
          </w:p>
        </w:tc>
        <w:tc>
          <w:tcPr>
            <w:tcW w:w="2247" w:type="dxa"/>
            <w:tcBorders>
              <w:top w:val="single" w:sz="4" w:space="0" w:color="auto"/>
              <w:bottom w:val="single" w:sz="4" w:space="0" w:color="auto"/>
            </w:tcBorders>
            <w:shd w:val="clear" w:color="auto" w:fill="auto"/>
          </w:tcPr>
          <w:p w14:paraId="3C4ED61C" w14:textId="77777777" w:rsidR="00B33542" w:rsidRPr="005071A1" w:rsidRDefault="00B33542" w:rsidP="009B7AF5">
            <w:pPr>
              <w:pStyle w:val="Tabletext"/>
            </w:pPr>
            <w:r w:rsidRPr="005071A1">
              <w:t>0.18</w:t>
            </w:r>
          </w:p>
        </w:tc>
      </w:tr>
      <w:tr w:rsidR="00B33542" w:rsidRPr="005071A1" w14:paraId="6CCC67B5" w14:textId="77777777" w:rsidTr="00640BB6">
        <w:tc>
          <w:tcPr>
            <w:tcW w:w="1101" w:type="dxa"/>
            <w:tcBorders>
              <w:bottom w:val="single" w:sz="4" w:space="0" w:color="auto"/>
            </w:tcBorders>
            <w:shd w:val="clear" w:color="auto" w:fill="auto"/>
          </w:tcPr>
          <w:p w14:paraId="2FE4E706" w14:textId="77777777" w:rsidR="00B33542" w:rsidRPr="005071A1" w:rsidRDefault="00B33542" w:rsidP="009B7AF5">
            <w:pPr>
              <w:pStyle w:val="Tabletext"/>
            </w:pPr>
            <w:r w:rsidRPr="005071A1">
              <w:t>51</w:t>
            </w:r>
          </w:p>
        </w:tc>
        <w:tc>
          <w:tcPr>
            <w:tcW w:w="1701" w:type="dxa"/>
            <w:tcBorders>
              <w:bottom w:val="single" w:sz="4" w:space="0" w:color="auto"/>
            </w:tcBorders>
            <w:shd w:val="clear" w:color="auto" w:fill="auto"/>
          </w:tcPr>
          <w:p w14:paraId="7B7F8C72" w14:textId="77777777" w:rsidR="00B33542" w:rsidRPr="005071A1" w:rsidRDefault="00B33542" w:rsidP="009B7AF5">
            <w:pPr>
              <w:pStyle w:val="Tabletext"/>
            </w:pPr>
            <w:r w:rsidRPr="005071A1">
              <w:t>0.22</w:t>
            </w:r>
          </w:p>
        </w:tc>
        <w:tc>
          <w:tcPr>
            <w:tcW w:w="2247" w:type="dxa"/>
            <w:tcBorders>
              <w:bottom w:val="single" w:sz="4" w:space="0" w:color="auto"/>
            </w:tcBorders>
            <w:shd w:val="clear" w:color="auto" w:fill="auto"/>
          </w:tcPr>
          <w:p w14:paraId="673BE540" w14:textId="77777777" w:rsidR="00B33542" w:rsidRPr="005071A1" w:rsidRDefault="00B33542" w:rsidP="009B7AF5">
            <w:pPr>
              <w:pStyle w:val="Tabletext"/>
            </w:pPr>
            <w:r w:rsidRPr="005071A1">
              <w:t>0.10</w:t>
            </w:r>
          </w:p>
        </w:tc>
        <w:tc>
          <w:tcPr>
            <w:tcW w:w="2247" w:type="dxa"/>
            <w:tcBorders>
              <w:bottom w:val="single" w:sz="4" w:space="0" w:color="auto"/>
            </w:tcBorders>
            <w:shd w:val="clear" w:color="auto" w:fill="auto"/>
          </w:tcPr>
          <w:p w14:paraId="7FD6C18E" w14:textId="77777777" w:rsidR="00B33542" w:rsidRPr="005071A1" w:rsidRDefault="00B33542" w:rsidP="009B7AF5">
            <w:pPr>
              <w:pStyle w:val="Tabletext"/>
            </w:pPr>
            <w:r w:rsidRPr="005071A1">
              <w:t>0.20</w:t>
            </w:r>
          </w:p>
        </w:tc>
      </w:tr>
      <w:tr w:rsidR="00B33542" w:rsidRPr="005071A1" w14:paraId="024E3633" w14:textId="77777777" w:rsidTr="00640BB6">
        <w:tc>
          <w:tcPr>
            <w:tcW w:w="1101" w:type="dxa"/>
            <w:tcBorders>
              <w:top w:val="single" w:sz="4" w:space="0" w:color="auto"/>
            </w:tcBorders>
            <w:shd w:val="clear" w:color="auto" w:fill="auto"/>
          </w:tcPr>
          <w:p w14:paraId="78B38628" w14:textId="77777777" w:rsidR="00B33542" w:rsidRPr="005071A1" w:rsidRDefault="00B33542" w:rsidP="009B7AF5">
            <w:pPr>
              <w:pStyle w:val="Tabletext"/>
            </w:pPr>
            <w:r w:rsidRPr="005071A1">
              <w:t>52</w:t>
            </w:r>
          </w:p>
        </w:tc>
        <w:tc>
          <w:tcPr>
            <w:tcW w:w="1701" w:type="dxa"/>
            <w:tcBorders>
              <w:top w:val="single" w:sz="4" w:space="0" w:color="auto"/>
            </w:tcBorders>
            <w:shd w:val="clear" w:color="auto" w:fill="auto"/>
          </w:tcPr>
          <w:p w14:paraId="1A2EB308" w14:textId="77777777" w:rsidR="00B33542" w:rsidRPr="005071A1" w:rsidRDefault="00B33542" w:rsidP="009B7AF5">
            <w:pPr>
              <w:pStyle w:val="Tabletext"/>
            </w:pPr>
            <w:r w:rsidRPr="005071A1">
              <w:t>0.22</w:t>
            </w:r>
          </w:p>
        </w:tc>
        <w:tc>
          <w:tcPr>
            <w:tcW w:w="2247" w:type="dxa"/>
            <w:tcBorders>
              <w:top w:val="single" w:sz="4" w:space="0" w:color="auto"/>
            </w:tcBorders>
            <w:shd w:val="clear" w:color="auto" w:fill="auto"/>
          </w:tcPr>
          <w:p w14:paraId="0C96EF2F" w14:textId="77777777" w:rsidR="00B33542" w:rsidRPr="005071A1" w:rsidRDefault="00B33542" w:rsidP="009B7AF5">
            <w:pPr>
              <w:pStyle w:val="Tabletext"/>
            </w:pPr>
            <w:r w:rsidRPr="005071A1">
              <w:t>0.10</w:t>
            </w:r>
          </w:p>
        </w:tc>
        <w:tc>
          <w:tcPr>
            <w:tcW w:w="2247" w:type="dxa"/>
            <w:tcBorders>
              <w:top w:val="single" w:sz="4" w:space="0" w:color="auto"/>
            </w:tcBorders>
            <w:shd w:val="clear" w:color="auto" w:fill="auto"/>
          </w:tcPr>
          <w:p w14:paraId="1562972C" w14:textId="77777777" w:rsidR="00B33542" w:rsidRPr="005071A1" w:rsidRDefault="00B33542" w:rsidP="009B7AF5">
            <w:pPr>
              <w:pStyle w:val="Tabletext"/>
            </w:pPr>
            <w:r w:rsidRPr="005071A1">
              <w:t>0.20</w:t>
            </w:r>
          </w:p>
        </w:tc>
      </w:tr>
      <w:tr w:rsidR="00B33542" w:rsidRPr="005071A1" w14:paraId="207C1709" w14:textId="77777777" w:rsidTr="009B7AF5">
        <w:tc>
          <w:tcPr>
            <w:tcW w:w="1101" w:type="dxa"/>
            <w:shd w:val="clear" w:color="auto" w:fill="auto"/>
          </w:tcPr>
          <w:p w14:paraId="0D81F362" w14:textId="77777777" w:rsidR="00B33542" w:rsidRPr="005071A1" w:rsidRDefault="00B33542" w:rsidP="009B7AF5">
            <w:pPr>
              <w:pStyle w:val="Tabletext"/>
            </w:pPr>
            <w:r w:rsidRPr="005071A1">
              <w:t>53</w:t>
            </w:r>
          </w:p>
        </w:tc>
        <w:tc>
          <w:tcPr>
            <w:tcW w:w="1701" w:type="dxa"/>
            <w:shd w:val="clear" w:color="auto" w:fill="auto"/>
          </w:tcPr>
          <w:p w14:paraId="4D62BA90" w14:textId="77777777" w:rsidR="00B33542" w:rsidRPr="005071A1" w:rsidRDefault="00B33542" w:rsidP="009B7AF5">
            <w:pPr>
              <w:pStyle w:val="Tabletext"/>
            </w:pPr>
            <w:r w:rsidRPr="005071A1">
              <w:t>0.28</w:t>
            </w:r>
          </w:p>
        </w:tc>
        <w:tc>
          <w:tcPr>
            <w:tcW w:w="2247" w:type="dxa"/>
            <w:shd w:val="clear" w:color="auto" w:fill="auto"/>
          </w:tcPr>
          <w:p w14:paraId="5F9C0D7D" w14:textId="77777777" w:rsidR="00B33542" w:rsidRPr="005071A1" w:rsidRDefault="00B33542" w:rsidP="009B7AF5">
            <w:pPr>
              <w:pStyle w:val="Tabletext"/>
            </w:pPr>
            <w:r w:rsidRPr="005071A1">
              <w:t>0.12</w:t>
            </w:r>
          </w:p>
        </w:tc>
        <w:tc>
          <w:tcPr>
            <w:tcW w:w="2247" w:type="dxa"/>
            <w:shd w:val="clear" w:color="auto" w:fill="auto"/>
          </w:tcPr>
          <w:p w14:paraId="00BE52D3" w14:textId="77777777" w:rsidR="00B33542" w:rsidRPr="005071A1" w:rsidRDefault="00B33542" w:rsidP="009B7AF5">
            <w:pPr>
              <w:pStyle w:val="Tabletext"/>
            </w:pPr>
            <w:r w:rsidRPr="005071A1">
              <w:t>0.24</w:t>
            </w:r>
          </w:p>
        </w:tc>
      </w:tr>
      <w:tr w:rsidR="00B33542" w:rsidRPr="005071A1" w14:paraId="4A93C1FD" w14:textId="77777777" w:rsidTr="009B7AF5">
        <w:tc>
          <w:tcPr>
            <w:tcW w:w="1101" w:type="dxa"/>
            <w:shd w:val="clear" w:color="auto" w:fill="auto"/>
          </w:tcPr>
          <w:p w14:paraId="538C7874" w14:textId="77777777" w:rsidR="00B33542" w:rsidRPr="005071A1" w:rsidRDefault="00B33542" w:rsidP="009B7AF5">
            <w:pPr>
              <w:pStyle w:val="Tabletext"/>
            </w:pPr>
            <w:r w:rsidRPr="005071A1">
              <w:t>54</w:t>
            </w:r>
          </w:p>
        </w:tc>
        <w:tc>
          <w:tcPr>
            <w:tcW w:w="1701" w:type="dxa"/>
            <w:shd w:val="clear" w:color="auto" w:fill="auto"/>
          </w:tcPr>
          <w:p w14:paraId="4EF5EAB8" w14:textId="77777777" w:rsidR="00B33542" w:rsidRPr="005071A1" w:rsidRDefault="00B33542" w:rsidP="009B7AF5">
            <w:pPr>
              <w:pStyle w:val="Tabletext"/>
            </w:pPr>
            <w:r w:rsidRPr="005071A1">
              <w:t>0.28</w:t>
            </w:r>
          </w:p>
        </w:tc>
        <w:tc>
          <w:tcPr>
            <w:tcW w:w="2247" w:type="dxa"/>
            <w:shd w:val="clear" w:color="auto" w:fill="auto"/>
          </w:tcPr>
          <w:p w14:paraId="4B3A7EA4" w14:textId="77777777" w:rsidR="00B33542" w:rsidRPr="005071A1" w:rsidRDefault="00B33542" w:rsidP="009B7AF5">
            <w:pPr>
              <w:pStyle w:val="Tabletext"/>
            </w:pPr>
            <w:r w:rsidRPr="005071A1">
              <w:t>0.12</w:t>
            </w:r>
          </w:p>
        </w:tc>
        <w:tc>
          <w:tcPr>
            <w:tcW w:w="2247" w:type="dxa"/>
            <w:shd w:val="clear" w:color="auto" w:fill="auto"/>
          </w:tcPr>
          <w:p w14:paraId="1E1945B4" w14:textId="77777777" w:rsidR="00B33542" w:rsidRPr="005071A1" w:rsidRDefault="00B33542" w:rsidP="009B7AF5">
            <w:pPr>
              <w:pStyle w:val="Tabletext"/>
            </w:pPr>
            <w:r w:rsidRPr="005071A1">
              <w:t>0.24</w:t>
            </w:r>
          </w:p>
        </w:tc>
      </w:tr>
      <w:tr w:rsidR="00B33542" w:rsidRPr="005071A1" w14:paraId="606E2361" w14:textId="77777777" w:rsidTr="009B7AF5">
        <w:tc>
          <w:tcPr>
            <w:tcW w:w="1101" w:type="dxa"/>
            <w:shd w:val="clear" w:color="auto" w:fill="auto"/>
          </w:tcPr>
          <w:p w14:paraId="2185D836" w14:textId="77777777" w:rsidR="00B33542" w:rsidRPr="005071A1" w:rsidRDefault="00B33542" w:rsidP="009B7AF5">
            <w:pPr>
              <w:pStyle w:val="Tabletext"/>
            </w:pPr>
            <w:r w:rsidRPr="005071A1">
              <w:t>55</w:t>
            </w:r>
          </w:p>
        </w:tc>
        <w:tc>
          <w:tcPr>
            <w:tcW w:w="1701" w:type="dxa"/>
            <w:shd w:val="clear" w:color="auto" w:fill="auto"/>
          </w:tcPr>
          <w:p w14:paraId="26C4462B" w14:textId="77777777" w:rsidR="00B33542" w:rsidRPr="005071A1" w:rsidRDefault="00B33542" w:rsidP="009B7AF5">
            <w:pPr>
              <w:pStyle w:val="Tabletext"/>
            </w:pPr>
            <w:r w:rsidRPr="005071A1">
              <w:t>0.32</w:t>
            </w:r>
          </w:p>
        </w:tc>
        <w:tc>
          <w:tcPr>
            <w:tcW w:w="2247" w:type="dxa"/>
            <w:shd w:val="clear" w:color="auto" w:fill="auto"/>
          </w:tcPr>
          <w:p w14:paraId="52C49C16" w14:textId="77777777" w:rsidR="00B33542" w:rsidRPr="005071A1" w:rsidRDefault="00B33542" w:rsidP="009B7AF5">
            <w:pPr>
              <w:pStyle w:val="Tabletext"/>
            </w:pPr>
            <w:r w:rsidRPr="005071A1">
              <w:t>0.14</w:t>
            </w:r>
          </w:p>
        </w:tc>
        <w:tc>
          <w:tcPr>
            <w:tcW w:w="2247" w:type="dxa"/>
            <w:shd w:val="clear" w:color="auto" w:fill="auto"/>
          </w:tcPr>
          <w:p w14:paraId="5BA4E83C" w14:textId="77777777" w:rsidR="00B33542" w:rsidRPr="005071A1" w:rsidRDefault="00B33542" w:rsidP="009B7AF5">
            <w:pPr>
              <w:pStyle w:val="Tabletext"/>
            </w:pPr>
            <w:r w:rsidRPr="005071A1">
              <w:t>0.28</w:t>
            </w:r>
          </w:p>
        </w:tc>
      </w:tr>
      <w:tr w:rsidR="00B33542" w:rsidRPr="005071A1" w14:paraId="78946E1E" w14:textId="77777777" w:rsidTr="009B7AF5">
        <w:tc>
          <w:tcPr>
            <w:tcW w:w="1101" w:type="dxa"/>
            <w:shd w:val="clear" w:color="auto" w:fill="auto"/>
          </w:tcPr>
          <w:p w14:paraId="7C503B6B" w14:textId="77777777" w:rsidR="00B33542" w:rsidRPr="005071A1" w:rsidRDefault="00B33542" w:rsidP="009B7AF5">
            <w:pPr>
              <w:pStyle w:val="Tabletext"/>
            </w:pPr>
            <w:r w:rsidRPr="005071A1">
              <w:t>56</w:t>
            </w:r>
          </w:p>
        </w:tc>
        <w:tc>
          <w:tcPr>
            <w:tcW w:w="1701" w:type="dxa"/>
            <w:shd w:val="clear" w:color="auto" w:fill="auto"/>
          </w:tcPr>
          <w:p w14:paraId="2D046964" w14:textId="77777777" w:rsidR="00B33542" w:rsidRPr="005071A1" w:rsidRDefault="00B33542" w:rsidP="009B7AF5">
            <w:pPr>
              <w:pStyle w:val="Tabletext"/>
            </w:pPr>
            <w:r w:rsidRPr="005071A1">
              <w:t>0.34</w:t>
            </w:r>
          </w:p>
        </w:tc>
        <w:tc>
          <w:tcPr>
            <w:tcW w:w="2247" w:type="dxa"/>
            <w:shd w:val="clear" w:color="auto" w:fill="auto"/>
          </w:tcPr>
          <w:p w14:paraId="1D4BDC00" w14:textId="77777777" w:rsidR="00B33542" w:rsidRPr="005071A1" w:rsidRDefault="00B33542" w:rsidP="009B7AF5">
            <w:pPr>
              <w:pStyle w:val="Tabletext"/>
            </w:pPr>
            <w:r w:rsidRPr="005071A1">
              <w:t>0.16</w:t>
            </w:r>
          </w:p>
        </w:tc>
        <w:tc>
          <w:tcPr>
            <w:tcW w:w="2247" w:type="dxa"/>
            <w:shd w:val="clear" w:color="auto" w:fill="auto"/>
          </w:tcPr>
          <w:p w14:paraId="0243A819" w14:textId="77777777" w:rsidR="00B33542" w:rsidRPr="005071A1" w:rsidRDefault="00B33542" w:rsidP="009B7AF5">
            <w:pPr>
              <w:pStyle w:val="Tabletext"/>
            </w:pPr>
            <w:r w:rsidRPr="005071A1">
              <w:t>0.32</w:t>
            </w:r>
          </w:p>
        </w:tc>
      </w:tr>
      <w:tr w:rsidR="00B33542" w:rsidRPr="005071A1" w14:paraId="18CBF545" w14:textId="77777777" w:rsidTr="009B7AF5">
        <w:tc>
          <w:tcPr>
            <w:tcW w:w="1101" w:type="dxa"/>
            <w:shd w:val="clear" w:color="auto" w:fill="auto"/>
          </w:tcPr>
          <w:p w14:paraId="71516717" w14:textId="77777777" w:rsidR="00B33542" w:rsidRPr="005071A1" w:rsidRDefault="00B33542" w:rsidP="009B7AF5">
            <w:pPr>
              <w:pStyle w:val="Tabletext"/>
            </w:pPr>
            <w:r w:rsidRPr="005071A1">
              <w:t>57</w:t>
            </w:r>
          </w:p>
        </w:tc>
        <w:tc>
          <w:tcPr>
            <w:tcW w:w="1701" w:type="dxa"/>
            <w:shd w:val="clear" w:color="auto" w:fill="auto"/>
          </w:tcPr>
          <w:p w14:paraId="5AECC761" w14:textId="77777777" w:rsidR="00B33542" w:rsidRPr="005071A1" w:rsidRDefault="00B33542" w:rsidP="009B7AF5">
            <w:pPr>
              <w:pStyle w:val="Tabletext"/>
            </w:pPr>
            <w:r w:rsidRPr="005071A1">
              <w:t>0.40</w:t>
            </w:r>
          </w:p>
        </w:tc>
        <w:tc>
          <w:tcPr>
            <w:tcW w:w="2247" w:type="dxa"/>
            <w:shd w:val="clear" w:color="auto" w:fill="auto"/>
          </w:tcPr>
          <w:p w14:paraId="48A9AEFA" w14:textId="77777777" w:rsidR="00B33542" w:rsidRPr="005071A1" w:rsidRDefault="00B33542" w:rsidP="009B7AF5">
            <w:pPr>
              <w:pStyle w:val="Tabletext"/>
            </w:pPr>
            <w:r w:rsidRPr="005071A1">
              <w:t>0.18</w:t>
            </w:r>
          </w:p>
        </w:tc>
        <w:tc>
          <w:tcPr>
            <w:tcW w:w="2247" w:type="dxa"/>
            <w:shd w:val="clear" w:color="auto" w:fill="auto"/>
          </w:tcPr>
          <w:p w14:paraId="30AA8563" w14:textId="77777777" w:rsidR="00B33542" w:rsidRPr="005071A1" w:rsidRDefault="00B33542" w:rsidP="009B7AF5">
            <w:pPr>
              <w:pStyle w:val="Tabletext"/>
            </w:pPr>
            <w:r w:rsidRPr="005071A1">
              <w:t>0.36</w:t>
            </w:r>
          </w:p>
        </w:tc>
      </w:tr>
      <w:tr w:rsidR="00B33542" w:rsidRPr="005071A1" w14:paraId="6F4FBC1F" w14:textId="77777777" w:rsidTr="009B7AF5">
        <w:tc>
          <w:tcPr>
            <w:tcW w:w="1101" w:type="dxa"/>
            <w:shd w:val="clear" w:color="auto" w:fill="auto"/>
          </w:tcPr>
          <w:p w14:paraId="638D046C" w14:textId="77777777" w:rsidR="00B33542" w:rsidRPr="005071A1" w:rsidRDefault="00B33542" w:rsidP="009B7AF5">
            <w:pPr>
              <w:pStyle w:val="Tabletext"/>
            </w:pPr>
            <w:r w:rsidRPr="005071A1">
              <w:t>58</w:t>
            </w:r>
          </w:p>
        </w:tc>
        <w:tc>
          <w:tcPr>
            <w:tcW w:w="1701" w:type="dxa"/>
            <w:shd w:val="clear" w:color="auto" w:fill="auto"/>
          </w:tcPr>
          <w:p w14:paraId="33EF9174" w14:textId="77777777" w:rsidR="00B33542" w:rsidRPr="005071A1" w:rsidRDefault="00B33542" w:rsidP="009B7AF5">
            <w:pPr>
              <w:pStyle w:val="Tabletext"/>
            </w:pPr>
            <w:r w:rsidRPr="005071A1">
              <w:t>0.42</w:t>
            </w:r>
          </w:p>
        </w:tc>
        <w:tc>
          <w:tcPr>
            <w:tcW w:w="2247" w:type="dxa"/>
            <w:shd w:val="clear" w:color="auto" w:fill="auto"/>
          </w:tcPr>
          <w:p w14:paraId="08ABF067" w14:textId="77777777" w:rsidR="00B33542" w:rsidRPr="005071A1" w:rsidRDefault="00B33542" w:rsidP="009B7AF5">
            <w:pPr>
              <w:pStyle w:val="Tabletext"/>
            </w:pPr>
            <w:r w:rsidRPr="005071A1">
              <w:t>0.20</w:t>
            </w:r>
          </w:p>
        </w:tc>
        <w:tc>
          <w:tcPr>
            <w:tcW w:w="2247" w:type="dxa"/>
            <w:shd w:val="clear" w:color="auto" w:fill="auto"/>
          </w:tcPr>
          <w:p w14:paraId="47324A0D" w14:textId="77777777" w:rsidR="00B33542" w:rsidRPr="005071A1" w:rsidRDefault="00B33542" w:rsidP="009B7AF5">
            <w:pPr>
              <w:pStyle w:val="Tabletext"/>
            </w:pPr>
            <w:r w:rsidRPr="005071A1">
              <w:t>0.40</w:t>
            </w:r>
          </w:p>
        </w:tc>
      </w:tr>
      <w:tr w:rsidR="00B33542" w:rsidRPr="005071A1" w14:paraId="57CBEE96" w14:textId="77777777" w:rsidTr="00D57394">
        <w:tc>
          <w:tcPr>
            <w:tcW w:w="1101" w:type="dxa"/>
            <w:tcBorders>
              <w:bottom w:val="single" w:sz="4" w:space="0" w:color="auto"/>
            </w:tcBorders>
            <w:shd w:val="clear" w:color="auto" w:fill="auto"/>
          </w:tcPr>
          <w:p w14:paraId="60F0E493" w14:textId="77777777" w:rsidR="00B33542" w:rsidRPr="005071A1" w:rsidRDefault="00B33542" w:rsidP="009B7AF5">
            <w:pPr>
              <w:pStyle w:val="Tabletext"/>
            </w:pPr>
            <w:r w:rsidRPr="005071A1">
              <w:t>59</w:t>
            </w:r>
          </w:p>
        </w:tc>
        <w:tc>
          <w:tcPr>
            <w:tcW w:w="1701" w:type="dxa"/>
            <w:tcBorders>
              <w:bottom w:val="single" w:sz="4" w:space="0" w:color="auto"/>
            </w:tcBorders>
            <w:shd w:val="clear" w:color="auto" w:fill="auto"/>
          </w:tcPr>
          <w:p w14:paraId="147DCA39" w14:textId="77777777" w:rsidR="00B33542" w:rsidRPr="005071A1" w:rsidRDefault="00B33542" w:rsidP="009B7AF5">
            <w:pPr>
              <w:pStyle w:val="Tabletext"/>
            </w:pPr>
            <w:r w:rsidRPr="005071A1">
              <w:t>0.52</w:t>
            </w:r>
          </w:p>
        </w:tc>
        <w:tc>
          <w:tcPr>
            <w:tcW w:w="2247" w:type="dxa"/>
            <w:tcBorders>
              <w:bottom w:val="single" w:sz="4" w:space="0" w:color="auto"/>
            </w:tcBorders>
            <w:shd w:val="clear" w:color="auto" w:fill="auto"/>
          </w:tcPr>
          <w:p w14:paraId="38C3B8FC" w14:textId="77777777" w:rsidR="00B33542" w:rsidRPr="005071A1" w:rsidRDefault="00B33542" w:rsidP="009B7AF5">
            <w:pPr>
              <w:pStyle w:val="Tabletext"/>
            </w:pPr>
            <w:r w:rsidRPr="005071A1">
              <w:t>0.24</w:t>
            </w:r>
          </w:p>
        </w:tc>
        <w:tc>
          <w:tcPr>
            <w:tcW w:w="2247" w:type="dxa"/>
            <w:tcBorders>
              <w:bottom w:val="single" w:sz="4" w:space="0" w:color="auto"/>
            </w:tcBorders>
            <w:shd w:val="clear" w:color="auto" w:fill="auto"/>
          </w:tcPr>
          <w:p w14:paraId="479C71F0" w14:textId="77777777" w:rsidR="00B33542" w:rsidRPr="005071A1" w:rsidRDefault="00B33542" w:rsidP="009B7AF5">
            <w:pPr>
              <w:pStyle w:val="Tabletext"/>
            </w:pPr>
            <w:r w:rsidRPr="005071A1">
              <w:t>0.48</w:t>
            </w:r>
          </w:p>
        </w:tc>
      </w:tr>
      <w:tr w:rsidR="00B33542" w:rsidRPr="005071A1" w14:paraId="0C2F67D0" w14:textId="77777777" w:rsidTr="00D57394">
        <w:tc>
          <w:tcPr>
            <w:tcW w:w="1101" w:type="dxa"/>
            <w:tcBorders>
              <w:bottom w:val="single" w:sz="4" w:space="0" w:color="auto"/>
            </w:tcBorders>
            <w:shd w:val="clear" w:color="auto" w:fill="auto"/>
          </w:tcPr>
          <w:p w14:paraId="458CC7A2" w14:textId="77777777" w:rsidR="00B33542" w:rsidRPr="005071A1" w:rsidRDefault="00B33542" w:rsidP="009B7AF5">
            <w:pPr>
              <w:pStyle w:val="Tabletext"/>
            </w:pPr>
            <w:r w:rsidRPr="005071A1">
              <w:t>60</w:t>
            </w:r>
          </w:p>
        </w:tc>
        <w:tc>
          <w:tcPr>
            <w:tcW w:w="1701" w:type="dxa"/>
            <w:tcBorders>
              <w:bottom w:val="single" w:sz="4" w:space="0" w:color="auto"/>
            </w:tcBorders>
            <w:shd w:val="clear" w:color="auto" w:fill="auto"/>
          </w:tcPr>
          <w:p w14:paraId="44D37535" w14:textId="77777777" w:rsidR="00B33542" w:rsidRPr="005071A1" w:rsidRDefault="00B33542" w:rsidP="009B7AF5">
            <w:pPr>
              <w:pStyle w:val="Tabletext"/>
            </w:pPr>
            <w:r w:rsidRPr="005071A1">
              <w:t>0.62</w:t>
            </w:r>
          </w:p>
        </w:tc>
        <w:tc>
          <w:tcPr>
            <w:tcW w:w="2247" w:type="dxa"/>
            <w:tcBorders>
              <w:bottom w:val="single" w:sz="4" w:space="0" w:color="auto"/>
            </w:tcBorders>
            <w:shd w:val="clear" w:color="auto" w:fill="auto"/>
          </w:tcPr>
          <w:p w14:paraId="7F44468B" w14:textId="77777777" w:rsidR="00B33542" w:rsidRPr="005071A1" w:rsidRDefault="00B33542" w:rsidP="009B7AF5">
            <w:pPr>
              <w:pStyle w:val="Tabletext"/>
            </w:pPr>
            <w:r w:rsidRPr="005071A1">
              <w:t>0.29</w:t>
            </w:r>
          </w:p>
        </w:tc>
        <w:tc>
          <w:tcPr>
            <w:tcW w:w="2247" w:type="dxa"/>
            <w:tcBorders>
              <w:bottom w:val="single" w:sz="4" w:space="0" w:color="auto"/>
            </w:tcBorders>
            <w:shd w:val="clear" w:color="auto" w:fill="auto"/>
          </w:tcPr>
          <w:p w14:paraId="79534FF5" w14:textId="77777777" w:rsidR="00B33542" w:rsidRPr="005071A1" w:rsidRDefault="00B33542" w:rsidP="009B7AF5">
            <w:pPr>
              <w:pStyle w:val="Tabletext"/>
            </w:pPr>
            <w:r w:rsidRPr="005071A1">
              <w:t>0.58</w:t>
            </w:r>
          </w:p>
        </w:tc>
      </w:tr>
      <w:tr w:rsidR="00B33542" w:rsidRPr="005071A1" w14:paraId="161EAE70" w14:textId="77777777" w:rsidTr="00640BB6">
        <w:tc>
          <w:tcPr>
            <w:tcW w:w="1101" w:type="dxa"/>
            <w:tcBorders>
              <w:top w:val="single" w:sz="4" w:space="0" w:color="auto"/>
              <w:bottom w:val="single" w:sz="4" w:space="0" w:color="auto"/>
            </w:tcBorders>
            <w:shd w:val="clear" w:color="auto" w:fill="auto"/>
          </w:tcPr>
          <w:p w14:paraId="11AE4924" w14:textId="77777777" w:rsidR="00B33542" w:rsidRPr="005071A1" w:rsidRDefault="00B33542" w:rsidP="009B7AF5">
            <w:pPr>
              <w:pStyle w:val="Tabletext"/>
            </w:pPr>
            <w:r w:rsidRPr="005071A1">
              <w:t>61</w:t>
            </w:r>
          </w:p>
        </w:tc>
        <w:tc>
          <w:tcPr>
            <w:tcW w:w="1701" w:type="dxa"/>
            <w:tcBorders>
              <w:top w:val="single" w:sz="4" w:space="0" w:color="auto"/>
              <w:bottom w:val="single" w:sz="4" w:space="0" w:color="auto"/>
            </w:tcBorders>
            <w:shd w:val="clear" w:color="auto" w:fill="auto"/>
          </w:tcPr>
          <w:p w14:paraId="6638B4DB" w14:textId="77777777" w:rsidR="00B33542" w:rsidRPr="005071A1" w:rsidRDefault="00B33542" w:rsidP="009B7AF5">
            <w:pPr>
              <w:pStyle w:val="Tabletext"/>
            </w:pPr>
            <w:r w:rsidRPr="005071A1">
              <w:t>0.72</w:t>
            </w:r>
          </w:p>
        </w:tc>
        <w:tc>
          <w:tcPr>
            <w:tcW w:w="2247" w:type="dxa"/>
            <w:tcBorders>
              <w:top w:val="single" w:sz="4" w:space="0" w:color="auto"/>
              <w:bottom w:val="single" w:sz="4" w:space="0" w:color="auto"/>
            </w:tcBorders>
            <w:shd w:val="clear" w:color="auto" w:fill="auto"/>
          </w:tcPr>
          <w:p w14:paraId="287F1A0A" w14:textId="77777777" w:rsidR="00B33542" w:rsidRPr="005071A1" w:rsidRDefault="00B33542" w:rsidP="009B7AF5">
            <w:pPr>
              <w:pStyle w:val="Tabletext"/>
            </w:pPr>
            <w:r w:rsidRPr="005071A1">
              <w:t>0.34</w:t>
            </w:r>
          </w:p>
        </w:tc>
        <w:tc>
          <w:tcPr>
            <w:tcW w:w="2247" w:type="dxa"/>
            <w:tcBorders>
              <w:top w:val="single" w:sz="4" w:space="0" w:color="auto"/>
              <w:bottom w:val="single" w:sz="4" w:space="0" w:color="auto"/>
            </w:tcBorders>
            <w:shd w:val="clear" w:color="auto" w:fill="auto"/>
          </w:tcPr>
          <w:p w14:paraId="2F16BB5D" w14:textId="77777777" w:rsidR="00B33542" w:rsidRPr="005071A1" w:rsidRDefault="00B33542" w:rsidP="009B7AF5">
            <w:pPr>
              <w:pStyle w:val="Tabletext"/>
            </w:pPr>
            <w:r w:rsidRPr="005071A1">
              <w:t>0.68</w:t>
            </w:r>
          </w:p>
        </w:tc>
      </w:tr>
      <w:tr w:rsidR="00B33542" w:rsidRPr="005071A1" w14:paraId="0DCED5DB" w14:textId="77777777" w:rsidTr="00640BB6">
        <w:tc>
          <w:tcPr>
            <w:tcW w:w="1101" w:type="dxa"/>
            <w:tcBorders>
              <w:bottom w:val="single" w:sz="4" w:space="0" w:color="auto"/>
            </w:tcBorders>
            <w:shd w:val="clear" w:color="auto" w:fill="auto"/>
          </w:tcPr>
          <w:p w14:paraId="3216B563" w14:textId="77777777" w:rsidR="00B33542" w:rsidRPr="005071A1" w:rsidRDefault="00B33542" w:rsidP="009B7AF5">
            <w:pPr>
              <w:pStyle w:val="Tabletext"/>
            </w:pPr>
            <w:r w:rsidRPr="005071A1">
              <w:t>62</w:t>
            </w:r>
          </w:p>
        </w:tc>
        <w:tc>
          <w:tcPr>
            <w:tcW w:w="1701" w:type="dxa"/>
            <w:tcBorders>
              <w:bottom w:val="single" w:sz="4" w:space="0" w:color="auto"/>
            </w:tcBorders>
            <w:shd w:val="clear" w:color="auto" w:fill="auto"/>
          </w:tcPr>
          <w:p w14:paraId="2C39615F" w14:textId="77777777" w:rsidR="00B33542" w:rsidRPr="005071A1" w:rsidRDefault="00B33542" w:rsidP="009B7AF5">
            <w:pPr>
              <w:pStyle w:val="Tabletext"/>
            </w:pPr>
            <w:r w:rsidRPr="005071A1">
              <w:t>0.96</w:t>
            </w:r>
          </w:p>
        </w:tc>
        <w:tc>
          <w:tcPr>
            <w:tcW w:w="2247" w:type="dxa"/>
            <w:tcBorders>
              <w:bottom w:val="single" w:sz="4" w:space="0" w:color="auto"/>
            </w:tcBorders>
            <w:shd w:val="clear" w:color="auto" w:fill="auto"/>
          </w:tcPr>
          <w:p w14:paraId="30593B26" w14:textId="77777777" w:rsidR="00B33542" w:rsidRPr="005071A1" w:rsidRDefault="00B33542" w:rsidP="009B7AF5">
            <w:pPr>
              <w:pStyle w:val="Tabletext"/>
            </w:pPr>
            <w:r w:rsidRPr="005071A1">
              <w:t>0.46</w:t>
            </w:r>
          </w:p>
        </w:tc>
        <w:tc>
          <w:tcPr>
            <w:tcW w:w="2247" w:type="dxa"/>
            <w:tcBorders>
              <w:bottom w:val="single" w:sz="4" w:space="0" w:color="auto"/>
            </w:tcBorders>
            <w:shd w:val="clear" w:color="auto" w:fill="auto"/>
          </w:tcPr>
          <w:p w14:paraId="6A3EFF23" w14:textId="77777777" w:rsidR="00B33542" w:rsidRPr="005071A1" w:rsidRDefault="00B33542" w:rsidP="009B7AF5">
            <w:pPr>
              <w:pStyle w:val="Tabletext"/>
            </w:pPr>
            <w:r w:rsidRPr="005071A1">
              <w:t>0.92</w:t>
            </w:r>
          </w:p>
        </w:tc>
      </w:tr>
      <w:tr w:rsidR="00B33542" w:rsidRPr="005071A1" w14:paraId="44359BA0" w14:textId="77777777" w:rsidTr="00640BB6">
        <w:tc>
          <w:tcPr>
            <w:tcW w:w="1101" w:type="dxa"/>
            <w:tcBorders>
              <w:top w:val="single" w:sz="4" w:space="0" w:color="auto"/>
            </w:tcBorders>
            <w:shd w:val="clear" w:color="auto" w:fill="auto"/>
          </w:tcPr>
          <w:p w14:paraId="52EEFADD" w14:textId="77777777" w:rsidR="00B33542" w:rsidRPr="005071A1" w:rsidRDefault="00B33542" w:rsidP="009B7AF5">
            <w:pPr>
              <w:pStyle w:val="Tabletext"/>
            </w:pPr>
            <w:r w:rsidRPr="005071A1">
              <w:t>63</w:t>
            </w:r>
          </w:p>
        </w:tc>
        <w:tc>
          <w:tcPr>
            <w:tcW w:w="1701" w:type="dxa"/>
            <w:tcBorders>
              <w:top w:val="single" w:sz="4" w:space="0" w:color="auto"/>
            </w:tcBorders>
            <w:shd w:val="clear" w:color="auto" w:fill="auto"/>
          </w:tcPr>
          <w:p w14:paraId="351AD4FD" w14:textId="77777777" w:rsidR="00B33542" w:rsidRPr="005071A1" w:rsidRDefault="00B33542" w:rsidP="009B7AF5">
            <w:pPr>
              <w:pStyle w:val="Tabletext"/>
            </w:pPr>
            <w:r w:rsidRPr="005071A1">
              <w:t>1.42</w:t>
            </w:r>
          </w:p>
        </w:tc>
        <w:tc>
          <w:tcPr>
            <w:tcW w:w="2247" w:type="dxa"/>
            <w:tcBorders>
              <w:top w:val="single" w:sz="4" w:space="0" w:color="auto"/>
            </w:tcBorders>
            <w:shd w:val="clear" w:color="auto" w:fill="auto"/>
          </w:tcPr>
          <w:p w14:paraId="6169CC8B" w14:textId="77777777" w:rsidR="00B33542" w:rsidRPr="005071A1" w:rsidRDefault="00B33542" w:rsidP="009B7AF5">
            <w:pPr>
              <w:pStyle w:val="Tabletext"/>
            </w:pPr>
            <w:r w:rsidRPr="005071A1">
              <w:t>0.68</w:t>
            </w:r>
          </w:p>
        </w:tc>
        <w:tc>
          <w:tcPr>
            <w:tcW w:w="2247" w:type="dxa"/>
            <w:tcBorders>
              <w:top w:val="single" w:sz="4" w:space="0" w:color="auto"/>
            </w:tcBorders>
            <w:shd w:val="clear" w:color="auto" w:fill="auto"/>
          </w:tcPr>
          <w:p w14:paraId="32D8DA25" w14:textId="77777777" w:rsidR="00B33542" w:rsidRPr="005071A1" w:rsidRDefault="00B33542" w:rsidP="009B7AF5">
            <w:pPr>
              <w:pStyle w:val="Tabletext"/>
            </w:pPr>
            <w:r w:rsidRPr="005071A1">
              <w:t>1.36</w:t>
            </w:r>
          </w:p>
        </w:tc>
      </w:tr>
      <w:tr w:rsidR="00B33542" w:rsidRPr="005071A1" w14:paraId="602D0B3C" w14:textId="77777777" w:rsidTr="009B7AF5">
        <w:tc>
          <w:tcPr>
            <w:tcW w:w="1101" w:type="dxa"/>
            <w:tcBorders>
              <w:bottom w:val="single" w:sz="4" w:space="0" w:color="auto"/>
            </w:tcBorders>
            <w:shd w:val="clear" w:color="auto" w:fill="auto"/>
          </w:tcPr>
          <w:p w14:paraId="57A02F53" w14:textId="77777777" w:rsidR="00B33542" w:rsidRPr="005071A1" w:rsidRDefault="00B33542" w:rsidP="009B7AF5">
            <w:pPr>
              <w:pStyle w:val="Tabletext"/>
            </w:pPr>
            <w:r w:rsidRPr="005071A1">
              <w:t>64</w:t>
            </w:r>
          </w:p>
        </w:tc>
        <w:tc>
          <w:tcPr>
            <w:tcW w:w="1701" w:type="dxa"/>
            <w:tcBorders>
              <w:bottom w:val="single" w:sz="4" w:space="0" w:color="auto"/>
            </w:tcBorders>
            <w:shd w:val="clear" w:color="auto" w:fill="auto"/>
          </w:tcPr>
          <w:p w14:paraId="37447A10" w14:textId="77777777" w:rsidR="00B33542" w:rsidRPr="005071A1" w:rsidRDefault="00B33542" w:rsidP="009B7AF5">
            <w:pPr>
              <w:pStyle w:val="Tabletext"/>
            </w:pPr>
            <w:r w:rsidRPr="005071A1">
              <w:t>2.84</w:t>
            </w:r>
          </w:p>
        </w:tc>
        <w:tc>
          <w:tcPr>
            <w:tcW w:w="2247" w:type="dxa"/>
            <w:tcBorders>
              <w:bottom w:val="single" w:sz="4" w:space="0" w:color="auto"/>
            </w:tcBorders>
            <w:shd w:val="clear" w:color="auto" w:fill="auto"/>
          </w:tcPr>
          <w:p w14:paraId="590B9BC4" w14:textId="77777777" w:rsidR="00B33542" w:rsidRPr="005071A1" w:rsidRDefault="00B33542" w:rsidP="009B7AF5">
            <w:pPr>
              <w:pStyle w:val="Tabletext"/>
            </w:pPr>
            <w:r w:rsidRPr="005071A1">
              <w:t>1.36</w:t>
            </w:r>
          </w:p>
        </w:tc>
        <w:tc>
          <w:tcPr>
            <w:tcW w:w="2247" w:type="dxa"/>
            <w:tcBorders>
              <w:bottom w:val="single" w:sz="4" w:space="0" w:color="auto"/>
            </w:tcBorders>
            <w:shd w:val="clear" w:color="auto" w:fill="auto"/>
          </w:tcPr>
          <w:p w14:paraId="2D6393E2" w14:textId="77777777" w:rsidR="00B33542" w:rsidRPr="005071A1" w:rsidRDefault="00B33542" w:rsidP="009B7AF5">
            <w:pPr>
              <w:pStyle w:val="Tabletext"/>
            </w:pPr>
            <w:r w:rsidRPr="005071A1">
              <w:t>2.72</w:t>
            </w:r>
          </w:p>
        </w:tc>
      </w:tr>
      <w:tr w:rsidR="00B33542" w:rsidRPr="005071A1" w14:paraId="6199D9B9" w14:textId="77777777" w:rsidTr="009B7AF5">
        <w:tc>
          <w:tcPr>
            <w:tcW w:w="1101" w:type="dxa"/>
            <w:tcBorders>
              <w:bottom w:val="single" w:sz="12" w:space="0" w:color="auto"/>
            </w:tcBorders>
            <w:shd w:val="clear" w:color="auto" w:fill="auto"/>
          </w:tcPr>
          <w:p w14:paraId="3B14D73C" w14:textId="77777777" w:rsidR="00B33542" w:rsidRPr="005071A1" w:rsidRDefault="00B33542" w:rsidP="009B7AF5">
            <w:pPr>
              <w:pStyle w:val="Tabletext"/>
            </w:pPr>
            <w:r w:rsidRPr="005071A1">
              <w:t>65</w:t>
            </w:r>
          </w:p>
        </w:tc>
        <w:tc>
          <w:tcPr>
            <w:tcW w:w="1701" w:type="dxa"/>
            <w:tcBorders>
              <w:bottom w:val="single" w:sz="12" w:space="0" w:color="auto"/>
            </w:tcBorders>
            <w:shd w:val="clear" w:color="auto" w:fill="auto"/>
          </w:tcPr>
          <w:p w14:paraId="2991FBDB" w14:textId="77777777" w:rsidR="00B33542" w:rsidRPr="005071A1" w:rsidRDefault="00B33542" w:rsidP="009B7AF5">
            <w:pPr>
              <w:pStyle w:val="Tabletext"/>
            </w:pPr>
            <w:r w:rsidRPr="005071A1">
              <w:t>2.34</w:t>
            </w:r>
          </w:p>
        </w:tc>
        <w:tc>
          <w:tcPr>
            <w:tcW w:w="2247" w:type="dxa"/>
            <w:tcBorders>
              <w:bottom w:val="single" w:sz="12" w:space="0" w:color="auto"/>
            </w:tcBorders>
            <w:shd w:val="clear" w:color="auto" w:fill="auto"/>
          </w:tcPr>
          <w:p w14:paraId="6077B8FA" w14:textId="77777777" w:rsidR="00B33542" w:rsidRPr="005071A1" w:rsidRDefault="00B33542" w:rsidP="009B7AF5">
            <w:pPr>
              <w:pStyle w:val="Tabletext"/>
            </w:pPr>
            <w:r w:rsidRPr="005071A1">
              <w:t>1.12</w:t>
            </w:r>
          </w:p>
        </w:tc>
        <w:tc>
          <w:tcPr>
            <w:tcW w:w="2247" w:type="dxa"/>
            <w:tcBorders>
              <w:bottom w:val="single" w:sz="12" w:space="0" w:color="auto"/>
            </w:tcBorders>
            <w:shd w:val="clear" w:color="auto" w:fill="auto"/>
          </w:tcPr>
          <w:p w14:paraId="6C004667" w14:textId="77777777" w:rsidR="00B33542" w:rsidRPr="005071A1" w:rsidRDefault="00B33542" w:rsidP="009B7AF5">
            <w:pPr>
              <w:pStyle w:val="Tabletext"/>
            </w:pPr>
            <w:r w:rsidRPr="005071A1">
              <w:t>2.24</w:t>
            </w:r>
          </w:p>
        </w:tc>
      </w:tr>
    </w:tbl>
    <w:p w14:paraId="6642753B" w14:textId="77777777" w:rsidR="00B33542" w:rsidRPr="005071A1" w:rsidRDefault="00B33542" w:rsidP="00674A0D">
      <w:pPr>
        <w:pStyle w:val="ActHead5"/>
        <w:pageBreakBefore/>
      </w:pPr>
      <w:bookmarkStart w:id="319" w:name="_Toc185577701"/>
      <w:r w:rsidRPr="005071A1">
        <w:t>Table IX</w:t>
      </w:r>
      <w:bookmarkEnd w:id="319"/>
    </w:p>
    <w:p w14:paraId="1E984F46" w14:textId="77777777" w:rsidR="00B33542" w:rsidRPr="005071A1" w:rsidRDefault="00B33542" w:rsidP="00B33542">
      <w:pPr>
        <w:spacing w:before="120"/>
      </w:pPr>
      <w:r w:rsidRPr="005071A1">
        <w:t>Reductions in fortnightly rates of contribution payable on or after 1st July, 1962, by female contributors for units of pension based on a retiring age of 65 years and the age next birthday of the contributor when the obligation to contribute for those units came into existence</w:t>
      </w:r>
    </w:p>
    <w:p w14:paraId="5425E70D"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384"/>
        <w:gridCol w:w="2977"/>
        <w:gridCol w:w="2935"/>
      </w:tblGrid>
      <w:tr w:rsidR="00B33542" w:rsidRPr="005071A1" w14:paraId="59590C9A" w14:textId="77777777" w:rsidTr="009B7AF5">
        <w:trPr>
          <w:tblHeader/>
        </w:trPr>
        <w:tc>
          <w:tcPr>
            <w:tcW w:w="1384" w:type="dxa"/>
            <w:tcBorders>
              <w:top w:val="single" w:sz="12" w:space="0" w:color="auto"/>
              <w:bottom w:val="single" w:sz="6" w:space="0" w:color="auto"/>
            </w:tcBorders>
            <w:shd w:val="clear" w:color="auto" w:fill="auto"/>
          </w:tcPr>
          <w:p w14:paraId="4D1DC785" w14:textId="77777777" w:rsidR="00B33542" w:rsidRPr="005071A1" w:rsidRDefault="00B33542" w:rsidP="009B7AF5">
            <w:pPr>
              <w:pStyle w:val="TableHeading"/>
            </w:pPr>
            <w:r w:rsidRPr="005071A1">
              <w:t>Column 1</w:t>
            </w:r>
          </w:p>
        </w:tc>
        <w:tc>
          <w:tcPr>
            <w:tcW w:w="2977" w:type="dxa"/>
            <w:tcBorders>
              <w:top w:val="single" w:sz="12" w:space="0" w:color="auto"/>
              <w:bottom w:val="single" w:sz="6" w:space="0" w:color="auto"/>
            </w:tcBorders>
            <w:shd w:val="clear" w:color="auto" w:fill="auto"/>
          </w:tcPr>
          <w:p w14:paraId="0A7C2571" w14:textId="77777777" w:rsidR="00B33542" w:rsidRPr="005071A1" w:rsidRDefault="00B33542" w:rsidP="009B7AF5">
            <w:pPr>
              <w:pStyle w:val="TableHeading"/>
            </w:pPr>
            <w:r w:rsidRPr="005071A1">
              <w:t>Column 2</w:t>
            </w:r>
          </w:p>
        </w:tc>
        <w:tc>
          <w:tcPr>
            <w:tcW w:w="2935" w:type="dxa"/>
            <w:tcBorders>
              <w:top w:val="single" w:sz="12" w:space="0" w:color="auto"/>
              <w:bottom w:val="single" w:sz="6" w:space="0" w:color="auto"/>
            </w:tcBorders>
            <w:shd w:val="clear" w:color="auto" w:fill="auto"/>
          </w:tcPr>
          <w:p w14:paraId="57B517A5" w14:textId="77777777" w:rsidR="00B33542" w:rsidRPr="005071A1" w:rsidRDefault="00B33542" w:rsidP="009B7AF5">
            <w:pPr>
              <w:pStyle w:val="TableHeading"/>
            </w:pPr>
            <w:r w:rsidRPr="005071A1">
              <w:t>Column 3</w:t>
            </w:r>
          </w:p>
        </w:tc>
      </w:tr>
      <w:tr w:rsidR="00B33542" w:rsidRPr="005071A1" w14:paraId="3CA7514A" w14:textId="77777777" w:rsidTr="009B7AF5">
        <w:trPr>
          <w:tblHeader/>
        </w:trPr>
        <w:tc>
          <w:tcPr>
            <w:tcW w:w="1384" w:type="dxa"/>
            <w:tcBorders>
              <w:top w:val="single" w:sz="6" w:space="0" w:color="auto"/>
              <w:bottom w:val="single" w:sz="6" w:space="0" w:color="auto"/>
            </w:tcBorders>
            <w:shd w:val="clear" w:color="auto" w:fill="auto"/>
          </w:tcPr>
          <w:p w14:paraId="48454CDB"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2977" w:type="dxa"/>
            <w:tcBorders>
              <w:top w:val="single" w:sz="6" w:space="0" w:color="auto"/>
              <w:bottom w:val="single" w:sz="6" w:space="0" w:color="auto"/>
            </w:tcBorders>
            <w:shd w:val="clear" w:color="auto" w:fill="auto"/>
          </w:tcPr>
          <w:p w14:paraId="25A25064"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w:t>
            </w:r>
          </w:p>
          <w:p w14:paraId="5EF2D635"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a</w:t>
            </w:r>
            <w:r w:rsidRPr="005071A1">
              <w:rPr>
                <w:sz w:val="16"/>
                <w:szCs w:val="16"/>
              </w:rPr>
              <w:t xml:space="preserve">) </w:t>
            </w:r>
            <w:r w:rsidR="00B33542" w:rsidRPr="005071A1">
              <w:rPr>
                <w:sz w:val="16"/>
                <w:szCs w:val="16"/>
              </w:rPr>
              <w:t>First Two Units where Obligation to Contribute for those Units came into existence after 2nd November, 1942, and before 14th December, 1959; and</w:t>
            </w:r>
          </w:p>
          <w:p w14:paraId="25108CD7"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b</w:t>
            </w:r>
            <w:r w:rsidRPr="005071A1">
              <w:rPr>
                <w:sz w:val="16"/>
                <w:szCs w:val="16"/>
              </w:rPr>
              <w:t xml:space="preserve">) </w:t>
            </w:r>
            <w:r w:rsidR="00B33542" w:rsidRPr="005071A1">
              <w:rPr>
                <w:sz w:val="16"/>
                <w:szCs w:val="16"/>
              </w:rPr>
              <w:t>Each Additional Two Units included in a number of Additional Units for which Contributor became liable to Contribute at the same time, excluding any Unit to which Column 3 of this Table applies, where the Obligation to Contribute for those Additional Units came into existence after 2nd November, 1942, and before 1st November, 1951</w:t>
            </w:r>
          </w:p>
        </w:tc>
        <w:tc>
          <w:tcPr>
            <w:tcW w:w="2935" w:type="dxa"/>
            <w:tcBorders>
              <w:top w:val="single" w:sz="6" w:space="0" w:color="auto"/>
              <w:bottom w:val="single" w:sz="6" w:space="0" w:color="auto"/>
            </w:tcBorders>
            <w:shd w:val="clear" w:color="auto" w:fill="auto"/>
          </w:tcPr>
          <w:p w14:paraId="06F7E8EE" w14:textId="77777777" w:rsidR="00B33542" w:rsidRPr="005071A1" w:rsidRDefault="00B33542" w:rsidP="005C01B5">
            <w:pPr>
              <w:pStyle w:val="TableHeading"/>
              <w:spacing w:before="40" w:after="40" w:line="180" w:lineRule="atLeast"/>
              <w:rPr>
                <w:sz w:val="16"/>
                <w:szCs w:val="16"/>
              </w:rPr>
            </w:pPr>
            <w:r w:rsidRPr="005071A1">
              <w:rPr>
                <w:sz w:val="16"/>
                <w:szCs w:val="16"/>
              </w:rPr>
              <w:t>Reduction in Contribution for—</w:t>
            </w:r>
          </w:p>
          <w:p w14:paraId="6FAF9740"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a</w:t>
            </w:r>
            <w:r w:rsidRPr="005071A1">
              <w:rPr>
                <w:sz w:val="16"/>
                <w:szCs w:val="16"/>
              </w:rPr>
              <w:t xml:space="preserve">) </w:t>
            </w:r>
            <w:r w:rsidR="00B33542" w:rsidRPr="005071A1">
              <w:rPr>
                <w:sz w:val="16"/>
                <w:szCs w:val="16"/>
              </w:rPr>
              <w:t>Additional Unit where Contributor did not become liable to Contribute for other Additional Units at the same time and the Obligation to Contribute for that Additional Unit came into existence after 2nd November, 1942, and before 1st November, 1951;</w:t>
            </w:r>
          </w:p>
          <w:p w14:paraId="3E4A5335"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b</w:t>
            </w:r>
            <w:r w:rsidRPr="005071A1">
              <w:rPr>
                <w:sz w:val="16"/>
                <w:szCs w:val="16"/>
              </w:rPr>
              <w:t xml:space="preserve">) </w:t>
            </w:r>
            <w:r w:rsidR="00B33542" w:rsidRPr="005071A1">
              <w:rPr>
                <w:sz w:val="16"/>
                <w:szCs w:val="16"/>
              </w:rPr>
              <w:t>One of a number of Additional Units for which Contributor became liable to Contribute at the same time, being a number that is not two or a multiple of two, where the Obligation to Contribute for those Additional Units came into existence after 2nd November, 1942, and before 1st November, 1951; and</w:t>
            </w:r>
          </w:p>
          <w:p w14:paraId="4466F3E4"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c</w:t>
            </w:r>
            <w:r w:rsidRPr="005071A1">
              <w:rPr>
                <w:sz w:val="16"/>
                <w:szCs w:val="16"/>
              </w:rPr>
              <w:t xml:space="preserve">) </w:t>
            </w:r>
            <w:r w:rsidR="00B33542" w:rsidRPr="005071A1">
              <w:rPr>
                <w:sz w:val="16"/>
                <w:szCs w:val="16"/>
              </w:rPr>
              <w:t>Each Additional Unit where the Obligation to Contribute for that Additional Unit came into existence on or after 1st November, 1951, and before 14th December, 1959</w:t>
            </w:r>
          </w:p>
        </w:tc>
      </w:tr>
      <w:tr w:rsidR="00B33542" w:rsidRPr="005071A1" w14:paraId="3859FAFB" w14:textId="77777777" w:rsidTr="009B7AF5">
        <w:trPr>
          <w:tblHeader/>
        </w:trPr>
        <w:tc>
          <w:tcPr>
            <w:tcW w:w="1384" w:type="dxa"/>
            <w:tcBorders>
              <w:top w:val="single" w:sz="6" w:space="0" w:color="auto"/>
              <w:bottom w:val="single" w:sz="12" w:space="0" w:color="auto"/>
            </w:tcBorders>
            <w:shd w:val="clear" w:color="auto" w:fill="auto"/>
          </w:tcPr>
          <w:p w14:paraId="79E64717" w14:textId="77777777" w:rsidR="00B33542" w:rsidRPr="005071A1" w:rsidRDefault="00B33542" w:rsidP="005C01B5">
            <w:pPr>
              <w:pStyle w:val="TableHeading"/>
            </w:pPr>
          </w:p>
        </w:tc>
        <w:tc>
          <w:tcPr>
            <w:tcW w:w="2977" w:type="dxa"/>
            <w:tcBorders>
              <w:top w:val="single" w:sz="6" w:space="0" w:color="auto"/>
              <w:bottom w:val="single" w:sz="12" w:space="0" w:color="auto"/>
            </w:tcBorders>
            <w:shd w:val="clear" w:color="auto" w:fill="auto"/>
          </w:tcPr>
          <w:p w14:paraId="12423AF0" w14:textId="77777777" w:rsidR="00B33542" w:rsidRPr="005071A1" w:rsidRDefault="00B33542" w:rsidP="005C01B5">
            <w:pPr>
              <w:pStyle w:val="TableHeading"/>
            </w:pPr>
            <w:r w:rsidRPr="005071A1">
              <w:t>$</w:t>
            </w:r>
          </w:p>
        </w:tc>
        <w:tc>
          <w:tcPr>
            <w:tcW w:w="2935" w:type="dxa"/>
            <w:tcBorders>
              <w:top w:val="single" w:sz="6" w:space="0" w:color="auto"/>
              <w:bottom w:val="single" w:sz="12" w:space="0" w:color="auto"/>
            </w:tcBorders>
            <w:shd w:val="clear" w:color="auto" w:fill="auto"/>
          </w:tcPr>
          <w:p w14:paraId="11DBCD27" w14:textId="77777777" w:rsidR="00B33542" w:rsidRPr="005071A1" w:rsidRDefault="00B33542" w:rsidP="005C01B5">
            <w:pPr>
              <w:pStyle w:val="TableHeading"/>
            </w:pPr>
            <w:r w:rsidRPr="005071A1">
              <w:t>$</w:t>
            </w:r>
          </w:p>
        </w:tc>
      </w:tr>
      <w:tr w:rsidR="00B33542" w:rsidRPr="005071A1" w14:paraId="61C3F5CD" w14:textId="77777777" w:rsidTr="009B7AF5">
        <w:tc>
          <w:tcPr>
            <w:tcW w:w="1384" w:type="dxa"/>
            <w:tcBorders>
              <w:top w:val="single" w:sz="12" w:space="0" w:color="auto"/>
            </w:tcBorders>
            <w:shd w:val="clear" w:color="auto" w:fill="auto"/>
          </w:tcPr>
          <w:p w14:paraId="6EFE304B" w14:textId="77777777" w:rsidR="00B33542" w:rsidRPr="005071A1" w:rsidRDefault="00B33542" w:rsidP="009B7AF5">
            <w:pPr>
              <w:pStyle w:val="Tabletext"/>
            </w:pPr>
            <w:r w:rsidRPr="005071A1">
              <w:t>15</w:t>
            </w:r>
          </w:p>
        </w:tc>
        <w:tc>
          <w:tcPr>
            <w:tcW w:w="2977" w:type="dxa"/>
            <w:tcBorders>
              <w:top w:val="single" w:sz="12" w:space="0" w:color="auto"/>
            </w:tcBorders>
            <w:shd w:val="clear" w:color="auto" w:fill="auto"/>
          </w:tcPr>
          <w:p w14:paraId="288FA788" w14:textId="77777777" w:rsidR="00B33542" w:rsidRPr="005071A1" w:rsidRDefault="00B33542" w:rsidP="009B7AF5">
            <w:pPr>
              <w:pStyle w:val="Tabletext"/>
            </w:pPr>
            <w:r w:rsidRPr="005071A1">
              <w:t>0.06</w:t>
            </w:r>
          </w:p>
        </w:tc>
        <w:tc>
          <w:tcPr>
            <w:tcW w:w="2935" w:type="dxa"/>
            <w:tcBorders>
              <w:top w:val="single" w:sz="12" w:space="0" w:color="auto"/>
            </w:tcBorders>
            <w:shd w:val="clear" w:color="auto" w:fill="auto"/>
          </w:tcPr>
          <w:p w14:paraId="2A1AD0AB" w14:textId="77777777" w:rsidR="00B33542" w:rsidRPr="005071A1" w:rsidRDefault="00B33542" w:rsidP="009B7AF5">
            <w:pPr>
              <w:pStyle w:val="Tabletext"/>
            </w:pPr>
            <w:r w:rsidRPr="005071A1">
              <w:t>0.03</w:t>
            </w:r>
          </w:p>
        </w:tc>
      </w:tr>
      <w:tr w:rsidR="00B33542" w:rsidRPr="005071A1" w14:paraId="24201C47" w14:textId="77777777" w:rsidTr="009B7AF5">
        <w:tc>
          <w:tcPr>
            <w:tcW w:w="1384" w:type="dxa"/>
            <w:shd w:val="clear" w:color="auto" w:fill="auto"/>
          </w:tcPr>
          <w:p w14:paraId="35B9B6D4" w14:textId="77777777" w:rsidR="00B33542" w:rsidRPr="005071A1" w:rsidRDefault="00B33542" w:rsidP="009B7AF5">
            <w:pPr>
              <w:pStyle w:val="Tabletext"/>
            </w:pPr>
            <w:r w:rsidRPr="005071A1">
              <w:t>16</w:t>
            </w:r>
          </w:p>
        </w:tc>
        <w:tc>
          <w:tcPr>
            <w:tcW w:w="2977" w:type="dxa"/>
            <w:shd w:val="clear" w:color="auto" w:fill="auto"/>
          </w:tcPr>
          <w:p w14:paraId="30A7B86F" w14:textId="77777777" w:rsidR="00B33542" w:rsidRPr="005071A1" w:rsidRDefault="00B33542" w:rsidP="009B7AF5">
            <w:pPr>
              <w:pStyle w:val="Tabletext"/>
            </w:pPr>
            <w:r w:rsidRPr="005071A1">
              <w:t>0.06</w:t>
            </w:r>
          </w:p>
        </w:tc>
        <w:tc>
          <w:tcPr>
            <w:tcW w:w="2935" w:type="dxa"/>
            <w:shd w:val="clear" w:color="auto" w:fill="auto"/>
          </w:tcPr>
          <w:p w14:paraId="2D5B56DD" w14:textId="77777777" w:rsidR="00B33542" w:rsidRPr="005071A1" w:rsidRDefault="00B33542" w:rsidP="009B7AF5">
            <w:pPr>
              <w:pStyle w:val="Tabletext"/>
            </w:pPr>
            <w:r w:rsidRPr="005071A1">
              <w:t>0.03</w:t>
            </w:r>
          </w:p>
        </w:tc>
      </w:tr>
      <w:tr w:rsidR="00B33542" w:rsidRPr="005071A1" w14:paraId="79A52084" w14:textId="77777777" w:rsidTr="009B7AF5">
        <w:tc>
          <w:tcPr>
            <w:tcW w:w="1384" w:type="dxa"/>
            <w:shd w:val="clear" w:color="auto" w:fill="auto"/>
          </w:tcPr>
          <w:p w14:paraId="7EE987E9" w14:textId="77777777" w:rsidR="00B33542" w:rsidRPr="005071A1" w:rsidRDefault="00B33542" w:rsidP="009B7AF5">
            <w:pPr>
              <w:pStyle w:val="Tabletext"/>
            </w:pPr>
            <w:r w:rsidRPr="005071A1">
              <w:t>17</w:t>
            </w:r>
          </w:p>
        </w:tc>
        <w:tc>
          <w:tcPr>
            <w:tcW w:w="2977" w:type="dxa"/>
            <w:shd w:val="clear" w:color="auto" w:fill="auto"/>
          </w:tcPr>
          <w:p w14:paraId="600FF7B8" w14:textId="77777777" w:rsidR="00B33542" w:rsidRPr="005071A1" w:rsidRDefault="00B33542" w:rsidP="009B7AF5">
            <w:pPr>
              <w:pStyle w:val="Tabletext"/>
            </w:pPr>
            <w:r w:rsidRPr="005071A1">
              <w:t>0.06</w:t>
            </w:r>
          </w:p>
        </w:tc>
        <w:tc>
          <w:tcPr>
            <w:tcW w:w="2935" w:type="dxa"/>
            <w:shd w:val="clear" w:color="auto" w:fill="auto"/>
          </w:tcPr>
          <w:p w14:paraId="5F9F3445" w14:textId="77777777" w:rsidR="00B33542" w:rsidRPr="005071A1" w:rsidRDefault="00B33542" w:rsidP="009B7AF5">
            <w:pPr>
              <w:pStyle w:val="Tabletext"/>
            </w:pPr>
            <w:r w:rsidRPr="005071A1">
              <w:t>0.03</w:t>
            </w:r>
          </w:p>
        </w:tc>
      </w:tr>
      <w:tr w:rsidR="00B33542" w:rsidRPr="005071A1" w14:paraId="1E2C8831" w14:textId="77777777" w:rsidTr="009B7AF5">
        <w:tc>
          <w:tcPr>
            <w:tcW w:w="1384" w:type="dxa"/>
            <w:shd w:val="clear" w:color="auto" w:fill="auto"/>
          </w:tcPr>
          <w:p w14:paraId="4EDD65E8" w14:textId="77777777" w:rsidR="00B33542" w:rsidRPr="005071A1" w:rsidRDefault="00B33542" w:rsidP="009B7AF5">
            <w:pPr>
              <w:pStyle w:val="Tabletext"/>
            </w:pPr>
            <w:r w:rsidRPr="005071A1">
              <w:t>18</w:t>
            </w:r>
          </w:p>
        </w:tc>
        <w:tc>
          <w:tcPr>
            <w:tcW w:w="2977" w:type="dxa"/>
            <w:shd w:val="clear" w:color="auto" w:fill="auto"/>
          </w:tcPr>
          <w:p w14:paraId="1E9B5C29" w14:textId="77777777" w:rsidR="00B33542" w:rsidRPr="005071A1" w:rsidRDefault="00B33542" w:rsidP="009B7AF5">
            <w:pPr>
              <w:pStyle w:val="Tabletext"/>
            </w:pPr>
            <w:r w:rsidRPr="005071A1">
              <w:t>0.06</w:t>
            </w:r>
          </w:p>
        </w:tc>
        <w:tc>
          <w:tcPr>
            <w:tcW w:w="2935" w:type="dxa"/>
            <w:shd w:val="clear" w:color="auto" w:fill="auto"/>
          </w:tcPr>
          <w:p w14:paraId="492B536E" w14:textId="77777777" w:rsidR="00B33542" w:rsidRPr="005071A1" w:rsidRDefault="00B33542" w:rsidP="009B7AF5">
            <w:pPr>
              <w:pStyle w:val="Tabletext"/>
            </w:pPr>
            <w:r w:rsidRPr="005071A1">
              <w:t>0.03</w:t>
            </w:r>
          </w:p>
        </w:tc>
      </w:tr>
      <w:tr w:rsidR="00B33542" w:rsidRPr="005071A1" w14:paraId="507C8D26" w14:textId="77777777" w:rsidTr="009B7AF5">
        <w:tc>
          <w:tcPr>
            <w:tcW w:w="1384" w:type="dxa"/>
            <w:shd w:val="clear" w:color="auto" w:fill="auto"/>
          </w:tcPr>
          <w:p w14:paraId="2D71827D" w14:textId="77777777" w:rsidR="00B33542" w:rsidRPr="005071A1" w:rsidRDefault="00B33542" w:rsidP="009B7AF5">
            <w:pPr>
              <w:pStyle w:val="Tabletext"/>
            </w:pPr>
            <w:r w:rsidRPr="005071A1">
              <w:t>19</w:t>
            </w:r>
          </w:p>
        </w:tc>
        <w:tc>
          <w:tcPr>
            <w:tcW w:w="2977" w:type="dxa"/>
            <w:shd w:val="clear" w:color="auto" w:fill="auto"/>
          </w:tcPr>
          <w:p w14:paraId="76A7C235" w14:textId="77777777" w:rsidR="00B33542" w:rsidRPr="005071A1" w:rsidRDefault="00B33542" w:rsidP="009B7AF5">
            <w:pPr>
              <w:pStyle w:val="Tabletext"/>
            </w:pPr>
            <w:r w:rsidRPr="005071A1">
              <w:t>0.06</w:t>
            </w:r>
          </w:p>
        </w:tc>
        <w:tc>
          <w:tcPr>
            <w:tcW w:w="2935" w:type="dxa"/>
            <w:shd w:val="clear" w:color="auto" w:fill="auto"/>
          </w:tcPr>
          <w:p w14:paraId="1CD2726D" w14:textId="77777777" w:rsidR="00B33542" w:rsidRPr="005071A1" w:rsidRDefault="00B33542" w:rsidP="009B7AF5">
            <w:pPr>
              <w:pStyle w:val="Tabletext"/>
            </w:pPr>
            <w:r w:rsidRPr="005071A1">
              <w:t>0.03</w:t>
            </w:r>
          </w:p>
        </w:tc>
      </w:tr>
      <w:tr w:rsidR="00B33542" w:rsidRPr="005071A1" w14:paraId="1EBFAA9F" w14:textId="77777777" w:rsidTr="009B7AF5">
        <w:tc>
          <w:tcPr>
            <w:tcW w:w="1384" w:type="dxa"/>
            <w:shd w:val="clear" w:color="auto" w:fill="auto"/>
          </w:tcPr>
          <w:p w14:paraId="553FC491" w14:textId="77777777" w:rsidR="00B33542" w:rsidRPr="005071A1" w:rsidRDefault="00B33542" w:rsidP="009B7AF5">
            <w:pPr>
              <w:pStyle w:val="Tabletext"/>
            </w:pPr>
            <w:r w:rsidRPr="005071A1">
              <w:t>20</w:t>
            </w:r>
          </w:p>
        </w:tc>
        <w:tc>
          <w:tcPr>
            <w:tcW w:w="2977" w:type="dxa"/>
            <w:shd w:val="clear" w:color="auto" w:fill="auto"/>
          </w:tcPr>
          <w:p w14:paraId="0A64DFBF" w14:textId="77777777" w:rsidR="00B33542" w:rsidRPr="005071A1" w:rsidRDefault="00B33542" w:rsidP="009B7AF5">
            <w:pPr>
              <w:pStyle w:val="Tabletext"/>
            </w:pPr>
            <w:r w:rsidRPr="005071A1">
              <w:t>0.06</w:t>
            </w:r>
          </w:p>
        </w:tc>
        <w:tc>
          <w:tcPr>
            <w:tcW w:w="2935" w:type="dxa"/>
            <w:shd w:val="clear" w:color="auto" w:fill="auto"/>
          </w:tcPr>
          <w:p w14:paraId="5AE85988" w14:textId="77777777" w:rsidR="00B33542" w:rsidRPr="005071A1" w:rsidRDefault="00B33542" w:rsidP="009B7AF5">
            <w:pPr>
              <w:pStyle w:val="Tabletext"/>
            </w:pPr>
            <w:r w:rsidRPr="005071A1">
              <w:t>0.03</w:t>
            </w:r>
          </w:p>
        </w:tc>
      </w:tr>
      <w:tr w:rsidR="00B33542" w:rsidRPr="005071A1" w14:paraId="7A4A8D04" w14:textId="77777777" w:rsidTr="009B7AF5">
        <w:tc>
          <w:tcPr>
            <w:tcW w:w="1384" w:type="dxa"/>
            <w:shd w:val="clear" w:color="auto" w:fill="auto"/>
          </w:tcPr>
          <w:p w14:paraId="3A016509" w14:textId="77777777" w:rsidR="00B33542" w:rsidRPr="005071A1" w:rsidRDefault="00B33542" w:rsidP="009B7AF5">
            <w:pPr>
              <w:pStyle w:val="Tabletext"/>
            </w:pPr>
            <w:r w:rsidRPr="005071A1">
              <w:t>21</w:t>
            </w:r>
          </w:p>
        </w:tc>
        <w:tc>
          <w:tcPr>
            <w:tcW w:w="2977" w:type="dxa"/>
            <w:shd w:val="clear" w:color="auto" w:fill="auto"/>
          </w:tcPr>
          <w:p w14:paraId="628DEADA" w14:textId="77777777" w:rsidR="00B33542" w:rsidRPr="005071A1" w:rsidRDefault="00B33542" w:rsidP="009B7AF5">
            <w:pPr>
              <w:pStyle w:val="Tabletext"/>
            </w:pPr>
            <w:r w:rsidRPr="005071A1">
              <w:t>0.06</w:t>
            </w:r>
          </w:p>
        </w:tc>
        <w:tc>
          <w:tcPr>
            <w:tcW w:w="2935" w:type="dxa"/>
            <w:shd w:val="clear" w:color="auto" w:fill="auto"/>
          </w:tcPr>
          <w:p w14:paraId="79778C34" w14:textId="77777777" w:rsidR="00B33542" w:rsidRPr="005071A1" w:rsidRDefault="00B33542" w:rsidP="009B7AF5">
            <w:pPr>
              <w:pStyle w:val="Tabletext"/>
            </w:pPr>
            <w:r w:rsidRPr="005071A1">
              <w:t>0.03</w:t>
            </w:r>
          </w:p>
        </w:tc>
      </w:tr>
      <w:tr w:rsidR="00B33542" w:rsidRPr="005071A1" w14:paraId="1E6F56FA" w14:textId="77777777" w:rsidTr="00D57394">
        <w:tc>
          <w:tcPr>
            <w:tcW w:w="1384" w:type="dxa"/>
            <w:tcBorders>
              <w:bottom w:val="single" w:sz="4" w:space="0" w:color="auto"/>
            </w:tcBorders>
            <w:shd w:val="clear" w:color="auto" w:fill="auto"/>
          </w:tcPr>
          <w:p w14:paraId="1910C279" w14:textId="77777777" w:rsidR="00B33542" w:rsidRPr="005071A1" w:rsidRDefault="00B33542" w:rsidP="009B7AF5">
            <w:pPr>
              <w:pStyle w:val="Tabletext"/>
            </w:pPr>
            <w:r w:rsidRPr="005071A1">
              <w:t>22</w:t>
            </w:r>
          </w:p>
        </w:tc>
        <w:tc>
          <w:tcPr>
            <w:tcW w:w="2977" w:type="dxa"/>
            <w:tcBorders>
              <w:bottom w:val="single" w:sz="4" w:space="0" w:color="auto"/>
            </w:tcBorders>
            <w:shd w:val="clear" w:color="auto" w:fill="auto"/>
          </w:tcPr>
          <w:p w14:paraId="330164B7" w14:textId="77777777" w:rsidR="00B33542" w:rsidRPr="005071A1" w:rsidRDefault="00B33542" w:rsidP="009B7AF5">
            <w:pPr>
              <w:pStyle w:val="Tabletext"/>
            </w:pPr>
            <w:r w:rsidRPr="005071A1">
              <w:t>0.06</w:t>
            </w:r>
          </w:p>
        </w:tc>
        <w:tc>
          <w:tcPr>
            <w:tcW w:w="2935" w:type="dxa"/>
            <w:tcBorders>
              <w:bottom w:val="single" w:sz="4" w:space="0" w:color="auto"/>
            </w:tcBorders>
            <w:shd w:val="clear" w:color="auto" w:fill="auto"/>
          </w:tcPr>
          <w:p w14:paraId="57818244" w14:textId="77777777" w:rsidR="00B33542" w:rsidRPr="005071A1" w:rsidRDefault="00B33542" w:rsidP="009B7AF5">
            <w:pPr>
              <w:pStyle w:val="Tabletext"/>
            </w:pPr>
            <w:r w:rsidRPr="005071A1">
              <w:t>0.03</w:t>
            </w:r>
          </w:p>
        </w:tc>
      </w:tr>
      <w:tr w:rsidR="00FB153D" w:rsidRPr="005071A1" w14:paraId="7B2E25F3" w14:textId="77777777" w:rsidTr="00D57394">
        <w:tc>
          <w:tcPr>
            <w:tcW w:w="1384" w:type="dxa"/>
            <w:tcBorders>
              <w:bottom w:val="single" w:sz="4" w:space="0" w:color="auto"/>
            </w:tcBorders>
            <w:shd w:val="clear" w:color="auto" w:fill="auto"/>
          </w:tcPr>
          <w:p w14:paraId="30687A5B" w14:textId="77777777" w:rsidR="00FB153D" w:rsidRPr="005071A1" w:rsidRDefault="00FB153D" w:rsidP="009B7AF5">
            <w:pPr>
              <w:pStyle w:val="Tabletext"/>
            </w:pPr>
            <w:r w:rsidRPr="005071A1">
              <w:t>23</w:t>
            </w:r>
          </w:p>
        </w:tc>
        <w:tc>
          <w:tcPr>
            <w:tcW w:w="2977" w:type="dxa"/>
            <w:tcBorders>
              <w:bottom w:val="single" w:sz="4" w:space="0" w:color="auto"/>
            </w:tcBorders>
            <w:shd w:val="clear" w:color="auto" w:fill="auto"/>
          </w:tcPr>
          <w:p w14:paraId="332ABE1D" w14:textId="77777777" w:rsidR="00FB153D" w:rsidRPr="005071A1" w:rsidRDefault="00FB153D" w:rsidP="009B7AF5">
            <w:pPr>
              <w:pStyle w:val="Tabletext"/>
            </w:pPr>
            <w:r w:rsidRPr="005071A1">
              <w:t>0.06</w:t>
            </w:r>
          </w:p>
        </w:tc>
        <w:tc>
          <w:tcPr>
            <w:tcW w:w="2935" w:type="dxa"/>
            <w:tcBorders>
              <w:bottom w:val="single" w:sz="4" w:space="0" w:color="auto"/>
            </w:tcBorders>
            <w:shd w:val="clear" w:color="auto" w:fill="auto"/>
          </w:tcPr>
          <w:p w14:paraId="09CC3C33" w14:textId="77777777" w:rsidR="00FB153D" w:rsidRPr="005071A1" w:rsidRDefault="00FB153D" w:rsidP="009B7AF5">
            <w:pPr>
              <w:pStyle w:val="Tabletext"/>
            </w:pPr>
            <w:r w:rsidRPr="005071A1">
              <w:t>0.03</w:t>
            </w:r>
          </w:p>
        </w:tc>
      </w:tr>
      <w:tr w:rsidR="00B33542" w:rsidRPr="005071A1" w14:paraId="0671FA1D" w14:textId="77777777" w:rsidTr="00640BB6">
        <w:tc>
          <w:tcPr>
            <w:tcW w:w="1384" w:type="dxa"/>
            <w:tcBorders>
              <w:top w:val="single" w:sz="4" w:space="0" w:color="auto"/>
              <w:bottom w:val="single" w:sz="4" w:space="0" w:color="auto"/>
            </w:tcBorders>
            <w:shd w:val="clear" w:color="auto" w:fill="auto"/>
          </w:tcPr>
          <w:p w14:paraId="3472C8AC" w14:textId="77777777" w:rsidR="00B33542" w:rsidRPr="005071A1" w:rsidRDefault="00B33542" w:rsidP="009B7AF5">
            <w:pPr>
              <w:pStyle w:val="Tabletext"/>
            </w:pPr>
            <w:r w:rsidRPr="005071A1">
              <w:t>24</w:t>
            </w:r>
          </w:p>
        </w:tc>
        <w:tc>
          <w:tcPr>
            <w:tcW w:w="2977" w:type="dxa"/>
            <w:tcBorders>
              <w:top w:val="single" w:sz="4" w:space="0" w:color="auto"/>
              <w:bottom w:val="single" w:sz="4" w:space="0" w:color="auto"/>
            </w:tcBorders>
            <w:shd w:val="clear" w:color="auto" w:fill="auto"/>
          </w:tcPr>
          <w:p w14:paraId="32894FD1" w14:textId="77777777" w:rsidR="00B33542" w:rsidRPr="005071A1" w:rsidRDefault="00B33542" w:rsidP="009B7AF5">
            <w:pPr>
              <w:pStyle w:val="Tabletext"/>
            </w:pPr>
            <w:r w:rsidRPr="005071A1">
              <w:t>0.06</w:t>
            </w:r>
          </w:p>
        </w:tc>
        <w:tc>
          <w:tcPr>
            <w:tcW w:w="2935" w:type="dxa"/>
            <w:tcBorders>
              <w:top w:val="single" w:sz="4" w:space="0" w:color="auto"/>
              <w:bottom w:val="single" w:sz="4" w:space="0" w:color="auto"/>
            </w:tcBorders>
            <w:shd w:val="clear" w:color="auto" w:fill="auto"/>
          </w:tcPr>
          <w:p w14:paraId="58C7DCE4" w14:textId="77777777" w:rsidR="00B33542" w:rsidRPr="005071A1" w:rsidRDefault="00B33542" w:rsidP="009B7AF5">
            <w:pPr>
              <w:pStyle w:val="Tabletext"/>
            </w:pPr>
            <w:r w:rsidRPr="005071A1">
              <w:t>0.03</w:t>
            </w:r>
          </w:p>
        </w:tc>
      </w:tr>
      <w:tr w:rsidR="00B33542" w:rsidRPr="005071A1" w14:paraId="713897CB" w14:textId="77777777" w:rsidTr="00640BB6">
        <w:tc>
          <w:tcPr>
            <w:tcW w:w="1384" w:type="dxa"/>
            <w:tcBorders>
              <w:top w:val="single" w:sz="4" w:space="0" w:color="auto"/>
            </w:tcBorders>
            <w:shd w:val="clear" w:color="auto" w:fill="auto"/>
          </w:tcPr>
          <w:p w14:paraId="5D94D17F" w14:textId="77777777" w:rsidR="00B33542" w:rsidRPr="005071A1" w:rsidRDefault="00B33542" w:rsidP="009B7AF5">
            <w:pPr>
              <w:pStyle w:val="Tabletext"/>
            </w:pPr>
            <w:r w:rsidRPr="005071A1">
              <w:t>25</w:t>
            </w:r>
          </w:p>
        </w:tc>
        <w:tc>
          <w:tcPr>
            <w:tcW w:w="2977" w:type="dxa"/>
            <w:tcBorders>
              <w:top w:val="single" w:sz="4" w:space="0" w:color="auto"/>
            </w:tcBorders>
            <w:shd w:val="clear" w:color="auto" w:fill="auto"/>
          </w:tcPr>
          <w:p w14:paraId="3135E05C" w14:textId="77777777" w:rsidR="00B33542" w:rsidRPr="005071A1" w:rsidRDefault="00B33542" w:rsidP="009B7AF5">
            <w:pPr>
              <w:pStyle w:val="Tabletext"/>
            </w:pPr>
            <w:r w:rsidRPr="005071A1">
              <w:t>0.08</w:t>
            </w:r>
          </w:p>
        </w:tc>
        <w:tc>
          <w:tcPr>
            <w:tcW w:w="2935" w:type="dxa"/>
            <w:tcBorders>
              <w:top w:val="single" w:sz="4" w:space="0" w:color="auto"/>
            </w:tcBorders>
            <w:shd w:val="clear" w:color="auto" w:fill="auto"/>
          </w:tcPr>
          <w:p w14:paraId="7AED007C" w14:textId="77777777" w:rsidR="00B33542" w:rsidRPr="005071A1" w:rsidRDefault="00B33542" w:rsidP="009B7AF5">
            <w:pPr>
              <w:pStyle w:val="Tabletext"/>
            </w:pPr>
            <w:r w:rsidRPr="005071A1">
              <w:t>0.04</w:t>
            </w:r>
          </w:p>
        </w:tc>
      </w:tr>
      <w:tr w:rsidR="00B33542" w:rsidRPr="005071A1" w14:paraId="6E823C96" w14:textId="77777777" w:rsidTr="009B7AF5">
        <w:tc>
          <w:tcPr>
            <w:tcW w:w="1384" w:type="dxa"/>
            <w:shd w:val="clear" w:color="auto" w:fill="auto"/>
          </w:tcPr>
          <w:p w14:paraId="2324459A" w14:textId="77777777" w:rsidR="00B33542" w:rsidRPr="005071A1" w:rsidRDefault="00B33542" w:rsidP="009B7AF5">
            <w:pPr>
              <w:pStyle w:val="Tabletext"/>
            </w:pPr>
            <w:r w:rsidRPr="005071A1">
              <w:t>26</w:t>
            </w:r>
          </w:p>
        </w:tc>
        <w:tc>
          <w:tcPr>
            <w:tcW w:w="2977" w:type="dxa"/>
            <w:shd w:val="clear" w:color="auto" w:fill="auto"/>
          </w:tcPr>
          <w:p w14:paraId="418EEC5A" w14:textId="77777777" w:rsidR="00B33542" w:rsidRPr="005071A1" w:rsidRDefault="00B33542" w:rsidP="009B7AF5">
            <w:pPr>
              <w:pStyle w:val="Tabletext"/>
            </w:pPr>
            <w:r w:rsidRPr="005071A1">
              <w:t>0.08</w:t>
            </w:r>
          </w:p>
        </w:tc>
        <w:tc>
          <w:tcPr>
            <w:tcW w:w="2935" w:type="dxa"/>
            <w:shd w:val="clear" w:color="auto" w:fill="auto"/>
          </w:tcPr>
          <w:p w14:paraId="230E1682" w14:textId="77777777" w:rsidR="00B33542" w:rsidRPr="005071A1" w:rsidRDefault="00B33542" w:rsidP="009B7AF5">
            <w:pPr>
              <w:pStyle w:val="Tabletext"/>
            </w:pPr>
            <w:r w:rsidRPr="005071A1">
              <w:t>0.04</w:t>
            </w:r>
          </w:p>
        </w:tc>
      </w:tr>
      <w:tr w:rsidR="00B33542" w:rsidRPr="005071A1" w14:paraId="62D667A8" w14:textId="77777777" w:rsidTr="009B7AF5">
        <w:tc>
          <w:tcPr>
            <w:tcW w:w="1384" w:type="dxa"/>
            <w:shd w:val="clear" w:color="auto" w:fill="auto"/>
          </w:tcPr>
          <w:p w14:paraId="155B2BA6" w14:textId="77777777" w:rsidR="00B33542" w:rsidRPr="005071A1" w:rsidRDefault="00B33542" w:rsidP="009B7AF5">
            <w:pPr>
              <w:pStyle w:val="Tabletext"/>
            </w:pPr>
            <w:r w:rsidRPr="005071A1">
              <w:t>27</w:t>
            </w:r>
          </w:p>
        </w:tc>
        <w:tc>
          <w:tcPr>
            <w:tcW w:w="2977" w:type="dxa"/>
            <w:shd w:val="clear" w:color="auto" w:fill="auto"/>
          </w:tcPr>
          <w:p w14:paraId="65A63B2C" w14:textId="77777777" w:rsidR="00B33542" w:rsidRPr="005071A1" w:rsidRDefault="00B33542" w:rsidP="009B7AF5">
            <w:pPr>
              <w:pStyle w:val="Tabletext"/>
            </w:pPr>
            <w:r w:rsidRPr="005071A1">
              <w:t>0.08</w:t>
            </w:r>
          </w:p>
        </w:tc>
        <w:tc>
          <w:tcPr>
            <w:tcW w:w="2935" w:type="dxa"/>
            <w:shd w:val="clear" w:color="auto" w:fill="auto"/>
          </w:tcPr>
          <w:p w14:paraId="3538E5D8" w14:textId="77777777" w:rsidR="00B33542" w:rsidRPr="005071A1" w:rsidRDefault="00B33542" w:rsidP="009B7AF5">
            <w:pPr>
              <w:pStyle w:val="Tabletext"/>
            </w:pPr>
            <w:r w:rsidRPr="005071A1">
              <w:t>0.04</w:t>
            </w:r>
          </w:p>
        </w:tc>
      </w:tr>
      <w:tr w:rsidR="00B33542" w:rsidRPr="005071A1" w14:paraId="3D4C8F14" w14:textId="77777777" w:rsidTr="009B7AF5">
        <w:tc>
          <w:tcPr>
            <w:tcW w:w="1384" w:type="dxa"/>
            <w:shd w:val="clear" w:color="auto" w:fill="auto"/>
          </w:tcPr>
          <w:p w14:paraId="56539037" w14:textId="77777777" w:rsidR="00B33542" w:rsidRPr="005071A1" w:rsidRDefault="00B33542" w:rsidP="009B7AF5">
            <w:pPr>
              <w:pStyle w:val="Tabletext"/>
            </w:pPr>
            <w:r w:rsidRPr="005071A1">
              <w:t>28</w:t>
            </w:r>
          </w:p>
        </w:tc>
        <w:tc>
          <w:tcPr>
            <w:tcW w:w="2977" w:type="dxa"/>
            <w:shd w:val="clear" w:color="auto" w:fill="auto"/>
          </w:tcPr>
          <w:p w14:paraId="5ED0754E" w14:textId="77777777" w:rsidR="00B33542" w:rsidRPr="005071A1" w:rsidRDefault="00B33542" w:rsidP="009B7AF5">
            <w:pPr>
              <w:pStyle w:val="Tabletext"/>
            </w:pPr>
            <w:r w:rsidRPr="005071A1">
              <w:t>0.08</w:t>
            </w:r>
          </w:p>
        </w:tc>
        <w:tc>
          <w:tcPr>
            <w:tcW w:w="2935" w:type="dxa"/>
            <w:shd w:val="clear" w:color="auto" w:fill="auto"/>
          </w:tcPr>
          <w:p w14:paraId="7E311DAE" w14:textId="77777777" w:rsidR="00B33542" w:rsidRPr="005071A1" w:rsidRDefault="00B33542" w:rsidP="009B7AF5">
            <w:pPr>
              <w:pStyle w:val="Tabletext"/>
            </w:pPr>
            <w:r w:rsidRPr="005071A1">
              <w:t>0.04</w:t>
            </w:r>
          </w:p>
        </w:tc>
      </w:tr>
      <w:tr w:rsidR="00B33542" w:rsidRPr="005071A1" w14:paraId="188537C3" w14:textId="77777777" w:rsidTr="009B7AF5">
        <w:tc>
          <w:tcPr>
            <w:tcW w:w="1384" w:type="dxa"/>
            <w:shd w:val="clear" w:color="auto" w:fill="auto"/>
          </w:tcPr>
          <w:p w14:paraId="3D19B746" w14:textId="77777777" w:rsidR="00B33542" w:rsidRPr="005071A1" w:rsidRDefault="00B33542" w:rsidP="009B7AF5">
            <w:pPr>
              <w:pStyle w:val="Tabletext"/>
            </w:pPr>
            <w:r w:rsidRPr="005071A1">
              <w:t>29</w:t>
            </w:r>
          </w:p>
        </w:tc>
        <w:tc>
          <w:tcPr>
            <w:tcW w:w="2977" w:type="dxa"/>
            <w:shd w:val="clear" w:color="auto" w:fill="auto"/>
          </w:tcPr>
          <w:p w14:paraId="1E98DD6F" w14:textId="77777777" w:rsidR="00B33542" w:rsidRPr="005071A1" w:rsidRDefault="00B33542" w:rsidP="009B7AF5">
            <w:pPr>
              <w:pStyle w:val="Tabletext"/>
            </w:pPr>
            <w:r w:rsidRPr="005071A1">
              <w:t>0.08</w:t>
            </w:r>
          </w:p>
        </w:tc>
        <w:tc>
          <w:tcPr>
            <w:tcW w:w="2935" w:type="dxa"/>
            <w:shd w:val="clear" w:color="auto" w:fill="auto"/>
          </w:tcPr>
          <w:p w14:paraId="6973BF77" w14:textId="77777777" w:rsidR="00B33542" w:rsidRPr="005071A1" w:rsidRDefault="00B33542" w:rsidP="009B7AF5">
            <w:pPr>
              <w:pStyle w:val="Tabletext"/>
            </w:pPr>
            <w:r w:rsidRPr="005071A1">
              <w:t>0.04</w:t>
            </w:r>
          </w:p>
        </w:tc>
      </w:tr>
      <w:tr w:rsidR="00B33542" w:rsidRPr="005071A1" w14:paraId="30847800" w14:textId="77777777" w:rsidTr="009B7AF5">
        <w:tc>
          <w:tcPr>
            <w:tcW w:w="1384" w:type="dxa"/>
            <w:shd w:val="clear" w:color="auto" w:fill="auto"/>
          </w:tcPr>
          <w:p w14:paraId="49B8ED29" w14:textId="77777777" w:rsidR="00B33542" w:rsidRPr="005071A1" w:rsidRDefault="00B33542" w:rsidP="009B7AF5">
            <w:pPr>
              <w:pStyle w:val="Tabletext"/>
            </w:pPr>
            <w:r w:rsidRPr="005071A1">
              <w:t>30</w:t>
            </w:r>
          </w:p>
        </w:tc>
        <w:tc>
          <w:tcPr>
            <w:tcW w:w="2977" w:type="dxa"/>
            <w:shd w:val="clear" w:color="auto" w:fill="auto"/>
          </w:tcPr>
          <w:p w14:paraId="566F1602" w14:textId="77777777" w:rsidR="00B33542" w:rsidRPr="005071A1" w:rsidRDefault="00B33542" w:rsidP="009B7AF5">
            <w:pPr>
              <w:pStyle w:val="Tabletext"/>
            </w:pPr>
            <w:r w:rsidRPr="005071A1">
              <w:t>0.08</w:t>
            </w:r>
          </w:p>
        </w:tc>
        <w:tc>
          <w:tcPr>
            <w:tcW w:w="2935" w:type="dxa"/>
            <w:shd w:val="clear" w:color="auto" w:fill="auto"/>
          </w:tcPr>
          <w:p w14:paraId="7EAC3BF1" w14:textId="77777777" w:rsidR="00B33542" w:rsidRPr="005071A1" w:rsidRDefault="00B33542" w:rsidP="009B7AF5">
            <w:pPr>
              <w:pStyle w:val="Tabletext"/>
            </w:pPr>
            <w:r w:rsidRPr="005071A1">
              <w:t>0.04</w:t>
            </w:r>
          </w:p>
        </w:tc>
      </w:tr>
      <w:tr w:rsidR="00B33542" w:rsidRPr="005071A1" w14:paraId="7C5C7674" w14:textId="77777777" w:rsidTr="009B7AF5">
        <w:tc>
          <w:tcPr>
            <w:tcW w:w="1384" w:type="dxa"/>
            <w:shd w:val="clear" w:color="auto" w:fill="auto"/>
          </w:tcPr>
          <w:p w14:paraId="64FC5DC2" w14:textId="77777777" w:rsidR="00B33542" w:rsidRPr="005071A1" w:rsidRDefault="00B33542" w:rsidP="009B7AF5">
            <w:pPr>
              <w:pStyle w:val="Tabletext"/>
            </w:pPr>
            <w:r w:rsidRPr="005071A1">
              <w:t>31</w:t>
            </w:r>
          </w:p>
        </w:tc>
        <w:tc>
          <w:tcPr>
            <w:tcW w:w="2977" w:type="dxa"/>
            <w:shd w:val="clear" w:color="auto" w:fill="auto"/>
          </w:tcPr>
          <w:p w14:paraId="40A5B970" w14:textId="77777777" w:rsidR="00B33542" w:rsidRPr="005071A1" w:rsidRDefault="00B33542" w:rsidP="009B7AF5">
            <w:pPr>
              <w:pStyle w:val="Tabletext"/>
            </w:pPr>
            <w:r w:rsidRPr="005071A1">
              <w:t>0.08</w:t>
            </w:r>
          </w:p>
        </w:tc>
        <w:tc>
          <w:tcPr>
            <w:tcW w:w="2935" w:type="dxa"/>
            <w:shd w:val="clear" w:color="auto" w:fill="auto"/>
          </w:tcPr>
          <w:p w14:paraId="30C7CEFC" w14:textId="77777777" w:rsidR="00B33542" w:rsidRPr="005071A1" w:rsidRDefault="00B33542" w:rsidP="009B7AF5">
            <w:pPr>
              <w:pStyle w:val="Tabletext"/>
            </w:pPr>
            <w:r w:rsidRPr="005071A1">
              <w:t>0.04</w:t>
            </w:r>
          </w:p>
        </w:tc>
      </w:tr>
      <w:tr w:rsidR="00B33542" w:rsidRPr="005071A1" w14:paraId="3E24568C" w14:textId="77777777" w:rsidTr="009B7AF5">
        <w:tc>
          <w:tcPr>
            <w:tcW w:w="1384" w:type="dxa"/>
            <w:shd w:val="clear" w:color="auto" w:fill="auto"/>
          </w:tcPr>
          <w:p w14:paraId="02394957" w14:textId="77777777" w:rsidR="00B33542" w:rsidRPr="005071A1" w:rsidRDefault="00B33542" w:rsidP="009B7AF5">
            <w:pPr>
              <w:pStyle w:val="Tabletext"/>
            </w:pPr>
            <w:r w:rsidRPr="005071A1">
              <w:t>32</w:t>
            </w:r>
          </w:p>
        </w:tc>
        <w:tc>
          <w:tcPr>
            <w:tcW w:w="2977" w:type="dxa"/>
            <w:shd w:val="clear" w:color="auto" w:fill="auto"/>
          </w:tcPr>
          <w:p w14:paraId="6ABF3232" w14:textId="77777777" w:rsidR="00B33542" w:rsidRPr="005071A1" w:rsidRDefault="00B33542" w:rsidP="009B7AF5">
            <w:pPr>
              <w:pStyle w:val="Tabletext"/>
            </w:pPr>
            <w:r w:rsidRPr="005071A1">
              <w:t>0.08</w:t>
            </w:r>
          </w:p>
        </w:tc>
        <w:tc>
          <w:tcPr>
            <w:tcW w:w="2935" w:type="dxa"/>
            <w:shd w:val="clear" w:color="auto" w:fill="auto"/>
          </w:tcPr>
          <w:p w14:paraId="43F58CB8" w14:textId="77777777" w:rsidR="00B33542" w:rsidRPr="005071A1" w:rsidRDefault="00B33542" w:rsidP="009B7AF5">
            <w:pPr>
              <w:pStyle w:val="Tabletext"/>
            </w:pPr>
            <w:r w:rsidRPr="005071A1">
              <w:t>0.04</w:t>
            </w:r>
          </w:p>
        </w:tc>
      </w:tr>
      <w:tr w:rsidR="00B33542" w:rsidRPr="005071A1" w14:paraId="14CDB1D6" w14:textId="77777777" w:rsidTr="009B7AF5">
        <w:tc>
          <w:tcPr>
            <w:tcW w:w="1384" w:type="dxa"/>
            <w:shd w:val="clear" w:color="auto" w:fill="auto"/>
          </w:tcPr>
          <w:p w14:paraId="1318FB53" w14:textId="77777777" w:rsidR="00B33542" w:rsidRPr="005071A1" w:rsidRDefault="00B33542" w:rsidP="009B7AF5">
            <w:pPr>
              <w:pStyle w:val="Tabletext"/>
            </w:pPr>
            <w:r w:rsidRPr="005071A1">
              <w:t>33</w:t>
            </w:r>
          </w:p>
        </w:tc>
        <w:tc>
          <w:tcPr>
            <w:tcW w:w="2977" w:type="dxa"/>
            <w:shd w:val="clear" w:color="auto" w:fill="auto"/>
          </w:tcPr>
          <w:p w14:paraId="406E570D" w14:textId="77777777" w:rsidR="00B33542" w:rsidRPr="005071A1" w:rsidRDefault="00B33542" w:rsidP="009B7AF5">
            <w:pPr>
              <w:pStyle w:val="Tabletext"/>
            </w:pPr>
            <w:r w:rsidRPr="005071A1">
              <w:t>0.10</w:t>
            </w:r>
          </w:p>
        </w:tc>
        <w:tc>
          <w:tcPr>
            <w:tcW w:w="2935" w:type="dxa"/>
            <w:shd w:val="clear" w:color="auto" w:fill="auto"/>
          </w:tcPr>
          <w:p w14:paraId="640E5487" w14:textId="77777777" w:rsidR="00B33542" w:rsidRPr="005071A1" w:rsidRDefault="00B33542" w:rsidP="009B7AF5">
            <w:pPr>
              <w:pStyle w:val="Tabletext"/>
            </w:pPr>
            <w:r w:rsidRPr="005071A1">
              <w:t>0.05</w:t>
            </w:r>
          </w:p>
        </w:tc>
      </w:tr>
      <w:tr w:rsidR="00B33542" w:rsidRPr="005071A1" w14:paraId="31293315" w14:textId="77777777" w:rsidTr="009B7AF5">
        <w:tc>
          <w:tcPr>
            <w:tcW w:w="1384" w:type="dxa"/>
            <w:shd w:val="clear" w:color="auto" w:fill="auto"/>
          </w:tcPr>
          <w:p w14:paraId="322C1CB6" w14:textId="77777777" w:rsidR="00B33542" w:rsidRPr="005071A1" w:rsidRDefault="00B33542" w:rsidP="009B7AF5">
            <w:pPr>
              <w:pStyle w:val="Tabletext"/>
            </w:pPr>
            <w:r w:rsidRPr="005071A1">
              <w:t>34</w:t>
            </w:r>
          </w:p>
        </w:tc>
        <w:tc>
          <w:tcPr>
            <w:tcW w:w="2977" w:type="dxa"/>
            <w:shd w:val="clear" w:color="auto" w:fill="auto"/>
          </w:tcPr>
          <w:p w14:paraId="61562DE9" w14:textId="77777777" w:rsidR="00B33542" w:rsidRPr="005071A1" w:rsidRDefault="00B33542" w:rsidP="009B7AF5">
            <w:pPr>
              <w:pStyle w:val="Tabletext"/>
            </w:pPr>
            <w:r w:rsidRPr="005071A1">
              <w:t>0.10</w:t>
            </w:r>
          </w:p>
        </w:tc>
        <w:tc>
          <w:tcPr>
            <w:tcW w:w="2935" w:type="dxa"/>
            <w:shd w:val="clear" w:color="auto" w:fill="auto"/>
          </w:tcPr>
          <w:p w14:paraId="422C1B89" w14:textId="77777777" w:rsidR="00B33542" w:rsidRPr="005071A1" w:rsidRDefault="00B33542" w:rsidP="009B7AF5">
            <w:pPr>
              <w:pStyle w:val="Tabletext"/>
            </w:pPr>
            <w:r w:rsidRPr="005071A1">
              <w:t>0.05</w:t>
            </w:r>
          </w:p>
        </w:tc>
      </w:tr>
      <w:tr w:rsidR="00B33542" w:rsidRPr="005071A1" w14:paraId="31BF853C" w14:textId="77777777" w:rsidTr="009B7AF5">
        <w:tc>
          <w:tcPr>
            <w:tcW w:w="1384" w:type="dxa"/>
            <w:shd w:val="clear" w:color="auto" w:fill="auto"/>
          </w:tcPr>
          <w:p w14:paraId="14997E14" w14:textId="77777777" w:rsidR="00B33542" w:rsidRPr="005071A1" w:rsidRDefault="00B33542" w:rsidP="009B7AF5">
            <w:pPr>
              <w:pStyle w:val="Tabletext"/>
            </w:pPr>
            <w:r w:rsidRPr="005071A1">
              <w:t>35</w:t>
            </w:r>
          </w:p>
        </w:tc>
        <w:tc>
          <w:tcPr>
            <w:tcW w:w="2977" w:type="dxa"/>
            <w:shd w:val="clear" w:color="auto" w:fill="auto"/>
          </w:tcPr>
          <w:p w14:paraId="5F8689C0" w14:textId="77777777" w:rsidR="00B33542" w:rsidRPr="005071A1" w:rsidRDefault="00B33542" w:rsidP="009B7AF5">
            <w:pPr>
              <w:pStyle w:val="Tabletext"/>
            </w:pPr>
            <w:r w:rsidRPr="005071A1">
              <w:t>0.10</w:t>
            </w:r>
          </w:p>
        </w:tc>
        <w:tc>
          <w:tcPr>
            <w:tcW w:w="2935" w:type="dxa"/>
            <w:shd w:val="clear" w:color="auto" w:fill="auto"/>
          </w:tcPr>
          <w:p w14:paraId="475F6557" w14:textId="77777777" w:rsidR="00B33542" w:rsidRPr="005071A1" w:rsidRDefault="00B33542" w:rsidP="009B7AF5">
            <w:pPr>
              <w:pStyle w:val="Tabletext"/>
            </w:pPr>
            <w:r w:rsidRPr="005071A1">
              <w:t>0.05</w:t>
            </w:r>
          </w:p>
        </w:tc>
      </w:tr>
      <w:tr w:rsidR="00B33542" w:rsidRPr="005071A1" w14:paraId="082B95DE" w14:textId="77777777" w:rsidTr="009B7AF5">
        <w:tc>
          <w:tcPr>
            <w:tcW w:w="1384" w:type="dxa"/>
            <w:shd w:val="clear" w:color="auto" w:fill="auto"/>
          </w:tcPr>
          <w:p w14:paraId="1B672557" w14:textId="77777777" w:rsidR="00B33542" w:rsidRPr="005071A1" w:rsidRDefault="00B33542" w:rsidP="009B7AF5">
            <w:pPr>
              <w:pStyle w:val="Tabletext"/>
            </w:pPr>
            <w:r w:rsidRPr="005071A1">
              <w:t>36</w:t>
            </w:r>
          </w:p>
        </w:tc>
        <w:tc>
          <w:tcPr>
            <w:tcW w:w="2977" w:type="dxa"/>
            <w:shd w:val="clear" w:color="auto" w:fill="auto"/>
          </w:tcPr>
          <w:p w14:paraId="5F104C93" w14:textId="77777777" w:rsidR="00B33542" w:rsidRPr="005071A1" w:rsidRDefault="00B33542" w:rsidP="009B7AF5">
            <w:pPr>
              <w:pStyle w:val="Tabletext"/>
            </w:pPr>
            <w:r w:rsidRPr="005071A1">
              <w:t>0.10</w:t>
            </w:r>
          </w:p>
        </w:tc>
        <w:tc>
          <w:tcPr>
            <w:tcW w:w="2935" w:type="dxa"/>
            <w:shd w:val="clear" w:color="auto" w:fill="auto"/>
          </w:tcPr>
          <w:p w14:paraId="0F5698AB" w14:textId="77777777" w:rsidR="00B33542" w:rsidRPr="005071A1" w:rsidRDefault="00B33542" w:rsidP="009B7AF5">
            <w:pPr>
              <w:pStyle w:val="Tabletext"/>
            </w:pPr>
            <w:r w:rsidRPr="005071A1">
              <w:t>0.05</w:t>
            </w:r>
          </w:p>
        </w:tc>
      </w:tr>
      <w:tr w:rsidR="00B33542" w:rsidRPr="005071A1" w14:paraId="74BF1728" w14:textId="77777777" w:rsidTr="009B7AF5">
        <w:tc>
          <w:tcPr>
            <w:tcW w:w="1384" w:type="dxa"/>
            <w:shd w:val="clear" w:color="auto" w:fill="auto"/>
          </w:tcPr>
          <w:p w14:paraId="0B210C8A" w14:textId="77777777" w:rsidR="00B33542" w:rsidRPr="005071A1" w:rsidRDefault="00B33542" w:rsidP="009B7AF5">
            <w:pPr>
              <w:pStyle w:val="Tabletext"/>
            </w:pPr>
            <w:r w:rsidRPr="005071A1">
              <w:t>37</w:t>
            </w:r>
          </w:p>
        </w:tc>
        <w:tc>
          <w:tcPr>
            <w:tcW w:w="2977" w:type="dxa"/>
            <w:shd w:val="clear" w:color="auto" w:fill="auto"/>
          </w:tcPr>
          <w:p w14:paraId="0DEAC807" w14:textId="77777777" w:rsidR="00B33542" w:rsidRPr="005071A1" w:rsidRDefault="00B33542" w:rsidP="009B7AF5">
            <w:pPr>
              <w:pStyle w:val="Tabletext"/>
            </w:pPr>
            <w:r w:rsidRPr="005071A1">
              <w:t>0.10</w:t>
            </w:r>
          </w:p>
        </w:tc>
        <w:tc>
          <w:tcPr>
            <w:tcW w:w="2935" w:type="dxa"/>
            <w:shd w:val="clear" w:color="auto" w:fill="auto"/>
          </w:tcPr>
          <w:p w14:paraId="0308695F" w14:textId="77777777" w:rsidR="00B33542" w:rsidRPr="005071A1" w:rsidRDefault="00B33542" w:rsidP="009B7AF5">
            <w:pPr>
              <w:pStyle w:val="Tabletext"/>
            </w:pPr>
            <w:r w:rsidRPr="005071A1">
              <w:t>0.05</w:t>
            </w:r>
          </w:p>
        </w:tc>
      </w:tr>
      <w:tr w:rsidR="00B33542" w:rsidRPr="005071A1" w14:paraId="268F9E63" w14:textId="77777777" w:rsidTr="00D57394">
        <w:tc>
          <w:tcPr>
            <w:tcW w:w="1384" w:type="dxa"/>
            <w:tcBorders>
              <w:bottom w:val="single" w:sz="4" w:space="0" w:color="auto"/>
            </w:tcBorders>
            <w:shd w:val="clear" w:color="auto" w:fill="auto"/>
          </w:tcPr>
          <w:p w14:paraId="61E85BD5" w14:textId="77777777" w:rsidR="00B33542" w:rsidRPr="005071A1" w:rsidRDefault="00B33542" w:rsidP="009B7AF5">
            <w:pPr>
              <w:pStyle w:val="Tabletext"/>
            </w:pPr>
            <w:r w:rsidRPr="005071A1">
              <w:t>38</w:t>
            </w:r>
          </w:p>
        </w:tc>
        <w:tc>
          <w:tcPr>
            <w:tcW w:w="2977" w:type="dxa"/>
            <w:tcBorders>
              <w:bottom w:val="single" w:sz="4" w:space="0" w:color="auto"/>
            </w:tcBorders>
            <w:shd w:val="clear" w:color="auto" w:fill="auto"/>
          </w:tcPr>
          <w:p w14:paraId="2A17E65A" w14:textId="77777777" w:rsidR="00B33542" w:rsidRPr="005071A1" w:rsidRDefault="00B33542" w:rsidP="009B7AF5">
            <w:pPr>
              <w:pStyle w:val="Tabletext"/>
            </w:pPr>
            <w:r w:rsidRPr="005071A1">
              <w:t>0.10</w:t>
            </w:r>
          </w:p>
        </w:tc>
        <w:tc>
          <w:tcPr>
            <w:tcW w:w="2935" w:type="dxa"/>
            <w:tcBorders>
              <w:bottom w:val="single" w:sz="4" w:space="0" w:color="auto"/>
            </w:tcBorders>
            <w:shd w:val="clear" w:color="auto" w:fill="auto"/>
          </w:tcPr>
          <w:p w14:paraId="71ECDAB7" w14:textId="77777777" w:rsidR="00B33542" w:rsidRPr="005071A1" w:rsidRDefault="00B33542" w:rsidP="009B7AF5">
            <w:pPr>
              <w:pStyle w:val="Tabletext"/>
            </w:pPr>
            <w:r w:rsidRPr="005071A1">
              <w:t>0.05</w:t>
            </w:r>
          </w:p>
        </w:tc>
      </w:tr>
      <w:tr w:rsidR="00B33542" w:rsidRPr="005071A1" w14:paraId="629BF709" w14:textId="77777777" w:rsidTr="00D57394">
        <w:tc>
          <w:tcPr>
            <w:tcW w:w="1384" w:type="dxa"/>
            <w:tcBorders>
              <w:bottom w:val="single" w:sz="4" w:space="0" w:color="auto"/>
            </w:tcBorders>
            <w:shd w:val="clear" w:color="auto" w:fill="auto"/>
          </w:tcPr>
          <w:p w14:paraId="6EBBF1D6" w14:textId="77777777" w:rsidR="00B33542" w:rsidRPr="005071A1" w:rsidRDefault="00B33542" w:rsidP="009B7AF5">
            <w:pPr>
              <w:pStyle w:val="Tabletext"/>
            </w:pPr>
            <w:r w:rsidRPr="005071A1">
              <w:t>39</w:t>
            </w:r>
          </w:p>
        </w:tc>
        <w:tc>
          <w:tcPr>
            <w:tcW w:w="2977" w:type="dxa"/>
            <w:tcBorders>
              <w:bottom w:val="single" w:sz="4" w:space="0" w:color="auto"/>
            </w:tcBorders>
            <w:shd w:val="clear" w:color="auto" w:fill="auto"/>
          </w:tcPr>
          <w:p w14:paraId="3B398F96" w14:textId="77777777" w:rsidR="00B33542" w:rsidRPr="005071A1" w:rsidRDefault="00B33542" w:rsidP="009B7AF5">
            <w:pPr>
              <w:pStyle w:val="Tabletext"/>
            </w:pPr>
            <w:r w:rsidRPr="005071A1">
              <w:t>0.12</w:t>
            </w:r>
          </w:p>
        </w:tc>
        <w:tc>
          <w:tcPr>
            <w:tcW w:w="2935" w:type="dxa"/>
            <w:tcBorders>
              <w:bottom w:val="single" w:sz="4" w:space="0" w:color="auto"/>
            </w:tcBorders>
            <w:shd w:val="clear" w:color="auto" w:fill="auto"/>
          </w:tcPr>
          <w:p w14:paraId="2A463640" w14:textId="77777777" w:rsidR="00B33542" w:rsidRPr="005071A1" w:rsidRDefault="00B33542" w:rsidP="009B7AF5">
            <w:pPr>
              <w:pStyle w:val="Tabletext"/>
            </w:pPr>
            <w:r w:rsidRPr="005071A1">
              <w:t>0.06</w:t>
            </w:r>
          </w:p>
        </w:tc>
      </w:tr>
      <w:tr w:rsidR="00B33542" w:rsidRPr="005071A1" w14:paraId="3280D407" w14:textId="77777777" w:rsidTr="00640BB6">
        <w:tc>
          <w:tcPr>
            <w:tcW w:w="1384" w:type="dxa"/>
            <w:tcBorders>
              <w:top w:val="single" w:sz="4" w:space="0" w:color="auto"/>
              <w:bottom w:val="single" w:sz="4" w:space="0" w:color="auto"/>
            </w:tcBorders>
            <w:shd w:val="clear" w:color="auto" w:fill="auto"/>
          </w:tcPr>
          <w:p w14:paraId="1461008B" w14:textId="77777777" w:rsidR="00B33542" w:rsidRPr="005071A1" w:rsidRDefault="00B33542" w:rsidP="009B7AF5">
            <w:pPr>
              <w:pStyle w:val="Tabletext"/>
            </w:pPr>
            <w:r w:rsidRPr="005071A1">
              <w:t>40</w:t>
            </w:r>
          </w:p>
        </w:tc>
        <w:tc>
          <w:tcPr>
            <w:tcW w:w="2977" w:type="dxa"/>
            <w:tcBorders>
              <w:top w:val="single" w:sz="4" w:space="0" w:color="auto"/>
              <w:bottom w:val="single" w:sz="4" w:space="0" w:color="auto"/>
            </w:tcBorders>
            <w:shd w:val="clear" w:color="auto" w:fill="auto"/>
          </w:tcPr>
          <w:p w14:paraId="685E9A07" w14:textId="77777777" w:rsidR="00B33542" w:rsidRPr="005071A1" w:rsidRDefault="00B33542" w:rsidP="009B7AF5">
            <w:pPr>
              <w:pStyle w:val="Tabletext"/>
            </w:pPr>
            <w:r w:rsidRPr="005071A1">
              <w:t>0.12</w:t>
            </w:r>
          </w:p>
        </w:tc>
        <w:tc>
          <w:tcPr>
            <w:tcW w:w="2935" w:type="dxa"/>
            <w:tcBorders>
              <w:top w:val="single" w:sz="4" w:space="0" w:color="auto"/>
              <w:bottom w:val="single" w:sz="4" w:space="0" w:color="auto"/>
            </w:tcBorders>
            <w:shd w:val="clear" w:color="auto" w:fill="auto"/>
          </w:tcPr>
          <w:p w14:paraId="1047EDF7" w14:textId="77777777" w:rsidR="00B33542" w:rsidRPr="005071A1" w:rsidRDefault="00B33542" w:rsidP="009B7AF5">
            <w:pPr>
              <w:pStyle w:val="Tabletext"/>
            </w:pPr>
            <w:r w:rsidRPr="005071A1">
              <w:t>0.06</w:t>
            </w:r>
          </w:p>
        </w:tc>
      </w:tr>
      <w:tr w:rsidR="00B33542" w:rsidRPr="005071A1" w14:paraId="1A6E84DD" w14:textId="77777777" w:rsidTr="00640BB6">
        <w:tc>
          <w:tcPr>
            <w:tcW w:w="1384" w:type="dxa"/>
            <w:tcBorders>
              <w:bottom w:val="single" w:sz="4" w:space="0" w:color="auto"/>
            </w:tcBorders>
            <w:shd w:val="clear" w:color="auto" w:fill="auto"/>
          </w:tcPr>
          <w:p w14:paraId="1352EC55" w14:textId="77777777" w:rsidR="00B33542" w:rsidRPr="005071A1" w:rsidRDefault="00B33542" w:rsidP="009B7AF5">
            <w:pPr>
              <w:pStyle w:val="Tabletext"/>
            </w:pPr>
            <w:r w:rsidRPr="005071A1">
              <w:t>41</w:t>
            </w:r>
          </w:p>
        </w:tc>
        <w:tc>
          <w:tcPr>
            <w:tcW w:w="2977" w:type="dxa"/>
            <w:tcBorders>
              <w:bottom w:val="single" w:sz="4" w:space="0" w:color="auto"/>
            </w:tcBorders>
            <w:shd w:val="clear" w:color="auto" w:fill="auto"/>
          </w:tcPr>
          <w:p w14:paraId="6F413FE9" w14:textId="77777777" w:rsidR="00B33542" w:rsidRPr="005071A1" w:rsidRDefault="00B33542" w:rsidP="009B7AF5">
            <w:pPr>
              <w:pStyle w:val="Tabletext"/>
            </w:pPr>
            <w:r w:rsidRPr="005071A1">
              <w:t>0.12</w:t>
            </w:r>
          </w:p>
        </w:tc>
        <w:tc>
          <w:tcPr>
            <w:tcW w:w="2935" w:type="dxa"/>
            <w:tcBorders>
              <w:bottom w:val="single" w:sz="4" w:space="0" w:color="auto"/>
            </w:tcBorders>
            <w:shd w:val="clear" w:color="auto" w:fill="auto"/>
          </w:tcPr>
          <w:p w14:paraId="353DAEFA" w14:textId="77777777" w:rsidR="00B33542" w:rsidRPr="005071A1" w:rsidRDefault="00B33542" w:rsidP="009B7AF5">
            <w:pPr>
              <w:pStyle w:val="Tabletext"/>
            </w:pPr>
            <w:r w:rsidRPr="005071A1">
              <w:t>0.06</w:t>
            </w:r>
          </w:p>
        </w:tc>
      </w:tr>
      <w:tr w:rsidR="00B33542" w:rsidRPr="005071A1" w14:paraId="0F4A0CD1" w14:textId="77777777" w:rsidTr="00640BB6">
        <w:tc>
          <w:tcPr>
            <w:tcW w:w="1384" w:type="dxa"/>
            <w:tcBorders>
              <w:top w:val="single" w:sz="4" w:space="0" w:color="auto"/>
            </w:tcBorders>
            <w:shd w:val="clear" w:color="auto" w:fill="auto"/>
          </w:tcPr>
          <w:p w14:paraId="1CEBD62C" w14:textId="77777777" w:rsidR="00B33542" w:rsidRPr="005071A1" w:rsidRDefault="00B33542" w:rsidP="009B7AF5">
            <w:pPr>
              <w:pStyle w:val="Tabletext"/>
            </w:pPr>
            <w:r w:rsidRPr="005071A1">
              <w:t>42</w:t>
            </w:r>
          </w:p>
        </w:tc>
        <w:tc>
          <w:tcPr>
            <w:tcW w:w="2977" w:type="dxa"/>
            <w:tcBorders>
              <w:top w:val="single" w:sz="4" w:space="0" w:color="auto"/>
            </w:tcBorders>
            <w:shd w:val="clear" w:color="auto" w:fill="auto"/>
          </w:tcPr>
          <w:p w14:paraId="1E841F31" w14:textId="77777777" w:rsidR="00B33542" w:rsidRPr="005071A1" w:rsidRDefault="00B33542" w:rsidP="009B7AF5">
            <w:pPr>
              <w:pStyle w:val="Tabletext"/>
            </w:pPr>
            <w:r w:rsidRPr="005071A1">
              <w:t>0.12</w:t>
            </w:r>
          </w:p>
        </w:tc>
        <w:tc>
          <w:tcPr>
            <w:tcW w:w="2935" w:type="dxa"/>
            <w:tcBorders>
              <w:top w:val="single" w:sz="4" w:space="0" w:color="auto"/>
            </w:tcBorders>
            <w:shd w:val="clear" w:color="auto" w:fill="auto"/>
          </w:tcPr>
          <w:p w14:paraId="4DAD6009" w14:textId="77777777" w:rsidR="00B33542" w:rsidRPr="005071A1" w:rsidRDefault="00B33542" w:rsidP="009B7AF5">
            <w:pPr>
              <w:pStyle w:val="Tabletext"/>
            </w:pPr>
            <w:r w:rsidRPr="005071A1">
              <w:t>0.06</w:t>
            </w:r>
          </w:p>
        </w:tc>
      </w:tr>
      <w:tr w:rsidR="00B33542" w:rsidRPr="005071A1" w14:paraId="4E378190" w14:textId="77777777" w:rsidTr="009B7AF5">
        <w:tc>
          <w:tcPr>
            <w:tcW w:w="1384" w:type="dxa"/>
            <w:shd w:val="clear" w:color="auto" w:fill="auto"/>
          </w:tcPr>
          <w:p w14:paraId="26DA75B5" w14:textId="77777777" w:rsidR="00B33542" w:rsidRPr="005071A1" w:rsidRDefault="00B33542" w:rsidP="009B7AF5">
            <w:pPr>
              <w:pStyle w:val="Tabletext"/>
            </w:pPr>
            <w:r w:rsidRPr="005071A1">
              <w:t>43</w:t>
            </w:r>
          </w:p>
        </w:tc>
        <w:tc>
          <w:tcPr>
            <w:tcW w:w="2977" w:type="dxa"/>
            <w:shd w:val="clear" w:color="auto" w:fill="auto"/>
          </w:tcPr>
          <w:p w14:paraId="25E27B0B" w14:textId="77777777" w:rsidR="00B33542" w:rsidRPr="005071A1" w:rsidRDefault="00B33542" w:rsidP="009B7AF5">
            <w:pPr>
              <w:pStyle w:val="Tabletext"/>
            </w:pPr>
            <w:r w:rsidRPr="005071A1">
              <w:t>0.12</w:t>
            </w:r>
          </w:p>
        </w:tc>
        <w:tc>
          <w:tcPr>
            <w:tcW w:w="2935" w:type="dxa"/>
            <w:shd w:val="clear" w:color="auto" w:fill="auto"/>
          </w:tcPr>
          <w:p w14:paraId="7C972A1C" w14:textId="77777777" w:rsidR="00B33542" w:rsidRPr="005071A1" w:rsidRDefault="00B33542" w:rsidP="009B7AF5">
            <w:pPr>
              <w:pStyle w:val="Tabletext"/>
            </w:pPr>
            <w:r w:rsidRPr="005071A1">
              <w:t>0.06</w:t>
            </w:r>
          </w:p>
        </w:tc>
      </w:tr>
      <w:tr w:rsidR="00B33542" w:rsidRPr="005071A1" w14:paraId="194D5239" w14:textId="77777777" w:rsidTr="009B7AF5">
        <w:tc>
          <w:tcPr>
            <w:tcW w:w="1384" w:type="dxa"/>
            <w:shd w:val="clear" w:color="auto" w:fill="auto"/>
          </w:tcPr>
          <w:p w14:paraId="427241DC" w14:textId="77777777" w:rsidR="00B33542" w:rsidRPr="005071A1" w:rsidRDefault="00B33542" w:rsidP="009B7AF5">
            <w:pPr>
              <w:pStyle w:val="Tabletext"/>
            </w:pPr>
            <w:r w:rsidRPr="005071A1">
              <w:t>44</w:t>
            </w:r>
          </w:p>
        </w:tc>
        <w:tc>
          <w:tcPr>
            <w:tcW w:w="2977" w:type="dxa"/>
            <w:shd w:val="clear" w:color="auto" w:fill="auto"/>
          </w:tcPr>
          <w:p w14:paraId="345578E1" w14:textId="77777777" w:rsidR="00B33542" w:rsidRPr="005071A1" w:rsidRDefault="00B33542" w:rsidP="009B7AF5">
            <w:pPr>
              <w:pStyle w:val="Tabletext"/>
            </w:pPr>
            <w:r w:rsidRPr="005071A1">
              <w:t>0.12</w:t>
            </w:r>
          </w:p>
        </w:tc>
        <w:tc>
          <w:tcPr>
            <w:tcW w:w="2935" w:type="dxa"/>
            <w:shd w:val="clear" w:color="auto" w:fill="auto"/>
          </w:tcPr>
          <w:p w14:paraId="4E0B0F0D" w14:textId="77777777" w:rsidR="00B33542" w:rsidRPr="005071A1" w:rsidRDefault="00B33542" w:rsidP="009B7AF5">
            <w:pPr>
              <w:pStyle w:val="Tabletext"/>
            </w:pPr>
            <w:r w:rsidRPr="005071A1">
              <w:t>0.06</w:t>
            </w:r>
          </w:p>
        </w:tc>
      </w:tr>
      <w:tr w:rsidR="00B33542" w:rsidRPr="005071A1" w14:paraId="09699E25" w14:textId="77777777" w:rsidTr="009B7AF5">
        <w:tc>
          <w:tcPr>
            <w:tcW w:w="1384" w:type="dxa"/>
            <w:shd w:val="clear" w:color="auto" w:fill="auto"/>
          </w:tcPr>
          <w:p w14:paraId="465808C8" w14:textId="77777777" w:rsidR="00B33542" w:rsidRPr="005071A1" w:rsidRDefault="00B33542" w:rsidP="009B7AF5">
            <w:pPr>
              <w:pStyle w:val="Tabletext"/>
            </w:pPr>
            <w:r w:rsidRPr="005071A1">
              <w:t>45</w:t>
            </w:r>
          </w:p>
        </w:tc>
        <w:tc>
          <w:tcPr>
            <w:tcW w:w="2977" w:type="dxa"/>
            <w:shd w:val="clear" w:color="auto" w:fill="auto"/>
          </w:tcPr>
          <w:p w14:paraId="3A55C3B6" w14:textId="77777777" w:rsidR="00B33542" w:rsidRPr="005071A1" w:rsidRDefault="00B33542" w:rsidP="009B7AF5">
            <w:pPr>
              <w:pStyle w:val="Tabletext"/>
            </w:pPr>
            <w:r w:rsidRPr="005071A1">
              <w:t>0.12</w:t>
            </w:r>
          </w:p>
        </w:tc>
        <w:tc>
          <w:tcPr>
            <w:tcW w:w="2935" w:type="dxa"/>
            <w:shd w:val="clear" w:color="auto" w:fill="auto"/>
          </w:tcPr>
          <w:p w14:paraId="0741FBE8" w14:textId="77777777" w:rsidR="00B33542" w:rsidRPr="005071A1" w:rsidRDefault="00B33542" w:rsidP="009B7AF5">
            <w:pPr>
              <w:pStyle w:val="Tabletext"/>
            </w:pPr>
            <w:r w:rsidRPr="005071A1">
              <w:t>0.06</w:t>
            </w:r>
          </w:p>
        </w:tc>
      </w:tr>
      <w:tr w:rsidR="00B33542" w:rsidRPr="005071A1" w14:paraId="40ACC1A5" w14:textId="77777777" w:rsidTr="009B7AF5">
        <w:tc>
          <w:tcPr>
            <w:tcW w:w="1384" w:type="dxa"/>
            <w:shd w:val="clear" w:color="auto" w:fill="auto"/>
          </w:tcPr>
          <w:p w14:paraId="33E4A106" w14:textId="77777777" w:rsidR="00B33542" w:rsidRPr="005071A1" w:rsidRDefault="00B33542" w:rsidP="009B7AF5">
            <w:pPr>
              <w:pStyle w:val="Tabletext"/>
            </w:pPr>
            <w:r w:rsidRPr="005071A1">
              <w:t>46</w:t>
            </w:r>
          </w:p>
        </w:tc>
        <w:tc>
          <w:tcPr>
            <w:tcW w:w="2977" w:type="dxa"/>
            <w:shd w:val="clear" w:color="auto" w:fill="auto"/>
          </w:tcPr>
          <w:p w14:paraId="650223C4" w14:textId="77777777" w:rsidR="00B33542" w:rsidRPr="005071A1" w:rsidRDefault="00B33542" w:rsidP="009B7AF5">
            <w:pPr>
              <w:pStyle w:val="Tabletext"/>
            </w:pPr>
            <w:r w:rsidRPr="005071A1">
              <w:t>0.12</w:t>
            </w:r>
          </w:p>
        </w:tc>
        <w:tc>
          <w:tcPr>
            <w:tcW w:w="2935" w:type="dxa"/>
            <w:shd w:val="clear" w:color="auto" w:fill="auto"/>
          </w:tcPr>
          <w:p w14:paraId="1E230613" w14:textId="77777777" w:rsidR="00B33542" w:rsidRPr="005071A1" w:rsidRDefault="00B33542" w:rsidP="009B7AF5">
            <w:pPr>
              <w:pStyle w:val="Tabletext"/>
            </w:pPr>
            <w:r w:rsidRPr="005071A1">
              <w:t>0.06</w:t>
            </w:r>
          </w:p>
        </w:tc>
      </w:tr>
      <w:tr w:rsidR="00B33542" w:rsidRPr="005071A1" w14:paraId="03E719B0" w14:textId="77777777" w:rsidTr="009B7AF5">
        <w:tc>
          <w:tcPr>
            <w:tcW w:w="1384" w:type="dxa"/>
            <w:shd w:val="clear" w:color="auto" w:fill="auto"/>
          </w:tcPr>
          <w:p w14:paraId="3E8DC05E" w14:textId="77777777" w:rsidR="00B33542" w:rsidRPr="005071A1" w:rsidRDefault="00B33542" w:rsidP="009B7AF5">
            <w:pPr>
              <w:pStyle w:val="Tabletext"/>
            </w:pPr>
            <w:r w:rsidRPr="005071A1">
              <w:t>47</w:t>
            </w:r>
          </w:p>
        </w:tc>
        <w:tc>
          <w:tcPr>
            <w:tcW w:w="2977" w:type="dxa"/>
            <w:shd w:val="clear" w:color="auto" w:fill="auto"/>
          </w:tcPr>
          <w:p w14:paraId="5F199F6D" w14:textId="77777777" w:rsidR="00B33542" w:rsidRPr="005071A1" w:rsidRDefault="00B33542" w:rsidP="009B7AF5">
            <w:pPr>
              <w:pStyle w:val="Tabletext"/>
            </w:pPr>
            <w:r w:rsidRPr="005071A1">
              <w:t>0.12</w:t>
            </w:r>
          </w:p>
        </w:tc>
        <w:tc>
          <w:tcPr>
            <w:tcW w:w="2935" w:type="dxa"/>
            <w:shd w:val="clear" w:color="auto" w:fill="auto"/>
          </w:tcPr>
          <w:p w14:paraId="75060B29" w14:textId="77777777" w:rsidR="00B33542" w:rsidRPr="005071A1" w:rsidRDefault="00B33542" w:rsidP="009B7AF5">
            <w:pPr>
              <w:pStyle w:val="Tabletext"/>
            </w:pPr>
            <w:r w:rsidRPr="005071A1">
              <w:t>0.06</w:t>
            </w:r>
          </w:p>
        </w:tc>
      </w:tr>
      <w:tr w:rsidR="00B33542" w:rsidRPr="005071A1" w14:paraId="1DD9E5D2" w14:textId="77777777" w:rsidTr="009B7AF5">
        <w:tc>
          <w:tcPr>
            <w:tcW w:w="1384" w:type="dxa"/>
            <w:shd w:val="clear" w:color="auto" w:fill="auto"/>
          </w:tcPr>
          <w:p w14:paraId="53D116BB" w14:textId="77777777" w:rsidR="00B33542" w:rsidRPr="005071A1" w:rsidRDefault="00B33542" w:rsidP="009B7AF5">
            <w:pPr>
              <w:pStyle w:val="Tabletext"/>
            </w:pPr>
            <w:r w:rsidRPr="005071A1">
              <w:t>48</w:t>
            </w:r>
          </w:p>
        </w:tc>
        <w:tc>
          <w:tcPr>
            <w:tcW w:w="2977" w:type="dxa"/>
            <w:shd w:val="clear" w:color="auto" w:fill="auto"/>
          </w:tcPr>
          <w:p w14:paraId="1761DAB4" w14:textId="77777777" w:rsidR="00B33542" w:rsidRPr="005071A1" w:rsidRDefault="00B33542" w:rsidP="009B7AF5">
            <w:pPr>
              <w:pStyle w:val="Tabletext"/>
            </w:pPr>
            <w:r w:rsidRPr="005071A1">
              <w:t>0.16</w:t>
            </w:r>
          </w:p>
        </w:tc>
        <w:tc>
          <w:tcPr>
            <w:tcW w:w="2935" w:type="dxa"/>
            <w:shd w:val="clear" w:color="auto" w:fill="auto"/>
          </w:tcPr>
          <w:p w14:paraId="200FEBE8" w14:textId="77777777" w:rsidR="00B33542" w:rsidRPr="005071A1" w:rsidRDefault="00B33542" w:rsidP="009B7AF5">
            <w:pPr>
              <w:pStyle w:val="Tabletext"/>
            </w:pPr>
            <w:r w:rsidRPr="005071A1">
              <w:t>0.08</w:t>
            </w:r>
          </w:p>
        </w:tc>
      </w:tr>
      <w:tr w:rsidR="00B33542" w:rsidRPr="005071A1" w14:paraId="421DCA40" w14:textId="77777777" w:rsidTr="009B7AF5">
        <w:tc>
          <w:tcPr>
            <w:tcW w:w="1384" w:type="dxa"/>
            <w:shd w:val="clear" w:color="auto" w:fill="auto"/>
          </w:tcPr>
          <w:p w14:paraId="4B526827" w14:textId="77777777" w:rsidR="00B33542" w:rsidRPr="005071A1" w:rsidRDefault="00B33542" w:rsidP="009B7AF5">
            <w:pPr>
              <w:pStyle w:val="Tabletext"/>
            </w:pPr>
            <w:r w:rsidRPr="005071A1">
              <w:t>49</w:t>
            </w:r>
          </w:p>
        </w:tc>
        <w:tc>
          <w:tcPr>
            <w:tcW w:w="2977" w:type="dxa"/>
            <w:shd w:val="clear" w:color="auto" w:fill="auto"/>
          </w:tcPr>
          <w:p w14:paraId="33728938" w14:textId="77777777" w:rsidR="00B33542" w:rsidRPr="005071A1" w:rsidRDefault="00B33542" w:rsidP="009B7AF5">
            <w:pPr>
              <w:pStyle w:val="Tabletext"/>
            </w:pPr>
            <w:r w:rsidRPr="005071A1">
              <w:t>0.16</w:t>
            </w:r>
          </w:p>
        </w:tc>
        <w:tc>
          <w:tcPr>
            <w:tcW w:w="2935" w:type="dxa"/>
            <w:shd w:val="clear" w:color="auto" w:fill="auto"/>
          </w:tcPr>
          <w:p w14:paraId="4C06F625" w14:textId="77777777" w:rsidR="00B33542" w:rsidRPr="005071A1" w:rsidRDefault="00B33542" w:rsidP="009B7AF5">
            <w:pPr>
              <w:pStyle w:val="Tabletext"/>
            </w:pPr>
            <w:r w:rsidRPr="005071A1">
              <w:t>0.08</w:t>
            </w:r>
          </w:p>
        </w:tc>
      </w:tr>
      <w:tr w:rsidR="00B33542" w:rsidRPr="005071A1" w14:paraId="49A0F1CC" w14:textId="77777777" w:rsidTr="009B7AF5">
        <w:tc>
          <w:tcPr>
            <w:tcW w:w="1384" w:type="dxa"/>
            <w:shd w:val="clear" w:color="auto" w:fill="auto"/>
          </w:tcPr>
          <w:p w14:paraId="0BE4C6CE" w14:textId="77777777" w:rsidR="00B33542" w:rsidRPr="005071A1" w:rsidRDefault="00B33542" w:rsidP="009B7AF5">
            <w:pPr>
              <w:pStyle w:val="Tabletext"/>
            </w:pPr>
            <w:r w:rsidRPr="005071A1">
              <w:t>50</w:t>
            </w:r>
          </w:p>
        </w:tc>
        <w:tc>
          <w:tcPr>
            <w:tcW w:w="2977" w:type="dxa"/>
            <w:shd w:val="clear" w:color="auto" w:fill="auto"/>
          </w:tcPr>
          <w:p w14:paraId="62AB803C" w14:textId="77777777" w:rsidR="00B33542" w:rsidRPr="005071A1" w:rsidRDefault="00B33542" w:rsidP="009B7AF5">
            <w:pPr>
              <w:pStyle w:val="Tabletext"/>
            </w:pPr>
            <w:r w:rsidRPr="005071A1">
              <w:t>0.18</w:t>
            </w:r>
          </w:p>
        </w:tc>
        <w:tc>
          <w:tcPr>
            <w:tcW w:w="2935" w:type="dxa"/>
            <w:shd w:val="clear" w:color="auto" w:fill="auto"/>
          </w:tcPr>
          <w:p w14:paraId="68636EDD" w14:textId="77777777" w:rsidR="00B33542" w:rsidRPr="005071A1" w:rsidRDefault="00B33542" w:rsidP="009B7AF5">
            <w:pPr>
              <w:pStyle w:val="Tabletext"/>
            </w:pPr>
            <w:r w:rsidRPr="005071A1">
              <w:t>0.09</w:t>
            </w:r>
          </w:p>
        </w:tc>
      </w:tr>
      <w:tr w:rsidR="00B33542" w:rsidRPr="005071A1" w14:paraId="154ECFE8" w14:textId="77777777" w:rsidTr="009B7AF5">
        <w:tc>
          <w:tcPr>
            <w:tcW w:w="1384" w:type="dxa"/>
            <w:shd w:val="clear" w:color="auto" w:fill="auto"/>
          </w:tcPr>
          <w:p w14:paraId="3E68ECF6" w14:textId="77777777" w:rsidR="00B33542" w:rsidRPr="005071A1" w:rsidRDefault="00B33542" w:rsidP="009B7AF5">
            <w:pPr>
              <w:pStyle w:val="Tabletext"/>
            </w:pPr>
            <w:r w:rsidRPr="005071A1">
              <w:t>51</w:t>
            </w:r>
          </w:p>
        </w:tc>
        <w:tc>
          <w:tcPr>
            <w:tcW w:w="2977" w:type="dxa"/>
            <w:shd w:val="clear" w:color="auto" w:fill="auto"/>
          </w:tcPr>
          <w:p w14:paraId="5A5768A4" w14:textId="77777777" w:rsidR="00B33542" w:rsidRPr="005071A1" w:rsidRDefault="00B33542" w:rsidP="009B7AF5">
            <w:pPr>
              <w:pStyle w:val="Tabletext"/>
            </w:pPr>
            <w:r w:rsidRPr="005071A1">
              <w:t>0.18</w:t>
            </w:r>
          </w:p>
        </w:tc>
        <w:tc>
          <w:tcPr>
            <w:tcW w:w="2935" w:type="dxa"/>
            <w:shd w:val="clear" w:color="auto" w:fill="auto"/>
          </w:tcPr>
          <w:p w14:paraId="66563C29" w14:textId="77777777" w:rsidR="00B33542" w:rsidRPr="005071A1" w:rsidRDefault="00B33542" w:rsidP="009B7AF5">
            <w:pPr>
              <w:pStyle w:val="Tabletext"/>
            </w:pPr>
            <w:r w:rsidRPr="005071A1">
              <w:t>0.09</w:t>
            </w:r>
          </w:p>
        </w:tc>
      </w:tr>
      <w:tr w:rsidR="00B33542" w:rsidRPr="005071A1" w14:paraId="581382A4" w14:textId="77777777" w:rsidTr="009B7AF5">
        <w:tc>
          <w:tcPr>
            <w:tcW w:w="1384" w:type="dxa"/>
            <w:shd w:val="clear" w:color="auto" w:fill="auto"/>
          </w:tcPr>
          <w:p w14:paraId="0B8AB70C" w14:textId="77777777" w:rsidR="00B33542" w:rsidRPr="005071A1" w:rsidRDefault="00B33542" w:rsidP="009B7AF5">
            <w:pPr>
              <w:pStyle w:val="Tabletext"/>
            </w:pPr>
            <w:r w:rsidRPr="005071A1">
              <w:t>52</w:t>
            </w:r>
          </w:p>
        </w:tc>
        <w:tc>
          <w:tcPr>
            <w:tcW w:w="2977" w:type="dxa"/>
            <w:shd w:val="clear" w:color="auto" w:fill="auto"/>
          </w:tcPr>
          <w:p w14:paraId="639D10F0" w14:textId="77777777" w:rsidR="00B33542" w:rsidRPr="005071A1" w:rsidRDefault="00B33542" w:rsidP="009B7AF5">
            <w:pPr>
              <w:pStyle w:val="Tabletext"/>
            </w:pPr>
            <w:r w:rsidRPr="005071A1">
              <w:t>0.20</w:t>
            </w:r>
          </w:p>
        </w:tc>
        <w:tc>
          <w:tcPr>
            <w:tcW w:w="2935" w:type="dxa"/>
            <w:shd w:val="clear" w:color="auto" w:fill="auto"/>
          </w:tcPr>
          <w:p w14:paraId="1B9FAF44" w14:textId="77777777" w:rsidR="00B33542" w:rsidRPr="005071A1" w:rsidRDefault="00B33542" w:rsidP="009B7AF5">
            <w:pPr>
              <w:pStyle w:val="Tabletext"/>
            </w:pPr>
            <w:r w:rsidRPr="005071A1">
              <w:t>0.10</w:t>
            </w:r>
          </w:p>
        </w:tc>
      </w:tr>
      <w:tr w:rsidR="00B33542" w:rsidRPr="005071A1" w14:paraId="20129474" w14:textId="77777777" w:rsidTr="009B7AF5">
        <w:tc>
          <w:tcPr>
            <w:tcW w:w="1384" w:type="dxa"/>
            <w:shd w:val="clear" w:color="auto" w:fill="auto"/>
          </w:tcPr>
          <w:p w14:paraId="7F87BD98" w14:textId="77777777" w:rsidR="00B33542" w:rsidRPr="005071A1" w:rsidRDefault="00B33542" w:rsidP="009B7AF5">
            <w:pPr>
              <w:pStyle w:val="Tabletext"/>
            </w:pPr>
            <w:r w:rsidRPr="005071A1">
              <w:t>53</w:t>
            </w:r>
          </w:p>
        </w:tc>
        <w:tc>
          <w:tcPr>
            <w:tcW w:w="2977" w:type="dxa"/>
            <w:shd w:val="clear" w:color="auto" w:fill="auto"/>
          </w:tcPr>
          <w:p w14:paraId="15815F44" w14:textId="77777777" w:rsidR="00B33542" w:rsidRPr="005071A1" w:rsidRDefault="00B33542" w:rsidP="009B7AF5">
            <w:pPr>
              <w:pStyle w:val="Tabletext"/>
            </w:pPr>
            <w:r w:rsidRPr="005071A1">
              <w:t>0.22</w:t>
            </w:r>
          </w:p>
        </w:tc>
        <w:tc>
          <w:tcPr>
            <w:tcW w:w="2935" w:type="dxa"/>
            <w:shd w:val="clear" w:color="auto" w:fill="auto"/>
          </w:tcPr>
          <w:p w14:paraId="1F306EAD" w14:textId="77777777" w:rsidR="00B33542" w:rsidRPr="005071A1" w:rsidRDefault="00B33542" w:rsidP="009B7AF5">
            <w:pPr>
              <w:pStyle w:val="Tabletext"/>
            </w:pPr>
            <w:r w:rsidRPr="005071A1">
              <w:t>0.11</w:t>
            </w:r>
          </w:p>
        </w:tc>
      </w:tr>
      <w:tr w:rsidR="00B33542" w:rsidRPr="005071A1" w14:paraId="6027653C" w14:textId="77777777" w:rsidTr="00D57394">
        <w:tc>
          <w:tcPr>
            <w:tcW w:w="1384" w:type="dxa"/>
            <w:tcBorders>
              <w:bottom w:val="single" w:sz="4" w:space="0" w:color="auto"/>
            </w:tcBorders>
            <w:shd w:val="clear" w:color="auto" w:fill="auto"/>
          </w:tcPr>
          <w:p w14:paraId="03D5E310" w14:textId="77777777" w:rsidR="00B33542" w:rsidRPr="005071A1" w:rsidRDefault="00B33542" w:rsidP="009B7AF5">
            <w:pPr>
              <w:pStyle w:val="Tabletext"/>
            </w:pPr>
            <w:r w:rsidRPr="005071A1">
              <w:t>54</w:t>
            </w:r>
          </w:p>
        </w:tc>
        <w:tc>
          <w:tcPr>
            <w:tcW w:w="2977" w:type="dxa"/>
            <w:tcBorders>
              <w:bottom w:val="single" w:sz="4" w:space="0" w:color="auto"/>
            </w:tcBorders>
            <w:shd w:val="clear" w:color="auto" w:fill="auto"/>
          </w:tcPr>
          <w:p w14:paraId="3F7483C7" w14:textId="77777777" w:rsidR="00B33542" w:rsidRPr="005071A1" w:rsidRDefault="00B33542" w:rsidP="009B7AF5">
            <w:pPr>
              <w:pStyle w:val="Tabletext"/>
            </w:pPr>
            <w:r w:rsidRPr="005071A1">
              <w:t>0.24</w:t>
            </w:r>
          </w:p>
        </w:tc>
        <w:tc>
          <w:tcPr>
            <w:tcW w:w="2935" w:type="dxa"/>
            <w:tcBorders>
              <w:bottom w:val="single" w:sz="4" w:space="0" w:color="auto"/>
            </w:tcBorders>
            <w:shd w:val="clear" w:color="auto" w:fill="auto"/>
          </w:tcPr>
          <w:p w14:paraId="73F02E26" w14:textId="77777777" w:rsidR="00B33542" w:rsidRPr="005071A1" w:rsidRDefault="00B33542" w:rsidP="009B7AF5">
            <w:pPr>
              <w:pStyle w:val="Tabletext"/>
            </w:pPr>
            <w:r w:rsidRPr="005071A1">
              <w:t>0.12</w:t>
            </w:r>
          </w:p>
        </w:tc>
      </w:tr>
      <w:tr w:rsidR="00B33542" w:rsidRPr="005071A1" w14:paraId="3DF28615" w14:textId="77777777" w:rsidTr="00D57394">
        <w:tc>
          <w:tcPr>
            <w:tcW w:w="1384" w:type="dxa"/>
            <w:tcBorders>
              <w:bottom w:val="single" w:sz="4" w:space="0" w:color="auto"/>
            </w:tcBorders>
            <w:shd w:val="clear" w:color="auto" w:fill="auto"/>
          </w:tcPr>
          <w:p w14:paraId="62638B55" w14:textId="77777777" w:rsidR="00B33542" w:rsidRPr="005071A1" w:rsidRDefault="00B33542" w:rsidP="009B7AF5">
            <w:pPr>
              <w:pStyle w:val="Tabletext"/>
            </w:pPr>
            <w:r w:rsidRPr="005071A1">
              <w:t>55</w:t>
            </w:r>
          </w:p>
        </w:tc>
        <w:tc>
          <w:tcPr>
            <w:tcW w:w="2977" w:type="dxa"/>
            <w:tcBorders>
              <w:bottom w:val="single" w:sz="4" w:space="0" w:color="auto"/>
            </w:tcBorders>
            <w:shd w:val="clear" w:color="auto" w:fill="auto"/>
          </w:tcPr>
          <w:p w14:paraId="1FE5223C" w14:textId="77777777" w:rsidR="00B33542" w:rsidRPr="005071A1" w:rsidRDefault="00B33542" w:rsidP="009B7AF5">
            <w:pPr>
              <w:pStyle w:val="Tabletext"/>
            </w:pPr>
            <w:r w:rsidRPr="005071A1">
              <w:t>0.28</w:t>
            </w:r>
          </w:p>
        </w:tc>
        <w:tc>
          <w:tcPr>
            <w:tcW w:w="2935" w:type="dxa"/>
            <w:tcBorders>
              <w:bottom w:val="single" w:sz="4" w:space="0" w:color="auto"/>
            </w:tcBorders>
            <w:shd w:val="clear" w:color="auto" w:fill="auto"/>
          </w:tcPr>
          <w:p w14:paraId="345F0FEB" w14:textId="77777777" w:rsidR="00B33542" w:rsidRPr="005071A1" w:rsidRDefault="00B33542" w:rsidP="009B7AF5">
            <w:pPr>
              <w:pStyle w:val="Tabletext"/>
            </w:pPr>
            <w:r w:rsidRPr="005071A1">
              <w:t>0.14</w:t>
            </w:r>
          </w:p>
        </w:tc>
      </w:tr>
      <w:tr w:rsidR="00B33542" w:rsidRPr="005071A1" w14:paraId="1DF90116" w14:textId="77777777" w:rsidTr="00D57394">
        <w:tc>
          <w:tcPr>
            <w:tcW w:w="1384" w:type="dxa"/>
            <w:tcBorders>
              <w:top w:val="single" w:sz="4" w:space="0" w:color="auto"/>
            </w:tcBorders>
            <w:shd w:val="clear" w:color="auto" w:fill="auto"/>
          </w:tcPr>
          <w:p w14:paraId="1C0EBA0F" w14:textId="77777777" w:rsidR="00B33542" w:rsidRPr="005071A1" w:rsidRDefault="00B33542" w:rsidP="009B7AF5">
            <w:pPr>
              <w:pStyle w:val="Tabletext"/>
            </w:pPr>
            <w:r w:rsidRPr="005071A1">
              <w:t>56</w:t>
            </w:r>
          </w:p>
        </w:tc>
        <w:tc>
          <w:tcPr>
            <w:tcW w:w="2977" w:type="dxa"/>
            <w:tcBorders>
              <w:top w:val="single" w:sz="4" w:space="0" w:color="auto"/>
            </w:tcBorders>
            <w:shd w:val="clear" w:color="auto" w:fill="auto"/>
          </w:tcPr>
          <w:p w14:paraId="7C049089" w14:textId="77777777" w:rsidR="00B33542" w:rsidRPr="005071A1" w:rsidRDefault="00B33542" w:rsidP="009B7AF5">
            <w:pPr>
              <w:pStyle w:val="Tabletext"/>
            </w:pPr>
            <w:r w:rsidRPr="005071A1">
              <w:t>0.32</w:t>
            </w:r>
          </w:p>
        </w:tc>
        <w:tc>
          <w:tcPr>
            <w:tcW w:w="2935" w:type="dxa"/>
            <w:tcBorders>
              <w:top w:val="single" w:sz="4" w:space="0" w:color="auto"/>
            </w:tcBorders>
            <w:shd w:val="clear" w:color="auto" w:fill="auto"/>
          </w:tcPr>
          <w:p w14:paraId="5629D5B9" w14:textId="77777777" w:rsidR="00B33542" w:rsidRPr="005071A1" w:rsidRDefault="00B33542" w:rsidP="009B7AF5">
            <w:pPr>
              <w:pStyle w:val="Tabletext"/>
            </w:pPr>
            <w:r w:rsidRPr="005071A1">
              <w:t>0.16</w:t>
            </w:r>
          </w:p>
        </w:tc>
      </w:tr>
      <w:tr w:rsidR="00B33542" w:rsidRPr="005071A1" w14:paraId="6B99A2A5" w14:textId="77777777" w:rsidTr="00640BB6">
        <w:tc>
          <w:tcPr>
            <w:tcW w:w="1384" w:type="dxa"/>
            <w:tcBorders>
              <w:bottom w:val="single" w:sz="4" w:space="0" w:color="auto"/>
            </w:tcBorders>
            <w:shd w:val="clear" w:color="auto" w:fill="auto"/>
          </w:tcPr>
          <w:p w14:paraId="74AB6B87" w14:textId="77777777" w:rsidR="00B33542" w:rsidRPr="005071A1" w:rsidRDefault="00B33542" w:rsidP="009B7AF5">
            <w:pPr>
              <w:pStyle w:val="Tabletext"/>
            </w:pPr>
            <w:r w:rsidRPr="005071A1">
              <w:t>57</w:t>
            </w:r>
          </w:p>
        </w:tc>
        <w:tc>
          <w:tcPr>
            <w:tcW w:w="2977" w:type="dxa"/>
            <w:tcBorders>
              <w:bottom w:val="single" w:sz="4" w:space="0" w:color="auto"/>
            </w:tcBorders>
            <w:shd w:val="clear" w:color="auto" w:fill="auto"/>
          </w:tcPr>
          <w:p w14:paraId="6F48FF45" w14:textId="77777777" w:rsidR="00B33542" w:rsidRPr="005071A1" w:rsidRDefault="00B33542" w:rsidP="009B7AF5">
            <w:pPr>
              <w:pStyle w:val="Tabletext"/>
            </w:pPr>
            <w:r w:rsidRPr="005071A1">
              <w:t>0.36</w:t>
            </w:r>
          </w:p>
        </w:tc>
        <w:tc>
          <w:tcPr>
            <w:tcW w:w="2935" w:type="dxa"/>
            <w:tcBorders>
              <w:bottom w:val="single" w:sz="4" w:space="0" w:color="auto"/>
            </w:tcBorders>
            <w:shd w:val="clear" w:color="auto" w:fill="auto"/>
          </w:tcPr>
          <w:p w14:paraId="5E75E330" w14:textId="77777777" w:rsidR="00B33542" w:rsidRPr="005071A1" w:rsidRDefault="00B33542" w:rsidP="009B7AF5">
            <w:pPr>
              <w:pStyle w:val="Tabletext"/>
            </w:pPr>
            <w:r w:rsidRPr="005071A1">
              <w:t>0.18</w:t>
            </w:r>
          </w:p>
        </w:tc>
      </w:tr>
      <w:tr w:rsidR="00B33542" w:rsidRPr="005071A1" w14:paraId="5C6A8CB6" w14:textId="77777777" w:rsidTr="00640BB6">
        <w:tc>
          <w:tcPr>
            <w:tcW w:w="1384" w:type="dxa"/>
            <w:tcBorders>
              <w:bottom w:val="single" w:sz="4" w:space="0" w:color="auto"/>
            </w:tcBorders>
            <w:shd w:val="clear" w:color="auto" w:fill="auto"/>
          </w:tcPr>
          <w:p w14:paraId="0001779A" w14:textId="77777777" w:rsidR="00B33542" w:rsidRPr="005071A1" w:rsidRDefault="00B33542" w:rsidP="009B7AF5">
            <w:pPr>
              <w:pStyle w:val="Tabletext"/>
            </w:pPr>
            <w:r w:rsidRPr="005071A1">
              <w:t>58</w:t>
            </w:r>
          </w:p>
        </w:tc>
        <w:tc>
          <w:tcPr>
            <w:tcW w:w="2977" w:type="dxa"/>
            <w:tcBorders>
              <w:bottom w:val="single" w:sz="4" w:space="0" w:color="auto"/>
            </w:tcBorders>
            <w:shd w:val="clear" w:color="auto" w:fill="auto"/>
          </w:tcPr>
          <w:p w14:paraId="5355F289" w14:textId="77777777" w:rsidR="00B33542" w:rsidRPr="005071A1" w:rsidRDefault="00B33542" w:rsidP="009B7AF5">
            <w:pPr>
              <w:pStyle w:val="Tabletext"/>
            </w:pPr>
            <w:r w:rsidRPr="005071A1">
              <w:t>0.42</w:t>
            </w:r>
          </w:p>
        </w:tc>
        <w:tc>
          <w:tcPr>
            <w:tcW w:w="2935" w:type="dxa"/>
            <w:tcBorders>
              <w:bottom w:val="single" w:sz="4" w:space="0" w:color="auto"/>
            </w:tcBorders>
            <w:shd w:val="clear" w:color="auto" w:fill="auto"/>
          </w:tcPr>
          <w:p w14:paraId="23465654" w14:textId="77777777" w:rsidR="00B33542" w:rsidRPr="005071A1" w:rsidRDefault="00B33542" w:rsidP="009B7AF5">
            <w:pPr>
              <w:pStyle w:val="Tabletext"/>
            </w:pPr>
            <w:r w:rsidRPr="005071A1">
              <w:t>0.21</w:t>
            </w:r>
          </w:p>
        </w:tc>
      </w:tr>
      <w:tr w:rsidR="00B33542" w:rsidRPr="005071A1" w14:paraId="6059874F" w14:textId="77777777" w:rsidTr="00640BB6">
        <w:tc>
          <w:tcPr>
            <w:tcW w:w="1384" w:type="dxa"/>
            <w:tcBorders>
              <w:top w:val="single" w:sz="4" w:space="0" w:color="auto"/>
            </w:tcBorders>
            <w:shd w:val="clear" w:color="auto" w:fill="auto"/>
          </w:tcPr>
          <w:p w14:paraId="7EA504CB" w14:textId="77777777" w:rsidR="00B33542" w:rsidRPr="005071A1" w:rsidRDefault="00B33542" w:rsidP="009B7AF5">
            <w:pPr>
              <w:pStyle w:val="Tabletext"/>
            </w:pPr>
            <w:r w:rsidRPr="005071A1">
              <w:t>59</w:t>
            </w:r>
          </w:p>
        </w:tc>
        <w:tc>
          <w:tcPr>
            <w:tcW w:w="2977" w:type="dxa"/>
            <w:tcBorders>
              <w:top w:val="single" w:sz="4" w:space="0" w:color="auto"/>
            </w:tcBorders>
            <w:shd w:val="clear" w:color="auto" w:fill="auto"/>
          </w:tcPr>
          <w:p w14:paraId="1BB5E86B" w14:textId="77777777" w:rsidR="00B33542" w:rsidRPr="005071A1" w:rsidRDefault="00B33542" w:rsidP="009B7AF5">
            <w:pPr>
              <w:pStyle w:val="Tabletext"/>
            </w:pPr>
            <w:r w:rsidRPr="005071A1">
              <w:t>0.48</w:t>
            </w:r>
          </w:p>
        </w:tc>
        <w:tc>
          <w:tcPr>
            <w:tcW w:w="2935" w:type="dxa"/>
            <w:tcBorders>
              <w:top w:val="single" w:sz="4" w:space="0" w:color="auto"/>
            </w:tcBorders>
            <w:shd w:val="clear" w:color="auto" w:fill="auto"/>
          </w:tcPr>
          <w:p w14:paraId="2CA21056" w14:textId="77777777" w:rsidR="00B33542" w:rsidRPr="005071A1" w:rsidRDefault="00B33542" w:rsidP="009B7AF5">
            <w:pPr>
              <w:pStyle w:val="Tabletext"/>
            </w:pPr>
            <w:r w:rsidRPr="005071A1">
              <w:t>0.24</w:t>
            </w:r>
          </w:p>
        </w:tc>
      </w:tr>
      <w:tr w:rsidR="00B33542" w:rsidRPr="005071A1" w14:paraId="77F3286D" w14:textId="77777777" w:rsidTr="009B7AF5">
        <w:tc>
          <w:tcPr>
            <w:tcW w:w="1384" w:type="dxa"/>
            <w:shd w:val="clear" w:color="auto" w:fill="auto"/>
          </w:tcPr>
          <w:p w14:paraId="65A8DA42" w14:textId="77777777" w:rsidR="00B33542" w:rsidRPr="005071A1" w:rsidRDefault="00B33542" w:rsidP="009B7AF5">
            <w:pPr>
              <w:pStyle w:val="Tabletext"/>
            </w:pPr>
            <w:r w:rsidRPr="005071A1">
              <w:t>60</w:t>
            </w:r>
          </w:p>
        </w:tc>
        <w:tc>
          <w:tcPr>
            <w:tcW w:w="2977" w:type="dxa"/>
            <w:shd w:val="clear" w:color="auto" w:fill="auto"/>
          </w:tcPr>
          <w:p w14:paraId="19C9F9C9" w14:textId="77777777" w:rsidR="00B33542" w:rsidRPr="005071A1" w:rsidRDefault="00B33542" w:rsidP="009B7AF5">
            <w:pPr>
              <w:pStyle w:val="Tabletext"/>
            </w:pPr>
            <w:r w:rsidRPr="005071A1">
              <w:t>0.60</w:t>
            </w:r>
          </w:p>
        </w:tc>
        <w:tc>
          <w:tcPr>
            <w:tcW w:w="2935" w:type="dxa"/>
            <w:shd w:val="clear" w:color="auto" w:fill="auto"/>
          </w:tcPr>
          <w:p w14:paraId="74804565" w14:textId="77777777" w:rsidR="00B33542" w:rsidRPr="005071A1" w:rsidRDefault="00B33542" w:rsidP="009B7AF5">
            <w:pPr>
              <w:pStyle w:val="Tabletext"/>
            </w:pPr>
            <w:r w:rsidRPr="005071A1">
              <w:t>0.30</w:t>
            </w:r>
          </w:p>
        </w:tc>
      </w:tr>
      <w:tr w:rsidR="00B33542" w:rsidRPr="005071A1" w14:paraId="4DA1227F" w14:textId="77777777" w:rsidTr="009B7AF5">
        <w:tc>
          <w:tcPr>
            <w:tcW w:w="1384" w:type="dxa"/>
            <w:shd w:val="clear" w:color="auto" w:fill="auto"/>
          </w:tcPr>
          <w:p w14:paraId="4662DDCD" w14:textId="77777777" w:rsidR="00B33542" w:rsidRPr="005071A1" w:rsidRDefault="00B33542" w:rsidP="009B7AF5">
            <w:pPr>
              <w:pStyle w:val="Tabletext"/>
            </w:pPr>
            <w:r w:rsidRPr="005071A1">
              <w:t>61</w:t>
            </w:r>
          </w:p>
        </w:tc>
        <w:tc>
          <w:tcPr>
            <w:tcW w:w="2977" w:type="dxa"/>
            <w:shd w:val="clear" w:color="auto" w:fill="auto"/>
          </w:tcPr>
          <w:p w14:paraId="59E3D338" w14:textId="77777777" w:rsidR="00B33542" w:rsidRPr="005071A1" w:rsidRDefault="00B33542" w:rsidP="009B7AF5">
            <w:pPr>
              <w:pStyle w:val="Tabletext"/>
            </w:pPr>
            <w:r w:rsidRPr="005071A1">
              <w:t>0.72</w:t>
            </w:r>
          </w:p>
        </w:tc>
        <w:tc>
          <w:tcPr>
            <w:tcW w:w="2935" w:type="dxa"/>
            <w:shd w:val="clear" w:color="auto" w:fill="auto"/>
          </w:tcPr>
          <w:p w14:paraId="142AEBB4" w14:textId="77777777" w:rsidR="00B33542" w:rsidRPr="005071A1" w:rsidRDefault="00B33542" w:rsidP="009B7AF5">
            <w:pPr>
              <w:pStyle w:val="Tabletext"/>
            </w:pPr>
            <w:r w:rsidRPr="005071A1">
              <w:t>0.36</w:t>
            </w:r>
          </w:p>
        </w:tc>
      </w:tr>
      <w:tr w:rsidR="00B33542" w:rsidRPr="005071A1" w14:paraId="59136286" w14:textId="77777777" w:rsidTr="009B7AF5">
        <w:tc>
          <w:tcPr>
            <w:tcW w:w="1384" w:type="dxa"/>
            <w:shd w:val="clear" w:color="auto" w:fill="auto"/>
          </w:tcPr>
          <w:p w14:paraId="39B52E44" w14:textId="77777777" w:rsidR="00B33542" w:rsidRPr="005071A1" w:rsidRDefault="00B33542" w:rsidP="009B7AF5">
            <w:pPr>
              <w:pStyle w:val="Tabletext"/>
            </w:pPr>
            <w:r w:rsidRPr="005071A1">
              <w:t>62</w:t>
            </w:r>
          </w:p>
        </w:tc>
        <w:tc>
          <w:tcPr>
            <w:tcW w:w="2977" w:type="dxa"/>
            <w:shd w:val="clear" w:color="auto" w:fill="auto"/>
          </w:tcPr>
          <w:p w14:paraId="76BCAF28" w14:textId="77777777" w:rsidR="00B33542" w:rsidRPr="005071A1" w:rsidRDefault="00B33542" w:rsidP="009B7AF5">
            <w:pPr>
              <w:pStyle w:val="Tabletext"/>
            </w:pPr>
            <w:r w:rsidRPr="005071A1">
              <w:t>0.92</w:t>
            </w:r>
          </w:p>
        </w:tc>
        <w:tc>
          <w:tcPr>
            <w:tcW w:w="2935" w:type="dxa"/>
            <w:shd w:val="clear" w:color="auto" w:fill="auto"/>
          </w:tcPr>
          <w:p w14:paraId="3F98842C" w14:textId="77777777" w:rsidR="00B33542" w:rsidRPr="005071A1" w:rsidRDefault="00B33542" w:rsidP="009B7AF5">
            <w:pPr>
              <w:pStyle w:val="Tabletext"/>
            </w:pPr>
            <w:r w:rsidRPr="005071A1">
              <w:t>0.46</w:t>
            </w:r>
          </w:p>
        </w:tc>
      </w:tr>
      <w:tr w:rsidR="00B33542" w:rsidRPr="005071A1" w14:paraId="6F5D50B9" w14:textId="77777777" w:rsidTr="009B7AF5">
        <w:tc>
          <w:tcPr>
            <w:tcW w:w="1384" w:type="dxa"/>
            <w:shd w:val="clear" w:color="auto" w:fill="auto"/>
          </w:tcPr>
          <w:p w14:paraId="57B7A703" w14:textId="77777777" w:rsidR="00B33542" w:rsidRPr="005071A1" w:rsidRDefault="00B33542" w:rsidP="009B7AF5">
            <w:pPr>
              <w:pStyle w:val="Tabletext"/>
            </w:pPr>
            <w:r w:rsidRPr="005071A1">
              <w:t>63</w:t>
            </w:r>
          </w:p>
        </w:tc>
        <w:tc>
          <w:tcPr>
            <w:tcW w:w="2977" w:type="dxa"/>
            <w:shd w:val="clear" w:color="auto" w:fill="auto"/>
          </w:tcPr>
          <w:p w14:paraId="3B8F135A" w14:textId="77777777" w:rsidR="00B33542" w:rsidRPr="005071A1" w:rsidRDefault="00B33542" w:rsidP="009B7AF5">
            <w:pPr>
              <w:pStyle w:val="Tabletext"/>
            </w:pPr>
            <w:r w:rsidRPr="005071A1">
              <w:t>1.26</w:t>
            </w:r>
          </w:p>
        </w:tc>
        <w:tc>
          <w:tcPr>
            <w:tcW w:w="2935" w:type="dxa"/>
            <w:shd w:val="clear" w:color="auto" w:fill="auto"/>
          </w:tcPr>
          <w:p w14:paraId="7AE647CC" w14:textId="77777777" w:rsidR="00B33542" w:rsidRPr="005071A1" w:rsidRDefault="00B33542" w:rsidP="009B7AF5">
            <w:pPr>
              <w:pStyle w:val="Tabletext"/>
            </w:pPr>
            <w:r w:rsidRPr="005071A1">
              <w:t>0.63</w:t>
            </w:r>
          </w:p>
        </w:tc>
      </w:tr>
      <w:tr w:rsidR="00B33542" w:rsidRPr="005071A1" w14:paraId="061E111E" w14:textId="77777777" w:rsidTr="009B7AF5">
        <w:tc>
          <w:tcPr>
            <w:tcW w:w="1384" w:type="dxa"/>
            <w:tcBorders>
              <w:bottom w:val="single" w:sz="4" w:space="0" w:color="auto"/>
            </w:tcBorders>
            <w:shd w:val="clear" w:color="auto" w:fill="auto"/>
          </w:tcPr>
          <w:p w14:paraId="69EEAD89" w14:textId="77777777" w:rsidR="00B33542" w:rsidRPr="005071A1" w:rsidRDefault="00B33542" w:rsidP="009B7AF5">
            <w:pPr>
              <w:pStyle w:val="Tabletext"/>
            </w:pPr>
            <w:r w:rsidRPr="005071A1">
              <w:t>64</w:t>
            </w:r>
          </w:p>
        </w:tc>
        <w:tc>
          <w:tcPr>
            <w:tcW w:w="2977" w:type="dxa"/>
            <w:tcBorders>
              <w:bottom w:val="single" w:sz="4" w:space="0" w:color="auto"/>
            </w:tcBorders>
            <w:shd w:val="clear" w:color="auto" w:fill="auto"/>
          </w:tcPr>
          <w:p w14:paraId="04844301" w14:textId="77777777" w:rsidR="00B33542" w:rsidRPr="005071A1" w:rsidRDefault="00B33542" w:rsidP="009B7AF5">
            <w:pPr>
              <w:pStyle w:val="Tabletext"/>
            </w:pPr>
            <w:r w:rsidRPr="005071A1">
              <w:t>2.44</w:t>
            </w:r>
          </w:p>
        </w:tc>
        <w:tc>
          <w:tcPr>
            <w:tcW w:w="2935" w:type="dxa"/>
            <w:tcBorders>
              <w:bottom w:val="single" w:sz="4" w:space="0" w:color="auto"/>
            </w:tcBorders>
            <w:shd w:val="clear" w:color="auto" w:fill="auto"/>
          </w:tcPr>
          <w:p w14:paraId="610B35DC" w14:textId="77777777" w:rsidR="00B33542" w:rsidRPr="005071A1" w:rsidRDefault="00B33542" w:rsidP="009B7AF5">
            <w:pPr>
              <w:pStyle w:val="Tabletext"/>
            </w:pPr>
            <w:r w:rsidRPr="005071A1">
              <w:t>1.22</w:t>
            </w:r>
          </w:p>
        </w:tc>
      </w:tr>
      <w:tr w:rsidR="00B33542" w:rsidRPr="005071A1" w14:paraId="287B92C8" w14:textId="77777777" w:rsidTr="009B7AF5">
        <w:tc>
          <w:tcPr>
            <w:tcW w:w="1384" w:type="dxa"/>
            <w:tcBorders>
              <w:bottom w:val="single" w:sz="12" w:space="0" w:color="auto"/>
            </w:tcBorders>
            <w:shd w:val="clear" w:color="auto" w:fill="auto"/>
          </w:tcPr>
          <w:p w14:paraId="4A83575B" w14:textId="77777777" w:rsidR="00B33542" w:rsidRPr="005071A1" w:rsidRDefault="00B33542" w:rsidP="009B7AF5">
            <w:pPr>
              <w:pStyle w:val="Tabletext"/>
            </w:pPr>
            <w:r w:rsidRPr="005071A1">
              <w:t>65</w:t>
            </w:r>
          </w:p>
        </w:tc>
        <w:tc>
          <w:tcPr>
            <w:tcW w:w="2977" w:type="dxa"/>
            <w:tcBorders>
              <w:bottom w:val="single" w:sz="12" w:space="0" w:color="auto"/>
            </w:tcBorders>
            <w:shd w:val="clear" w:color="auto" w:fill="auto"/>
          </w:tcPr>
          <w:p w14:paraId="2BBB2563" w14:textId="77777777" w:rsidR="00B33542" w:rsidRPr="005071A1" w:rsidRDefault="00B33542" w:rsidP="009B7AF5">
            <w:pPr>
              <w:pStyle w:val="Tabletext"/>
            </w:pPr>
            <w:r w:rsidRPr="005071A1">
              <w:t>1.74</w:t>
            </w:r>
          </w:p>
        </w:tc>
        <w:tc>
          <w:tcPr>
            <w:tcW w:w="2935" w:type="dxa"/>
            <w:tcBorders>
              <w:bottom w:val="single" w:sz="12" w:space="0" w:color="auto"/>
            </w:tcBorders>
            <w:shd w:val="clear" w:color="auto" w:fill="auto"/>
          </w:tcPr>
          <w:p w14:paraId="45960CF3" w14:textId="77777777" w:rsidR="00B33542" w:rsidRPr="005071A1" w:rsidRDefault="00B33542" w:rsidP="009B7AF5">
            <w:pPr>
              <w:pStyle w:val="Tabletext"/>
            </w:pPr>
            <w:r w:rsidRPr="005071A1">
              <w:t>0.87</w:t>
            </w:r>
          </w:p>
        </w:tc>
      </w:tr>
    </w:tbl>
    <w:p w14:paraId="27BAC798" w14:textId="77777777" w:rsidR="00B33542" w:rsidRPr="005071A1" w:rsidRDefault="00B33542" w:rsidP="00674A0D">
      <w:pPr>
        <w:pStyle w:val="ActHead5"/>
        <w:pageBreakBefore/>
      </w:pPr>
      <w:bookmarkStart w:id="320" w:name="_Toc185577702"/>
      <w:r w:rsidRPr="005071A1">
        <w:t>Table X</w:t>
      </w:r>
      <w:bookmarkEnd w:id="320"/>
    </w:p>
    <w:p w14:paraId="4387C9E4" w14:textId="77777777" w:rsidR="00B33542" w:rsidRPr="005071A1" w:rsidRDefault="00B33542" w:rsidP="00B33542">
      <w:pPr>
        <w:spacing w:before="120"/>
      </w:pPr>
      <w:r w:rsidRPr="005071A1">
        <w:t>Reductions in fortnightly rates of contribution payable on or after 1st July, 1962, by male contributors (other than contributors who have elected that section</w:t>
      </w:r>
      <w:r w:rsidR="008B2950" w:rsidRPr="005071A1">
        <w:t> </w:t>
      </w:r>
      <w:r w:rsidRPr="005071A1">
        <w:t>26 shall not apply to them) for units of pension based on a retiring age of 60 years and the age next birthday of the contributor when the obligation to contribute for those units came into existence</w:t>
      </w:r>
    </w:p>
    <w:p w14:paraId="4B590818"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1842"/>
        <w:gridCol w:w="2263"/>
        <w:gridCol w:w="18"/>
        <w:gridCol w:w="2072"/>
      </w:tblGrid>
      <w:tr w:rsidR="00B33542" w:rsidRPr="005071A1" w14:paraId="0EB9FF48" w14:textId="77777777" w:rsidTr="009B7AF5">
        <w:trPr>
          <w:tblHeader/>
        </w:trPr>
        <w:tc>
          <w:tcPr>
            <w:tcW w:w="1101" w:type="dxa"/>
            <w:tcBorders>
              <w:top w:val="single" w:sz="12" w:space="0" w:color="auto"/>
              <w:bottom w:val="single" w:sz="6" w:space="0" w:color="auto"/>
            </w:tcBorders>
            <w:shd w:val="clear" w:color="auto" w:fill="auto"/>
          </w:tcPr>
          <w:p w14:paraId="31985983" w14:textId="77777777" w:rsidR="00B33542" w:rsidRPr="005071A1" w:rsidRDefault="00B33542" w:rsidP="009B7AF5">
            <w:pPr>
              <w:pStyle w:val="TableHeading"/>
            </w:pPr>
            <w:r w:rsidRPr="005071A1">
              <w:t>Column 1</w:t>
            </w:r>
          </w:p>
        </w:tc>
        <w:tc>
          <w:tcPr>
            <w:tcW w:w="1842" w:type="dxa"/>
            <w:tcBorders>
              <w:top w:val="single" w:sz="12" w:space="0" w:color="auto"/>
              <w:bottom w:val="single" w:sz="6" w:space="0" w:color="auto"/>
            </w:tcBorders>
            <w:shd w:val="clear" w:color="auto" w:fill="auto"/>
          </w:tcPr>
          <w:p w14:paraId="3CAEB36F" w14:textId="77777777" w:rsidR="00B33542" w:rsidRPr="005071A1" w:rsidRDefault="00B33542" w:rsidP="009B7AF5">
            <w:pPr>
              <w:pStyle w:val="TableHeading"/>
            </w:pPr>
            <w:r w:rsidRPr="005071A1">
              <w:t>Column 2</w:t>
            </w:r>
          </w:p>
        </w:tc>
        <w:tc>
          <w:tcPr>
            <w:tcW w:w="2281" w:type="dxa"/>
            <w:gridSpan w:val="2"/>
            <w:tcBorders>
              <w:top w:val="single" w:sz="12" w:space="0" w:color="auto"/>
              <w:bottom w:val="single" w:sz="6" w:space="0" w:color="auto"/>
            </w:tcBorders>
            <w:shd w:val="clear" w:color="auto" w:fill="auto"/>
          </w:tcPr>
          <w:p w14:paraId="15266FAF" w14:textId="77777777" w:rsidR="00B33542" w:rsidRPr="005071A1" w:rsidRDefault="00B33542" w:rsidP="009B7AF5">
            <w:pPr>
              <w:pStyle w:val="TableHeading"/>
            </w:pPr>
            <w:r w:rsidRPr="005071A1">
              <w:t>Column 3</w:t>
            </w:r>
          </w:p>
        </w:tc>
        <w:tc>
          <w:tcPr>
            <w:tcW w:w="2072" w:type="dxa"/>
            <w:tcBorders>
              <w:top w:val="single" w:sz="12" w:space="0" w:color="auto"/>
              <w:bottom w:val="single" w:sz="6" w:space="0" w:color="auto"/>
            </w:tcBorders>
            <w:shd w:val="clear" w:color="auto" w:fill="auto"/>
          </w:tcPr>
          <w:p w14:paraId="7E97558D" w14:textId="77777777" w:rsidR="00B33542" w:rsidRPr="005071A1" w:rsidRDefault="00B33542" w:rsidP="009B7AF5">
            <w:pPr>
              <w:pStyle w:val="TableHeading"/>
            </w:pPr>
            <w:r w:rsidRPr="005071A1">
              <w:t>Column 4</w:t>
            </w:r>
          </w:p>
        </w:tc>
      </w:tr>
      <w:tr w:rsidR="00B33542" w:rsidRPr="005071A1" w14:paraId="0061DCE0" w14:textId="77777777" w:rsidTr="009B7AF5">
        <w:trPr>
          <w:tblHeader/>
        </w:trPr>
        <w:tc>
          <w:tcPr>
            <w:tcW w:w="1101" w:type="dxa"/>
            <w:tcBorders>
              <w:top w:val="single" w:sz="6" w:space="0" w:color="auto"/>
              <w:bottom w:val="single" w:sz="6" w:space="0" w:color="auto"/>
            </w:tcBorders>
            <w:shd w:val="clear" w:color="auto" w:fill="auto"/>
          </w:tcPr>
          <w:p w14:paraId="108326C8"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842" w:type="dxa"/>
            <w:tcBorders>
              <w:top w:val="single" w:sz="6" w:space="0" w:color="auto"/>
              <w:bottom w:val="single" w:sz="6" w:space="0" w:color="auto"/>
            </w:tcBorders>
            <w:shd w:val="clear" w:color="auto" w:fill="auto"/>
          </w:tcPr>
          <w:p w14:paraId="12736DEC"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First Two Units where the Obligation to Contribute for those Units came into existence after 2nd November, 1942, and before 14th December, 1959</w:t>
            </w:r>
          </w:p>
        </w:tc>
        <w:tc>
          <w:tcPr>
            <w:tcW w:w="2281" w:type="dxa"/>
            <w:gridSpan w:val="2"/>
            <w:tcBorders>
              <w:top w:val="single" w:sz="6" w:space="0" w:color="auto"/>
              <w:bottom w:val="single" w:sz="6" w:space="0" w:color="auto"/>
            </w:tcBorders>
            <w:shd w:val="clear" w:color="auto" w:fill="auto"/>
          </w:tcPr>
          <w:p w14:paraId="714CB11A" w14:textId="77777777" w:rsidR="00B33542" w:rsidRPr="005071A1" w:rsidRDefault="00B33542" w:rsidP="005C01B5">
            <w:pPr>
              <w:pStyle w:val="TableHeading"/>
              <w:spacing w:before="40" w:after="40" w:line="180" w:lineRule="atLeast"/>
              <w:rPr>
                <w:sz w:val="16"/>
                <w:szCs w:val="16"/>
              </w:rPr>
            </w:pPr>
            <w:r w:rsidRPr="005071A1">
              <w:rPr>
                <w:sz w:val="16"/>
                <w:szCs w:val="16"/>
              </w:rPr>
              <w:t>Reduction in Contribution for—</w:t>
            </w:r>
          </w:p>
          <w:p w14:paraId="26331F65"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a</w:t>
            </w:r>
            <w:r w:rsidRPr="005071A1">
              <w:rPr>
                <w:sz w:val="16"/>
                <w:szCs w:val="16"/>
              </w:rPr>
              <w:t xml:space="preserve">) </w:t>
            </w:r>
            <w:r w:rsidR="00B33542" w:rsidRPr="005071A1">
              <w:rPr>
                <w:sz w:val="16"/>
                <w:szCs w:val="16"/>
              </w:rPr>
              <w:t>Additional Unit where Contributor did not become liable to Contribute for other Additional Units at the same time and the Obligation to Contribute for that Additional Unit came into existence after 2nd November, 1942, and before 1st November, 1951;</w:t>
            </w:r>
          </w:p>
          <w:p w14:paraId="12481D5E"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b</w:t>
            </w:r>
            <w:r w:rsidRPr="005071A1">
              <w:rPr>
                <w:sz w:val="16"/>
                <w:szCs w:val="16"/>
              </w:rPr>
              <w:t xml:space="preserve">) </w:t>
            </w:r>
            <w:r w:rsidR="00B33542" w:rsidRPr="005071A1">
              <w:rPr>
                <w:sz w:val="16"/>
                <w:szCs w:val="16"/>
              </w:rPr>
              <w:t>One of a number of Additional Units for which Contributor became liable to Contribute at the same time, being a number that is not two or a multiple of two, where the Obligation to Contribute for those Additional Units came into existence after 2nd November, 1942, and before 1st November, 1951; and</w:t>
            </w:r>
          </w:p>
          <w:p w14:paraId="739B510C" w14:textId="77777777" w:rsidR="00B33542" w:rsidRPr="005071A1" w:rsidRDefault="009B7AF5" w:rsidP="005C01B5">
            <w:pPr>
              <w:pStyle w:val="TableHeading"/>
              <w:spacing w:before="40" w:after="40" w:line="180" w:lineRule="atLeast"/>
              <w:rPr>
                <w:sz w:val="16"/>
                <w:szCs w:val="16"/>
              </w:rPr>
            </w:pPr>
            <w:r w:rsidRPr="005071A1">
              <w:rPr>
                <w:sz w:val="16"/>
                <w:szCs w:val="16"/>
              </w:rPr>
              <w:t>(</w:t>
            </w:r>
            <w:r w:rsidR="00B33542" w:rsidRPr="005071A1">
              <w:rPr>
                <w:sz w:val="16"/>
                <w:szCs w:val="16"/>
              </w:rPr>
              <w:t>c</w:t>
            </w:r>
            <w:r w:rsidRPr="005071A1">
              <w:rPr>
                <w:sz w:val="16"/>
                <w:szCs w:val="16"/>
              </w:rPr>
              <w:t xml:space="preserve">) </w:t>
            </w:r>
            <w:r w:rsidR="00B33542" w:rsidRPr="005071A1">
              <w:rPr>
                <w:sz w:val="16"/>
                <w:szCs w:val="16"/>
              </w:rPr>
              <w:t>Each Additional Unit where the Obligation to Contribute for that Additional Unit came into existence on or after 1st November, 1951, and before 14th December, 1959</w:t>
            </w:r>
          </w:p>
        </w:tc>
        <w:tc>
          <w:tcPr>
            <w:tcW w:w="2072" w:type="dxa"/>
            <w:tcBorders>
              <w:top w:val="single" w:sz="6" w:space="0" w:color="auto"/>
              <w:bottom w:val="single" w:sz="6" w:space="0" w:color="auto"/>
            </w:tcBorders>
            <w:shd w:val="clear" w:color="auto" w:fill="auto"/>
          </w:tcPr>
          <w:p w14:paraId="28813884" w14:textId="77777777" w:rsidR="00B33542" w:rsidRPr="005071A1" w:rsidRDefault="00B33542" w:rsidP="005C01B5">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each Additional Two Units included in a number of Additional Units for which Contributor became liable to Contribute at the same time, excluding any Unit to which Column 3 of this Table applies, where the Obligation to Contribute for those Additional Units came into existence after 2nd November, 1942, and before 1st November, 1951</w:t>
            </w:r>
          </w:p>
        </w:tc>
      </w:tr>
      <w:tr w:rsidR="00B33542" w:rsidRPr="005071A1" w14:paraId="0919D310" w14:textId="77777777" w:rsidTr="009B7AF5">
        <w:trPr>
          <w:tblHeader/>
        </w:trPr>
        <w:tc>
          <w:tcPr>
            <w:tcW w:w="1101" w:type="dxa"/>
            <w:tcBorders>
              <w:top w:val="single" w:sz="6" w:space="0" w:color="auto"/>
              <w:bottom w:val="single" w:sz="12" w:space="0" w:color="auto"/>
            </w:tcBorders>
            <w:shd w:val="clear" w:color="auto" w:fill="auto"/>
          </w:tcPr>
          <w:p w14:paraId="45632456" w14:textId="77777777" w:rsidR="00B33542" w:rsidRPr="005071A1" w:rsidRDefault="00B33542" w:rsidP="005C01B5">
            <w:pPr>
              <w:pStyle w:val="TableHeading"/>
            </w:pPr>
          </w:p>
        </w:tc>
        <w:tc>
          <w:tcPr>
            <w:tcW w:w="1842" w:type="dxa"/>
            <w:tcBorders>
              <w:top w:val="single" w:sz="6" w:space="0" w:color="auto"/>
              <w:bottom w:val="single" w:sz="12" w:space="0" w:color="auto"/>
            </w:tcBorders>
            <w:shd w:val="clear" w:color="auto" w:fill="auto"/>
          </w:tcPr>
          <w:p w14:paraId="0775E278" w14:textId="77777777" w:rsidR="00B33542" w:rsidRPr="005071A1" w:rsidRDefault="00B33542" w:rsidP="005C01B5">
            <w:pPr>
              <w:pStyle w:val="TableHeading"/>
            </w:pPr>
            <w:r w:rsidRPr="005071A1">
              <w:t>$</w:t>
            </w:r>
          </w:p>
        </w:tc>
        <w:tc>
          <w:tcPr>
            <w:tcW w:w="2281" w:type="dxa"/>
            <w:gridSpan w:val="2"/>
            <w:tcBorders>
              <w:top w:val="single" w:sz="6" w:space="0" w:color="auto"/>
              <w:bottom w:val="single" w:sz="12" w:space="0" w:color="auto"/>
            </w:tcBorders>
            <w:shd w:val="clear" w:color="auto" w:fill="auto"/>
          </w:tcPr>
          <w:p w14:paraId="507DD4AF" w14:textId="77777777" w:rsidR="00B33542" w:rsidRPr="005071A1" w:rsidRDefault="00B33542" w:rsidP="005C01B5">
            <w:pPr>
              <w:pStyle w:val="TableHeading"/>
            </w:pPr>
            <w:r w:rsidRPr="005071A1">
              <w:t>$</w:t>
            </w:r>
          </w:p>
        </w:tc>
        <w:tc>
          <w:tcPr>
            <w:tcW w:w="2072" w:type="dxa"/>
            <w:tcBorders>
              <w:top w:val="single" w:sz="6" w:space="0" w:color="auto"/>
              <w:bottom w:val="single" w:sz="12" w:space="0" w:color="auto"/>
            </w:tcBorders>
            <w:shd w:val="clear" w:color="auto" w:fill="auto"/>
          </w:tcPr>
          <w:p w14:paraId="0655152B" w14:textId="77777777" w:rsidR="00B33542" w:rsidRPr="005071A1" w:rsidRDefault="00B33542" w:rsidP="005C01B5">
            <w:pPr>
              <w:pStyle w:val="TableHeading"/>
            </w:pPr>
            <w:r w:rsidRPr="005071A1">
              <w:t>$</w:t>
            </w:r>
          </w:p>
        </w:tc>
      </w:tr>
      <w:tr w:rsidR="00B33542" w:rsidRPr="005071A1" w14:paraId="22CBECF7" w14:textId="77777777" w:rsidTr="009B7AF5">
        <w:tc>
          <w:tcPr>
            <w:tcW w:w="1101" w:type="dxa"/>
            <w:tcBorders>
              <w:top w:val="single" w:sz="12" w:space="0" w:color="auto"/>
            </w:tcBorders>
            <w:shd w:val="clear" w:color="auto" w:fill="auto"/>
          </w:tcPr>
          <w:p w14:paraId="3EC2C862" w14:textId="77777777" w:rsidR="00B33542" w:rsidRPr="005071A1" w:rsidRDefault="00B33542" w:rsidP="009B7AF5">
            <w:pPr>
              <w:pStyle w:val="Tabletext"/>
            </w:pPr>
            <w:r w:rsidRPr="005071A1">
              <w:t>15</w:t>
            </w:r>
          </w:p>
        </w:tc>
        <w:tc>
          <w:tcPr>
            <w:tcW w:w="1842" w:type="dxa"/>
            <w:tcBorders>
              <w:top w:val="single" w:sz="12" w:space="0" w:color="auto"/>
            </w:tcBorders>
            <w:shd w:val="clear" w:color="auto" w:fill="auto"/>
          </w:tcPr>
          <w:p w14:paraId="518E1A96" w14:textId="77777777" w:rsidR="00B33542" w:rsidRPr="005071A1" w:rsidRDefault="00B33542" w:rsidP="009B7AF5">
            <w:pPr>
              <w:pStyle w:val="Tabletext"/>
            </w:pPr>
            <w:r w:rsidRPr="005071A1">
              <w:t>0.10</w:t>
            </w:r>
          </w:p>
        </w:tc>
        <w:tc>
          <w:tcPr>
            <w:tcW w:w="2281" w:type="dxa"/>
            <w:gridSpan w:val="2"/>
            <w:tcBorders>
              <w:top w:val="single" w:sz="12" w:space="0" w:color="auto"/>
            </w:tcBorders>
            <w:shd w:val="clear" w:color="auto" w:fill="auto"/>
          </w:tcPr>
          <w:p w14:paraId="539ED52B" w14:textId="77777777" w:rsidR="00B33542" w:rsidRPr="005071A1" w:rsidRDefault="00B33542" w:rsidP="009B7AF5">
            <w:pPr>
              <w:pStyle w:val="Tabletext"/>
            </w:pPr>
            <w:r w:rsidRPr="005071A1">
              <w:t>0.05</w:t>
            </w:r>
          </w:p>
        </w:tc>
        <w:tc>
          <w:tcPr>
            <w:tcW w:w="2072" w:type="dxa"/>
            <w:tcBorders>
              <w:top w:val="single" w:sz="12" w:space="0" w:color="auto"/>
            </w:tcBorders>
            <w:shd w:val="clear" w:color="auto" w:fill="auto"/>
          </w:tcPr>
          <w:p w14:paraId="0F64A2F3" w14:textId="77777777" w:rsidR="00B33542" w:rsidRPr="005071A1" w:rsidRDefault="00B33542" w:rsidP="009B7AF5">
            <w:pPr>
              <w:pStyle w:val="Tabletext"/>
            </w:pPr>
            <w:r w:rsidRPr="005071A1">
              <w:t>0.10</w:t>
            </w:r>
          </w:p>
        </w:tc>
      </w:tr>
      <w:tr w:rsidR="00B33542" w:rsidRPr="005071A1" w14:paraId="0ACA6C28" w14:textId="77777777" w:rsidTr="00D57394">
        <w:tc>
          <w:tcPr>
            <w:tcW w:w="1101" w:type="dxa"/>
            <w:tcBorders>
              <w:bottom w:val="single" w:sz="4" w:space="0" w:color="auto"/>
            </w:tcBorders>
            <w:shd w:val="clear" w:color="auto" w:fill="auto"/>
          </w:tcPr>
          <w:p w14:paraId="044E8B69" w14:textId="77777777" w:rsidR="00B33542" w:rsidRPr="005071A1" w:rsidRDefault="00B33542" w:rsidP="009B7AF5">
            <w:pPr>
              <w:pStyle w:val="Tabletext"/>
            </w:pPr>
            <w:r w:rsidRPr="005071A1">
              <w:t>16</w:t>
            </w:r>
          </w:p>
        </w:tc>
        <w:tc>
          <w:tcPr>
            <w:tcW w:w="1842" w:type="dxa"/>
            <w:tcBorders>
              <w:bottom w:val="single" w:sz="4" w:space="0" w:color="auto"/>
            </w:tcBorders>
            <w:shd w:val="clear" w:color="auto" w:fill="auto"/>
          </w:tcPr>
          <w:p w14:paraId="54470027" w14:textId="77777777" w:rsidR="00B33542" w:rsidRPr="005071A1" w:rsidRDefault="00B33542" w:rsidP="009B7AF5">
            <w:pPr>
              <w:pStyle w:val="Tabletext"/>
            </w:pPr>
            <w:r w:rsidRPr="005071A1">
              <w:t>0.08</w:t>
            </w:r>
          </w:p>
        </w:tc>
        <w:tc>
          <w:tcPr>
            <w:tcW w:w="2281" w:type="dxa"/>
            <w:gridSpan w:val="2"/>
            <w:tcBorders>
              <w:bottom w:val="single" w:sz="4" w:space="0" w:color="auto"/>
            </w:tcBorders>
            <w:shd w:val="clear" w:color="auto" w:fill="auto"/>
          </w:tcPr>
          <w:p w14:paraId="42DDBD2C" w14:textId="77777777" w:rsidR="00B33542" w:rsidRPr="005071A1" w:rsidRDefault="00B33542" w:rsidP="009B7AF5">
            <w:pPr>
              <w:pStyle w:val="Tabletext"/>
            </w:pPr>
            <w:r w:rsidRPr="005071A1">
              <w:t>0.04</w:t>
            </w:r>
          </w:p>
        </w:tc>
        <w:tc>
          <w:tcPr>
            <w:tcW w:w="2072" w:type="dxa"/>
            <w:tcBorders>
              <w:bottom w:val="single" w:sz="4" w:space="0" w:color="auto"/>
            </w:tcBorders>
            <w:shd w:val="clear" w:color="auto" w:fill="auto"/>
          </w:tcPr>
          <w:p w14:paraId="4FAF1521" w14:textId="77777777" w:rsidR="00B33542" w:rsidRPr="005071A1" w:rsidRDefault="00B33542" w:rsidP="009B7AF5">
            <w:pPr>
              <w:pStyle w:val="Tabletext"/>
            </w:pPr>
            <w:r w:rsidRPr="005071A1">
              <w:t>0.08</w:t>
            </w:r>
          </w:p>
        </w:tc>
      </w:tr>
      <w:tr w:rsidR="00B33542" w:rsidRPr="005071A1" w14:paraId="432E0B1D" w14:textId="77777777" w:rsidTr="00D57394">
        <w:tc>
          <w:tcPr>
            <w:tcW w:w="1101" w:type="dxa"/>
            <w:tcBorders>
              <w:bottom w:val="single" w:sz="4" w:space="0" w:color="auto"/>
            </w:tcBorders>
            <w:shd w:val="clear" w:color="auto" w:fill="auto"/>
          </w:tcPr>
          <w:p w14:paraId="12A3F3DB" w14:textId="77777777" w:rsidR="00B33542" w:rsidRPr="005071A1" w:rsidRDefault="00B33542" w:rsidP="009B7AF5">
            <w:pPr>
              <w:pStyle w:val="Tabletext"/>
            </w:pPr>
            <w:r w:rsidRPr="005071A1">
              <w:t>17</w:t>
            </w:r>
          </w:p>
        </w:tc>
        <w:tc>
          <w:tcPr>
            <w:tcW w:w="1842" w:type="dxa"/>
            <w:tcBorders>
              <w:bottom w:val="single" w:sz="4" w:space="0" w:color="auto"/>
            </w:tcBorders>
            <w:shd w:val="clear" w:color="auto" w:fill="auto"/>
          </w:tcPr>
          <w:p w14:paraId="36CECA50" w14:textId="77777777" w:rsidR="00B33542" w:rsidRPr="005071A1" w:rsidRDefault="00B33542" w:rsidP="009B7AF5">
            <w:pPr>
              <w:pStyle w:val="Tabletext"/>
            </w:pPr>
            <w:r w:rsidRPr="005071A1">
              <w:t>0.10</w:t>
            </w:r>
          </w:p>
        </w:tc>
        <w:tc>
          <w:tcPr>
            <w:tcW w:w="2281" w:type="dxa"/>
            <w:gridSpan w:val="2"/>
            <w:tcBorders>
              <w:bottom w:val="single" w:sz="4" w:space="0" w:color="auto"/>
            </w:tcBorders>
            <w:shd w:val="clear" w:color="auto" w:fill="auto"/>
          </w:tcPr>
          <w:p w14:paraId="363429EB" w14:textId="77777777" w:rsidR="00B33542" w:rsidRPr="005071A1" w:rsidRDefault="00B33542" w:rsidP="009B7AF5">
            <w:pPr>
              <w:pStyle w:val="Tabletext"/>
            </w:pPr>
            <w:r w:rsidRPr="005071A1">
              <w:t>0.04</w:t>
            </w:r>
          </w:p>
        </w:tc>
        <w:tc>
          <w:tcPr>
            <w:tcW w:w="2072" w:type="dxa"/>
            <w:tcBorders>
              <w:bottom w:val="single" w:sz="4" w:space="0" w:color="auto"/>
            </w:tcBorders>
            <w:shd w:val="clear" w:color="auto" w:fill="auto"/>
          </w:tcPr>
          <w:p w14:paraId="0A38E175" w14:textId="77777777" w:rsidR="00B33542" w:rsidRPr="005071A1" w:rsidRDefault="00B33542" w:rsidP="009B7AF5">
            <w:pPr>
              <w:pStyle w:val="Tabletext"/>
            </w:pPr>
            <w:r w:rsidRPr="005071A1">
              <w:t>0.08</w:t>
            </w:r>
          </w:p>
        </w:tc>
      </w:tr>
      <w:tr w:rsidR="00B33542" w:rsidRPr="005071A1" w14:paraId="380EC87A" w14:textId="77777777" w:rsidTr="00640BB6">
        <w:tc>
          <w:tcPr>
            <w:tcW w:w="1101" w:type="dxa"/>
            <w:tcBorders>
              <w:top w:val="single" w:sz="4" w:space="0" w:color="auto"/>
              <w:bottom w:val="single" w:sz="4" w:space="0" w:color="auto"/>
            </w:tcBorders>
            <w:shd w:val="clear" w:color="auto" w:fill="auto"/>
          </w:tcPr>
          <w:p w14:paraId="586D278F" w14:textId="77777777" w:rsidR="00B33542" w:rsidRPr="005071A1" w:rsidRDefault="00B33542" w:rsidP="009B7AF5">
            <w:pPr>
              <w:pStyle w:val="Tabletext"/>
            </w:pPr>
            <w:r w:rsidRPr="005071A1">
              <w:t>18</w:t>
            </w:r>
          </w:p>
        </w:tc>
        <w:tc>
          <w:tcPr>
            <w:tcW w:w="1842" w:type="dxa"/>
            <w:tcBorders>
              <w:top w:val="single" w:sz="4" w:space="0" w:color="auto"/>
              <w:bottom w:val="single" w:sz="4" w:space="0" w:color="auto"/>
            </w:tcBorders>
            <w:shd w:val="clear" w:color="auto" w:fill="auto"/>
          </w:tcPr>
          <w:p w14:paraId="6E93727C" w14:textId="77777777" w:rsidR="00B33542" w:rsidRPr="005071A1" w:rsidRDefault="00B33542" w:rsidP="009B7AF5">
            <w:pPr>
              <w:pStyle w:val="Tabletext"/>
            </w:pPr>
            <w:r w:rsidRPr="005071A1">
              <w:t>0.10</w:t>
            </w:r>
          </w:p>
        </w:tc>
        <w:tc>
          <w:tcPr>
            <w:tcW w:w="2281" w:type="dxa"/>
            <w:gridSpan w:val="2"/>
            <w:tcBorders>
              <w:top w:val="single" w:sz="4" w:space="0" w:color="auto"/>
              <w:bottom w:val="single" w:sz="4" w:space="0" w:color="auto"/>
            </w:tcBorders>
            <w:shd w:val="clear" w:color="auto" w:fill="auto"/>
          </w:tcPr>
          <w:p w14:paraId="299C0193" w14:textId="77777777" w:rsidR="00B33542" w:rsidRPr="005071A1" w:rsidRDefault="00B33542" w:rsidP="009B7AF5">
            <w:pPr>
              <w:pStyle w:val="Tabletext"/>
            </w:pPr>
            <w:r w:rsidRPr="005071A1">
              <w:t>0.04</w:t>
            </w:r>
          </w:p>
        </w:tc>
        <w:tc>
          <w:tcPr>
            <w:tcW w:w="2072" w:type="dxa"/>
            <w:tcBorders>
              <w:top w:val="single" w:sz="4" w:space="0" w:color="auto"/>
              <w:bottom w:val="single" w:sz="4" w:space="0" w:color="auto"/>
            </w:tcBorders>
            <w:shd w:val="clear" w:color="auto" w:fill="auto"/>
          </w:tcPr>
          <w:p w14:paraId="60F52810" w14:textId="77777777" w:rsidR="00B33542" w:rsidRPr="005071A1" w:rsidRDefault="00B33542" w:rsidP="009B7AF5">
            <w:pPr>
              <w:pStyle w:val="Tabletext"/>
            </w:pPr>
            <w:r w:rsidRPr="005071A1">
              <w:t>0.08</w:t>
            </w:r>
          </w:p>
        </w:tc>
      </w:tr>
      <w:tr w:rsidR="00B33542" w:rsidRPr="005071A1" w14:paraId="54904E95" w14:textId="77777777" w:rsidTr="00640BB6">
        <w:tc>
          <w:tcPr>
            <w:tcW w:w="1101" w:type="dxa"/>
            <w:tcBorders>
              <w:bottom w:val="single" w:sz="4" w:space="0" w:color="auto"/>
            </w:tcBorders>
            <w:shd w:val="clear" w:color="auto" w:fill="auto"/>
          </w:tcPr>
          <w:p w14:paraId="2A2DC1EB" w14:textId="77777777" w:rsidR="00B33542" w:rsidRPr="005071A1" w:rsidRDefault="00B33542" w:rsidP="009B7AF5">
            <w:pPr>
              <w:pStyle w:val="Tabletext"/>
            </w:pPr>
            <w:r w:rsidRPr="005071A1">
              <w:t>19</w:t>
            </w:r>
          </w:p>
        </w:tc>
        <w:tc>
          <w:tcPr>
            <w:tcW w:w="1842" w:type="dxa"/>
            <w:tcBorders>
              <w:bottom w:val="single" w:sz="4" w:space="0" w:color="auto"/>
            </w:tcBorders>
            <w:shd w:val="clear" w:color="auto" w:fill="auto"/>
          </w:tcPr>
          <w:p w14:paraId="387526CB" w14:textId="77777777" w:rsidR="00B33542" w:rsidRPr="005071A1" w:rsidRDefault="00B33542" w:rsidP="009B7AF5">
            <w:pPr>
              <w:pStyle w:val="Tabletext"/>
            </w:pPr>
            <w:r w:rsidRPr="005071A1">
              <w:t>0.10</w:t>
            </w:r>
          </w:p>
        </w:tc>
        <w:tc>
          <w:tcPr>
            <w:tcW w:w="2281" w:type="dxa"/>
            <w:gridSpan w:val="2"/>
            <w:tcBorders>
              <w:bottom w:val="single" w:sz="4" w:space="0" w:color="auto"/>
            </w:tcBorders>
            <w:shd w:val="clear" w:color="auto" w:fill="auto"/>
          </w:tcPr>
          <w:p w14:paraId="015E0C19" w14:textId="77777777" w:rsidR="00B33542" w:rsidRPr="005071A1" w:rsidRDefault="00B33542" w:rsidP="009B7AF5">
            <w:pPr>
              <w:pStyle w:val="Tabletext"/>
            </w:pPr>
            <w:r w:rsidRPr="005071A1">
              <w:t>0.04</w:t>
            </w:r>
          </w:p>
        </w:tc>
        <w:tc>
          <w:tcPr>
            <w:tcW w:w="2072" w:type="dxa"/>
            <w:tcBorders>
              <w:bottom w:val="single" w:sz="4" w:space="0" w:color="auto"/>
            </w:tcBorders>
            <w:shd w:val="clear" w:color="auto" w:fill="auto"/>
          </w:tcPr>
          <w:p w14:paraId="1002C01A" w14:textId="77777777" w:rsidR="00B33542" w:rsidRPr="005071A1" w:rsidRDefault="00B33542" w:rsidP="009B7AF5">
            <w:pPr>
              <w:pStyle w:val="Tabletext"/>
            </w:pPr>
            <w:r w:rsidRPr="005071A1">
              <w:t>0.08</w:t>
            </w:r>
          </w:p>
        </w:tc>
      </w:tr>
      <w:tr w:rsidR="00B33542" w:rsidRPr="005071A1" w14:paraId="355E8171" w14:textId="77777777" w:rsidTr="00640BB6">
        <w:tc>
          <w:tcPr>
            <w:tcW w:w="1101" w:type="dxa"/>
            <w:tcBorders>
              <w:top w:val="single" w:sz="4" w:space="0" w:color="auto"/>
            </w:tcBorders>
            <w:shd w:val="clear" w:color="auto" w:fill="auto"/>
          </w:tcPr>
          <w:p w14:paraId="3F2384C1" w14:textId="77777777" w:rsidR="00B33542" w:rsidRPr="005071A1" w:rsidRDefault="00B33542" w:rsidP="009B7AF5">
            <w:pPr>
              <w:pStyle w:val="Tabletext"/>
            </w:pPr>
            <w:r w:rsidRPr="005071A1">
              <w:t>20</w:t>
            </w:r>
          </w:p>
        </w:tc>
        <w:tc>
          <w:tcPr>
            <w:tcW w:w="1842" w:type="dxa"/>
            <w:tcBorders>
              <w:top w:val="single" w:sz="4" w:space="0" w:color="auto"/>
            </w:tcBorders>
            <w:shd w:val="clear" w:color="auto" w:fill="auto"/>
          </w:tcPr>
          <w:p w14:paraId="50A8C15F" w14:textId="77777777" w:rsidR="00B33542" w:rsidRPr="005071A1" w:rsidRDefault="00B33542" w:rsidP="009B7AF5">
            <w:pPr>
              <w:pStyle w:val="Tabletext"/>
            </w:pPr>
            <w:r w:rsidRPr="005071A1">
              <w:t>0.10</w:t>
            </w:r>
          </w:p>
        </w:tc>
        <w:tc>
          <w:tcPr>
            <w:tcW w:w="2281" w:type="dxa"/>
            <w:gridSpan w:val="2"/>
            <w:tcBorders>
              <w:top w:val="single" w:sz="4" w:space="0" w:color="auto"/>
            </w:tcBorders>
            <w:shd w:val="clear" w:color="auto" w:fill="auto"/>
          </w:tcPr>
          <w:p w14:paraId="750F2A82" w14:textId="77777777" w:rsidR="00B33542" w:rsidRPr="005071A1" w:rsidRDefault="00B33542" w:rsidP="009B7AF5">
            <w:pPr>
              <w:pStyle w:val="Tabletext"/>
            </w:pPr>
            <w:r w:rsidRPr="005071A1">
              <w:t>0.04</w:t>
            </w:r>
          </w:p>
        </w:tc>
        <w:tc>
          <w:tcPr>
            <w:tcW w:w="2072" w:type="dxa"/>
            <w:tcBorders>
              <w:top w:val="single" w:sz="4" w:space="0" w:color="auto"/>
            </w:tcBorders>
            <w:shd w:val="clear" w:color="auto" w:fill="auto"/>
          </w:tcPr>
          <w:p w14:paraId="61DEA4A0" w14:textId="77777777" w:rsidR="00B33542" w:rsidRPr="005071A1" w:rsidRDefault="00B33542" w:rsidP="009B7AF5">
            <w:pPr>
              <w:pStyle w:val="Tabletext"/>
            </w:pPr>
            <w:r w:rsidRPr="005071A1">
              <w:t>0.08</w:t>
            </w:r>
          </w:p>
        </w:tc>
      </w:tr>
      <w:tr w:rsidR="00B33542" w:rsidRPr="005071A1" w14:paraId="22CE74DD" w14:textId="77777777" w:rsidTr="009B7AF5">
        <w:tc>
          <w:tcPr>
            <w:tcW w:w="1101" w:type="dxa"/>
            <w:shd w:val="clear" w:color="auto" w:fill="auto"/>
          </w:tcPr>
          <w:p w14:paraId="0598946F" w14:textId="77777777" w:rsidR="00B33542" w:rsidRPr="005071A1" w:rsidRDefault="00B33542" w:rsidP="009B7AF5">
            <w:pPr>
              <w:pStyle w:val="Tabletext"/>
            </w:pPr>
            <w:r w:rsidRPr="005071A1">
              <w:t>21</w:t>
            </w:r>
          </w:p>
        </w:tc>
        <w:tc>
          <w:tcPr>
            <w:tcW w:w="1842" w:type="dxa"/>
            <w:shd w:val="clear" w:color="auto" w:fill="auto"/>
          </w:tcPr>
          <w:p w14:paraId="49832BA2" w14:textId="77777777" w:rsidR="00B33542" w:rsidRPr="005071A1" w:rsidRDefault="00B33542" w:rsidP="009B7AF5">
            <w:pPr>
              <w:pStyle w:val="Tabletext"/>
            </w:pPr>
            <w:r w:rsidRPr="005071A1">
              <w:t>0.10</w:t>
            </w:r>
          </w:p>
        </w:tc>
        <w:tc>
          <w:tcPr>
            <w:tcW w:w="2281" w:type="dxa"/>
            <w:gridSpan w:val="2"/>
            <w:shd w:val="clear" w:color="auto" w:fill="auto"/>
          </w:tcPr>
          <w:p w14:paraId="482DC05D" w14:textId="77777777" w:rsidR="00B33542" w:rsidRPr="005071A1" w:rsidRDefault="00B33542" w:rsidP="009B7AF5">
            <w:pPr>
              <w:pStyle w:val="Tabletext"/>
            </w:pPr>
            <w:r w:rsidRPr="005071A1">
              <w:t>0.04</w:t>
            </w:r>
          </w:p>
        </w:tc>
        <w:tc>
          <w:tcPr>
            <w:tcW w:w="2072" w:type="dxa"/>
            <w:shd w:val="clear" w:color="auto" w:fill="auto"/>
          </w:tcPr>
          <w:p w14:paraId="1E3999D0" w14:textId="77777777" w:rsidR="00B33542" w:rsidRPr="005071A1" w:rsidRDefault="00B33542" w:rsidP="009B7AF5">
            <w:pPr>
              <w:pStyle w:val="Tabletext"/>
            </w:pPr>
            <w:r w:rsidRPr="005071A1">
              <w:t>0.08</w:t>
            </w:r>
          </w:p>
        </w:tc>
      </w:tr>
      <w:tr w:rsidR="00B33542" w:rsidRPr="005071A1" w14:paraId="38E59A3C" w14:textId="77777777" w:rsidTr="009B7AF5">
        <w:tc>
          <w:tcPr>
            <w:tcW w:w="1101" w:type="dxa"/>
            <w:shd w:val="clear" w:color="auto" w:fill="auto"/>
          </w:tcPr>
          <w:p w14:paraId="656613E1" w14:textId="77777777" w:rsidR="00B33542" w:rsidRPr="005071A1" w:rsidRDefault="00B33542" w:rsidP="009B7AF5">
            <w:pPr>
              <w:pStyle w:val="Tabletext"/>
            </w:pPr>
            <w:r w:rsidRPr="005071A1">
              <w:t>22</w:t>
            </w:r>
          </w:p>
        </w:tc>
        <w:tc>
          <w:tcPr>
            <w:tcW w:w="1842" w:type="dxa"/>
            <w:shd w:val="clear" w:color="auto" w:fill="auto"/>
          </w:tcPr>
          <w:p w14:paraId="18159787" w14:textId="77777777" w:rsidR="00B33542" w:rsidRPr="005071A1" w:rsidRDefault="00B33542" w:rsidP="009B7AF5">
            <w:pPr>
              <w:pStyle w:val="Tabletext"/>
            </w:pPr>
            <w:r w:rsidRPr="005071A1">
              <w:t>0.10</w:t>
            </w:r>
          </w:p>
        </w:tc>
        <w:tc>
          <w:tcPr>
            <w:tcW w:w="2281" w:type="dxa"/>
            <w:gridSpan w:val="2"/>
            <w:shd w:val="clear" w:color="auto" w:fill="auto"/>
          </w:tcPr>
          <w:p w14:paraId="0F62C207" w14:textId="77777777" w:rsidR="00B33542" w:rsidRPr="005071A1" w:rsidRDefault="00B33542" w:rsidP="009B7AF5">
            <w:pPr>
              <w:pStyle w:val="Tabletext"/>
            </w:pPr>
            <w:r w:rsidRPr="005071A1">
              <w:t>0.04</w:t>
            </w:r>
          </w:p>
        </w:tc>
        <w:tc>
          <w:tcPr>
            <w:tcW w:w="2072" w:type="dxa"/>
            <w:shd w:val="clear" w:color="auto" w:fill="auto"/>
          </w:tcPr>
          <w:p w14:paraId="5ABA51EB" w14:textId="77777777" w:rsidR="00B33542" w:rsidRPr="005071A1" w:rsidRDefault="00B33542" w:rsidP="009B7AF5">
            <w:pPr>
              <w:pStyle w:val="Tabletext"/>
            </w:pPr>
            <w:r w:rsidRPr="005071A1">
              <w:t>0.08</w:t>
            </w:r>
          </w:p>
        </w:tc>
      </w:tr>
      <w:tr w:rsidR="00B33542" w:rsidRPr="005071A1" w14:paraId="569B3401" w14:textId="77777777" w:rsidTr="009B7AF5">
        <w:tc>
          <w:tcPr>
            <w:tcW w:w="1101" w:type="dxa"/>
            <w:shd w:val="clear" w:color="auto" w:fill="auto"/>
          </w:tcPr>
          <w:p w14:paraId="5B5ABEEB" w14:textId="77777777" w:rsidR="00B33542" w:rsidRPr="005071A1" w:rsidRDefault="00B33542" w:rsidP="009B7AF5">
            <w:pPr>
              <w:pStyle w:val="Tabletext"/>
            </w:pPr>
            <w:r w:rsidRPr="005071A1">
              <w:t>23</w:t>
            </w:r>
          </w:p>
        </w:tc>
        <w:tc>
          <w:tcPr>
            <w:tcW w:w="1842" w:type="dxa"/>
            <w:shd w:val="clear" w:color="auto" w:fill="auto"/>
          </w:tcPr>
          <w:p w14:paraId="435B3661" w14:textId="77777777" w:rsidR="00B33542" w:rsidRPr="005071A1" w:rsidRDefault="00B33542" w:rsidP="009B7AF5">
            <w:pPr>
              <w:pStyle w:val="Tabletext"/>
            </w:pPr>
            <w:r w:rsidRPr="005071A1">
              <w:t>0.10</w:t>
            </w:r>
          </w:p>
        </w:tc>
        <w:tc>
          <w:tcPr>
            <w:tcW w:w="2281" w:type="dxa"/>
            <w:gridSpan w:val="2"/>
            <w:shd w:val="clear" w:color="auto" w:fill="auto"/>
          </w:tcPr>
          <w:p w14:paraId="1D420E7E" w14:textId="77777777" w:rsidR="00B33542" w:rsidRPr="005071A1" w:rsidRDefault="00B33542" w:rsidP="009B7AF5">
            <w:pPr>
              <w:pStyle w:val="Tabletext"/>
            </w:pPr>
            <w:r w:rsidRPr="005071A1">
              <w:t>0.04</w:t>
            </w:r>
          </w:p>
        </w:tc>
        <w:tc>
          <w:tcPr>
            <w:tcW w:w="2072" w:type="dxa"/>
            <w:shd w:val="clear" w:color="auto" w:fill="auto"/>
          </w:tcPr>
          <w:p w14:paraId="0A32B6CB" w14:textId="77777777" w:rsidR="00B33542" w:rsidRPr="005071A1" w:rsidRDefault="00B33542" w:rsidP="009B7AF5">
            <w:pPr>
              <w:pStyle w:val="Tabletext"/>
            </w:pPr>
            <w:r w:rsidRPr="005071A1">
              <w:t>0.08</w:t>
            </w:r>
          </w:p>
        </w:tc>
      </w:tr>
      <w:tr w:rsidR="00B33542" w:rsidRPr="005071A1" w14:paraId="58A55948" w14:textId="77777777" w:rsidTr="009B7AF5">
        <w:tc>
          <w:tcPr>
            <w:tcW w:w="1101" w:type="dxa"/>
            <w:shd w:val="clear" w:color="auto" w:fill="auto"/>
          </w:tcPr>
          <w:p w14:paraId="1B26F54A" w14:textId="77777777" w:rsidR="00B33542" w:rsidRPr="005071A1" w:rsidRDefault="00B33542" w:rsidP="009B7AF5">
            <w:pPr>
              <w:pStyle w:val="Tabletext"/>
            </w:pPr>
            <w:r w:rsidRPr="005071A1">
              <w:t>24</w:t>
            </w:r>
          </w:p>
        </w:tc>
        <w:tc>
          <w:tcPr>
            <w:tcW w:w="1842" w:type="dxa"/>
            <w:shd w:val="clear" w:color="auto" w:fill="auto"/>
          </w:tcPr>
          <w:p w14:paraId="409CD314" w14:textId="77777777" w:rsidR="00B33542" w:rsidRPr="005071A1" w:rsidRDefault="00B33542" w:rsidP="009B7AF5">
            <w:pPr>
              <w:pStyle w:val="Tabletext"/>
            </w:pPr>
            <w:r w:rsidRPr="005071A1">
              <w:t>0.10</w:t>
            </w:r>
          </w:p>
        </w:tc>
        <w:tc>
          <w:tcPr>
            <w:tcW w:w="2281" w:type="dxa"/>
            <w:gridSpan w:val="2"/>
            <w:shd w:val="clear" w:color="auto" w:fill="auto"/>
          </w:tcPr>
          <w:p w14:paraId="5B5A6CC6" w14:textId="77777777" w:rsidR="00B33542" w:rsidRPr="005071A1" w:rsidRDefault="00B33542" w:rsidP="009B7AF5">
            <w:pPr>
              <w:pStyle w:val="Tabletext"/>
            </w:pPr>
            <w:r w:rsidRPr="005071A1">
              <w:t>0.04</w:t>
            </w:r>
          </w:p>
        </w:tc>
        <w:tc>
          <w:tcPr>
            <w:tcW w:w="2072" w:type="dxa"/>
            <w:shd w:val="clear" w:color="auto" w:fill="auto"/>
          </w:tcPr>
          <w:p w14:paraId="370BBED9" w14:textId="77777777" w:rsidR="00B33542" w:rsidRPr="005071A1" w:rsidRDefault="00B33542" w:rsidP="009B7AF5">
            <w:pPr>
              <w:pStyle w:val="Tabletext"/>
            </w:pPr>
            <w:r w:rsidRPr="005071A1">
              <w:t>0.08</w:t>
            </w:r>
          </w:p>
        </w:tc>
      </w:tr>
      <w:tr w:rsidR="00B33542" w:rsidRPr="005071A1" w14:paraId="0098BE77" w14:textId="77777777" w:rsidTr="009B7AF5">
        <w:tc>
          <w:tcPr>
            <w:tcW w:w="1101" w:type="dxa"/>
            <w:shd w:val="clear" w:color="auto" w:fill="auto"/>
          </w:tcPr>
          <w:p w14:paraId="5A5EFFD0" w14:textId="77777777" w:rsidR="00B33542" w:rsidRPr="005071A1" w:rsidRDefault="00B33542" w:rsidP="009B7AF5">
            <w:pPr>
              <w:pStyle w:val="Tabletext"/>
            </w:pPr>
            <w:r w:rsidRPr="005071A1">
              <w:t>25</w:t>
            </w:r>
          </w:p>
        </w:tc>
        <w:tc>
          <w:tcPr>
            <w:tcW w:w="1842" w:type="dxa"/>
            <w:shd w:val="clear" w:color="auto" w:fill="auto"/>
          </w:tcPr>
          <w:p w14:paraId="0988B48B" w14:textId="77777777" w:rsidR="00B33542" w:rsidRPr="005071A1" w:rsidRDefault="00B33542" w:rsidP="009B7AF5">
            <w:pPr>
              <w:pStyle w:val="Tabletext"/>
            </w:pPr>
            <w:r w:rsidRPr="005071A1">
              <w:t>0.10</w:t>
            </w:r>
          </w:p>
        </w:tc>
        <w:tc>
          <w:tcPr>
            <w:tcW w:w="2281" w:type="dxa"/>
            <w:gridSpan w:val="2"/>
            <w:shd w:val="clear" w:color="auto" w:fill="auto"/>
          </w:tcPr>
          <w:p w14:paraId="5C82F423" w14:textId="77777777" w:rsidR="00B33542" w:rsidRPr="005071A1" w:rsidRDefault="00B33542" w:rsidP="009B7AF5">
            <w:pPr>
              <w:pStyle w:val="Tabletext"/>
            </w:pPr>
            <w:r w:rsidRPr="005071A1">
              <w:t>0.04</w:t>
            </w:r>
          </w:p>
        </w:tc>
        <w:tc>
          <w:tcPr>
            <w:tcW w:w="2072" w:type="dxa"/>
            <w:shd w:val="clear" w:color="auto" w:fill="auto"/>
          </w:tcPr>
          <w:p w14:paraId="26DCD309" w14:textId="77777777" w:rsidR="00B33542" w:rsidRPr="005071A1" w:rsidRDefault="00B33542" w:rsidP="009B7AF5">
            <w:pPr>
              <w:pStyle w:val="Tabletext"/>
            </w:pPr>
            <w:r w:rsidRPr="005071A1">
              <w:t>0.08</w:t>
            </w:r>
          </w:p>
        </w:tc>
      </w:tr>
      <w:tr w:rsidR="00B33542" w:rsidRPr="005071A1" w14:paraId="010A937D" w14:textId="77777777" w:rsidTr="009B7AF5">
        <w:tc>
          <w:tcPr>
            <w:tcW w:w="1101" w:type="dxa"/>
            <w:shd w:val="clear" w:color="auto" w:fill="auto"/>
          </w:tcPr>
          <w:p w14:paraId="7ECF8590" w14:textId="77777777" w:rsidR="00B33542" w:rsidRPr="005071A1" w:rsidRDefault="00B33542" w:rsidP="009B7AF5">
            <w:pPr>
              <w:pStyle w:val="Tabletext"/>
            </w:pPr>
            <w:r w:rsidRPr="005071A1">
              <w:t>26</w:t>
            </w:r>
          </w:p>
        </w:tc>
        <w:tc>
          <w:tcPr>
            <w:tcW w:w="1842" w:type="dxa"/>
            <w:shd w:val="clear" w:color="auto" w:fill="auto"/>
          </w:tcPr>
          <w:p w14:paraId="7A43D734" w14:textId="77777777" w:rsidR="00B33542" w:rsidRPr="005071A1" w:rsidRDefault="00B33542" w:rsidP="009B7AF5">
            <w:pPr>
              <w:pStyle w:val="Tabletext"/>
            </w:pPr>
            <w:r w:rsidRPr="005071A1">
              <w:t>0.12</w:t>
            </w:r>
          </w:p>
        </w:tc>
        <w:tc>
          <w:tcPr>
            <w:tcW w:w="2281" w:type="dxa"/>
            <w:gridSpan w:val="2"/>
            <w:shd w:val="clear" w:color="auto" w:fill="auto"/>
          </w:tcPr>
          <w:p w14:paraId="17A3CEDE" w14:textId="77777777" w:rsidR="00B33542" w:rsidRPr="005071A1" w:rsidRDefault="00B33542" w:rsidP="009B7AF5">
            <w:pPr>
              <w:pStyle w:val="Tabletext"/>
            </w:pPr>
            <w:r w:rsidRPr="005071A1">
              <w:t>0.05</w:t>
            </w:r>
          </w:p>
        </w:tc>
        <w:tc>
          <w:tcPr>
            <w:tcW w:w="2072" w:type="dxa"/>
            <w:shd w:val="clear" w:color="auto" w:fill="auto"/>
          </w:tcPr>
          <w:p w14:paraId="0243E090" w14:textId="77777777" w:rsidR="00B33542" w:rsidRPr="005071A1" w:rsidRDefault="00B33542" w:rsidP="009B7AF5">
            <w:pPr>
              <w:pStyle w:val="Tabletext"/>
            </w:pPr>
            <w:r w:rsidRPr="005071A1">
              <w:t>0.10</w:t>
            </w:r>
          </w:p>
        </w:tc>
      </w:tr>
      <w:tr w:rsidR="00B33542" w:rsidRPr="005071A1" w14:paraId="4C78D90C" w14:textId="77777777" w:rsidTr="00D57394">
        <w:tc>
          <w:tcPr>
            <w:tcW w:w="1101" w:type="dxa"/>
            <w:tcBorders>
              <w:bottom w:val="single" w:sz="4" w:space="0" w:color="auto"/>
            </w:tcBorders>
            <w:shd w:val="clear" w:color="auto" w:fill="auto"/>
          </w:tcPr>
          <w:p w14:paraId="0DC8C51C" w14:textId="77777777" w:rsidR="00B33542" w:rsidRPr="005071A1" w:rsidRDefault="00B33542" w:rsidP="009B7AF5">
            <w:pPr>
              <w:pStyle w:val="Tabletext"/>
            </w:pPr>
            <w:r w:rsidRPr="005071A1">
              <w:t>27</w:t>
            </w:r>
          </w:p>
        </w:tc>
        <w:tc>
          <w:tcPr>
            <w:tcW w:w="1842" w:type="dxa"/>
            <w:tcBorders>
              <w:bottom w:val="single" w:sz="4" w:space="0" w:color="auto"/>
            </w:tcBorders>
            <w:shd w:val="clear" w:color="auto" w:fill="auto"/>
          </w:tcPr>
          <w:p w14:paraId="6A3E6B1A" w14:textId="77777777" w:rsidR="00B33542" w:rsidRPr="005071A1" w:rsidRDefault="00B33542" w:rsidP="009B7AF5">
            <w:pPr>
              <w:pStyle w:val="Tabletext"/>
            </w:pPr>
            <w:r w:rsidRPr="005071A1">
              <w:t>0.12</w:t>
            </w:r>
          </w:p>
        </w:tc>
        <w:tc>
          <w:tcPr>
            <w:tcW w:w="2281" w:type="dxa"/>
            <w:gridSpan w:val="2"/>
            <w:tcBorders>
              <w:bottom w:val="single" w:sz="4" w:space="0" w:color="auto"/>
            </w:tcBorders>
            <w:shd w:val="clear" w:color="auto" w:fill="auto"/>
          </w:tcPr>
          <w:p w14:paraId="779FAA67" w14:textId="77777777" w:rsidR="00B33542" w:rsidRPr="005071A1" w:rsidRDefault="00B33542" w:rsidP="009B7AF5">
            <w:pPr>
              <w:pStyle w:val="Tabletext"/>
            </w:pPr>
            <w:r w:rsidRPr="005071A1">
              <w:t>0.05</w:t>
            </w:r>
          </w:p>
        </w:tc>
        <w:tc>
          <w:tcPr>
            <w:tcW w:w="2072" w:type="dxa"/>
            <w:tcBorders>
              <w:bottom w:val="single" w:sz="4" w:space="0" w:color="auto"/>
            </w:tcBorders>
            <w:shd w:val="clear" w:color="auto" w:fill="auto"/>
          </w:tcPr>
          <w:p w14:paraId="43591B4B" w14:textId="77777777" w:rsidR="00B33542" w:rsidRPr="005071A1" w:rsidRDefault="00B33542" w:rsidP="009B7AF5">
            <w:pPr>
              <w:pStyle w:val="Tabletext"/>
            </w:pPr>
            <w:r w:rsidRPr="005071A1">
              <w:t>0.10</w:t>
            </w:r>
          </w:p>
        </w:tc>
      </w:tr>
      <w:tr w:rsidR="00B33542" w:rsidRPr="005071A1" w14:paraId="35B3A5A7" w14:textId="77777777" w:rsidTr="00D57394">
        <w:tc>
          <w:tcPr>
            <w:tcW w:w="1101" w:type="dxa"/>
            <w:tcBorders>
              <w:bottom w:val="single" w:sz="4" w:space="0" w:color="auto"/>
            </w:tcBorders>
            <w:shd w:val="clear" w:color="auto" w:fill="auto"/>
          </w:tcPr>
          <w:p w14:paraId="532B822A" w14:textId="77777777" w:rsidR="00B33542" w:rsidRPr="005071A1" w:rsidRDefault="00B33542" w:rsidP="009B7AF5">
            <w:pPr>
              <w:pStyle w:val="Tabletext"/>
            </w:pPr>
            <w:r w:rsidRPr="005071A1">
              <w:t>28</w:t>
            </w:r>
          </w:p>
        </w:tc>
        <w:tc>
          <w:tcPr>
            <w:tcW w:w="1842" w:type="dxa"/>
            <w:tcBorders>
              <w:bottom w:val="single" w:sz="4" w:space="0" w:color="auto"/>
            </w:tcBorders>
            <w:shd w:val="clear" w:color="auto" w:fill="auto"/>
          </w:tcPr>
          <w:p w14:paraId="472D792C" w14:textId="77777777" w:rsidR="00B33542" w:rsidRPr="005071A1" w:rsidRDefault="00B33542" w:rsidP="009B7AF5">
            <w:pPr>
              <w:pStyle w:val="Tabletext"/>
            </w:pPr>
            <w:r w:rsidRPr="005071A1">
              <w:t>0.12</w:t>
            </w:r>
          </w:p>
        </w:tc>
        <w:tc>
          <w:tcPr>
            <w:tcW w:w="2281" w:type="dxa"/>
            <w:gridSpan w:val="2"/>
            <w:tcBorders>
              <w:bottom w:val="single" w:sz="4" w:space="0" w:color="auto"/>
            </w:tcBorders>
            <w:shd w:val="clear" w:color="auto" w:fill="auto"/>
          </w:tcPr>
          <w:p w14:paraId="368E66C0" w14:textId="77777777" w:rsidR="00B33542" w:rsidRPr="005071A1" w:rsidRDefault="00B33542" w:rsidP="009B7AF5">
            <w:pPr>
              <w:pStyle w:val="Tabletext"/>
            </w:pPr>
            <w:r w:rsidRPr="005071A1">
              <w:t>0.05</w:t>
            </w:r>
          </w:p>
        </w:tc>
        <w:tc>
          <w:tcPr>
            <w:tcW w:w="2072" w:type="dxa"/>
            <w:tcBorders>
              <w:bottom w:val="single" w:sz="4" w:space="0" w:color="auto"/>
            </w:tcBorders>
            <w:shd w:val="clear" w:color="auto" w:fill="auto"/>
          </w:tcPr>
          <w:p w14:paraId="10089E75" w14:textId="77777777" w:rsidR="00B33542" w:rsidRPr="005071A1" w:rsidRDefault="00B33542" w:rsidP="009B7AF5">
            <w:pPr>
              <w:pStyle w:val="Tabletext"/>
            </w:pPr>
            <w:r w:rsidRPr="005071A1">
              <w:t>0.10</w:t>
            </w:r>
          </w:p>
        </w:tc>
      </w:tr>
      <w:tr w:rsidR="00B33542" w:rsidRPr="005071A1" w14:paraId="2ECCECAA" w14:textId="77777777" w:rsidTr="00D57394">
        <w:tc>
          <w:tcPr>
            <w:tcW w:w="1101" w:type="dxa"/>
            <w:tcBorders>
              <w:top w:val="single" w:sz="4" w:space="0" w:color="auto"/>
            </w:tcBorders>
            <w:shd w:val="clear" w:color="auto" w:fill="auto"/>
          </w:tcPr>
          <w:p w14:paraId="47E6C585" w14:textId="77777777" w:rsidR="00B33542" w:rsidRPr="005071A1" w:rsidRDefault="00B33542" w:rsidP="009B7AF5">
            <w:pPr>
              <w:pStyle w:val="Tabletext"/>
            </w:pPr>
            <w:r w:rsidRPr="005071A1">
              <w:t>29</w:t>
            </w:r>
          </w:p>
        </w:tc>
        <w:tc>
          <w:tcPr>
            <w:tcW w:w="1842" w:type="dxa"/>
            <w:tcBorders>
              <w:top w:val="single" w:sz="4" w:space="0" w:color="auto"/>
            </w:tcBorders>
            <w:shd w:val="clear" w:color="auto" w:fill="auto"/>
          </w:tcPr>
          <w:p w14:paraId="7B344E96" w14:textId="77777777" w:rsidR="00B33542" w:rsidRPr="005071A1" w:rsidRDefault="00B33542" w:rsidP="009B7AF5">
            <w:pPr>
              <w:pStyle w:val="Tabletext"/>
            </w:pPr>
            <w:r w:rsidRPr="005071A1">
              <w:t>0.12</w:t>
            </w:r>
          </w:p>
        </w:tc>
        <w:tc>
          <w:tcPr>
            <w:tcW w:w="2281" w:type="dxa"/>
            <w:gridSpan w:val="2"/>
            <w:tcBorders>
              <w:top w:val="single" w:sz="4" w:space="0" w:color="auto"/>
            </w:tcBorders>
            <w:shd w:val="clear" w:color="auto" w:fill="auto"/>
          </w:tcPr>
          <w:p w14:paraId="20B7D771" w14:textId="77777777" w:rsidR="00B33542" w:rsidRPr="005071A1" w:rsidRDefault="00B33542" w:rsidP="009B7AF5">
            <w:pPr>
              <w:pStyle w:val="Tabletext"/>
            </w:pPr>
            <w:r w:rsidRPr="005071A1">
              <w:t>0.05</w:t>
            </w:r>
          </w:p>
        </w:tc>
        <w:tc>
          <w:tcPr>
            <w:tcW w:w="2072" w:type="dxa"/>
            <w:tcBorders>
              <w:top w:val="single" w:sz="4" w:space="0" w:color="auto"/>
            </w:tcBorders>
            <w:shd w:val="clear" w:color="auto" w:fill="auto"/>
          </w:tcPr>
          <w:p w14:paraId="47D0C2C5" w14:textId="77777777" w:rsidR="00B33542" w:rsidRPr="005071A1" w:rsidRDefault="00B33542" w:rsidP="009B7AF5">
            <w:pPr>
              <w:pStyle w:val="Tabletext"/>
            </w:pPr>
            <w:r w:rsidRPr="005071A1">
              <w:t>0.10</w:t>
            </w:r>
          </w:p>
        </w:tc>
      </w:tr>
      <w:tr w:rsidR="00B33542" w:rsidRPr="005071A1" w14:paraId="7C02C53D" w14:textId="77777777" w:rsidTr="00640BB6">
        <w:tc>
          <w:tcPr>
            <w:tcW w:w="1101" w:type="dxa"/>
            <w:tcBorders>
              <w:bottom w:val="single" w:sz="4" w:space="0" w:color="auto"/>
            </w:tcBorders>
            <w:shd w:val="clear" w:color="auto" w:fill="auto"/>
          </w:tcPr>
          <w:p w14:paraId="069FFB38" w14:textId="77777777" w:rsidR="00B33542" w:rsidRPr="005071A1" w:rsidRDefault="00B33542" w:rsidP="009B7AF5">
            <w:pPr>
              <w:pStyle w:val="Tabletext"/>
            </w:pPr>
            <w:r w:rsidRPr="005071A1">
              <w:t>30</w:t>
            </w:r>
          </w:p>
        </w:tc>
        <w:tc>
          <w:tcPr>
            <w:tcW w:w="1842" w:type="dxa"/>
            <w:tcBorders>
              <w:bottom w:val="single" w:sz="4" w:space="0" w:color="auto"/>
            </w:tcBorders>
            <w:shd w:val="clear" w:color="auto" w:fill="auto"/>
          </w:tcPr>
          <w:p w14:paraId="4275556E" w14:textId="77777777" w:rsidR="00B33542" w:rsidRPr="005071A1" w:rsidRDefault="00B33542" w:rsidP="009B7AF5">
            <w:pPr>
              <w:pStyle w:val="Tabletext"/>
            </w:pPr>
            <w:r w:rsidRPr="005071A1">
              <w:t>0.12</w:t>
            </w:r>
          </w:p>
        </w:tc>
        <w:tc>
          <w:tcPr>
            <w:tcW w:w="2281" w:type="dxa"/>
            <w:gridSpan w:val="2"/>
            <w:tcBorders>
              <w:bottom w:val="single" w:sz="4" w:space="0" w:color="auto"/>
            </w:tcBorders>
            <w:shd w:val="clear" w:color="auto" w:fill="auto"/>
          </w:tcPr>
          <w:p w14:paraId="2A5B3EBE" w14:textId="77777777" w:rsidR="00B33542" w:rsidRPr="005071A1" w:rsidRDefault="00B33542" w:rsidP="009B7AF5">
            <w:pPr>
              <w:pStyle w:val="Tabletext"/>
            </w:pPr>
            <w:r w:rsidRPr="005071A1">
              <w:t>0.05</w:t>
            </w:r>
          </w:p>
        </w:tc>
        <w:tc>
          <w:tcPr>
            <w:tcW w:w="2072" w:type="dxa"/>
            <w:tcBorders>
              <w:bottom w:val="single" w:sz="4" w:space="0" w:color="auto"/>
            </w:tcBorders>
            <w:shd w:val="clear" w:color="auto" w:fill="auto"/>
          </w:tcPr>
          <w:p w14:paraId="0982DA71" w14:textId="77777777" w:rsidR="00B33542" w:rsidRPr="005071A1" w:rsidRDefault="00B33542" w:rsidP="009B7AF5">
            <w:pPr>
              <w:pStyle w:val="Tabletext"/>
            </w:pPr>
            <w:r w:rsidRPr="005071A1">
              <w:t>0.10</w:t>
            </w:r>
          </w:p>
        </w:tc>
      </w:tr>
      <w:tr w:rsidR="00B33542" w:rsidRPr="005071A1" w14:paraId="4FEB297A" w14:textId="77777777" w:rsidTr="00640BB6">
        <w:tc>
          <w:tcPr>
            <w:tcW w:w="1101" w:type="dxa"/>
            <w:tcBorders>
              <w:bottom w:val="single" w:sz="4" w:space="0" w:color="auto"/>
            </w:tcBorders>
            <w:shd w:val="clear" w:color="auto" w:fill="auto"/>
          </w:tcPr>
          <w:p w14:paraId="1155AB1A" w14:textId="77777777" w:rsidR="00B33542" w:rsidRPr="005071A1" w:rsidRDefault="00B33542" w:rsidP="009B7AF5">
            <w:pPr>
              <w:pStyle w:val="Tabletext"/>
            </w:pPr>
            <w:r w:rsidRPr="005071A1">
              <w:t>31</w:t>
            </w:r>
          </w:p>
        </w:tc>
        <w:tc>
          <w:tcPr>
            <w:tcW w:w="1842" w:type="dxa"/>
            <w:tcBorders>
              <w:bottom w:val="single" w:sz="4" w:space="0" w:color="auto"/>
            </w:tcBorders>
            <w:shd w:val="clear" w:color="auto" w:fill="auto"/>
          </w:tcPr>
          <w:p w14:paraId="1E91B454" w14:textId="77777777" w:rsidR="00B33542" w:rsidRPr="005071A1" w:rsidRDefault="00B33542" w:rsidP="009B7AF5">
            <w:pPr>
              <w:pStyle w:val="Tabletext"/>
            </w:pPr>
            <w:r w:rsidRPr="005071A1">
              <w:t>0.12</w:t>
            </w:r>
          </w:p>
        </w:tc>
        <w:tc>
          <w:tcPr>
            <w:tcW w:w="2281" w:type="dxa"/>
            <w:gridSpan w:val="2"/>
            <w:tcBorders>
              <w:bottom w:val="single" w:sz="4" w:space="0" w:color="auto"/>
            </w:tcBorders>
            <w:shd w:val="clear" w:color="auto" w:fill="auto"/>
          </w:tcPr>
          <w:p w14:paraId="56BFB09D" w14:textId="77777777" w:rsidR="00B33542" w:rsidRPr="005071A1" w:rsidRDefault="00B33542" w:rsidP="009B7AF5">
            <w:pPr>
              <w:pStyle w:val="Tabletext"/>
            </w:pPr>
            <w:r w:rsidRPr="005071A1">
              <w:t>0.05</w:t>
            </w:r>
          </w:p>
        </w:tc>
        <w:tc>
          <w:tcPr>
            <w:tcW w:w="2072" w:type="dxa"/>
            <w:tcBorders>
              <w:bottom w:val="single" w:sz="4" w:space="0" w:color="auto"/>
            </w:tcBorders>
            <w:shd w:val="clear" w:color="auto" w:fill="auto"/>
          </w:tcPr>
          <w:p w14:paraId="12E7566C" w14:textId="77777777" w:rsidR="00B33542" w:rsidRPr="005071A1" w:rsidRDefault="00B33542" w:rsidP="009B7AF5">
            <w:pPr>
              <w:pStyle w:val="Tabletext"/>
            </w:pPr>
            <w:r w:rsidRPr="005071A1">
              <w:t>0.10</w:t>
            </w:r>
          </w:p>
        </w:tc>
      </w:tr>
      <w:tr w:rsidR="00B33542" w:rsidRPr="005071A1" w14:paraId="0E7F798E" w14:textId="77777777" w:rsidTr="00640BB6">
        <w:tc>
          <w:tcPr>
            <w:tcW w:w="1101" w:type="dxa"/>
            <w:tcBorders>
              <w:top w:val="single" w:sz="4" w:space="0" w:color="auto"/>
            </w:tcBorders>
            <w:shd w:val="clear" w:color="auto" w:fill="auto"/>
          </w:tcPr>
          <w:p w14:paraId="0BA308A9" w14:textId="77777777" w:rsidR="00B33542" w:rsidRPr="005071A1" w:rsidRDefault="00B33542" w:rsidP="009B7AF5">
            <w:pPr>
              <w:pStyle w:val="Tabletext"/>
            </w:pPr>
            <w:r w:rsidRPr="005071A1">
              <w:t>32</w:t>
            </w:r>
          </w:p>
        </w:tc>
        <w:tc>
          <w:tcPr>
            <w:tcW w:w="1842" w:type="dxa"/>
            <w:tcBorders>
              <w:top w:val="single" w:sz="4" w:space="0" w:color="auto"/>
            </w:tcBorders>
            <w:shd w:val="clear" w:color="auto" w:fill="auto"/>
          </w:tcPr>
          <w:p w14:paraId="088FFEFC" w14:textId="77777777" w:rsidR="00B33542" w:rsidRPr="005071A1" w:rsidRDefault="00B33542" w:rsidP="009B7AF5">
            <w:pPr>
              <w:pStyle w:val="Tabletext"/>
            </w:pPr>
            <w:r w:rsidRPr="005071A1">
              <w:t>0.12</w:t>
            </w:r>
          </w:p>
        </w:tc>
        <w:tc>
          <w:tcPr>
            <w:tcW w:w="2281" w:type="dxa"/>
            <w:gridSpan w:val="2"/>
            <w:tcBorders>
              <w:top w:val="single" w:sz="4" w:space="0" w:color="auto"/>
            </w:tcBorders>
            <w:shd w:val="clear" w:color="auto" w:fill="auto"/>
          </w:tcPr>
          <w:p w14:paraId="1735B6E2" w14:textId="77777777" w:rsidR="00B33542" w:rsidRPr="005071A1" w:rsidRDefault="00B33542" w:rsidP="009B7AF5">
            <w:pPr>
              <w:pStyle w:val="Tabletext"/>
            </w:pPr>
            <w:r w:rsidRPr="005071A1">
              <w:t>0.05</w:t>
            </w:r>
          </w:p>
        </w:tc>
        <w:tc>
          <w:tcPr>
            <w:tcW w:w="2072" w:type="dxa"/>
            <w:tcBorders>
              <w:top w:val="single" w:sz="4" w:space="0" w:color="auto"/>
            </w:tcBorders>
            <w:shd w:val="clear" w:color="auto" w:fill="auto"/>
          </w:tcPr>
          <w:p w14:paraId="02B5AB76" w14:textId="77777777" w:rsidR="00B33542" w:rsidRPr="005071A1" w:rsidRDefault="00B33542" w:rsidP="009B7AF5">
            <w:pPr>
              <w:pStyle w:val="Tabletext"/>
            </w:pPr>
            <w:r w:rsidRPr="005071A1">
              <w:t>0.10</w:t>
            </w:r>
          </w:p>
        </w:tc>
      </w:tr>
      <w:tr w:rsidR="00B33542" w:rsidRPr="005071A1" w14:paraId="392C5374" w14:textId="77777777" w:rsidTr="009B7AF5">
        <w:tc>
          <w:tcPr>
            <w:tcW w:w="1101" w:type="dxa"/>
            <w:shd w:val="clear" w:color="auto" w:fill="auto"/>
          </w:tcPr>
          <w:p w14:paraId="4B66EC18" w14:textId="77777777" w:rsidR="00B33542" w:rsidRPr="005071A1" w:rsidRDefault="00B33542" w:rsidP="009B7AF5">
            <w:pPr>
              <w:pStyle w:val="Tabletext"/>
            </w:pPr>
            <w:r w:rsidRPr="005071A1">
              <w:t>33</w:t>
            </w:r>
          </w:p>
        </w:tc>
        <w:tc>
          <w:tcPr>
            <w:tcW w:w="1842" w:type="dxa"/>
            <w:shd w:val="clear" w:color="auto" w:fill="auto"/>
          </w:tcPr>
          <w:p w14:paraId="467C2557" w14:textId="77777777" w:rsidR="00B33542" w:rsidRPr="005071A1" w:rsidRDefault="00B33542" w:rsidP="009B7AF5">
            <w:pPr>
              <w:pStyle w:val="Tabletext"/>
            </w:pPr>
            <w:r w:rsidRPr="005071A1">
              <w:t>0.12</w:t>
            </w:r>
          </w:p>
        </w:tc>
        <w:tc>
          <w:tcPr>
            <w:tcW w:w="2281" w:type="dxa"/>
            <w:gridSpan w:val="2"/>
            <w:shd w:val="clear" w:color="auto" w:fill="auto"/>
          </w:tcPr>
          <w:p w14:paraId="23B16588" w14:textId="77777777" w:rsidR="00B33542" w:rsidRPr="005071A1" w:rsidRDefault="00B33542" w:rsidP="009B7AF5">
            <w:pPr>
              <w:pStyle w:val="Tabletext"/>
            </w:pPr>
            <w:r w:rsidRPr="005071A1">
              <w:t>0.05</w:t>
            </w:r>
          </w:p>
        </w:tc>
        <w:tc>
          <w:tcPr>
            <w:tcW w:w="2072" w:type="dxa"/>
            <w:shd w:val="clear" w:color="auto" w:fill="auto"/>
          </w:tcPr>
          <w:p w14:paraId="6790CD99" w14:textId="77777777" w:rsidR="00B33542" w:rsidRPr="005071A1" w:rsidRDefault="00B33542" w:rsidP="009B7AF5">
            <w:pPr>
              <w:pStyle w:val="Tabletext"/>
            </w:pPr>
            <w:r w:rsidRPr="005071A1">
              <w:t>0.10</w:t>
            </w:r>
          </w:p>
        </w:tc>
      </w:tr>
      <w:tr w:rsidR="00B33542" w:rsidRPr="005071A1" w14:paraId="43CA9510" w14:textId="77777777" w:rsidTr="009B7AF5">
        <w:tc>
          <w:tcPr>
            <w:tcW w:w="1101" w:type="dxa"/>
            <w:shd w:val="clear" w:color="auto" w:fill="auto"/>
          </w:tcPr>
          <w:p w14:paraId="748A600E" w14:textId="77777777" w:rsidR="00B33542" w:rsidRPr="005071A1" w:rsidRDefault="00B33542" w:rsidP="009B7AF5">
            <w:pPr>
              <w:pStyle w:val="Tabletext"/>
            </w:pPr>
            <w:r w:rsidRPr="005071A1">
              <w:t>34</w:t>
            </w:r>
          </w:p>
        </w:tc>
        <w:tc>
          <w:tcPr>
            <w:tcW w:w="1842" w:type="dxa"/>
            <w:shd w:val="clear" w:color="auto" w:fill="auto"/>
          </w:tcPr>
          <w:p w14:paraId="7B93EDE5" w14:textId="77777777" w:rsidR="00B33542" w:rsidRPr="005071A1" w:rsidRDefault="00B33542" w:rsidP="009B7AF5">
            <w:pPr>
              <w:pStyle w:val="Tabletext"/>
            </w:pPr>
            <w:r w:rsidRPr="005071A1">
              <w:t>0.14</w:t>
            </w:r>
          </w:p>
        </w:tc>
        <w:tc>
          <w:tcPr>
            <w:tcW w:w="2281" w:type="dxa"/>
            <w:gridSpan w:val="2"/>
            <w:shd w:val="clear" w:color="auto" w:fill="auto"/>
          </w:tcPr>
          <w:p w14:paraId="751A7149" w14:textId="77777777" w:rsidR="00B33542" w:rsidRPr="005071A1" w:rsidRDefault="00B33542" w:rsidP="009B7AF5">
            <w:pPr>
              <w:pStyle w:val="Tabletext"/>
            </w:pPr>
            <w:r w:rsidRPr="005071A1">
              <w:t>0.06</w:t>
            </w:r>
          </w:p>
        </w:tc>
        <w:tc>
          <w:tcPr>
            <w:tcW w:w="2072" w:type="dxa"/>
            <w:shd w:val="clear" w:color="auto" w:fill="auto"/>
          </w:tcPr>
          <w:p w14:paraId="1278EA8B" w14:textId="77777777" w:rsidR="00B33542" w:rsidRPr="005071A1" w:rsidRDefault="00B33542" w:rsidP="009B7AF5">
            <w:pPr>
              <w:pStyle w:val="Tabletext"/>
            </w:pPr>
            <w:r w:rsidRPr="005071A1">
              <w:t>0.12</w:t>
            </w:r>
          </w:p>
        </w:tc>
      </w:tr>
      <w:tr w:rsidR="00B33542" w:rsidRPr="005071A1" w14:paraId="388D3AAE" w14:textId="77777777" w:rsidTr="009B7AF5">
        <w:tc>
          <w:tcPr>
            <w:tcW w:w="1101" w:type="dxa"/>
            <w:shd w:val="clear" w:color="auto" w:fill="auto"/>
          </w:tcPr>
          <w:p w14:paraId="4DC553FD" w14:textId="77777777" w:rsidR="00B33542" w:rsidRPr="005071A1" w:rsidRDefault="00B33542" w:rsidP="009B7AF5">
            <w:pPr>
              <w:pStyle w:val="Tabletext"/>
            </w:pPr>
            <w:r w:rsidRPr="005071A1">
              <w:t>35</w:t>
            </w:r>
          </w:p>
        </w:tc>
        <w:tc>
          <w:tcPr>
            <w:tcW w:w="1842" w:type="dxa"/>
            <w:shd w:val="clear" w:color="auto" w:fill="auto"/>
          </w:tcPr>
          <w:p w14:paraId="2633EE33" w14:textId="77777777" w:rsidR="00B33542" w:rsidRPr="005071A1" w:rsidRDefault="00B33542" w:rsidP="009B7AF5">
            <w:pPr>
              <w:pStyle w:val="Tabletext"/>
            </w:pPr>
            <w:r w:rsidRPr="005071A1">
              <w:t>0.14</w:t>
            </w:r>
          </w:p>
        </w:tc>
        <w:tc>
          <w:tcPr>
            <w:tcW w:w="2281" w:type="dxa"/>
            <w:gridSpan w:val="2"/>
            <w:shd w:val="clear" w:color="auto" w:fill="auto"/>
          </w:tcPr>
          <w:p w14:paraId="3145D379" w14:textId="77777777" w:rsidR="00B33542" w:rsidRPr="005071A1" w:rsidRDefault="00B33542" w:rsidP="009B7AF5">
            <w:pPr>
              <w:pStyle w:val="Tabletext"/>
            </w:pPr>
            <w:r w:rsidRPr="005071A1">
              <w:t>0.05</w:t>
            </w:r>
          </w:p>
        </w:tc>
        <w:tc>
          <w:tcPr>
            <w:tcW w:w="2072" w:type="dxa"/>
            <w:shd w:val="clear" w:color="auto" w:fill="auto"/>
          </w:tcPr>
          <w:p w14:paraId="5ECEA498" w14:textId="77777777" w:rsidR="00B33542" w:rsidRPr="005071A1" w:rsidRDefault="00B33542" w:rsidP="009B7AF5">
            <w:pPr>
              <w:pStyle w:val="Tabletext"/>
            </w:pPr>
            <w:r w:rsidRPr="005071A1">
              <w:t>0.10</w:t>
            </w:r>
          </w:p>
        </w:tc>
      </w:tr>
      <w:tr w:rsidR="00B33542" w:rsidRPr="005071A1" w14:paraId="0034B1E1" w14:textId="77777777" w:rsidTr="009B7AF5">
        <w:tc>
          <w:tcPr>
            <w:tcW w:w="1101" w:type="dxa"/>
            <w:shd w:val="clear" w:color="auto" w:fill="auto"/>
          </w:tcPr>
          <w:p w14:paraId="1D10E86D" w14:textId="77777777" w:rsidR="00B33542" w:rsidRPr="005071A1" w:rsidRDefault="00B33542" w:rsidP="009B7AF5">
            <w:pPr>
              <w:pStyle w:val="Tabletext"/>
            </w:pPr>
            <w:r w:rsidRPr="005071A1">
              <w:t>36</w:t>
            </w:r>
          </w:p>
        </w:tc>
        <w:tc>
          <w:tcPr>
            <w:tcW w:w="1842" w:type="dxa"/>
            <w:shd w:val="clear" w:color="auto" w:fill="auto"/>
          </w:tcPr>
          <w:p w14:paraId="2CB14E74" w14:textId="77777777" w:rsidR="00B33542" w:rsidRPr="005071A1" w:rsidRDefault="00B33542" w:rsidP="009B7AF5">
            <w:pPr>
              <w:pStyle w:val="Tabletext"/>
            </w:pPr>
            <w:r w:rsidRPr="005071A1">
              <w:t>0.14</w:t>
            </w:r>
          </w:p>
        </w:tc>
        <w:tc>
          <w:tcPr>
            <w:tcW w:w="2281" w:type="dxa"/>
            <w:gridSpan w:val="2"/>
            <w:shd w:val="clear" w:color="auto" w:fill="auto"/>
          </w:tcPr>
          <w:p w14:paraId="291B7C1A" w14:textId="77777777" w:rsidR="00B33542" w:rsidRPr="005071A1" w:rsidRDefault="00B33542" w:rsidP="009B7AF5">
            <w:pPr>
              <w:pStyle w:val="Tabletext"/>
            </w:pPr>
            <w:r w:rsidRPr="005071A1">
              <w:t>0.06</w:t>
            </w:r>
          </w:p>
        </w:tc>
        <w:tc>
          <w:tcPr>
            <w:tcW w:w="2072" w:type="dxa"/>
            <w:shd w:val="clear" w:color="auto" w:fill="auto"/>
          </w:tcPr>
          <w:p w14:paraId="1E74C19F" w14:textId="77777777" w:rsidR="00B33542" w:rsidRPr="005071A1" w:rsidRDefault="00B33542" w:rsidP="009B7AF5">
            <w:pPr>
              <w:pStyle w:val="Tabletext"/>
            </w:pPr>
            <w:r w:rsidRPr="005071A1">
              <w:t>0.12</w:t>
            </w:r>
          </w:p>
        </w:tc>
      </w:tr>
      <w:tr w:rsidR="00B33542" w:rsidRPr="005071A1" w14:paraId="6FBF637F" w14:textId="77777777" w:rsidTr="009B7AF5">
        <w:tc>
          <w:tcPr>
            <w:tcW w:w="1101" w:type="dxa"/>
            <w:shd w:val="clear" w:color="auto" w:fill="auto"/>
          </w:tcPr>
          <w:p w14:paraId="0098B24D" w14:textId="77777777" w:rsidR="00B33542" w:rsidRPr="005071A1" w:rsidRDefault="00B33542" w:rsidP="009B7AF5">
            <w:pPr>
              <w:pStyle w:val="Tabletext"/>
            </w:pPr>
            <w:r w:rsidRPr="005071A1">
              <w:t>37</w:t>
            </w:r>
          </w:p>
        </w:tc>
        <w:tc>
          <w:tcPr>
            <w:tcW w:w="1842" w:type="dxa"/>
            <w:shd w:val="clear" w:color="auto" w:fill="auto"/>
          </w:tcPr>
          <w:p w14:paraId="7CFCD1DE" w14:textId="77777777" w:rsidR="00B33542" w:rsidRPr="005071A1" w:rsidRDefault="00B33542" w:rsidP="009B7AF5">
            <w:pPr>
              <w:pStyle w:val="Tabletext"/>
            </w:pPr>
            <w:r w:rsidRPr="005071A1">
              <w:t>0.16</w:t>
            </w:r>
          </w:p>
        </w:tc>
        <w:tc>
          <w:tcPr>
            <w:tcW w:w="2281" w:type="dxa"/>
            <w:gridSpan w:val="2"/>
            <w:shd w:val="clear" w:color="auto" w:fill="auto"/>
          </w:tcPr>
          <w:p w14:paraId="0A0C2C12" w14:textId="77777777" w:rsidR="00B33542" w:rsidRPr="005071A1" w:rsidRDefault="00B33542" w:rsidP="009B7AF5">
            <w:pPr>
              <w:pStyle w:val="Tabletext"/>
            </w:pPr>
            <w:r w:rsidRPr="005071A1">
              <w:t>0.06</w:t>
            </w:r>
          </w:p>
        </w:tc>
        <w:tc>
          <w:tcPr>
            <w:tcW w:w="2072" w:type="dxa"/>
            <w:shd w:val="clear" w:color="auto" w:fill="auto"/>
          </w:tcPr>
          <w:p w14:paraId="10037580" w14:textId="77777777" w:rsidR="00B33542" w:rsidRPr="005071A1" w:rsidRDefault="00B33542" w:rsidP="009B7AF5">
            <w:pPr>
              <w:pStyle w:val="Tabletext"/>
            </w:pPr>
            <w:r w:rsidRPr="005071A1">
              <w:t>0.12</w:t>
            </w:r>
          </w:p>
        </w:tc>
      </w:tr>
      <w:tr w:rsidR="00B33542" w:rsidRPr="005071A1" w14:paraId="1C3E5313" w14:textId="77777777" w:rsidTr="00D57394">
        <w:tc>
          <w:tcPr>
            <w:tcW w:w="1101" w:type="dxa"/>
            <w:tcBorders>
              <w:bottom w:val="single" w:sz="4" w:space="0" w:color="auto"/>
            </w:tcBorders>
            <w:shd w:val="clear" w:color="auto" w:fill="auto"/>
          </w:tcPr>
          <w:p w14:paraId="1C590197" w14:textId="77777777" w:rsidR="00B33542" w:rsidRPr="005071A1" w:rsidRDefault="00B33542" w:rsidP="009B7AF5">
            <w:pPr>
              <w:pStyle w:val="Tabletext"/>
            </w:pPr>
            <w:r w:rsidRPr="005071A1">
              <w:t>38</w:t>
            </w:r>
          </w:p>
        </w:tc>
        <w:tc>
          <w:tcPr>
            <w:tcW w:w="1842" w:type="dxa"/>
            <w:tcBorders>
              <w:bottom w:val="single" w:sz="4" w:space="0" w:color="auto"/>
            </w:tcBorders>
            <w:shd w:val="clear" w:color="auto" w:fill="auto"/>
          </w:tcPr>
          <w:p w14:paraId="1D9EBA7A" w14:textId="77777777" w:rsidR="00B33542" w:rsidRPr="005071A1" w:rsidRDefault="00B33542" w:rsidP="009B7AF5">
            <w:pPr>
              <w:pStyle w:val="Tabletext"/>
            </w:pPr>
            <w:r w:rsidRPr="005071A1">
              <w:t>0.14</w:t>
            </w:r>
          </w:p>
        </w:tc>
        <w:tc>
          <w:tcPr>
            <w:tcW w:w="2281" w:type="dxa"/>
            <w:gridSpan w:val="2"/>
            <w:tcBorders>
              <w:bottom w:val="single" w:sz="4" w:space="0" w:color="auto"/>
            </w:tcBorders>
            <w:shd w:val="clear" w:color="auto" w:fill="auto"/>
          </w:tcPr>
          <w:p w14:paraId="6D648BC5" w14:textId="77777777" w:rsidR="00B33542" w:rsidRPr="005071A1" w:rsidRDefault="00B33542" w:rsidP="009B7AF5">
            <w:pPr>
              <w:pStyle w:val="Tabletext"/>
            </w:pPr>
            <w:r w:rsidRPr="005071A1">
              <w:t>0.06</w:t>
            </w:r>
          </w:p>
        </w:tc>
        <w:tc>
          <w:tcPr>
            <w:tcW w:w="2072" w:type="dxa"/>
            <w:tcBorders>
              <w:bottom w:val="single" w:sz="4" w:space="0" w:color="auto"/>
            </w:tcBorders>
            <w:shd w:val="clear" w:color="auto" w:fill="auto"/>
          </w:tcPr>
          <w:p w14:paraId="45530046" w14:textId="77777777" w:rsidR="00B33542" w:rsidRPr="005071A1" w:rsidRDefault="00B33542" w:rsidP="009B7AF5">
            <w:pPr>
              <w:pStyle w:val="Tabletext"/>
            </w:pPr>
            <w:r w:rsidRPr="005071A1">
              <w:t>0.12</w:t>
            </w:r>
          </w:p>
        </w:tc>
      </w:tr>
      <w:tr w:rsidR="00B33542" w:rsidRPr="005071A1" w14:paraId="4AB0C91F" w14:textId="77777777" w:rsidTr="00D57394">
        <w:tc>
          <w:tcPr>
            <w:tcW w:w="1101" w:type="dxa"/>
            <w:tcBorders>
              <w:bottom w:val="single" w:sz="4" w:space="0" w:color="auto"/>
            </w:tcBorders>
            <w:shd w:val="clear" w:color="auto" w:fill="auto"/>
          </w:tcPr>
          <w:p w14:paraId="1E05CAFC" w14:textId="77777777" w:rsidR="00B33542" w:rsidRPr="005071A1" w:rsidRDefault="00B33542" w:rsidP="009B7AF5">
            <w:pPr>
              <w:pStyle w:val="Tabletext"/>
            </w:pPr>
            <w:r w:rsidRPr="005071A1">
              <w:t>39</w:t>
            </w:r>
          </w:p>
        </w:tc>
        <w:tc>
          <w:tcPr>
            <w:tcW w:w="1842" w:type="dxa"/>
            <w:tcBorders>
              <w:bottom w:val="single" w:sz="4" w:space="0" w:color="auto"/>
            </w:tcBorders>
            <w:shd w:val="clear" w:color="auto" w:fill="auto"/>
          </w:tcPr>
          <w:p w14:paraId="5F48D92C" w14:textId="77777777" w:rsidR="00B33542" w:rsidRPr="005071A1" w:rsidRDefault="00B33542" w:rsidP="009B7AF5">
            <w:pPr>
              <w:pStyle w:val="Tabletext"/>
            </w:pPr>
            <w:r w:rsidRPr="005071A1">
              <w:t>0.16</w:t>
            </w:r>
          </w:p>
        </w:tc>
        <w:tc>
          <w:tcPr>
            <w:tcW w:w="2281" w:type="dxa"/>
            <w:gridSpan w:val="2"/>
            <w:tcBorders>
              <w:bottom w:val="single" w:sz="4" w:space="0" w:color="auto"/>
            </w:tcBorders>
            <w:shd w:val="clear" w:color="auto" w:fill="auto"/>
          </w:tcPr>
          <w:p w14:paraId="08C04C99" w14:textId="77777777" w:rsidR="00B33542" w:rsidRPr="005071A1" w:rsidRDefault="00B33542" w:rsidP="009B7AF5">
            <w:pPr>
              <w:pStyle w:val="Tabletext"/>
            </w:pPr>
            <w:r w:rsidRPr="005071A1">
              <w:t>0.07</w:t>
            </w:r>
          </w:p>
        </w:tc>
        <w:tc>
          <w:tcPr>
            <w:tcW w:w="2072" w:type="dxa"/>
            <w:tcBorders>
              <w:bottom w:val="single" w:sz="4" w:space="0" w:color="auto"/>
            </w:tcBorders>
            <w:shd w:val="clear" w:color="auto" w:fill="auto"/>
          </w:tcPr>
          <w:p w14:paraId="5447345D" w14:textId="77777777" w:rsidR="00B33542" w:rsidRPr="005071A1" w:rsidRDefault="00B33542" w:rsidP="009B7AF5">
            <w:pPr>
              <w:pStyle w:val="Tabletext"/>
            </w:pPr>
            <w:r w:rsidRPr="005071A1">
              <w:t>0.14</w:t>
            </w:r>
          </w:p>
        </w:tc>
      </w:tr>
      <w:tr w:rsidR="00B33542" w:rsidRPr="005071A1" w14:paraId="2FC81CCB" w14:textId="77777777" w:rsidTr="00D57394">
        <w:tc>
          <w:tcPr>
            <w:tcW w:w="1101" w:type="dxa"/>
            <w:tcBorders>
              <w:top w:val="single" w:sz="4" w:space="0" w:color="auto"/>
            </w:tcBorders>
            <w:shd w:val="clear" w:color="auto" w:fill="auto"/>
          </w:tcPr>
          <w:p w14:paraId="7B209555" w14:textId="77777777" w:rsidR="00B33542" w:rsidRPr="005071A1" w:rsidRDefault="00B33542" w:rsidP="009B7AF5">
            <w:pPr>
              <w:pStyle w:val="Tabletext"/>
            </w:pPr>
            <w:r w:rsidRPr="005071A1">
              <w:t>40</w:t>
            </w:r>
          </w:p>
        </w:tc>
        <w:tc>
          <w:tcPr>
            <w:tcW w:w="1842" w:type="dxa"/>
            <w:tcBorders>
              <w:top w:val="single" w:sz="4" w:space="0" w:color="auto"/>
            </w:tcBorders>
            <w:shd w:val="clear" w:color="auto" w:fill="auto"/>
          </w:tcPr>
          <w:p w14:paraId="2C0DCD60" w14:textId="77777777" w:rsidR="00B33542" w:rsidRPr="005071A1" w:rsidRDefault="00B33542" w:rsidP="009B7AF5">
            <w:pPr>
              <w:pStyle w:val="Tabletext"/>
            </w:pPr>
            <w:r w:rsidRPr="005071A1">
              <w:t>0.16</w:t>
            </w:r>
          </w:p>
        </w:tc>
        <w:tc>
          <w:tcPr>
            <w:tcW w:w="2281" w:type="dxa"/>
            <w:gridSpan w:val="2"/>
            <w:tcBorders>
              <w:top w:val="single" w:sz="4" w:space="0" w:color="auto"/>
            </w:tcBorders>
            <w:shd w:val="clear" w:color="auto" w:fill="auto"/>
          </w:tcPr>
          <w:p w14:paraId="288C9A24" w14:textId="77777777" w:rsidR="00B33542" w:rsidRPr="005071A1" w:rsidRDefault="00B33542" w:rsidP="009B7AF5">
            <w:pPr>
              <w:pStyle w:val="Tabletext"/>
            </w:pPr>
            <w:r w:rsidRPr="005071A1">
              <w:t>0.07</w:t>
            </w:r>
          </w:p>
        </w:tc>
        <w:tc>
          <w:tcPr>
            <w:tcW w:w="2072" w:type="dxa"/>
            <w:tcBorders>
              <w:top w:val="single" w:sz="4" w:space="0" w:color="auto"/>
            </w:tcBorders>
            <w:shd w:val="clear" w:color="auto" w:fill="auto"/>
          </w:tcPr>
          <w:p w14:paraId="35022EBF" w14:textId="77777777" w:rsidR="00B33542" w:rsidRPr="005071A1" w:rsidRDefault="00B33542" w:rsidP="009B7AF5">
            <w:pPr>
              <w:pStyle w:val="Tabletext"/>
            </w:pPr>
            <w:r w:rsidRPr="005071A1">
              <w:t>0.14</w:t>
            </w:r>
          </w:p>
        </w:tc>
      </w:tr>
      <w:tr w:rsidR="00B33542" w:rsidRPr="005071A1" w14:paraId="5D85FAB7" w14:textId="77777777" w:rsidTr="009B7AF5">
        <w:tc>
          <w:tcPr>
            <w:tcW w:w="1101" w:type="dxa"/>
            <w:shd w:val="clear" w:color="auto" w:fill="auto"/>
          </w:tcPr>
          <w:p w14:paraId="2B05758F" w14:textId="77777777" w:rsidR="00B33542" w:rsidRPr="005071A1" w:rsidRDefault="00B33542" w:rsidP="009B7AF5">
            <w:pPr>
              <w:pStyle w:val="Tabletext"/>
            </w:pPr>
            <w:r w:rsidRPr="005071A1">
              <w:t>41</w:t>
            </w:r>
          </w:p>
        </w:tc>
        <w:tc>
          <w:tcPr>
            <w:tcW w:w="1842" w:type="dxa"/>
            <w:shd w:val="clear" w:color="auto" w:fill="auto"/>
          </w:tcPr>
          <w:p w14:paraId="0B7BB250" w14:textId="77777777" w:rsidR="00B33542" w:rsidRPr="005071A1" w:rsidRDefault="00B33542" w:rsidP="009B7AF5">
            <w:pPr>
              <w:pStyle w:val="Tabletext"/>
            </w:pPr>
            <w:r w:rsidRPr="005071A1">
              <w:t>0.16</w:t>
            </w:r>
          </w:p>
        </w:tc>
        <w:tc>
          <w:tcPr>
            <w:tcW w:w="2281" w:type="dxa"/>
            <w:gridSpan w:val="2"/>
            <w:shd w:val="clear" w:color="auto" w:fill="auto"/>
          </w:tcPr>
          <w:p w14:paraId="237465DB" w14:textId="77777777" w:rsidR="00B33542" w:rsidRPr="005071A1" w:rsidRDefault="00B33542" w:rsidP="009B7AF5">
            <w:pPr>
              <w:pStyle w:val="Tabletext"/>
            </w:pPr>
            <w:r w:rsidRPr="005071A1">
              <w:t>0.07</w:t>
            </w:r>
          </w:p>
        </w:tc>
        <w:tc>
          <w:tcPr>
            <w:tcW w:w="2072" w:type="dxa"/>
            <w:shd w:val="clear" w:color="auto" w:fill="auto"/>
          </w:tcPr>
          <w:p w14:paraId="43743E47" w14:textId="77777777" w:rsidR="00B33542" w:rsidRPr="005071A1" w:rsidRDefault="00B33542" w:rsidP="009B7AF5">
            <w:pPr>
              <w:pStyle w:val="Tabletext"/>
            </w:pPr>
            <w:r w:rsidRPr="005071A1">
              <w:t>0.14</w:t>
            </w:r>
          </w:p>
        </w:tc>
      </w:tr>
      <w:tr w:rsidR="00B33542" w:rsidRPr="005071A1" w14:paraId="2C3803E6" w14:textId="77777777" w:rsidTr="00640BB6">
        <w:tc>
          <w:tcPr>
            <w:tcW w:w="1101" w:type="dxa"/>
            <w:tcBorders>
              <w:bottom w:val="single" w:sz="4" w:space="0" w:color="auto"/>
            </w:tcBorders>
            <w:shd w:val="clear" w:color="auto" w:fill="auto"/>
          </w:tcPr>
          <w:p w14:paraId="77F01EE9" w14:textId="77777777" w:rsidR="00B33542" w:rsidRPr="005071A1" w:rsidRDefault="00B33542" w:rsidP="009B7AF5">
            <w:pPr>
              <w:pStyle w:val="Tabletext"/>
            </w:pPr>
            <w:r w:rsidRPr="005071A1">
              <w:t>42</w:t>
            </w:r>
          </w:p>
        </w:tc>
        <w:tc>
          <w:tcPr>
            <w:tcW w:w="1842" w:type="dxa"/>
            <w:tcBorders>
              <w:bottom w:val="single" w:sz="4" w:space="0" w:color="auto"/>
            </w:tcBorders>
            <w:shd w:val="clear" w:color="auto" w:fill="auto"/>
          </w:tcPr>
          <w:p w14:paraId="51DEC814" w14:textId="77777777" w:rsidR="00B33542" w:rsidRPr="005071A1" w:rsidRDefault="00B33542" w:rsidP="009B7AF5">
            <w:pPr>
              <w:pStyle w:val="Tabletext"/>
            </w:pPr>
            <w:r w:rsidRPr="005071A1">
              <w:t>0.16</w:t>
            </w:r>
          </w:p>
        </w:tc>
        <w:tc>
          <w:tcPr>
            <w:tcW w:w="2281" w:type="dxa"/>
            <w:gridSpan w:val="2"/>
            <w:tcBorders>
              <w:bottom w:val="single" w:sz="4" w:space="0" w:color="auto"/>
            </w:tcBorders>
            <w:shd w:val="clear" w:color="auto" w:fill="auto"/>
          </w:tcPr>
          <w:p w14:paraId="6AAE95C8" w14:textId="77777777" w:rsidR="00B33542" w:rsidRPr="005071A1" w:rsidRDefault="00B33542" w:rsidP="009B7AF5">
            <w:pPr>
              <w:pStyle w:val="Tabletext"/>
            </w:pPr>
            <w:r w:rsidRPr="005071A1">
              <w:t>0.07</w:t>
            </w:r>
          </w:p>
        </w:tc>
        <w:tc>
          <w:tcPr>
            <w:tcW w:w="2072" w:type="dxa"/>
            <w:tcBorders>
              <w:bottom w:val="single" w:sz="4" w:space="0" w:color="auto"/>
            </w:tcBorders>
            <w:shd w:val="clear" w:color="auto" w:fill="auto"/>
          </w:tcPr>
          <w:p w14:paraId="46B516C9" w14:textId="77777777" w:rsidR="00B33542" w:rsidRPr="005071A1" w:rsidRDefault="00B33542" w:rsidP="009B7AF5">
            <w:pPr>
              <w:pStyle w:val="Tabletext"/>
            </w:pPr>
            <w:r w:rsidRPr="005071A1">
              <w:t>0.14</w:t>
            </w:r>
          </w:p>
        </w:tc>
      </w:tr>
      <w:tr w:rsidR="00B33542" w:rsidRPr="005071A1" w14:paraId="2FC4F270" w14:textId="77777777" w:rsidTr="00640BB6">
        <w:tc>
          <w:tcPr>
            <w:tcW w:w="1101" w:type="dxa"/>
            <w:tcBorders>
              <w:bottom w:val="single" w:sz="4" w:space="0" w:color="auto"/>
            </w:tcBorders>
            <w:shd w:val="clear" w:color="auto" w:fill="auto"/>
          </w:tcPr>
          <w:p w14:paraId="7BFA5116" w14:textId="77777777" w:rsidR="00B33542" w:rsidRPr="005071A1" w:rsidRDefault="00B33542" w:rsidP="009B7AF5">
            <w:pPr>
              <w:pStyle w:val="Tabletext"/>
            </w:pPr>
            <w:r w:rsidRPr="005071A1">
              <w:t>43</w:t>
            </w:r>
          </w:p>
        </w:tc>
        <w:tc>
          <w:tcPr>
            <w:tcW w:w="1842" w:type="dxa"/>
            <w:tcBorders>
              <w:bottom w:val="single" w:sz="4" w:space="0" w:color="auto"/>
            </w:tcBorders>
            <w:shd w:val="clear" w:color="auto" w:fill="auto"/>
          </w:tcPr>
          <w:p w14:paraId="4D05C495" w14:textId="77777777" w:rsidR="00B33542" w:rsidRPr="005071A1" w:rsidRDefault="00B33542" w:rsidP="009B7AF5">
            <w:pPr>
              <w:pStyle w:val="Tabletext"/>
            </w:pPr>
            <w:r w:rsidRPr="005071A1">
              <w:t>0.18</w:t>
            </w:r>
          </w:p>
        </w:tc>
        <w:tc>
          <w:tcPr>
            <w:tcW w:w="2281" w:type="dxa"/>
            <w:gridSpan w:val="2"/>
            <w:tcBorders>
              <w:bottom w:val="single" w:sz="4" w:space="0" w:color="auto"/>
            </w:tcBorders>
            <w:shd w:val="clear" w:color="auto" w:fill="auto"/>
          </w:tcPr>
          <w:p w14:paraId="71537140" w14:textId="77777777" w:rsidR="00B33542" w:rsidRPr="005071A1" w:rsidRDefault="00B33542" w:rsidP="009B7AF5">
            <w:pPr>
              <w:pStyle w:val="Tabletext"/>
            </w:pPr>
            <w:r w:rsidRPr="005071A1">
              <w:t>0.07</w:t>
            </w:r>
          </w:p>
        </w:tc>
        <w:tc>
          <w:tcPr>
            <w:tcW w:w="2072" w:type="dxa"/>
            <w:tcBorders>
              <w:bottom w:val="single" w:sz="4" w:space="0" w:color="auto"/>
            </w:tcBorders>
            <w:shd w:val="clear" w:color="auto" w:fill="auto"/>
          </w:tcPr>
          <w:p w14:paraId="292C9E63" w14:textId="77777777" w:rsidR="00B33542" w:rsidRPr="005071A1" w:rsidRDefault="00B33542" w:rsidP="009B7AF5">
            <w:pPr>
              <w:pStyle w:val="Tabletext"/>
            </w:pPr>
            <w:r w:rsidRPr="005071A1">
              <w:t>0.14</w:t>
            </w:r>
          </w:p>
        </w:tc>
      </w:tr>
      <w:tr w:rsidR="00B33542" w:rsidRPr="005071A1" w14:paraId="764D10DF" w14:textId="77777777" w:rsidTr="00640BB6">
        <w:tc>
          <w:tcPr>
            <w:tcW w:w="1101" w:type="dxa"/>
            <w:tcBorders>
              <w:top w:val="single" w:sz="4" w:space="0" w:color="auto"/>
            </w:tcBorders>
            <w:shd w:val="clear" w:color="auto" w:fill="auto"/>
          </w:tcPr>
          <w:p w14:paraId="31958E8D" w14:textId="77777777" w:rsidR="00B33542" w:rsidRPr="005071A1" w:rsidRDefault="00B33542" w:rsidP="009B7AF5">
            <w:pPr>
              <w:pStyle w:val="Tabletext"/>
            </w:pPr>
            <w:r w:rsidRPr="005071A1">
              <w:t>44</w:t>
            </w:r>
          </w:p>
        </w:tc>
        <w:tc>
          <w:tcPr>
            <w:tcW w:w="1842" w:type="dxa"/>
            <w:tcBorders>
              <w:top w:val="single" w:sz="4" w:space="0" w:color="auto"/>
            </w:tcBorders>
            <w:shd w:val="clear" w:color="auto" w:fill="auto"/>
          </w:tcPr>
          <w:p w14:paraId="518A8539" w14:textId="77777777" w:rsidR="00B33542" w:rsidRPr="005071A1" w:rsidRDefault="00B33542" w:rsidP="009B7AF5">
            <w:pPr>
              <w:pStyle w:val="Tabletext"/>
            </w:pPr>
            <w:r w:rsidRPr="005071A1">
              <w:t>0.18</w:t>
            </w:r>
          </w:p>
        </w:tc>
        <w:tc>
          <w:tcPr>
            <w:tcW w:w="2281" w:type="dxa"/>
            <w:gridSpan w:val="2"/>
            <w:tcBorders>
              <w:top w:val="single" w:sz="4" w:space="0" w:color="auto"/>
            </w:tcBorders>
            <w:shd w:val="clear" w:color="auto" w:fill="auto"/>
          </w:tcPr>
          <w:p w14:paraId="4A25B8EB" w14:textId="77777777" w:rsidR="00B33542" w:rsidRPr="005071A1" w:rsidRDefault="00B33542" w:rsidP="009B7AF5">
            <w:pPr>
              <w:pStyle w:val="Tabletext"/>
            </w:pPr>
            <w:r w:rsidRPr="005071A1">
              <w:t>0.08</w:t>
            </w:r>
          </w:p>
        </w:tc>
        <w:tc>
          <w:tcPr>
            <w:tcW w:w="2072" w:type="dxa"/>
            <w:tcBorders>
              <w:top w:val="single" w:sz="4" w:space="0" w:color="auto"/>
            </w:tcBorders>
            <w:shd w:val="clear" w:color="auto" w:fill="auto"/>
          </w:tcPr>
          <w:p w14:paraId="2433E7B7" w14:textId="77777777" w:rsidR="00B33542" w:rsidRPr="005071A1" w:rsidRDefault="00B33542" w:rsidP="009B7AF5">
            <w:pPr>
              <w:pStyle w:val="Tabletext"/>
            </w:pPr>
            <w:r w:rsidRPr="005071A1">
              <w:t>0.16</w:t>
            </w:r>
          </w:p>
        </w:tc>
      </w:tr>
      <w:tr w:rsidR="00B33542" w:rsidRPr="005071A1" w14:paraId="791BFBA1" w14:textId="77777777" w:rsidTr="009B7AF5">
        <w:tc>
          <w:tcPr>
            <w:tcW w:w="1101" w:type="dxa"/>
            <w:shd w:val="clear" w:color="auto" w:fill="auto"/>
          </w:tcPr>
          <w:p w14:paraId="058D4077" w14:textId="77777777" w:rsidR="00B33542" w:rsidRPr="005071A1" w:rsidRDefault="00B33542" w:rsidP="009B7AF5">
            <w:pPr>
              <w:pStyle w:val="Tabletext"/>
            </w:pPr>
            <w:r w:rsidRPr="005071A1">
              <w:t>45</w:t>
            </w:r>
          </w:p>
        </w:tc>
        <w:tc>
          <w:tcPr>
            <w:tcW w:w="1842" w:type="dxa"/>
            <w:shd w:val="clear" w:color="auto" w:fill="auto"/>
          </w:tcPr>
          <w:p w14:paraId="16EEB5AD" w14:textId="77777777" w:rsidR="00B33542" w:rsidRPr="005071A1" w:rsidRDefault="00B33542" w:rsidP="009B7AF5">
            <w:pPr>
              <w:pStyle w:val="Tabletext"/>
            </w:pPr>
            <w:r w:rsidRPr="005071A1">
              <w:t>0.18</w:t>
            </w:r>
          </w:p>
        </w:tc>
        <w:tc>
          <w:tcPr>
            <w:tcW w:w="2281" w:type="dxa"/>
            <w:gridSpan w:val="2"/>
            <w:shd w:val="clear" w:color="auto" w:fill="auto"/>
          </w:tcPr>
          <w:p w14:paraId="5EBC7A46" w14:textId="77777777" w:rsidR="00B33542" w:rsidRPr="005071A1" w:rsidRDefault="00B33542" w:rsidP="009B7AF5">
            <w:pPr>
              <w:pStyle w:val="Tabletext"/>
            </w:pPr>
            <w:r w:rsidRPr="005071A1">
              <w:t>0.08</w:t>
            </w:r>
          </w:p>
        </w:tc>
        <w:tc>
          <w:tcPr>
            <w:tcW w:w="2072" w:type="dxa"/>
            <w:shd w:val="clear" w:color="auto" w:fill="auto"/>
          </w:tcPr>
          <w:p w14:paraId="7FABB3C1" w14:textId="77777777" w:rsidR="00B33542" w:rsidRPr="005071A1" w:rsidRDefault="00B33542" w:rsidP="009B7AF5">
            <w:pPr>
              <w:pStyle w:val="Tabletext"/>
            </w:pPr>
            <w:r w:rsidRPr="005071A1">
              <w:t>0.16</w:t>
            </w:r>
          </w:p>
        </w:tc>
      </w:tr>
      <w:tr w:rsidR="00B33542" w:rsidRPr="005071A1" w14:paraId="69E4744A" w14:textId="77777777" w:rsidTr="009B7AF5">
        <w:tc>
          <w:tcPr>
            <w:tcW w:w="1101" w:type="dxa"/>
            <w:shd w:val="clear" w:color="auto" w:fill="auto"/>
          </w:tcPr>
          <w:p w14:paraId="41914DE4" w14:textId="77777777" w:rsidR="00B33542" w:rsidRPr="005071A1" w:rsidRDefault="00B33542" w:rsidP="009B7AF5">
            <w:pPr>
              <w:pStyle w:val="Tabletext"/>
            </w:pPr>
            <w:r w:rsidRPr="005071A1">
              <w:t>46</w:t>
            </w:r>
          </w:p>
        </w:tc>
        <w:tc>
          <w:tcPr>
            <w:tcW w:w="1842" w:type="dxa"/>
            <w:shd w:val="clear" w:color="auto" w:fill="auto"/>
          </w:tcPr>
          <w:p w14:paraId="7E660E26" w14:textId="77777777" w:rsidR="00B33542" w:rsidRPr="005071A1" w:rsidRDefault="00B33542" w:rsidP="009B7AF5">
            <w:pPr>
              <w:pStyle w:val="Tabletext"/>
            </w:pPr>
            <w:r w:rsidRPr="005071A1">
              <w:t>0.22</w:t>
            </w:r>
          </w:p>
        </w:tc>
        <w:tc>
          <w:tcPr>
            <w:tcW w:w="2281" w:type="dxa"/>
            <w:gridSpan w:val="2"/>
            <w:shd w:val="clear" w:color="auto" w:fill="auto"/>
          </w:tcPr>
          <w:p w14:paraId="2C39BE58" w14:textId="77777777" w:rsidR="00B33542" w:rsidRPr="005071A1" w:rsidRDefault="00B33542" w:rsidP="009B7AF5">
            <w:pPr>
              <w:pStyle w:val="Tabletext"/>
            </w:pPr>
            <w:r w:rsidRPr="005071A1">
              <w:t>0.09</w:t>
            </w:r>
          </w:p>
        </w:tc>
        <w:tc>
          <w:tcPr>
            <w:tcW w:w="2072" w:type="dxa"/>
            <w:shd w:val="clear" w:color="auto" w:fill="auto"/>
          </w:tcPr>
          <w:p w14:paraId="3E47F73B" w14:textId="77777777" w:rsidR="00B33542" w:rsidRPr="005071A1" w:rsidRDefault="00B33542" w:rsidP="009B7AF5">
            <w:pPr>
              <w:pStyle w:val="Tabletext"/>
            </w:pPr>
            <w:r w:rsidRPr="005071A1">
              <w:t>0.18</w:t>
            </w:r>
          </w:p>
        </w:tc>
      </w:tr>
      <w:tr w:rsidR="00B33542" w:rsidRPr="005071A1" w14:paraId="45A990CC" w14:textId="77777777" w:rsidTr="009B7AF5">
        <w:tc>
          <w:tcPr>
            <w:tcW w:w="1101" w:type="dxa"/>
            <w:shd w:val="clear" w:color="auto" w:fill="auto"/>
          </w:tcPr>
          <w:p w14:paraId="7C4E1D43" w14:textId="77777777" w:rsidR="00B33542" w:rsidRPr="005071A1" w:rsidRDefault="00B33542" w:rsidP="009B7AF5">
            <w:pPr>
              <w:pStyle w:val="Tabletext"/>
            </w:pPr>
            <w:r w:rsidRPr="005071A1">
              <w:t>47</w:t>
            </w:r>
          </w:p>
        </w:tc>
        <w:tc>
          <w:tcPr>
            <w:tcW w:w="1842" w:type="dxa"/>
            <w:shd w:val="clear" w:color="auto" w:fill="auto"/>
          </w:tcPr>
          <w:p w14:paraId="5BC58022" w14:textId="77777777" w:rsidR="00B33542" w:rsidRPr="005071A1" w:rsidRDefault="00B33542" w:rsidP="009B7AF5">
            <w:pPr>
              <w:pStyle w:val="Tabletext"/>
            </w:pPr>
            <w:r w:rsidRPr="005071A1">
              <w:t>0.22</w:t>
            </w:r>
          </w:p>
        </w:tc>
        <w:tc>
          <w:tcPr>
            <w:tcW w:w="2281" w:type="dxa"/>
            <w:gridSpan w:val="2"/>
            <w:shd w:val="clear" w:color="auto" w:fill="auto"/>
          </w:tcPr>
          <w:p w14:paraId="42D18EAA" w14:textId="77777777" w:rsidR="00B33542" w:rsidRPr="005071A1" w:rsidRDefault="00B33542" w:rsidP="009B7AF5">
            <w:pPr>
              <w:pStyle w:val="Tabletext"/>
            </w:pPr>
            <w:r w:rsidRPr="005071A1">
              <w:t>0.09</w:t>
            </w:r>
          </w:p>
        </w:tc>
        <w:tc>
          <w:tcPr>
            <w:tcW w:w="2072" w:type="dxa"/>
            <w:shd w:val="clear" w:color="auto" w:fill="auto"/>
          </w:tcPr>
          <w:p w14:paraId="7C5AE253" w14:textId="77777777" w:rsidR="00B33542" w:rsidRPr="005071A1" w:rsidRDefault="00B33542" w:rsidP="009B7AF5">
            <w:pPr>
              <w:pStyle w:val="Tabletext"/>
            </w:pPr>
            <w:r w:rsidRPr="005071A1">
              <w:t>0.18</w:t>
            </w:r>
          </w:p>
        </w:tc>
      </w:tr>
      <w:tr w:rsidR="00B33542" w:rsidRPr="005071A1" w14:paraId="5AC130B9" w14:textId="77777777" w:rsidTr="009B7AF5">
        <w:tc>
          <w:tcPr>
            <w:tcW w:w="1101" w:type="dxa"/>
            <w:shd w:val="clear" w:color="auto" w:fill="auto"/>
          </w:tcPr>
          <w:p w14:paraId="1524CBB0" w14:textId="77777777" w:rsidR="00B33542" w:rsidRPr="005071A1" w:rsidRDefault="00B33542" w:rsidP="009B7AF5">
            <w:pPr>
              <w:pStyle w:val="Tabletext"/>
            </w:pPr>
            <w:r w:rsidRPr="005071A1">
              <w:t>48</w:t>
            </w:r>
          </w:p>
        </w:tc>
        <w:tc>
          <w:tcPr>
            <w:tcW w:w="1842" w:type="dxa"/>
            <w:shd w:val="clear" w:color="auto" w:fill="auto"/>
          </w:tcPr>
          <w:p w14:paraId="3FA6CFCB" w14:textId="77777777" w:rsidR="00B33542" w:rsidRPr="005071A1" w:rsidRDefault="00B33542" w:rsidP="009B7AF5">
            <w:pPr>
              <w:pStyle w:val="Tabletext"/>
            </w:pPr>
            <w:r w:rsidRPr="005071A1">
              <w:t>0.24</w:t>
            </w:r>
          </w:p>
        </w:tc>
        <w:tc>
          <w:tcPr>
            <w:tcW w:w="2281" w:type="dxa"/>
            <w:gridSpan w:val="2"/>
            <w:shd w:val="clear" w:color="auto" w:fill="auto"/>
          </w:tcPr>
          <w:p w14:paraId="7D7E62B4" w14:textId="77777777" w:rsidR="00B33542" w:rsidRPr="005071A1" w:rsidRDefault="00B33542" w:rsidP="009B7AF5">
            <w:pPr>
              <w:pStyle w:val="Tabletext"/>
            </w:pPr>
            <w:r w:rsidRPr="005071A1">
              <w:t>0.11</w:t>
            </w:r>
          </w:p>
        </w:tc>
        <w:tc>
          <w:tcPr>
            <w:tcW w:w="2072" w:type="dxa"/>
            <w:shd w:val="clear" w:color="auto" w:fill="auto"/>
          </w:tcPr>
          <w:p w14:paraId="749D89ED" w14:textId="77777777" w:rsidR="00B33542" w:rsidRPr="005071A1" w:rsidRDefault="00B33542" w:rsidP="009B7AF5">
            <w:pPr>
              <w:pStyle w:val="Tabletext"/>
            </w:pPr>
            <w:r w:rsidRPr="005071A1">
              <w:t>0.22</w:t>
            </w:r>
          </w:p>
        </w:tc>
      </w:tr>
      <w:tr w:rsidR="00B33542" w:rsidRPr="005071A1" w14:paraId="77127B58" w14:textId="77777777" w:rsidTr="00D57394">
        <w:tc>
          <w:tcPr>
            <w:tcW w:w="1101" w:type="dxa"/>
            <w:tcBorders>
              <w:bottom w:val="single" w:sz="4" w:space="0" w:color="auto"/>
            </w:tcBorders>
            <w:shd w:val="clear" w:color="auto" w:fill="auto"/>
          </w:tcPr>
          <w:p w14:paraId="40770B23" w14:textId="77777777" w:rsidR="00B33542" w:rsidRPr="005071A1" w:rsidRDefault="00B33542" w:rsidP="009B7AF5">
            <w:pPr>
              <w:pStyle w:val="Tabletext"/>
            </w:pPr>
            <w:r w:rsidRPr="005071A1">
              <w:t>49</w:t>
            </w:r>
          </w:p>
        </w:tc>
        <w:tc>
          <w:tcPr>
            <w:tcW w:w="1842" w:type="dxa"/>
            <w:tcBorders>
              <w:bottom w:val="single" w:sz="4" w:space="0" w:color="auto"/>
            </w:tcBorders>
            <w:shd w:val="clear" w:color="auto" w:fill="auto"/>
          </w:tcPr>
          <w:p w14:paraId="31F32711" w14:textId="77777777" w:rsidR="00B33542" w:rsidRPr="005071A1" w:rsidRDefault="00B33542" w:rsidP="009B7AF5">
            <w:pPr>
              <w:pStyle w:val="Tabletext"/>
            </w:pPr>
            <w:r w:rsidRPr="005071A1">
              <w:t>0.28</w:t>
            </w:r>
          </w:p>
        </w:tc>
        <w:tc>
          <w:tcPr>
            <w:tcW w:w="2281" w:type="dxa"/>
            <w:gridSpan w:val="2"/>
            <w:tcBorders>
              <w:bottom w:val="single" w:sz="4" w:space="0" w:color="auto"/>
            </w:tcBorders>
            <w:shd w:val="clear" w:color="auto" w:fill="auto"/>
          </w:tcPr>
          <w:p w14:paraId="582E797C" w14:textId="77777777" w:rsidR="00B33542" w:rsidRPr="005071A1" w:rsidRDefault="00B33542" w:rsidP="009B7AF5">
            <w:pPr>
              <w:pStyle w:val="Tabletext"/>
            </w:pPr>
            <w:r w:rsidRPr="005071A1">
              <w:t>0.12</w:t>
            </w:r>
          </w:p>
        </w:tc>
        <w:tc>
          <w:tcPr>
            <w:tcW w:w="2072" w:type="dxa"/>
            <w:tcBorders>
              <w:bottom w:val="single" w:sz="4" w:space="0" w:color="auto"/>
            </w:tcBorders>
            <w:shd w:val="clear" w:color="auto" w:fill="auto"/>
          </w:tcPr>
          <w:p w14:paraId="09F780BD" w14:textId="77777777" w:rsidR="00B33542" w:rsidRPr="005071A1" w:rsidRDefault="00B33542" w:rsidP="009B7AF5">
            <w:pPr>
              <w:pStyle w:val="Tabletext"/>
            </w:pPr>
            <w:r w:rsidRPr="005071A1">
              <w:t>0.24</w:t>
            </w:r>
          </w:p>
        </w:tc>
      </w:tr>
      <w:tr w:rsidR="00B33542" w:rsidRPr="005071A1" w14:paraId="0FE0D55D" w14:textId="77777777" w:rsidTr="00D57394">
        <w:tc>
          <w:tcPr>
            <w:tcW w:w="1101" w:type="dxa"/>
            <w:tcBorders>
              <w:bottom w:val="single" w:sz="4" w:space="0" w:color="auto"/>
            </w:tcBorders>
            <w:shd w:val="clear" w:color="auto" w:fill="auto"/>
          </w:tcPr>
          <w:p w14:paraId="1B12D103" w14:textId="77777777" w:rsidR="00B33542" w:rsidRPr="005071A1" w:rsidRDefault="00B33542" w:rsidP="009B7AF5">
            <w:pPr>
              <w:pStyle w:val="Tabletext"/>
            </w:pPr>
            <w:r w:rsidRPr="005071A1">
              <w:t>50</w:t>
            </w:r>
          </w:p>
        </w:tc>
        <w:tc>
          <w:tcPr>
            <w:tcW w:w="1842" w:type="dxa"/>
            <w:tcBorders>
              <w:bottom w:val="single" w:sz="4" w:space="0" w:color="auto"/>
            </w:tcBorders>
            <w:shd w:val="clear" w:color="auto" w:fill="auto"/>
          </w:tcPr>
          <w:p w14:paraId="3BE92540" w14:textId="77777777" w:rsidR="00B33542" w:rsidRPr="005071A1" w:rsidRDefault="00B33542" w:rsidP="009B7AF5">
            <w:pPr>
              <w:pStyle w:val="Tabletext"/>
            </w:pPr>
            <w:r w:rsidRPr="005071A1">
              <w:t>0.32</w:t>
            </w:r>
          </w:p>
        </w:tc>
        <w:tc>
          <w:tcPr>
            <w:tcW w:w="2281" w:type="dxa"/>
            <w:gridSpan w:val="2"/>
            <w:tcBorders>
              <w:bottom w:val="single" w:sz="4" w:space="0" w:color="auto"/>
            </w:tcBorders>
            <w:shd w:val="clear" w:color="auto" w:fill="auto"/>
          </w:tcPr>
          <w:p w14:paraId="7A46D4D3" w14:textId="77777777" w:rsidR="00B33542" w:rsidRPr="005071A1" w:rsidRDefault="00B33542" w:rsidP="009B7AF5">
            <w:pPr>
              <w:pStyle w:val="Tabletext"/>
            </w:pPr>
            <w:r w:rsidRPr="005071A1">
              <w:t>0.14</w:t>
            </w:r>
          </w:p>
        </w:tc>
        <w:tc>
          <w:tcPr>
            <w:tcW w:w="2072" w:type="dxa"/>
            <w:tcBorders>
              <w:bottom w:val="single" w:sz="4" w:space="0" w:color="auto"/>
            </w:tcBorders>
            <w:shd w:val="clear" w:color="auto" w:fill="auto"/>
          </w:tcPr>
          <w:p w14:paraId="0A5F94EC" w14:textId="77777777" w:rsidR="00B33542" w:rsidRPr="005071A1" w:rsidRDefault="00B33542" w:rsidP="009B7AF5">
            <w:pPr>
              <w:pStyle w:val="Tabletext"/>
            </w:pPr>
            <w:r w:rsidRPr="005071A1">
              <w:t>0.28</w:t>
            </w:r>
          </w:p>
        </w:tc>
      </w:tr>
      <w:tr w:rsidR="00B33542" w:rsidRPr="005071A1" w14:paraId="5E9585CF" w14:textId="77777777" w:rsidTr="00D57394">
        <w:tc>
          <w:tcPr>
            <w:tcW w:w="1101" w:type="dxa"/>
            <w:tcBorders>
              <w:top w:val="single" w:sz="4" w:space="0" w:color="auto"/>
            </w:tcBorders>
            <w:shd w:val="clear" w:color="auto" w:fill="auto"/>
          </w:tcPr>
          <w:p w14:paraId="3F660A08" w14:textId="77777777" w:rsidR="00B33542" w:rsidRPr="005071A1" w:rsidRDefault="00B33542" w:rsidP="009B7AF5">
            <w:pPr>
              <w:pStyle w:val="Tabletext"/>
            </w:pPr>
            <w:r w:rsidRPr="005071A1">
              <w:t>51</w:t>
            </w:r>
          </w:p>
        </w:tc>
        <w:tc>
          <w:tcPr>
            <w:tcW w:w="1842" w:type="dxa"/>
            <w:tcBorders>
              <w:top w:val="single" w:sz="4" w:space="0" w:color="auto"/>
            </w:tcBorders>
            <w:shd w:val="clear" w:color="auto" w:fill="auto"/>
          </w:tcPr>
          <w:p w14:paraId="489BA60E" w14:textId="77777777" w:rsidR="00B33542" w:rsidRPr="005071A1" w:rsidRDefault="00B33542" w:rsidP="009B7AF5">
            <w:pPr>
              <w:pStyle w:val="Tabletext"/>
            </w:pPr>
            <w:r w:rsidRPr="005071A1">
              <w:t>0.34</w:t>
            </w:r>
          </w:p>
        </w:tc>
        <w:tc>
          <w:tcPr>
            <w:tcW w:w="2281" w:type="dxa"/>
            <w:gridSpan w:val="2"/>
            <w:tcBorders>
              <w:top w:val="single" w:sz="4" w:space="0" w:color="auto"/>
            </w:tcBorders>
            <w:shd w:val="clear" w:color="auto" w:fill="auto"/>
          </w:tcPr>
          <w:p w14:paraId="163E3610" w14:textId="77777777" w:rsidR="00B33542" w:rsidRPr="005071A1" w:rsidRDefault="00B33542" w:rsidP="009B7AF5">
            <w:pPr>
              <w:pStyle w:val="Tabletext"/>
            </w:pPr>
            <w:r w:rsidRPr="005071A1">
              <w:t>0.15</w:t>
            </w:r>
          </w:p>
        </w:tc>
        <w:tc>
          <w:tcPr>
            <w:tcW w:w="2072" w:type="dxa"/>
            <w:tcBorders>
              <w:top w:val="single" w:sz="4" w:space="0" w:color="auto"/>
            </w:tcBorders>
            <w:shd w:val="clear" w:color="auto" w:fill="auto"/>
          </w:tcPr>
          <w:p w14:paraId="6BACC885" w14:textId="77777777" w:rsidR="00B33542" w:rsidRPr="005071A1" w:rsidRDefault="00B33542" w:rsidP="009B7AF5">
            <w:pPr>
              <w:pStyle w:val="Tabletext"/>
            </w:pPr>
            <w:r w:rsidRPr="005071A1">
              <w:t>0.30</w:t>
            </w:r>
          </w:p>
        </w:tc>
      </w:tr>
      <w:tr w:rsidR="00B33542" w:rsidRPr="005071A1" w14:paraId="4AB3B1FF" w14:textId="77777777" w:rsidTr="009B7AF5">
        <w:tc>
          <w:tcPr>
            <w:tcW w:w="1101" w:type="dxa"/>
            <w:shd w:val="clear" w:color="auto" w:fill="auto"/>
          </w:tcPr>
          <w:p w14:paraId="293B3AD4" w14:textId="77777777" w:rsidR="00B33542" w:rsidRPr="005071A1" w:rsidRDefault="00B33542" w:rsidP="009B7AF5">
            <w:pPr>
              <w:pStyle w:val="Tabletext"/>
            </w:pPr>
            <w:r w:rsidRPr="005071A1">
              <w:t>52</w:t>
            </w:r>
          </w:p>
        </w:tc>
        <w:tc>
          <w:tcPr>
            <w:tcW w:w="1842" w:type="dxa"/>
            <w:shd w:val="clear" w:color="auto" w:fill="auto"/>
          </w:tcPr>
          <w:p w14:paraId="604CAEAE" w14:textId="77777777" w:rsidR="00B33542" w:rsidRPr="005071A1" w:rsidRDefault="00B33542" w:rsidP="009B7AF5">
            <w:pPr>
              <w:pStyle w:val="Tabletext"/>
            </w:pPr>
            <w:r w:rsidRPr="005071A1">
              <w:t>0.36</w:t>
            </w:r>
          </w:p>
        </w:tc>
        <w:tc>
          <w:tcPr>
            <w:tcW w:w="2281" w:type="dxa"/>
            <w:gridSpan w:val="2"/>
            <w:shd w:val="clear" w:color="auto" w:fill="auto"/>
          </w:tcPr>
          <w:p w14:paraId="78D636FA" w14:textId="77777777" w:rsidR="00B33542" w:rsidRPr="005071A1" w:rsidRDefault="00B33542" w:rsidP="009B7AF5">
            <w:pPr>
              <w:pStyle w:val="Tabletext"/>
            </w:pPr>
            <w:r w:rsidRPr="005071A1">
              <w:t>0.16</w:t>
            </w:r>
          </w:p>
        </w:tc>
        <w:tc>
          <w:tcPr>
            <w:tcW w:w="2072" w:type="dxa"/>
            <w:shd w:val="clear" w:color="auto" w:fill="auto"/>
          </w:tcPr>
          <w:p w14:paraId="4D0818FE" w14:textId="77777777" w:rsidR="00B33542" w:rsidRPr="005071A1" w:rsidRDefault="00B33542" w:rsidP="009B7AF5">
            <w:pPr>
              <w:pStyle w:val="Tabletext"/>
            </w:pPr>
            <w:r w:rsidRPr="005071A1">
              <w:t>0.32</w:t>
            </w:r>
          </w:p>
        </w:tc>
      </w:tr>
      <w:tr w:rsidR="00B33542" w:rsidRPr="005071A1" w14:paraId="721BBE04" w14:textId="77777777" w:rsidTr="009B7AF5">
        <w:tc>
          <w:tcPr>
            <w:tcW w:w="1101" w:type="dxa"/>
            <w:shd w:val="clear" w:color="auto" w:fill="auto"/>
          </w:tcPr>
          <w:p w14:paraId="6AC068CA" w14:textId="77777777" w:rsidR="00B33542" w:rsidRPr="005071A1" w:rsidRDefault="00B33542" w:rsidP="009B7AF5">
            <w:pPr>
              <w:pStyle w:val="Tabletext"/>
            </w:pPr>
            <w:r w:rsidRPr="005071A1">
              <w:t>53</w:t>
            </w:r>
          </w:p>
        </w:tc>
        <w:tc>
          <w:tcPr>
            <w:tcW w:w="1842" w:type="dxa"/>
            <w:shd w:val="clear" w:color="auto" w:fill="auto"/>
          </w:tcPr>
          <w:p w14:paraId="7280EF76" w14:textId="77777777" w:rsidR="00B33542" w:rsidRPr="005071A1" w:rsidRDefault="00B33542" w:rsidP="009B7AF5">
            <w:pPr>
              <w:pStyle w:val="Tabletext"/>
            </w:pPr>
            <w:r w:rsidRPr="005071A1">
              <w:t>0.44</w:t>
            </w:r>
          </w:p>
        </w:tc>
        <w:tc>
          <w:tcPr>
            <w:tcW w:w="2281" w:type="dxa"/>
            <w:gridSpan w:val="2"/>
            <w:shd w:val="clear" w:color="auto" w:fill="auto"/>
          </w:tcPr>
          <w:p w14:paraId="576F7927" w14:textId="77777777" w:rsidR="00B33542" w:rsidRPr="005071A1" w:rsidRDefault="00B33542" w:rsidP="009B7AF5">
            <w:pPr>
              <w:pStyle w:val="Tabletext"/>
            </w:pPr>
            <w:r w:rsidRPr="005071A1">
              <w:t>0.20</w:t>
            </w:r>
          </w:p>
        </w:tc>
        <w:tc>
          <w:tcPr>
            <w:tcW w:w="2072" w:type="dxa"/>
            <w:shd w:val="clear" w:color="auto" w:fill="auto"/>
          </w:tcPr>
          <w:p w14:paraId="6A87AD99" w14:textId="77777777" w:rsidR="00B33542" w:rsidRPr="005071A1" w:rsidRDefault="00B33542" w:rsidP="009B7AF5">
            <w:pPr>
              <w:pStyle w:val="Tabletext"/>
            </w:pPr>
            <w:r w:rsidRPr="005071A1">
              <w:t>0.40</w:t>
            </w:r>
          </w:p>
        </w:tc>
      </w:tr>
      <w:tr w:rsidR="00B33542" w:rsidRPr="005071A1" w14:paraId="793C553C" w14:textId="77777777" w:rsidTr="00640BB6">
        <w:tc>
          <w:tcPr>
            <w:tcW w:w="1101" w:type="dxa"/>
            <w:tcBorders>
              <w:bottom w:val="single" w:sz="4" w:space="0" w:color="auto"/>
            </w:tcBorders>
            <w:shd w:val="clear" w:color="auto" w:fill="auto"/>
          </w:tcPr>
          <w:p w14:paraId="2D558DD3" w14:textId="77777777" w:rsidR="00B33542" w:rsidRPr="005071A1" w:rsidRDefault="00B33542" w:rsidP="009B7AF5">
            <w:pPr>
              <w:pStyle w:val="Tabletext"/>
            </w:pPr>
            <w:r w:rsidRPr="005071A1">
              <w:t>54</w:t>
            </w:r>
          </w:p>
        </w:tc>
        <w:tc>
          <w:tcPr>
            <w:tcW w:w="1842" w:type="dxa"/>
            <w:tcBorders>
              <w:bottom w:val="single" w:sz="4" w:space="0" w:color="auto"/>
            </w:tcBorders>
            <w:shd w:val="clear" w:color="auto" w:fill="auto"/>
          </w:tcPr>
          <w:p w14:paraId="462EA08F" w14:textId="77777777" w:rsidR="00B33542" w:rsidRPr="005071A1" w:rsidRDefault="00B33542" w:rsidP="009B7AF5">
            <w:pPr>
              <w:pStyle w:val="Tabletext"/>
            </w:pPr>
            <w:r w:rsidRPr="005071A1">
              <w:t>0.50</w:t>
            </w:r>
          </w:p>
        </w:tc>
        <w:tc>
          <w:tcPr>
            <w:tcW w:w="2281" w:type="dxa"/>
            <w:gridSpan w:val="2"/>
            <w:tcBorders>
              <w:bottom w:val="single" w:sz="4" w:space="0" w:color="auto"/>
            </w:tcBorders>
            <w:shd w:val="clear" w:color="auto" w:fill="auto"/>
          </w:tcPr>
          <w:p w14:paraId="05D25DAD" w14:textId="77777777" w:rsidR="00B33542" w:rsidRPr="005071A1" w:rsidRDefault="00B33542" w:rsidP="009B7AF5">
            <w:pPr>
              <w:pStyle w:val="Tabletext"/>
            </w:pPr>
            <w:r w:rsidRPr="005071A1">
              <w:t>0.22</w:t>
            </w:r>
          </w:p>
        </w:tc>
        <w:tc>
          <w:tcPr>
            <w:tcW w:w="2072" w:type="dxa"/>
            <w:tcBorders>
              <w:bottom w:val="single" w:sz="4" w:space="0" w:color="auto"/>
            </w:tcBorders>
            <w:shd w:val="clear" w:color="auto" w:fill="auto"/>
          </w:tcPr>
          <w:p w14:paraId="72607383" w14:textId="77777777" w:rsidR="00B33542" w:rsidRPr="005071A1" w:rsidRDefault="00B33542" w:rsidP="009B7AF5">
            <w:pPr>
              <w:pStyle w:val="Tabletext"/>
            </w:pPr>
            <w:r w:rsidRPr="005071A1">
              <w:t>0.44</w:t>
            </w:r>
          </w:p>
        </w:tc>
      </w:tr>
      <w:tr w:rsidR="00B33542" w:rsidRPr="005071A1" w14:paraId="7C83D54B" w14:textId="77777777" w:rsidTr="00640BB6">
        <w:tc>
          <w:tcPr>
            <w:tcW w:w="1101" w:type="dxa"/>
            <w:tcBorders>
              <w:bottom w:val="single" w:sz="4" w:space="0" w:color="auto"/>
            </w:tcBorders>
            <w:shd w:val="clear" w:color="auto" w:fill="auto"/>
          </w:tcPr>
          <w:p w14:paraId="1A9EC753" w14:textId="77777777" w:rsidR="00B33542" w:rsidRPr="005071A1" w:rsidRDefault="00B33542" w:rsidP="009B7AF5">
            <w:pPr>
              <w:pStyle w:val="Tabletext"/>
            </w:pPr>
            <w:r w:rsidRPr="005071A1">
              <w:t>55</w:t>
            </w:r>
          </w:p>
        </w:tc>
        <w:tc>
          <w:tcPr>
            <w:tcW w:w="1842" w:type="dxa"/>
            <w:tcBorders>
              <w:bottom w:val="single" w:sz="4" w:space="0" w:color="auto"/>
            </w:tcBorders>
            <w:shd w:val="clear" w:color="auto" w:fill="auto"/>
          </w:tcPr>
          <w:p w14:paraId="58517D9D" w14:textId="77777777" w:rsidR="00B33542" w:rsidRPr="005071A1" w:rsidRDefault="00B33542" w:rsidP="009B7AF5">
            <w:pPr>
              <w:pStyle w:val="Tabletext"/>
            </w:pPr>
            <w:r w:rsidRPr="005071A1">
              <w:t>0.60</w:t>
            </w:r>
          </w:p>
        </w:tc>
        <w:tc>
          <w:tcPr>
            <w:tcW w:w="2281" w:type="dxa"/>
            <w:gridSpan w:val="2"/>
            <w:tcBorders>
              <w:bottom w:val="single" w:sz="4" w:space="0" w:color="auto"/>
            </w:tcBorders>
            <w:shd w:val="clear" w:color="auto" w:fill="auto"/>
          </w:tcPr>
          <w:p w14:paraId="494CCE4B" w14:textId="77777777" w:rsidR="00B33542" w:rsidRPr="005071A1" w:rsidRDefault="00B33542" w:rsidP="009B7AF5">
            <w:pPr>
              <w:pStyle w:val="Tabletext"/>
            </w:pPr>
            <w:r w:rsidRPr="005071A1">
              <w:t>0.27</w:t>
            </w:r>
          </w:p>
        </w:tc>
        <w:tc>
          <w:tcPr>
            <w:tcW w:w="2072" w:type="dxa"/>
            <w:tcBorders>
              <w:bottom w:val="single" w:sz="4" w:space="0" w:color="auto"/>
            </w:tcBorders>
            <w:shd w:val="clear" w:color="auto" w:fill="auto"/>
          </w:tcPr>
          <w:p w14:paraId="2293006B" w14:textId="77777777" w:rsidR="00B33542" w:rsidRPr="005071A1" w:rsidRDefault="00B33542" w:rsidP="009B7AF5">
            <w:pPr>
              <w:pStyle w:val="Tabletext"/>
            </w:pPr>
            <w:r w:rsidRPr="005071A1">
              <w:t>0.54</w:t>
            </w:r>
          </w:p>
        </w:tc>
      </w:tr>
      <w:tr w:rsidR="00FB153D" w:rsidRPr="005071A1" w14:paraId="2F720773" w14:textId="77777777" w:rsidTr="00640BB6">
        <w:tc>
          <w:tcPr>
            <w:tcW w:w="1101" w:type="dxa"/>
            <w:tcBorders>
              <w:bottom w:val="single" w:sz="4" w:space="0" w:color="auto"/>
            </w:tcBorders>
            <w:shd w:val="clear" w:color="auto" w:fill="auto"/>
          </w:tcPr>
          <w:p w14:paraId="689AA8F0" w14:textId="77777777" w:rsidR="00FB153D" w:rsidRPr="005071A1" w:rsidRDefault="00FB153D" w:rsidP="009B7AF5">
            <w:pPr>
              <w:pStyle w:val="Tabletext"/>
            </w:pPr>
            <w:r w:rsidRPr="005071A1">
              <w:t>56</w:t>
            </w:r>
          </w:p>
        </w:tc>
        <w:tc>
          <w:tcPr>
            <w:tcW w:w="1842" w:type="dxa"/>
            <w:tcBorders>
              <w:bottom w:val="single" w:sz="4" w:space="0" w:color="auto"/>
            </w:tcBorders>
            <w:shd w:val="clear" w:color="auto" w:fill="auto"/>
          </w:tcPr>
          <w:p w14:paraId="104FE16C" w14:textId="77777777" w:rsidR="00FB153D" w:rsidRPr="005071A1" w:rsidRDefault="00FB153D" w:rsidP="009B7AF5">
            <w:pPr>
              <w:pStyle w:val="Tabletext"/>
            </w:pPr>
            <w:r w:rsidRPr="005071A1">
              <w:t>0.74</w:t>
            </w:r>
          </w:p>
        </w:tc>
        <w:tc>
          <w:tcPr>
            <w:tcW w:w="2281" w:type="dxa"/>
            <w:gridSpan w:val="2"/>
            <w:tcBorders>
              <w:bottom w:val="single" w:sz="4" w:space="0" w:color="auto"/>
            </w:tcBorders>
            <w:shd w:val="clear" w:color="auto" w:fill="auto"/>
          </w:tcPr>
          <w:p w14:paraId="6387A4BA" w14:textId="77777777" w:rsidR="00FB153D" w:rsidRPr="005071A1" w:rsidRDefault="00FB153D" w:rsidP="009B7AF5">
            <w:pPr>
              <w:pStyle w:val="Tabletext"/>
            </w:pPr>
            <w:r w:rsidRPr="005071A1">
              <w:t>0.34</w:t>
            </w:r>
          </w:p>
        </w:tc>
        <w:tc>
          <w:tcPr>
            <w:tcW w:w="2072" w:type="dxa"/>
            <w:tcBorders>
              <w:bottom w:val="single" w:sz="4" w:space="0" w:color="auto"/>
            </w:tcBorders>
            <w:shd w:val="clear" w:color="auto" w:fill="auto"/>
          </w:tcPr>
          <w:p w14:paraId="65C7721F" w14:textId="77777777" w:rsidR="00FB153D" w:rsidRPr="005071A1" w:rsidRDefault="00FB153D" w:rsidP="009B7AF5">
            <w:pPr>
              <w:pStyle w:val="Tabletext"/>
            </w:pPr>
            <w:r w:rsidRPr="005071A1">
              <w:t>0.68</w:t>
            </w:r>
          </w:p>
        </w:tc>
      </w:tr>
      <w:tr w:rsidR="00B33542" w:rsidRPr="005071A1" w14:paraId="0473B330" w14:textId="77777777" w:rsidTr="009B7AF5">
        <w:tc>
          <w:tcPr>
            <w:tcW w:w="1101" w:type="dxa"/>
            <w:shd w:val="clear" w:color="auto" w:fill="auto"/>
          </w:tcPr>
          <w:p w14:paraId="449487BD" w14:textId="77777777" w:rsidR="00B33542" w:rsidRPr="005071A1" w:rsidRDefault="00B33542" w:rsidP="009B7AF5">
            <w:pPr>
              <w:pStyle w:val="Tabletext"/>
            </w:pPr>
            <w:r w:rsidRPr="005071A1">
              <w:t>57</w:t>
            </w:r>
          </w:p>
        </w:tc>
        <w:tc>
          <w:tcPr>
            <w:tcW w:w="1842" w:type="dxa"/>
            <w:shd w:val="clear" w:color="auto" w:fill="auto"/>
          </w:tcPr>
          <w:p w14:paraId="11284A02" w14:textId="77777777" w:rsidR="00B33542" w:rsidRPr="005071A1" w:rsidRDefault="00B33542" w:rsidP="009B7AF5">
            <w:pPr>
              <w:pStyle w:val="Tabletext"/>
            </w:pPr>
            <w:r w:rsidRPr="005071A1">
              <w:t>0.96</w:t>
            </w:r>
          </w:p>
        </w:tc>
        <w:tc>
          <w:tcPr>
            <w:tcW w:w="2263" w:type="dxa"/>
            <w:shd w:val="clear" w:color="auto" w:fill="auto"/>
          </w:tcPr>
          <w:p w14:paraId="51ABFB3A" w14:textId="77777777" w:rsidR="00B33542" w:rsidRPr="005071A1" w:rsidRDefault="00B33542" w:rsidP="009B7AF5">
            <w:pPr>
              <w:pStyle w:val="Tabletext"/>
            </w:pPr>
            <w:r w:rsidRPr="005071A1">
              <w:t>0.44</w:t>
            </w:r>
          </w:p>
        </w:tc>
        <w:tc>
          <w:tcPr>
            <w:tcW w:w="2090" w:type="dxa"/>
            <w:gridSpan w:val="2"/>
            <w:shd w:val="clear" w:color="auto" w:fill="auto"/>
          </w:tcPr>
          <w:p w14:paraId="4DD1CB5E" w14:textId="77777777" w:rsidR="00B33542" w:rsidRPr="005071A1" w:rsidRDefault="00B33542" w:rsidP="009B7AF5">
            <w:pPr>
              <w:pStyle w:val="Tabletext"/>
            </w:pPr>
            <w:r w:rsidRPr="005071A1">
              <w:t>0.88</w:t>
            </w:r>
          </w:p>
        </w:tc>
      </w:tr>
      <w:tr w:rsidR="00B33542" w:rsidRPr="005071A1" w14:paraId="744B63FC" w14:textId="77777777" w:rsidTr="009B7AF5">
        <w:tc>
          <w:tcPr>
            <w:tcW w:w="1101" w:type="dxa"/>
            <w:shd w:val="clear" w:color="auto" w:fill="auto"/>
          </w:tcPr>
          <w:p w14:paraId="65ADEA56" w14:textId="77777777" w:rsidR="00B33542" w:rsidRPr="005071A1" w:rsidRDefault="00B33542" w:rsidP="009B7AF5">
            <w:pPr>
              <w:pStyle w:val="Tabletext"/>
            </w:pPr>
            <w:r w:rsidRPr="005071A1">
              <w:t>58</w:t>
            </w:r>
          </w:p>
        </w:tc>
        <w:tc>
          <w:tcPr>
            <w:tcW w:w="1842" w:type="dxa"/>
            <w:shd w:val="clear" w:color="auto" w:fill="auto"/>
          </w:tcPr>
          <w:p w14:paraId="5C03E465" w14:textId="77777777" w:rsidR="00B33542" w:rsidRPr="005071A1" w:rsidRDefault="00B33542" w:rsidP="009B7AF5">
            <w:pPr>
              <w:pStyle w:val="Tabletext"/>
            </w:pPr>
            <w:r w:rsidRPr="005071A1">
              <w:t>1.42</w:t>
            </w:r>
          </w:p>
        </w:tc>
        <w:tc>
          <w:tcPr>
            <w:tcW w:w="2263" w:type="dxa"/>
            <w:shd w:val="clear" w:color="auto" w:fill="auto"/>
          </w:tcPr>
          <w:p w14:paraId="1C5DD9E6" w14:textId="77777777" w:rsidR="00B33542" w:rsidRPr="005071A1" w:rsidRDefault="00B33542" w:rsidP="009B7AF5">
            <w:pPr>
              <w:pStyle w:val="Tabletext"/>
            </w:pPr>
            <w:r w:rsidRPr="005071A1">
              <w:t>0.66</w:t>
            </w:r>
          </w:p>
        </w:tc>
        <w:tc>
          <w:tcPr>
            <w:tcW w:w="2090" w:type="dxa"/>
            <w:gridSpan w:val="2"/>
            <w:shd w:val="clear" w:color="auto" w:fill="auto"/>
          </w:tcPr>
          <w:p w14:paraId="577D12E9" w14:textId="77777777" w:rsidR="00B33542" w:rsidRPr="005071A1" w:rsidRDefault="00B33542" w:rsidP="009B7AF5">
            <w:pPr>
              <w:pStyle w:val="Tabletext"/>
            </w:pPr>
            <w:r w:rsidRPr="005071A1">
              <w:t>1.32</w:t>
            </w:r>
          </w:p>
        </w:tc>
      </w:tr>
      <w:tr w:rsidR="00B33542" w:rsidRPr="005071A1" w14:paraId="56F00027" w14:textId="77777777" w:rsidTr="009B7AF5">
        <w:tc>
          <w:tcPr>
            <w:tcW w:w="1101" w:type="dxa"/>
            <w:tcBorders>
              <w:bottom w:val="single" w:sz="4" w:space="0" w:color="auto"/>
            </w:tcBorders>
            <w:shd w:val="clear" w:color="auto" w:fill="auto"/>
          </w:tcPr>
          <w:p w14:paraId="0B47B79B" w14:textId="77777777" w:rsidR="00B33542" w:rsidRPr="005071A1" w:rsidRDefault="00B33542" w:rsidP="009B7AF5">
            <w:pPr>
              <w:pStyle w:val="Tabletext"/>
            </w:pPr>
            <w:r w:rsidRPr="005071A1">
              <w:t>59</w:t>
            </w:r>
          </w:p>
        </w:tc>
        <w:tc>
          <w:tcPr>
            <w:tcW w:w="1842" w:type="dxa"/>
            <w:tcBorders>
              <w:bottom w:val="single" w:sz="4" w:space="0" w:color="auto"/>
            </w:tcBorders>
            <w:shd w:val="clear" w:color="auto" w:fill="auto"/>
          </w:tcPr>
          <w:p w14:paraId="595B6EED" w14:textId="77777777" w:rsidR="00B33542" w:rsidRPr="005071A1" w:rsidRDefault="00B33542" w:rsidP="009B7AF5">
            <w:pPr>
              <w:pStyle w:val="Tabletext"/>
            </w:pPr>
            <w:r w:rsidRPr="005071A1">
              <w:t>2.84</w:t>
            </w:r>
          </w:p>
        </w:tc>
        <w:tc>
          <w:tcPr>
            <w:tcW w:w="2263" w:type="dxa"/>
            <w:tcBorders>
              <w:bottom w:val="single" w:sz="4" w:space="0" w:color="auto"/>
            </w:tcBorders>
            <w:shd w:val="clear" w:color="auto" w:fill="auto"/>
          </w:tcPr>
          <w:p w14:paraId="23BB6E17" w14:textId="77777777" w:rsidR="00B33542" w:rsidRPr="005071A1" w:rsidRDefault="00B33542" w:rsidP="009B7AF5">
            <w:pPr>
              <w:pStyle w:val="Tabletext"/>
            </w:pPr>
            <w:r w:rsidRPr="005071A1">
              <w:t>1.34</w:t>
            </w:r>
          </w:p>
        </w:tc>
        <w:tc>
          <w:tcPr>
            <w:tcW w:w="2090" w:type="dxa"/>
            <w:gridSpan w:val="2"/>
            <w:tcBorders>
              <w:bottom w:val="single" w:sz="4" w:space="0" w:color="auto"/>
            </w:tcBorders>
            <w:shd w:val="clear" w:color="auto" w:fill="auto"/>
          </w:tcPr>
          <w:p w14:paraId="687B22B9" w14:textId="77777777" w:rsidR="00B33542" w:rsidRPr="005071A1" w:rsidRDefault="00B33542" w:rsidP="009B7AF5">
            <w:pPr>
              <w:pStyle w:val="Tabletext"/>
            </w:pPr>
            <w:r w:rsidRPr="005071A1">
              <w:t>2.68</w:t>
            </w:r>
          </w:p>
        </w:tc>
      </w:tr>
      <w:tr w:rsidR="00B33542" w:rsidRPr="005071A1" w14:paraId="5393DE41" w14:textId="77777777" w:rsidTr="009B7AF5">
        <w:tc>
          <w:tcPr>
            <w:tcW w:w="1101" w:type="dxa"/>
            <w:tcBorders>
              <w:bottom w:val="single" w:sz="12" w:space="0" w:color="auto"/>
            </w:tcBorders>
            <w:shd w:val="clear" w:color="auto" w:fill="auto"/>
          </w:tcPr>
          <w:p w14:paraId="5042B60D" w14:textId="77777777" w:rsidR="00B33542" w:rsidRPr="005071A1" w:rsidRDefault="00B33542" w:rsidP="009B7AF5">
            <w:pPr>
              <w:pStyle w:val="Tabletext"/>
            </w:pPr>
            <w:r w:rsidRPr="005071A1">
              <w:t>60</w:t>
            </w:r>
          </w:p>
        </w:tc>
        <w:tc>
          <w:tcPr>
            <w:tcW w:w="1842" w:type="dxa"/>
            <w:tcBorders>
              <w:bottom w:val="single" w:sz="12" w:space="0" w:color="auto"/>
            </w:tcBorders>
            <w:shd w:val="clear" w:color="auto" w:fill="auto"/>
          </w:tcPr>
          <w:p w14:paraId="2A4F016B" w14:textId="77777777" w:rsidR="00B33542" w:rsidRPr="005071A1" w:rsidRDefault="00B33542" w:rsidP="009B7AF5">
            <w:pPr>
              <w:pStyle w:val="Tabletext"/>
            </w:pPr>
            <w:r w:rsidRPr="005071A1">
              <w:t>2.44</w:t>
            </w:r>
          </w:p>
        </w:tc>
        <w:tc>
          <w:tcPr>
            <w:tcW w:w="2263" w:type="dxa"/>
            <w:tcBorders>
              <w:bottom w:val="single" w:sz="12" w:space="0" w:color="auto"/>
            </w:tcBorders>
            <w:shd w:val="clear" w:color="auto" w:fill="auto"/>
          </w:tcPr>
          <w:p w14:paraId="33F6208A" w14:textId="77777777" w:rsidR="00B33542" w:rsidRPr="005071A1" w:rsidRDefault="00B33542" w:rsidP="009B7AF5">
            <w:pPr>
              <w:pStyle w:val="Tabletext"/>
            </w:pPr>
            <w:r w:rsidRPr="005071A1">
              <w:t>1.14</w:t>
            </w:r>
          </w:p>
        </w:tc>
        <w:tc>
          <w:tcPr>
            <w:tcW w:w="2090" w:type="dxa"/>
            <w:gridSpan w:val="2"/>
            <w:tcBorders>
              <w:bottom w:val="single" w:sz="12" w:space="0" w:color="auto"/>
            </w:tcBorders>
            <w:shd w:val="clear" w:color="auto" w:fill="auto"/>
          </w:tcPr>
          <w:p w14:paraId="044B3098" w14:textId="77777777" w:rsidR="00B33542" w:rsidRPr="005071A1" w:rsidRDefault="00B33542" w:rsidP="009B7AF5">
            <w:pPr>
              <w:pStyle w:val="Tabletext"/>
            </w:pPr>
            <w:r w:rsidRPr="005071A1">
              <w:t>2.28</w:t>
            </w:r>
          </w:p>
        </w:tc>
      </w:tr>
    </w:tbl>
    <w:p w14:paraId="6AC255CD" w14:textId="77777777" w:rsidR="00B33542" w:rsidRPr="005071A1" w:rsidRDefault="00B33542" w:rsidP="00674A0D">
      <w:pPr>
        <w:pStyle w:val="ActHead5"/>
        <w:pageBreakBefore/>
      </w:pPr>
      <w:bookmarkStart w:id="321" w:name="_Toc185577703"/>
      <w:r w:rsidRPr="005071A1">
        <w:t>Table XI</w:t>
      </w:r>
      <w:bookmarkEnd w:id="321"/>
    </w:p>
    <w:p w14:paraId="3C6292C8" w14:textId="77777777" w:rsidR="00B33542" w:rsidRPr="005071A1" w:rsidRDefault="00B33542" w:rsidP="00B33542">
      <w:pPr>
        <w:spacing w:before="120"/>
      </w:pPr>
      <w:r w:rsidRPr="005071A1">
        <w:t>Reductions in fortnightly rates of contribution payable on or after 1st July, 1962, by male contributors (being contributors who have elected that section</w:t>
      </w:r>
      <w:r w:rsidR="008B2950" w:rsidRPr="005071A1">
        <w:t> </w:t>
      </w:r>
      <w:r w:rsidRPr="005071A1">
        <w:t>26 shall not apply to them) for units of pension based on a retiring age of 60 years and the age next birthday of the contributor when the obligation to contribute for those units came into existence</w:t>
      </w:r>
    </w:p>
    <w:p w14:paraId="2CA5DF6B"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1"/>
        <w:gridCol w:w="1417"/>
        <w:gridCol w:w="2693"/>
        <w:gridCol w:w="1985"/>
      </w:tblGrid>
      <w:tr w:rsidR="00B33542" w:rsidRPr="005071A1" w14:paraId="25BC8C15" w14:textId="77777777" w:rsidTr="009B7AF5">
        <w:trPr>
          <w:tblHeader/>
        </w:trPr>
        <w:tc>
          <w:tcPr>
            <w:tcW w:w="1101" w:type="dxa"/>
            <w:tcBorders>
              <w:top w:val="single" w:sz="12" w:space="0" w:color="auto"/>
              <w:bottom w:val="single" w:sz="6" w:space="0" w:color="auto"/>
            </w:tcBorders>
            <w:shd w:val="clear" w:color="auto" w:fill="auto"/>
          </w:tcPr>
          <w:p w14:paraId="7278E0C3" w14:textId="77777777" w:rsidR="00B33542" w:rsidRPr="005071A1" w:rsidRDefault="00B33542" w:rsidP="009B7AF5">
            <w:pPr>
              <w:pStyle w:val="TableHeading"/>
            </w:pPr>
            <w:r w:rsidRPr="005071A1">
              <w:t>Column 1</w:t>
            </w:r>
          </w:p>
        </w:tc>
        <w:tc>
          <w:tcPr>
            <w:tcW w:w="1417" w:type="dxa"/>
            <w:tcBorders>
              <w:top w:val="single" w:sz="12" w:space="0" w:color="auto"/>
              <w:bottom w:val="single" w:sz="6" w:space="0" w:color="auto"/>
            </w:tcBorders>
            <w:shd w:val="clear" w:color="auto" w:fill="auto"/>
          </w:tcPr>
          <w:p w14:paraId="22539154" w14:textId="77777777" w:rsidR="00B33542" w:rsidRPr="005071A1" w:rsidRDefault="00B33542" w:rsidP="009B7AF5">
            <w:pPr>
              <w:pStyle w:val="TableHeading"/>
            </w:pPr>
            <w:r w:rsidRPr="005071A1">
              <w:t>Column 2</w:t>
            </w:r>
          </w:p>
        </w:tc>
        <w:tc>
          <w:tcPr>
            <w:tcW w:w="2693" w:type="dxa"/>
            <w:tcBorders>
              <w:top w:val="single" w:sz="12" w:space="0" w:color="auto"/>
              <w:bottom w:val="single" w:sz="6" w:space="0" w:color="auto"/>
            </w:tcBorders>
            <w:shd w:val="clear" w:color="auto" w:fill="auto"/>
          </w:tcPr>
          <w:p w14:paraId="7AFAF9FC" w14:textId="77777777" w:rsidR="00B33542" w:rsidRPr="005071A1" w:rsidRDefault="00B33542" w:rsidP="009B7AF5">
            <w:pPr>
              <w:pStyle w:val="TableHeading"/>
            </w:pPr>
            <w:r w:rsidRPr="005071A1">
              <w:t>Column 3</w:t>
            </w:r>
          </w:p>
        </w:tc>
        <w:tc>
          <w:tcPr>
            <w:tcW w:w="1985" w:type="dxa"/>
            <w:tcBorders>
              <w:top w:val="single" w:sz="12" w:space="0" w:color="auto"/>
              <w:bottom w:val="single" w:sz="6" w:space="0" w:color="auto"/>
            </w:tcBorders>
            <w:shd w:val="clear" w:color="auto" w:fill="auto"/>
          </w:tcPr>
          <w:p w14:paraId="09553AC7" w14:textId="77777777" w:rsidR="00B33542" w:rsidRPr="005071A1" w:rsidRDefault="00B33542" w:rsidP="009B7AF5">
            <w:pPr>
              <w:pStyle w:val="TableHeading"/>
            </w:pPr>
            <w:r w:rsidRPr="005071A1">
              <w:t>Column 4</w:t>
            </w:r>
          </w:p>
        </w:tc>
      </w:tr>
      <w:tr w:rsidR="00B33542" w:rsidRPr="005071A1" w14:paraId="0F9566DC" w14:textId="77777777" w:rsidTr="009B7AF5">
        <w:trPr>
          <w:tblHeader/>
        </w:trPr>
        <w:tc>
          <w:tcPr>
            <w:tcW w:w="1101" w:type="dxa"/>
            <w:tcBorders>
              <w:top w:val="single" w:sz="6" w:space="0" w:color="auto"/>
              <w:bottom w:val="single" w:sz="6" w:space="0" w:color="auto"/>
            </w:tcBorders>
            <w:shd w:val="clear" w:color="auto" w:fill="auto"/>
          </w:tcPr>
          <w:p w14:paraId="4D56C66A" w14:textId="77777777" w:rsidR="00B33542" w:rsidRPr="005071A1" w:rsidRDefault="00B33542" w:rsidP="004B224B">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Age next Birthday</w:t>
            </w:r>
          </w:p>
        </w:tc>
        <w:tc>
          <w:tcPr>
            <w:tcW w:w="1417" w:type="dxa"/>
            <w:tcBorders>
              <w:top w:val="single" w:sz="6" w:space="0" w:color="auto"/>
              <w:bottom w:val="single" w:sz="6" w:space="0" w:color="auto"/>
            </w:tcBorders>
            <w:shd w:val="clear" w:color="auto" w:fill="auto"/>
          </w:tcPr>
          <w:p w14:paraId="1506A09C" w14:textId="77777777" w:rsidR="00B33542" w:rsidRPr="005071A1" w:rsidRDefault="00B33542" w:rsidP="004B224B">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First Two Units where the Obligation to Contribute for those Units came into existence after 2nd November, 1942, and before 14th December, 1959</w:t>
            </w:r>
          </w:p>
        </w:tc>
        <w:tc>
          <w:tcPr>
            <w:tcW w:w="2693" w:type="dxa"/>
            <w:tcBorders>
              <w:top w:val="single" w:sz="6" w:space="0" w:color="auto"/>
              <w:bottom w:val="single" w:sz="6" w:space="0" w:color="auto"/>
            </w:tcBorders>
            <w:shd w:val="clear" w:color="auto" w:fill="auto"/>
          </w:tcPr>
          <w:p w14:paraId="3A4C3AD1" w14:textId="77777777" w:rsidR="00B33542" w:rsidRPr="005071A1" w:rsidRDefault="00B33542" w:rsidP="004B224B">
            <w:pPr>
              <w:pStyle w:val="TableHeading"/>
              <w:spacing w:before="40" w:after="40" w:line="180" w:lineRule="atLeast"/>
              <w:rPr>
                <w:sz w:val="16"/>
                <w:szCs w:val="16"/>
              </w:rPr>
            </w:pPr>
            <w:r w:rsidRPr="005071A1">
              <w:rPr>
                <w:sz w:val="16"/>
                <w:szCs w:val="16"/>
              </w:rPr>
              <w:t>Reduction in Contribution for—</w:t>
            </w:r>
          </w:p>
          <w:p w14:paraId="19793BF8" w14:textId="77777777" w:rsidR="00B33542" w:rsidRPr="005071A1" w:rsidRDefault="009B7AF5" w:rsidP="004B224B">
            <w:pPr>
              <w:pStyle w:val="TableHeading"/>
              <w:spacing w:before="40" w:after="40" w:line="180" w:lineRule="atLeast"/>
              <w:rPr>
                <w:sz w:val="16"/>
                <w:szCs w:val="16"/>
              </w:rPr>
            </w:pPr>
            <w:r w:rsidRPr="005071A1">
              <w:rPr>
                <w:sz w:val="16"/>
                <w:szCs w:val="16"/>
              </w:rPr>
              <w:t>(</w:t>
            </w:r>
            <w:r w:rsidR="00B33542" w:rsidRPr="005071A1">
              <w:rPr>
                <w:sz w:val="16"/>
                <w:szCs w:val="16"/>
              </w:rPr>
              <w:t>a</w:t>
            </w:r>
            <w:r w:rsidRPr="005071A1">
              <w:rPr>
                <w:sz w:val="16"/>
                <w:szCs w:val="16"/>
              </w:rPr>
              <w:t xml:space="preserve">) </w:t>
            </w:r>
            <w:r w:rsidR="00B33542" w:rsidRPr="005071A1">
              <w:rPr>
                <w:sz w:val="16"/>
                <w:szCs w:val="16"/>
              </w:rPr>
              <w:t>Additional Unit where Contributor did not become liable to Contribute for other Additional Units at the same time and the Obligation to Contribute for that Additional Unit came into existence after 2nd November, 1942, and before 1st November, 1951;</w:t>
            </w:r>
          </w:p>
          <w:p w14:paraId="5AFE5CFA" w14:textId="77777777" w:rsidR="00B33542" w:rsidRPr="005071A1" w:rsidRDefault="009B7AF5" w:rsidP="004B224B">
            <w:pPr>
              <w:pStyle w:val="TableHeading"/>
              <w:spacing w:before="40" w:after="40" w:line="180" w:lineRule="atLeast"/>
              <w:rPr>
                <w:sz w:val="16"/>
                <w:szCs w:val="16"/>
              </w:rPr>
            </w:pPr>
            <w:r w:rsidRPr="005071A1">
              <w:rPr>
                <w:sz w:val="16"/>
                <w:szCs w:val="16"/>
              </w:rPr>
              <w:t>(</w:t>
            </w:r>
            <w:r w:rsidR="00B33542" w:rsidRPr="005071A1">
              <w:rPr>
                <w:sz w:val="16"/>
                <w:szCs w:val="16"/>
              </w:rPr>
              <w:t>b</w:t>
            </w:r>
            <w:r w:rsidRPr="005071A1">
              <w:rPr>
                <w:sz w:val="16"/>
                <w:szCs w:val="16"/>
              </w:rPr>
              <w:t xml:space="preserve">) </w:t>
            </w:r>
            <w:r w:rsidR="00B33542" w:rsidRPr="005071A1">
              <w:rPr>
                <w:sz w:val="16"/>
                <w:szCs w:val="16"/>
              </w:rPr>
              <w:t>One of a number of Additional Units for which Contributor became liable to Contribute at the same time, being a number that is not two or a multiple of two, where the Obligation to Contribute for those Additional Units came into existence after 2nd November, 1942, and before 1st November, 1951; and</w:t>
            </w:r>
          </w:p>
          <w:p w14:paraId="6B41D263" w14:textId="77777777" w:rsidR="00B33542" w:rsidRPr="005071A1" w:rsidRDefault="009B7AF5" w:rsidP="004B224B">
            <w:pPr>
              <w:pStyle w:val="TableHeading"/>
              <w:spacing w:before="40" w:after="40" w:line="180" w:lineRule="atLeast"/>
              <w:rPr>
                <w:sz w:val="16"/>
                <w:szCs w:val="16"/>
              </w:rPr>
            </w:pPr>
            <w:r w:rsidRPr="005071A1">
              <w:rPr>
                <w:sz w:val="16"/>
                <w:szCs w:val="16"/>
              </w:rPr>
              <w:t>(</w:t>
            </w:r>
            <w:r w:rsidR="00B33542" w:rsidRPr="005071A1">
              <w:rPr>
                <w:sz w:val="16"/>
                <w:szCs w:val="16"/>
              </w:rPr>
              <w:t>c</w:t>
            </w:r>
            <w:r w:rsidRPr="005071A1">
              <w:rPr>
                <w:sz w:val="16"/>
                <w:szCs w:val="16"/>
              </w:rPr>
              <w:t xml:space="preserve">) </w:t>
            </w:r>
            <w:r w:rsidR="00B33542" w:rsidRPr="005071A1">
              <w:rPr>
                <w:sz w:val="16"/>
                <w:szCs w:val="16"/>
              </w:rPr>
              <w:t>Each Additional Unit where the Obligation to Contribute for that Additional Unit came into existence on or after 1st November, 1951, and before 14th December, 1959</w:t>
            </w:r>
          </w:p>
        </w:tc>
        <w:tc>
          <w:tcPr>
            <w:tcW w:w="1985" w:type="dxa"/>
            <w:tcBorders>
              <w:top w:val="single" w:sz="6" w:space="0" w:color="auto"/>
              <w:bottom w:val="single" w:sz="6" w:space="0" w:color="auto"/>
            </w:tcBorders>
            <w:shd w:val="clear" w:color="auto" w:fill="auto"/>
          </w:tcPr>
          <w:p w14:paraId="57310B90" w14:textId="77777777" w:rsidR="00B33542" w:rsidRPr="005071A1" w:rsidRDefault="00B33542" w:rsidP="004B224B">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r>
            <w:r w:rsidRPr="005071A1">
              <w:rPr>
                <w:sz w:val="16"/>
                <w:szCs w:val="16"/>
              </w:rPr>
              <w:br/>
              <w:t>Reduction in Contribution for each Additional Two Units included in a number of Additional Units for which Contributor became liable to Contribute at the same time, excluding any Unit to which Column 3 of this Table applies, where the Obligation to Contribute for those Additional Units came into existence after 2nd November, 1942, and before 1st November, 1951</w:t>
            </w:r>
          </w:p>
        </w:tc>
      </w:tr>
      <w:tr w:rsidR="00B33542" w:rsidRPr="005071A1" w14:paraId="4B151BDC" w14:textId="77777777" w:rsidTr="009B7AF5">
        <w:trPr>
          <w:tblHeader/>
        </w:trPr>
        <w:tc>
          <w:tcPr>
            <w:tcW w:w="1101" w:type="dxa"/>
            <w:tcBorders>
              <w:top w:val="single" w:sz="6" w:space="0" w:color="auto"/>
              <w:bottom w:val="single" w:sz="12" w:space="0" w:color="auto"/>
            </w:tcBorders>
            <w:shd w:val="clear" w:color="auto" w:fill="auto"/>
          </w:tcPr>
          <w:p w14:paraId="7197CDB3" w14:textId="77777777" w:rsidR="00B33542" w:rsidRPr="005071A1" w:rsidRDefault="00B33542" w:rsidP="004B224B">
            <w:pPr>
              <w:pStyle w:val="TableHeading"/>
            </w:pPr>
          </w:p>
        </w:tc>
        <w:tc>
          <w:tcPr>
            <w:tcW w:w="1417" w:type="dxa"/>
            <w:tcBorders>
              <w:top w:val="single" w:sz="6" w:space="0" w:color="auto"/>
              <w:bottom w:val="single" w:sz="12" w:space="0" w:color="auto"/>
            </w:tcBorders>
            <w:shd w:val="clear" w:color="auto" w:fill="auto"/>
          </w:tcPr>
          <w:p w14:paraId="67BB4CAD" w14:textId="77777777" w:rsidR="00B33542" w:rsidRPr="005071A1" w:rsidRDefault="00B33542" w:rsidP="004B224B">
            <w:pPr>
              <w:pStyle w:val="TableHeading"/>
            </w:pPr>
            <w:r w:rsidRPr="005071A1">
              <w:t>$</w:t>
            </w:r>
          </w:p>
        </w:tc>
        <w:tc>
          <w:tcPr>
            <w:tcW w:w="2693" w:type="dxa"/>
            <w:tcBorders>
              <w:top w:val="single" w:sz="6" w:space="0" w:color="auto"/>
              <w:bottom w:val="single" w:sz="12" w:space="0" w:color="auto"/>
            </w:tcBorders>
            <w:shd w:val="clear" w:color="auto" w:fill="auto"/>
          </w:tcPr>
          <w:p w14:paraId="17798468" w14:textId="77777777" w:rsidR="00B33542" w:rsidRPr="005071A1" w:rsidRDefault="00B33542" w:rsidP="004B224B">
            <w:pPr>
              <w:pStyle w:val="TableHeading"/>
            </w:pPr>
            <w:r w:rsidRPr="005071A1">
              <w:t>$</w:t>
            </w:r>
          </w:p>
        </w:tc>
        <w:tc>
          <w:tcPr>
            <w:tcW w:w="1985" w:type="dxa"/>
            <w:tcBorders>
              <w:top w:val="single" w:sz="6" w:space="0" w:color="auto"/>
              <w:bottom w:val="single" w:sz="12" w:space="0" w:color="auto"/>
            </w:tcBorders>
            <w:shd w:val="clear" w:color="auto" w:fill="auto"/>
          </w:tcPr>
          <w:p w14:paraId="2BD9516A" w14:textId="77777777" w:rsidR="00B33542" w:rsidRPr="005071A1" w:rsidRDefault="00B33542" w:rsidP="004B224B">
            <w:pPr>
              <w:pStyle w:val="TableHeading"/>
            </w:pPr>
            <w:r w:rsidRPr="005071A1">
              <w:t>$</w:t>
            </w:r>
          </w:p>
        </w:tc>
      </w:tr>
      <w:tr w:rsidR="00B33542" w:rsidRPr="005071A1" w14:paraId="35E78D3E" w14:textId="77777777" w:rsidTr="009B7AF5">
        <w:tc>
          <w:tcPr>
            <w:tcW w:w="1101" w:type="dxa"/>
            <w:tcBorders>
              <w:top w:val="single" w:sz="12" w:space="0" w:color="auto"/>
            </w:tcBorders>
            <w:shd w:val="clear" w:color="auto" w:fill="auto"/>
          </w:tcPr>
          <w:p w14:paraId="03DAA449" w14:textId="77777777" w:rsidR="00B33542" w:rsidRPr="005071A1" w:rsidRDefault="00B33542" w:rsidP="009B7AF5">
            <w:pPr>
              <w:pStyle w:val="Tabletext"/>
            </w:pPr>
            <w:r w:rsidRPr="005071A1">
              <w:t>15</w:t>
            </w:r>
          </w:p>
        </w:tc>
        <w:tc>
          <w:tcPr>
            <w:tcW w:w="1417" w:type="dxa"/>
            <w:tcBorders>
              <w:top w:val="single" w:sz="12" w:space="0" w:color="auto"/>
            </w:tcBorders>
            <w:shd w:val="clear" w:color="auto" w:fill="auto"/>
          </w:tcPr>
          <w:p w14:paraId="75DD446E" w14:textId="77777777" w:rsidR="00B33542" w:rsidRPr="005071A1" w:rsidRDefault="00B33542" w:rsidP="009B7AF5">
            <w:pPr>
              <w:pStyle w:val="Tabletext"/>
            </w:pPr>
            <w:r w:rsidRPr="005071A1">
              <w:t>0.10</w:t>
            </w:r>
          </w:p>
        </w:tc>
        <w:tc>
          <w:tcPr>
            <w:tcW w:w="2693" w:type="dxa"/>
            <w:tcBorders>
              <w:top w:val="single" w:sz="12" w:space="0" w:color="auto"/>
            </w:tcBorders>
            <w:shd w:val="clear" w:color="auto" w:fill="auto"/>
          </w:tcPr>
          <w:p w14:paraId="44972DD7" w14:textId="77777777" w:rsidR="00B33542" w:rsidRPr="005071A1" w:rsidRDefault="00B33542" w:rsidP="009B7AF5">
            <w:pPr>
              <w:pStyle w:val="Tabletext"/>
            </w:pPr>
            <w:r w:rsidRPr="005071A1">
              <w:t>0.05</w:t>
            </w:r>
          </w:p>
        </w:tc>
        <w:tc>
          <w:tcPr>
            <w:tcW w:w="1985" w:type="dxa"/>
            <w:tcBorders>
              <w:top w:val="single" w:sz="12" w:space="0" w:color="auto"/>
            </w:tcBorders>
            <w:shd w:val="clear" w:color="auto" w:fill="auto"/>
          </w:tcPr>
          <w:p w14:paraId="76C670F0" w14:textId="77777777" w:rsidR="00B33542" w:rsidRPr="005071A1" w:rsidRDefault="00B33542" w:rsidP="009B7AF5">
            <w:pPr>
              <w:pStyle w:val="Tabletext"/>
            </w:pPr>
            <w:r w:rsidRPr="005071A1">
              <w:t>0.10</w:t>
            </w:r>
          </w:p>
        </w:tc>
      </w:tr>
      <w:tr w:rsidR="00B33542" w:rsidRPr="005071A1" w14:paraId="678FD4F9" w14:textId="77777777" w:rsidTr="009B7AF5">
        <w:tc>
          <w:tcPr>
            <w:tcW w:w="1101" w:type="dxa"/>
            <w:shd w:val="clear" w:color="auto" w:fill="auto"/>
          </w:tcPr>
          <w:p w14:paraId="0F22464A" w14:textId="77777777" w:rsidR="00B33542" w:rsidRPr="005071A1" w:rsidRDefault="00B33542" w:rsidP="009B7AF5">
            <w:pPr>
              <w:pStyle w:val="Tabletext"/>
            </w:pPr>
            <w:r w:rsidRPr="005071A1">
              <w:t>16</w:t>
            </w:r>
          </w:p>
        </w:tc>
        <w:tc>
          <w:tcPr>
            <w:tcW w:w="1417" w:type="dxa"/>
            <w:shd w:val="clear" w:color="auto" w:fill="auto"/>
          </w:tcPr>
          <w:p w14:paraId="30EF324A" w14:textId="77777777" w:rsidR="00B33542" w:rsidRPr="005071A1" w:rsidRDefault="00B33542" w:rsidP="009B7AF5">
            <w:pPr>
              <w:pStyle w:val="Tabletext"/>
            </w:pPr>
            <w:r w:rsidRPr="005071A1">
              <w:t>0.08</w:t>
            </w:r>
          </w:p>
        </w:tc>
        <w:tc>
          <w:tcPr>
            <w:tcW w:w="2693" w:type="dxa"/>
            <w:shd w:val="clear" w:color="auto" w:fill="auto"/>
          </w:tcPr>
          <w:p w14:paraId="63691D91" w14:textId="77777777" w:rsidR="00B33542" w:rsidRPr="005071A1" w:rsidRDefault="00B33542" w:rsidP="009B7AF5">
            <w:pPr>
              <w:pStyle w:val="Tabletext"/>
            </w:pPr>
            <w:r w:rsidRPr="005071A1">
              <w:t>0.04</w:t>
            </w:r>
          </w:p>
        </w:tc>
        <w:tc>
          <w:tcPr>
            <w:tcW w:w="1985" w:type="dxa"/>
            <w:shd w:val="clear" w:color="auto" w:fill="auto"/>
          </w:tcPr>
          <w:p w14:paraId="52A037F7" w14:textId="77777777" w:rsidR="00B33542" w:rsidRPr="005071A1" w:rsidRDefault="00B33542" w:rsidP="009B7AF5">
            <w:pPr>
              <w:pStyle w:val="Tabletext"/>
            </w:pPr>
            <w:r w:rsidRPr="005071A1">
              <w:t>0.08</w:t>
            </w:r>
          </w:p>
        </w:tc>
      </w:tr>
      <w:tr w:rsidR="00B33542" w:rsidRPr="005071A1" w14:paraId="12A220BD" w14:textId="77777777" w:rsidTr="009B7AF5">
        <w:tc>
          <w:tcPr>
            <w:tcW w:w="1101" w:type="dxa"/>
            <w:shd w:val="clear" w:color="auto" w:fill="auto"/>
          </w:tcPr>
          <w:p w14:paraId="13EA30EC" w14:textId="77777777" w:rsidR="00B33542" w:rsidRPr="005071A1" w:rsidRDefault="00B33542" w:rsidP="009B7AF5">
            <w:pPr>
              <w:pStyle w:val="Tabletext"/>
            </w:pPr>
            <w:r w:rsidRPr="005071A1">
              <w:t>17</w:t>
            </w:r>
          </w:p>
        </w:tc>
        <w:tc>
          <w:tcPr>
            <w:tcW w:w="1417" w:type="dxa"/>
            <w:shd w:val="clear" w:color="auto" w:fill="auto"/>
          </w:tcPr>
          <w:p w14:paraId="1A6386C2" w14:textId="77777777" w:rsidR="00B33542" w:rsidRPr="005071A1" w:rsidRDefault="00B33542" w:rsidP="009B7AF5">
            <w:pPr>
              <w:pStyle w:val="Tabletext"/>
            </w:pPr>
            <w:r w:rsidRPr="005071A1">
              <w:t>0.10</w:t>
            </w:r>
          </w:p>
        </w:tc>
        <w:tc>
          <w:tcPr>
            <w:tcW w:w="2693" w:type="dxa"/>
            <w:shd w:val="clear" w:color="auto" w:fill="auto"/>
          </w:tcPr>
          <w:p w14:paraId="77357CB7" w14:textId="77777777" w:rsidR="00B33542" w:rsidRPr="005071A1" w:rsidRDefault="00B33542" w:rsidP="009B7AF5">
            <w:pPr>
              <w:pStyle w:val="Tabletext"/>
            </w:pPr>
            <w:r w:rsidRPr="005071A1">
              <w:t>0.04</w:t>
            </w:r>
          </w:p>
        </w:tc>
        <w:tc>
          <w:tcPr>
            <w:tcW w:w="1985" w:type="dxa"/>
            <w:shd w:val="clear" w:color="auto" w:fill="auto"/>
          </w:tcPr>
          <w:p w14:paraId="59FE7A2E" w14:textId="77777777" w:rsidR="00B33542" w:rsidRPr="005071A1" w:rsidRDefault="00B33542" w:rsidP="009B7AF5">
            <w:pPr>
              <w:pStyle w:val="Tabletext"/>
            </w:pPr>
            <w:r w:rsidRPr="005071A1">
              <w:t>0.08</w:t>
            </w:r>
          </w:p>
        </w:tc>
      </w:tr>
      <w:tr w:rsidR="00B33542" w:rsidRPr="005071A1" w14:paraId="32F1B139" w14:textId="77777777" w:rsidTr="00D57394">
        <w:tc>
          <w:tcPr>
            <w:tcW w:w="1101" w:type="dxa"/>
            <w:tcBorders>
              <w:bottom w:val="single" w:sz="4" w:space="0" w:color="auto"/>
            </w:tcBorders>
            <w:shd w:val="clear" w:color="auto" w:fill="auto"/>
          </w:tcPr>
          <w:p w14:paraId="70CEA6F5" w14:textId="77777777" w:rsidR="00B33542" w:rsidRPr="005071A1" w:rsidRDefault="00B33542" w:rsidP="009B7AF5">
            <w:pPr>
              <w:pStyle w:val="Tabletext"/>
            </w:pPr>
            <w:r w:rsidRPr="005071A1">
              <w:t>18</w:t>
            </w:r>
          </w:p>
        </w:tc>
        <w:tc>
          <w:tcPr>
            <w:tcW w:w="1417" w:type="dxa"/>
            <w:tcBorders>
              <w:bottom w:val="single" w:sz="4" w:space="0" w:color="auto"/>
            </w:tcBorders>
            <w:shd w:val="clear" w:color="auto" w:fill="auto"/>
          </w:tcPr>
          <w:p w14:paraId="42E7FCF7" w14:textId="77777777" w:rsidR="00B33542" w:rsidRPr="005071A1" w:rsidRDefault="00B33542" w:rsidP="009B7AF5">
            <w:pPr>
              <w:pStyle w:val="Tabletext"/>
            </w:pPr>
            <w:r w:rsidRPr="005071A1">
              <w:t>0.10</w:t>
            </w:r>
          </w:p>
        </w:tc>
        <w:tc>
          <w:tcPr>
            <w:tcW w:w="2693" w:type="dxa"/>
            <w:tcBorders>
              <w:bottom w:val="single" w:sz="4" w:space="0" w:color="auto"/>
            </w:tcBorders>
            <w:shd w:val="clear" w:color="auto" w:fill="auto"/>
          </w:tcPr>
          <w:p w14:paraId="58E0623A" w14:textId="77777777" w:rsidR="00B33542" w:rsidRPr="005071A1" w:rsidRDefault="00B33542" w:rsidP="009B7AF5">
            <w:pPr>
              <w:pStyle w:val="Tabletext"/>
            </w:pPr>
            <w:r w:rsidRPr="005071A1">
              <w:t>0.04</w:t>
            </w:r>
          </w:p>
        </w:tc>
        <w:tc>
          <w:tcPr>
            <w:tcW w:w="1985" w:type="dxa"/>
            <w:tcBorders>
              <w:bottom w:val="single" w:sz="4" w:space="0" w:color="auto"/>
            </w:tcBorders>
            <w:shd w:val="clear" w:color="auto" w:fill="auto"/>
          </w:tcPr>
          <w:p w14:paraId="33252463" w14:textId="77777777" w:rsidR="00B33542" w:rsidRPr="005071A1" w:rsidRDefault="00B33542" w:rsidP="009B7AF5">
            <w:pPr>
              <w:pStyle w:val="Tabletext"/>
            </w:pPr>
            <w:r w:rsidRPr="005071A1">
              <w:t>0.08</w:t>
            </w:r>
          </w:p>
        </w:tc>
      </w:tr>
      <w:tr w:rsidR="00B33542" w:rsidRPr="005071A1" w14:paraId="42331BCF" w14:textId="77777777" w:rsidTr="00D57394">
        <w:tc>
          <w:tcPr>
            <w:tcW w:w="1101" w:type="dxa"/>
            <w:tcBorders>
              <w:bottom w:val="single" w:sz="4" w:space="0" w:color="auto"/>
            </w:tcBorders>
            <w:shd w:val="clear" w:color="auto" w:fill="auto"/>
          </w:tcPr>
          <w:p w14:paraId="7D28A794" w14:textId="77777777" w:rsidR="00B33542" w:rsidRPr="005071A1" w:rsidRDefault="00B33542" w:rsidP="009B7AF5">
            <w:pPr>
              <w:pStyle w:val="Tabletext"/>
            </w:pPr>
            <w:r w:rsidRPr="005071A1">
              <w:t>19</w:t>
            </w:r>
          </w:p>
        </w:tc>
        <w:tc>
          <w:tcPr>
            <w:tcW w:w="1417" w:type="dxa"/>
            <w:tcBorders>
              <w:bottom w:val="single" w:sz="4" w:space="0" w:color="auto"/>
            </w:tcBorders>
            <w:shd w:val="clear" w:color="auto" w:fill="auto"/>
          </w:tcPr>
          <w:p w14:paraId="1BB1CABC" w14:textId="77777777" w:rsidR="00B33542" w:rsidRPr="005071A1" w:rsidRDefault="00B33542" w:rsidP="009B7AF5">
            <w:pPr>
              <w:pStyle w:val="Tabletext"/>
            </w:pPr>
            <w:r w:rsidRPr="005071A1">
              <w:t>0.10</w:t>
            </w:r>
          </w:p>
        </w:tc>
        <w:tc>
          <w:tcPr>
            <w:tcW w:w="2693" w:type="dxa"/>
            <w:tcBorders>
              <w:bottom w:val="single" w:sz="4" w:space="0" w:color="auto"/>
            </w:tcBorders>
            <w:shd w:val="clear" w:color="auto" w:fill="auto"/>
          </w:tcPr>
          <w:p w14:paraId="0EBB4C6A" w14:textId="77777777" w:rsidR="00B33542" w:rsidRPr="005071A1" w:rsidRDefault="00B33542" w:rsidP="009B7AF5">
            <w:pPr>
              <w:pStyle w:val="Tabletext"/>
            </w:pPr>
            <w:r w:rsidRPr="005071A1">
              <w:t>0.04</w:t>
            </w:r>
          </w:p>
        </w:tc>
        <w:tc>
          <w:tcPr>
            <w:tcW w:w="1985" w:type="dxa"/>
            <w:tcBorders>
              <w:bottom w:val="single" w:sz="4" w:space="0" w:color="auto"/>
            </w:tcBorders>
            <w:shd w:val="clear" w:color="auto" w:fill="auto"/>
          </w:tcPr>
          <w:p w14:paraId="426F483D" w14:textId="77777777" w:rsidR="00B33542" w:rsidRPr="005071A1" w:rsidRDefault="00B33542" w:rsidP="009B7AF5">
            <w:pPr>
              <w:pStyle w:val="Tabletext"/>
            </w:pPr>
            <w:r w:rsidRPr="005071A1">
              <w:t>0.08</w:t>
            </w:r>
          </w:p>
        </w:tc>
      </w:tr>
      <w:tr w:rsidR="00B33542" w:rsidRPr="005071A1" w14:paraId="144A97BB" w14:textId="77777777" w:rsidTr="00640BB6">
        <w:tc>
          <w:tcPr>
            <w:tcW w:w="1101" w:type="dxa"/>
            <w:tcBorders>
              <w:top w:val="single" w:sz="4" w:space="0" w:color="auto"/>
              <w:bottom w:val="single" w:sz="4" w:space="0" w:color="auto"/>
            </w:tcBorders>
            <w:shd w:val="clear" w:color="auto" w:fill="auto"/>
          </w:tcPr>
          <w:p w14:paraId="3DBEB143" w14:textId="77777777" w:rsidR="00B33542" w:rsidRPr="005071A1" w:rsidRDefault="00B33542" w:rsidP="009B7AF5">
            <w:pPr>
              <w:pStyle w:val="Tabletext"/>
            </w:pPr>
            <w:r w:rsidRPr="005071A1">
              <w:t>20</w:t>
            </w:r>
          </w:p>
        </w:tc>
        <w:tc>
          <w:tcPr>
            <w:tcW w:w="1417" w:type="dxa"/>
            <w:tcBorders>
              <w:top w:val="single" w:sz="4" w:space="0" w:color="auto"/>
              <w:bottom w:val="single" w:sz="4" w:space="0" w:color="auto"/>
            </w:tcBorders>
            <w:shd w:val="clear" w:color="auto" w:fill="auto"/>
          </w:tcPr>
          <w:p w14:paraId="57A321BE" w14:textId="77777777" w:rsidR="00B33542" w:rsidRPr="005071A1" w:rsidRDefault="00B33542" w:rsidP="009B7AF5">
            <w:pPr>
              <w:pStyle w:val="Tabletext"/>
            </w:pPr>
            <w:r w:rsidRPr="005071A1">
              <w:t>0.10</w:t>
            </w:r>
          </w:p>
        </w:tc>
        <w:tc>
          <w:tcPr>
            <w:tcW w:w="2693" w:type="dxa"/>
            <w:tcBorders>
              <w:top w:val="single" w:sz="4" w:space="0" w:color="auto"/>
              <w:bottom w:val="single" w:sz="4" w:space="0" w:color="auto"/>
            </w:tcBorders>
            <w:shd w:val="clear" w:color="auto" w:fill="auto"/>
          </w:tcPr>
          <w:p w14:paraId="28525E07" w14:textId="77777777" w:rsidR="00B33542" w:rsidRPr="005071A1" w:rsidRDefault="00B33542" w:rsidP="009B7AF5">
            <w:pPr>
              <w:pStyle w:val="Tabletext"/>
            </w:pPr>
            <w:r w:rsidRPr="005071A1">
              <w:t>0.04</w:t>
            </w:r>
          </w:p>
        </w:tc>
        <w:tc>
          <w:tcPr>
            <w:tcW w:w="1985" w:type="dxa"/>
            <w:tcBorders>
              <w:top w:val="single" w:sz="4" w:space="0" w:color="auto"/>
              <w:bottom w:val="single" w:sz="4" w:space="0" w:color="auto"/>
            </w:tcBorders>
            <w:shd w:val="clear" w:color="auto" w:fill="auto"/>
          </w:tcPr>
          <w:p w14:paraId="7AEDEA83" w14:textId="77777777" w:rsidR="00B33542" w:rsidRPr="005071A1" w:rsidRDefault="00B33542" w:rsidP="009B7AF5">
            <w:pPr>
              <w:pStyle w:val="Tabletext"/>
            </w:pPr>
            <w:r w:rsidRPr="005071A1">
              <w:t>0.08</w:t>
            </w:r>
          </w:p>
        </w:tc>
      </w:tr>
      <w:tr w:rsidR="00B33542" w:rsidRPr="005071A1" w14:paraId="5AAA46BD" w14:textId="77777777" w:rsidTr="00640BB6">
        <w:tc>
          <w:tcPr>
            <w:tcW w:w="1101" w:type="dxa"/>
            <w:tcBorders>
              <w:bottom w:val="single" w:sz="4" w:space="0" w:color="auto"/>
            </w:tcBorders>
            <w:shd w:val="clear" w:color="auto" w:fill="auto"/>
          </w:tcPr>
          <w:p w14:paraId="0CABA965" w14:textId="77777777" w:rsidR="00B33542" w:rsidRPr="005071A1" w:rsidRDefault="00B33542" w:rsidP="009B7AF5">
            <w:pPr>
              <w:pStyle w:val="Tabletext"/>
            </w:pPr>
            <w:r w:rsidRPr="005071A1">
              <w:t>21</w:t>
            </w:r>
          </w:p>
        </w:tc>
        <w:tc>
          <w:tcPr>
            <w:tcW w:w="1417" w:type="dxa"/>
            <w:tcBorders>
              <w:bottom w:val="single" w:sz="4" w:space="0" w:color="auto"/>
            </w:tcBorders>
            <w:shd w:val="clear" w:color="auto" w:fill="auto"/>
          </w:tcPr>
          <w:p w14:paraId="308E2D9B" w14:textId="77777777" w:rsidR="00B33542" w:rsidRPr="005071A1" w:rsidRDefault="00B33542" w:rsidP="009B7AF5">
            <w:pPr>
              <w:pStyle w:val="Tabletext"/>
            </w:pPr>
            <w:r w:rsidRPr="005071A1">
              <w:t>0.10</w:t>
            </w:r>
          </w:p>
        </w:tc>
        <w:tc>
          <w:tcPr>
            <w:tcW w:w="2693" w:type="dxa"/>
            <w:tcBorders>
              <w:bottom w:val="single" w:sz="4" w:space="0" w:color="auto"/>
            </w:tcBorders>
            <w:shd w:val="clear" w:color="auto" w:fill="auto"/>
          </w:tcPr>
          <w:p w14:paraId="597869B3" w14:textId="77777777" w:rsidR="00B33542" w:rsidRPr="005071A1" w:rsidRDefault="00B33542" w:rsidP="009B7AF5">
            <w:pPr>
              <w:pStyle w:val="Tabletext"/>
            </w:pPr>
            <w:r w:rsidRPr="005071A1">
              <w:t>0.04</w:t>
            </w:r>
          </w:p>
        </w:tc>
        <w:tc>
          <w:tcPr>
            <w:tcW w:w="1985" w:type="dxa"/>
            <w:tcBorders>
              <w:bottom w:val="single" w:sz="4" w:space="0" w:color="auto"/>
            </w:tcBorders>
            <w:shd w:val="clear" w:color="auto" w:fill="auto"/>
          </w:tcPr>
          <w:p w14:paraId="7B7BE26C" w14:textId="77777777" w:rsidR="00B33542" w:rsidRPr="005071A1" w:rsidRDefault="00B33542" w:rsidP="009B7AF5">
            <w:pPr>
              <w:pStyle w:val="Tabletext"/>
            </w:pPr>
            <w:r w:rsidRPr="005071A1">
              <w:t>0.08</w:t>
            </w:r>
          </w:p>
        </w:tc>
      </w:tr>
      <w:tr w:rsidR="00B33542" w:rsidRPr="005071A1" w14:paraId="0D4FA06F" w14:textId="77777777" w:rsidTr="00640BB6">
        <w:tc>
          <w:tcPr>
            <w:tcW w:w="1101" w:type="dxa"/>
            <w:tcBorders>
              <w:top w:val="single" w:sz="4" w:space="0" w:color="auto"/>
            </w:tcBorders>
            <w:shd w:val="clear" w:color="auto" w:fill="auto"/>
          </w:tcPr>
          <w:p w14:paraId="5168A417" w14:textId="77777777" w:rsidR="00B33542" w:rsidRPr="005071A1" w:rsidRDefault="00B33542" w:rsidP="009B7AF5">
            <w:pPr>
              <w:pStyle w:val="Tabletext"/>
            </w:pPr>
            <w:r w:rsidRPr="005071A1">
              <w:t>22</w:t>
            </w:r>
          </w:p>
        </w:tc>
        <w:tc>
          <w:tcPr>
            <w:tcW w:w="1417" w:type="dxa"/>
            <w:tcBorders>
              <w:top w:val="single" w:sz="4" w:space="0" w:color="auto"/>
            </w:tcBorders>
            <w:shd w:val="clear" w:color="auto" w:fill="auto"/>
          </w:tcPr>
          <w:p w14:paraId="366BE19E" w14:textId="77777777" w:rsidR="00B33542" w:rsidRPr="005071A1" w:rsidRDefault="00B33542" w:rsidP="009B7AF5">
            <w:pPr>
              <w:pStyle w:val="Tabletext"/>
            </w:pPr>
            <w:r w:rsidRPr="005071A1">
              <w:t>0.10</w:t>
            </w:r>
          </w:p>
        </w:tc>
        <w:tc>
          <w:tcPr>
            <w:tcW w:w="2693" w:type="dxa"/>
            <w:tcBorders>
              <w:top w:val="single" w:sz="4" w:space="0" w:color="auto"/>
            </w:tcBorders>
            <w:shd w:val="clear" w:color="auto" w:fill="auto"/>
          </w:tcPr>
          <w:p w14:paraId="63BB4D60" w14:textId="77777777" w:rsidR="00B33542" w:rsidRPr="005071A1" w:rsidRDefault="00B33542" w:rsidP="009B7AF5">
            <w:pPr>
              <w:pStyle w:val="Tabletext"/>
            </w:pPr>
            <w:r w:rsidRPr="005071A1">
              <w:t>0.04</w:t>
            </w:r>
          </w:p>
        </w:tc>
        <w:tc>
          <w:tcPr>
            <w:tcW w:w="1985" w:type="dxa"/>
            <w:tcBorders>
              <w:top w:val="single" w:sz="4" w:space="0" w:color="auto"/>
            </w:tcBorders>
            <w:shd w:val="clear" w:color="auto" w:fill="auto"/>
          </w:tcPr>
          <w:p w14:paraId="23945A0E" w14:textId="77777777" w:rsidR="00B33542" w:rsidRPr="005071A1" w:rsidRDefault="00B33542" w:rsidP="009B7AF5">
            <w:pPr>
              <w:pStyle w:val="Tabletext"/>
            </w:pPr>
            <w:r w:rsidRPr="005071A1">
              <w:t>0.08</w:t>
            </w:r>
          </w:p>
        </w:tc>
      </w:tr>
      <w:tr w:rsidR="00B33542" w:rsidRPr="005071A1" w14:paraId="7B540206" w14:textId="77777777" w:rsidTr="009B7AF5">
        <w:tc>
          <w:tcPr>
            <w:tcW w:w="1101" w:type="dxa"/>
            <w:shd w:val="clear" w:color="auto" w:fill="auto"/>
          </w:tcPr>
          <w:p w14:paraId="42CA7187" w14:textId="77777777" w:rsidR="00B33542" w:rsidRPr="005071A1" w:rsidRDefault="00B33542" w:rsidP="009B7AF5">
            <w:pPr>
              <w:pStyle w:val="Tabletext"/>
            </w:pPr>
            <w:r w:rsidRPr="005071A1">
              <w:t>23</w:t>
            </w:r>
          </w:p>
        </w:tc>
        <w:tc>
          <w:tcPr>
            <w:tcW w:w="1417" w:type="dxa"/>
            <w:shd w:val="clear" w:color="auto" w:fill="auto"/>
          </w:tcPr>
          <w:p w14:paraId="6B723284" w14:textId="77777777" w:rsidR="00B33542" w:rsidRPr="005071A1" w:rsidRDefault="00B33542" w:rsidP="009B7AF5">
            <w:pPr>
              <w:pStyle w:val="Tabletext"/>
            </w:pPr>
            <w:r w:rsidRPr="005071A1">
              <w:t>0.10</w:t>
            </w:r>
          </w:p>
        </w:tc>
        <w:tc>
          <w:tcPr>
            <w:tcW w:w="2693" w:type="dxa"/>
            <w:shd w:val="clear" w:color="auto" w:fill="auto"/>
          </w:tcPr>
          <w:p w14:paraId="1708D011" w14:textId="77777777" w:rsidR="00B33542" w:rsidRPr="005071A1" w:rsidRDefault="00B33542" w:rsidP="009B7AF5">
            <w:pPr>
              <w:pStyle w:val="Tabletext"/>
            </w:pPr>
            <w:r w:rsidRPr="005071A1">
              <w:t>0.04</w:t>
            </w:r>
          </w:p>
        </w:tc>
        <w:tc>
          <w:tcPr>
            <w:tcW w:w="1985" w:type="dxa"/>
            <w:shd w:val="clear" w:color="auto" w:fill="auto"/>
          </w:tcPr>
          <w:p w14:paraId="4822D50C" w14:textId="77777777" w:rsidR="00B33542" w:rsidRPr="005071A1" w:rsidRDefault="00B33542" w:rsidP="009B7AF5">
            <w:pPr>
              <w:pStyle w:val="Tabletext"/>
            </w:pPr>
            <w:r w:rsidRPr="005071A1">
              <w:t>0.08</w:t>
            </w:r>
          </w:p>
        </w:tc>
      </w:tr>
      <w:tr w:rsidR="00B33542" w:rsidRPr="005071A1" w14:paraId="16D65AE1" w14:textId="77777777" w:rsidTr="009B7AF5">
        <w:tc>
          <w:tcPr>
            <w:tcW w:w="1101" w:type="dxa"/>
            <w:shd w:val="clear" w:color="auto" w:fill="auto"/>
          </w:tcPr>
          <w:p w14:paraId="60DEAA1F" w14:textId="77777777" w:rsidR="00B33542" w:rsidRPr="005071A1" w:rsidRDefault="00B33542" w:rsidP="009B7AF5">
            <w:pPr>
              <w:pStyle w:val="Tabletext"/>
            </w:pPr>
            <w:r w:rsidRPr="005071A1">
              <w:t>24</w:t>
            </w:r>
          </w:p>
        </w:tc>
        <w:tc>
          <w:tcPr>
            <w:tcW w:w="1417" w:type="dxa"/>
            <w:shd w:val="clear" w:color="auto" w:fill="auto"/>
          </w:tcPr>
          <w:p w14:paraId="59315089" w14:textId="77777777" w:rsidR="00B33542" w:rsidRPr="005071A1" w:rsidRDefault="00B33542" w:rsidP="009B7AF5">
            <w:pPr>
              <w:pStyle w:val="Tabletext"/>
            </w:pPr>
            <w:r w:rsidRPr="005071A1">
              <w:t>0.12</w:t>
            </w:r>
          </w:p>
        </w:tc>
        <w:tc>
          <w:tcPr>
            <w:tcW w:w="2693" w:type="dxa"/>
            <w:shd w:val="clear" w:color="auto" w:fill="auto"/>
          </w:tcPr>
          <w:p w14:paraId="53EB797A" w14:textId="77777777" w:rsidR="00B33542" w:rsidRPr="005071A1" w:rsidRDefault="00B33542" w:rsidP="009B7AF5">
            <w:pPr>
              <w:pStyle w:val="Tabletext"/>
            </w:pPr>
            <w:r w:rsidRPr="005071A1">
              <w:t>0.05</w:t>
            </w:r>
          </w:p>
        </w:tc>
        <w:tc>
          <w:tcPr>
            <w:tcW w:w="1985" w:type="dxa"/>
            <w:shd w:val="clear" w:color="auto" w:fill="auto"/>
          </w:tcPr>
          <w:p w14:paraId="0BA011C5" w14:textId="77777777" w:rsidR="00B33542" w:rsidRPr="005071A1" w:rsidRDefault="00B33542" w:rsidP="009B7AF5">
            <w:pPr>
              <w:pStyle w:val="Tabletext"/>
            </w:pPr>
            <w:r w:rsidRPr="005071A1">
              <w:t>0.10</w:t>
            </w:r>
          </w:p>
        </w:tc>
      </w:tr>
      <w:tr w:rsidR="00B33542" w:rsidRPr="005071A1" w14:paraId="77BD9046" w14:textId="77777777" w:rsidTr="009B7AF5">
        <w:tc>
          <w:tcPr>
            <w:tcW w:w="1101" w:type="dxa"/>
            <w:shd w:val="clear" w:color="auto" w:fill="auto"/>
          </w:tcPr>
          <w:p w14:paraId="386938F0" w14:textId="77777777" w:rsidR="00B33542" w:rsidRPr="005071A1" w:rsidRDefault="00B33542" w:rsidP="009B7AF5">
            <w:pPr>
              <w:pStyle w:val="Tabletext"/>
            </w:pPr>
            <w:r w:rsidRPr="005071A1">
              <w:t>25</w:t>
            </w:r>
          </w:p>
        </w:tc>
        <w:tc>
          <w:tcPr>
            <w:tcW w:w="1417" w:type="dxa"/>
            <w:shd w:val="clear" w:color="auto" w:fill="auto"/>
          </w:tcPr>
          <w:p w14:paraId="37BA28CD" w14:textId="77777777" w:rsidR="00B33542" w:rsidRPr="005071A1" w:rsidRDefault="00B33542" w:rsidP="009B7AF5">
            <w:pPr>
              <w:pStyle w:val="Tabletext"/>
            </w:pPr>
            <w:r w:rsidRPr="005071A1">
              <w:t>0.12</w:t>
            </w:r>
          </w:p>
        </w:tc>
        <w:tc>
          <w:tcPr>
            <w:tcW w:w="2693" w:type="dxa"/>
            <w:shd w:val="clear" w:color="auto" w:fill="auto"/>
          </w:tcPr>
          <w:p w14:paraId="7BBC2399" w14:textId="77777777" w:rsidR="00B33542" w:rsidRPr="005071A1" w:rsidRDefault="00B33542" w:rsidP="009B7AF5">
            <w:pPr>
              <w:pStyle w:val="Tabletext"/>
            </w:pPr>
            <w:r w:rsidRPr="005071A1">
              <w:t>0.05</w:t>
            </w:r>
          </w:p>
        </w:tc>
        <w:tc>
          <w:tcPr>
            <w:tcW w:w="1985" w:type="dxa"/>
            <w:shd w:val="clear" w:color="auto" w:fill="auto"/>
          </w:tcPr>
          <w:p w14:paraId="7BAEB0B2" w14:textId="77777777" w:rsidR="00B33542" w:rsidRPr="005071A1" w:rsidRDefault="00B33542" w:rsidP="009B7AF5">
            <w:pPr>
              <w:pStyle w:val="Tabletext"/>
            </w:pPr>
            <w:r w:rsidRPr="005071A1">
              <w:t>0.10</w:t>
            </w:r>
          </w:p>
        </w:tc>
      </w:tr>
      <w:tr w:rsidR="00B33542" w:rsidRPr="005071A1" w14:paraId="7ACE75D1" w14:textId="77777777" w:rsidTr="009B7AF5">
        <w:tc>
          <w:tcPr>
            <w:tcW w:w="1101" w:type="dxa"/>
            <w:shd w:val="clear" w:color="auto" w:fill="auto"/>
          </w:tcPr>
          <w:p w14:paraId="3E54D81F" w14:textId="77777777" w:rsidR="00B33542" w:rsidRPr="005071A1" w:rsidRDefault="00B33542" w:rsidP="009B7AF5">
            <w:pPr>
              <w:pStyle w:val="Tabletext"/>
            </w:pPr>
            <w:r w:rsidRPr="005071A1">
              <w:t>26</w:t>
            </w:r>
          </w:p>
        </w:tc>
        <w:tc>
          <w:tcPr>
            <w:tcW w:w="1417" w:type="dxa"/>
            <w:shd w:val="clear" w:color="auto" w:fill="auto"/>
          </w:tcPr>
          <w:p w14:paraId="57F3FF7E" w14:textId="77777777" w:rsidR="00B33542" w:rsidRPr="005071A1" w:rsidRDefault="00B33542" w:rsidP="009B7AF5">
            <w:pPr>
              <w:pStyle w:val="Tabletext"/>
            </w:pPr>
            <w:r w:rsidRPr="005071A1">
              <w:t>0.12</w:t>
            </w:r>
          </w:p>
        </w:tc>
        <w:tc>
          <w:tcPr>
            <w:tcW w:w="2693" w:type="dxa"/>
            <w:shd w:val="clear" w:color="auto" w:fill="auto"/>
          </w:tcPr>
          <w:p w14:paraId="469D63A2" w14:textId="77777777" w:rsidR="00B33542" w:rsidRPr="005071A1" w:rsidRDefault="00B33542" w:rsidP="009B7AF5">
            <w:pPr>
              <w:pStyle w:val="Tabletext"/>
            </w:pPr>
            <w:r w:rsidRPr="005071A1">
              <w:t>0.05</w:t>
            </w:r>
          </w:p>
        </w:tc>
        <w:tc>
          <w:tcPr>
            <w:tcW w:w="1985" w:type="dxa"/>
            <w:shd w:val="clear" w:color="auto" w:fill="auto"/>
          </w:tcPr>
          <w:p w14:paraId="1F04160B" w14:textId="77777777" w:rsidR="00B33542" w:rsidRPr="005071A1" w:rsidRDefault="00B33542" w:rsidP="009B7AF5">
            <w:pPr>
              <w:pStyle w:val="Tabletext"/>
            </w:pPr>
            <w:r w:rsidRPr="005071A1">
              <w:t>0.10</w:t>
            </w:r>
          </w:p>
        </w:tc>
      </w:tr>
      <w:tr w:rsidR="00B33542" w:rsidRPr="005071A1" w14:paraId="50F1F569" w14:textId="77777777" w:rsidTr="009B7AF5">
        <w:tc>
          <w:tcPr>
            <w:tcW w:w="1101" w:type="dxa"/>
            <w:shd w:val="clear" w:color="auto" w:fill="auto"/>
          </w:tcPr>
          <w:p w14:paraId="5D8ABA40" w14:textId="77777777" w:rsidR="00B33542" w:rsidRPr="005071A1" w:rsidRDefault="00B33542" w:rsidP="009B7AF5">
            <w:pPr>
              <w:pStyle w:val="Tabletext"/>
            </w:pPr>
            <w:r w:rsidRPr="005071A1">
              <w:t>27</w:t>
            </w:r>
          </w:p>
        </w:tc>
        <w:tc>
          <w:tcPr>
            <w:tcW w:w="1417" w:type="dxa"/>
            <w:shd w:val="clear" w:color="auto" w:fill="auto"/>
          </w:tcPr>
          <w:p w14:paraId="2E1815AC" w14:textId="77777777" w:rsidR="00B33542" w:rsidRPr="005071A1" w:rsidRDefault="00B33542" w:rsidP="009B7AF5">
            <w:pPr>
              <w:pStyle w:val="Tabletext"/>
            </w:pPr>
            <w:r w:rsidRPr="005071A1">
              <w:t>0.12</w:t>
            </w:r>
          </w:p>
        </w:tc>
        <w:tc>
          <w:tcPr>
            <w:tcW w:w="2693" w:type="dxa"/>
            <w:shd w:val="clear" w:color="auto" w:fill="auto"/>
          </w:tcPr>
          <w:p w14:paraId="6D043AF4" w14:textId="77777777" w:rsidR="00B33542" w:rsidRPr="005071A1" w:rsidRDefault="00B33542" w:rsidP="009B7AF5">
            <w:pPr>
              <w:pStyle w:val="Tabletext"/>
            </w:pPr>
            <w:r w:rsidRPr="005071A1">
              <w:t>0.05</w:t>
            </w:r>
          </w:p>
        </w:tc>
        <w:tc>
          <w:tcPr>
            <w:tcW w:w="1985" w:type="dxa"/>
            <w:shd w:val="clear" w:color="auto" w:fill="auto"/>
          </w:tcPr>
          <w:p w14:paraId="565689D1" w14:textId="77777777" w:rsidR="00B33542" w:rsidRPr="005071A1" w:rsidRDefault="00B33542" w:rsidP="009B7AF5">
            <w:pPr>
              <w:pStyle w:val="Tabletext"/>
            </w:pPr>
            <w:r w:rsidRPr="005071A1">
              <w:t>0.10</w:t>
            </w:r>
          </w:p>
        </w:tc>
      </w:tr>
      <w:tr w:rsidR="00B33542" w:rsidRPr="005071A1" w14:paraId="5A6A688C" w14:textId="77777777" w:rsidTr="009B7AF5">
        <w:tc>
          <w:tcPr>
            <w:tcW w:w="1101" w:type="dxa"/>
            <w:shd w:val="clear" w:color="auto" w:fill="auto"/>
          </w:tcPr>
          <w:p w14:paraId="6D6098DB" w14:textId="77777777" w:rsidR="00B33542" w:rsidRPr="005071A1" w:rsidRDefault="00B33542" w:rsidP="009B7AF5">
            <w:pPr>
              <w:pStyle w:val="Tabletext"/>
            </w:pPr>
            <w:r w:rsidRPr="005071A1">
              <w:t>28</w:t>
            </w:r>
          </w:p>
        </w:tc>
        <w:tc>
          <w:tcPr>
            <w:tcW w:w="1417" w:type="dxa"/>
            <w:shd w:val="clear" w:color="auto" w:fill="auto"/>
          </w:tcPr>
          <w:p w14:paraId="2DD4EFFD" w14:textId="77777777" w:rsidR="00B33542" w:rsidRPr="005071A1" w:rsidRDefault="00B33542" w:rsidP="009B7AF5">
            <w:pPr>
              <w:pStyle w:val="Tabletext"/>
            </w:pPr>
            <w:r w:rsidRPr="005071A1">
              <w:t>0.12</w:t>
            </w:r>
          </w:p>
        </w:tc>
        <w:tc>
          <w:tcPr>
            <w:tcW w:w="2693" w:type="dxa"/>
            <w:shd w:val="clear" w:color="auto" w:fill="auto"/>
          </w:tcPr>
          <w:p w14:paraId="5D077C13" w14:textId="77777777" w:rsidR="00B33542" w:rsidRPr="005071A1" w:rsidRDefault="00B33542" w:rsidP="009B7AF5">
            <w:pPr>
              <w:pStyle w:val="Tabletext"/>
            </w:pPr>
            <w:r w:rsidRPr="005071A1">
              <w:t>0.05</w:t>
            </w:r>
          </w:p>
        </w:tc>
        <w:tc>
          <w:tcPr>
            <w:tcW w:w="1985" w:type="dxa"/>
            <w:shd w:val="clear" w:color="auto" w:fill="auto"/>
          </w:tcPr>
          <w:p w14:paraId="032FC377" w14:textId="77777777" w:rsidR="00B33542" w:rsidRPr="005071A1" w:rsidRDefault="00B33542" w:rsidP="009B7AF5">
            <w:pPr>
              <w:pStyle w:val="Tabletext"/>
            </w:pPr>
            <w:r w:rsidRPr="005071A1">
              <w:t>0.10</w:t>
            </w:r>
          </w:p>
        </w:tc>
      </w:tr>
      <w:tr w:rsidR="00B33542" w:rsidRPr="005071A1" w14:paraId="05CC80C9" w14:textId="77777777" w:rsidTr="009B7AF5">
        <w:tc>
          <w:tcPr>
            <w:tcW w:w="1101" w:type="dxa"/>
            <w:shd w:val="clear" w:color="auto" w:fill="auto"/>
          </w:tcPr>
          <w:p w14:paraId="3F39A52B" w14:textId="77777777" w:rsidR="00B33542" w:rsidRPr="005071A1" w:rsidRDefault="00B33542" w:rsidP="009B7AF5">
            <w:pPr>
              <w:pStyle w:val="Tabletext"/>
            </w:pPr>
            <w:r w:rsidRPr="005071A1">
              <w:t>29</w:t>
            </w:r>
          </w:p>
        </w:tc>
        <w:tc>
          <w:tcPr>
            <w:tcW w:w="1417" w:type="dxa"/>
            <w:shd w:val="clear" w:color="auto" w:fill="auto"/>
          </w:tcPr>
          <w:p w14:paraId="21823917" w14:textId="77777777" w:rsidR="00B33542" w:rsidRPr="005071A1" w:rsidRDefault="00B33542" w:rsidP="009B7AF5">
            <w:pPr>
              <w:pStyle w:val="Tabletext"/>
            </w:pPr>
            <w:r w:rsidRPr="005071A1">
              <w:t>0.14</w:t>
            </w:r>
          </w:p>
        </w:tc>
        <w:tc>
          <w:tcPr>
            <w:tcW w:w="2693" w:type="dxa"/>
            <w:shd w:val="clear" w:color="auto" w:fill="auto"/>
          </w:tcPr>
          <w:p w14:paraId="1BD4F25C" w14:textId="77777777" w:rsidR="00B33542" w:rsidRPr="005071A1" w:rsidRDefault="00B33542" w:rsidP="009B7AF5">
            <w:pPr>
              <w:pStyle w:val="Tabletext"/>
            </w:pPr>
            <w:r w:rsidRPr="005071A1">
              <w:t>0.06</w:t>
            </w:r>
          </w:p>
        </w:tc>
        <w:tc>
          <w:tcPr>
            <w:tcW w:w="1985" w:type="dxa"/>
            <w:shd w:val="clear" w:color="auto" w:fill="auto"/>
          </w:tcPr>
          <w:p w14:paraId="53628671" w14:textId="77777777" w:rsidR="00B33542" w:rsidRPr="005071A1" w:rsidRDefault="00B33542" w:rsidP="009B7AF5">
            <w:pPr>
              <w:pStyle w:val="Tabletext"/>
            </w:pPr>
            <w:r w:rsidRPr="005071A1">
              <w:t>0.12</w:t>
            </w:r>
          </w:p>
        </w:tc>
      </w:tr>
      <w:tr w:rsidR="00B33542" w:rsidRPr="005071A1" w14:paraId="6AA7F5BB" w14:textId="77777777" w:rsidTr="009B7AF5">
        <w:tc>
          <w:tcPr>
            <w:tcW w:w="1101" w:type="dxa"/>
            <w:shd w:val="clear" w:color="auto" w:fill="auto"/>
          </w:tcPr>
          <w:p w14:paraId="1175496F" w14:textId="77777777" w:rsidR="00B33542" w:rsidRPr="005071A1" w:rsidRDefault="00B33542" w:rsidP="009B7AF5">
            <w:pPr>
              <w:pStyle w:val="Tabletext"/>
            </w:pPr>
            <w:r w:rsidRPr="005071A1">
              <w:t>30</w:t>
            </w:r>
          </w:p>
        </w:tc>
        <w:tc>
          <w:tcPr>
            <w:tcW w:w="1417" w:type="dxa"/>
            <w:shd w:val="clear" w:color="auto" w:fill="auto"/>
          </w:tcPr>
          <w:p w14:paraId="5B8ED375" w14:textId="77777777" w:rsidR="00B33542" w:rsidRPr="005071A1" w:rsidRDefault="00B33542" w:rsidP="009B7AF5">
            <w:pPr>
              <w:pStyle w:val="Tabletext"/>
            </w:pPr>
            <w:r w:rsidRPr="005071A1">
              <w:t>0.14</w:t>
            </w:r>
          </w:p>
        </w:tc>
        <w:tc>
          <w:tcPr>
            <w:tcW w:w="2693" w:type="dxa"/>
            <w:shd w:val="clear" w:color="auto" w:fill="auto"/>
          </w:tcPr>
          <w:p w14:paraId="115308D2" w14:textId="77777777" w:rsidR="00B33542" w:rsidRPr="005071A1" w:rsidRDefault="00B33542" w:rsidP="009B7AF5">
            <w:pPr>
              <w:pStyle w:val="Tabletext"/>
            </w:pPr>
            <w:r w:rsidRPr="005071A1">
              <w:t>0.06</w:t>
            </w:r>
          </w:p>
        </w:tc>
        <w:tc>
          <w:tcPr>
            <w:tcW w:w="1985" w:type="dxa"/>
            <w:shd w:val="clear" w:color="auto" w:fill="auto"/>
          </w:tcPr>
          <w:p w14:paraId="3986278C" w14:textId="77777777" w:rsidR="00B33542" w:rsidRPr="005071A1" w:rsidRDefault="00B33542" w:rsidP="009B7AF5">
            <w:pPr>
              <w:pStyle w:val="Tabletext"/>
            </w:pPr>
            <w:r w:rsidRPr="005071A1">
              <w:t>0.12</w:t>
            </w:r>
          </w:p>
        </w:tc>
      </w:tr>
      <w:tr w:rsidR="00B33542" w:rsidRPr="005071A1" w14:paraId="1C345F2A" w14:textId="77777777" w:rsidTr="009B7AF5">
        <w:tc>
          <w:tcPr>
            <w:tcW w:w="1101" w:type="dxa"/>
            <w:shd w:val="clear" w:color="auto" w:fill="auto"/>
          </w:tcPr>
          <w:p w14:paraId="488AF8E6" w14:textId="77777777" w:rsidR="00B33542" w:rsidRPr="005071A1" w:rsidRDefault="00B33542" w:rsidP="009B7AF5">
            <w:pPr>
              <w:pStyle w:val="Tabletext"/>
            </w:pPr>
            <w:r w:rsidRPr="005071A1">
              <w:t>31</w:t>
            </w:r>
          </w:p>
        </w:tc>
        <w:tc>
          <w:tcPr>
            <w:tcW w:w="1417" w:type="dxa"/>
            <w:shd w:val="clear" w:color="auto" w:fill="auto"/>
          </w:tcPr>
          <w:p w14:paraId="167B73F6" w14:textId="77777777" w:rsidR="00B33542" w:rsidRPr="005071A1" w:rsidRDefault="00B33542" w:rsidP="009B7AF5">
            <w:pPr>
              <w:pStyle w:val="Tabletext"/>
            </w:pPr>
            <w:r w:rsidRPr="005071A1">
              <w:t>0.14</w:t>
            </w:r>
          </w:p>
        </w:tc>
        <w:tc>
          <w:tcPr>
            <w:tcW w:w="2693" w:type="dxa"/>
            <w:shd w:val="clear" w:color="auto" w:fill="auto"/>
          </w:tcPr>
          <w:p w14:paraId="191C6722" w14:textId="77777777" w:rsidR="00B33542" w:rsidRPr="005071A1" w:rsidRDefault="00B33542" w:rsidP="009B7AF5">
            <w:pPr>
              <w:pStyle w:val="Tabletext"/>
            </w:pPr>
            <w:r w:rsidRPr="005071A1">
              <w:t>0.06</w:t>
            </w:r>
          </w:p>
        </w:tc>
        <w:tc>
          <w:tcPr>
            <w:tcW w:w="1985" w:type="dxa"/>
            <w:shd w:val="clear" w:color="auto" w:fill="auto"/>
          </w:tcPr>
          <w:p w14:paraId="71AD30C1" w14:textId="77777777" w:rsidR="00B33542" w:rsidRPr="005071A1" w:rsidRDefault="00B33542" w:rsidP="009B7AF5">
            <w:pPr>
              <w:pStyle w:val="Tabletext"/>
            </w:pPr>
            <w:r w:rsidRPr="005071A1">
              <w:t>0.12</w:t>
            </w:r>
          </w:p>
        </w:tc>
      </w:tr>
      <w:tr w:rsidR="00B33542" w:rsidRPr="005071A1" w14:paraId="03808DAE" w14:textId="77777777" w:rsidTr="00D57394">
        <w:tc>
          <w:tcPr>
            <w:tcW w:w="1101" w:type="dxa"/>
            <w:tcBorders>
              <w:bottom w:val="single" w:sz="4" w:space="0" w:color="auto"/>
            </w:tcBorders>
            <w:shd w:val="clear" w:color="auto" w:fill="auto"/>
          </w:tcPr>
          <w:p w14:paraId="20339C43" w14:textId="77777777" w:rsidR="00B33542" w:rsidRPr="005071A1" w:rsidRDefault="00B33542" w:rsidP="009B7AF5">
            <w:pPr>
              <w:pStyle w:val="Tabletext"/>
            </w:pPr>
            <w:r w:rsidRPr="005071A1">
              <w:t>32</w:t>
            </w:r>
          </w:p>
        </w:tc>
        <w:tc>
          <w:tcPr>
            <w:tcW w:w="1417" w:type="dxa"/>
            <w:tcBorders>
              <w:bottom w:val="single" w:sz="4" w:space="0" w:color="auto"/>
            </w:tcBorders>
            <w:shd w:val="clear" w:color="auto" w:fill="auto"/>
          </w:tcPr>
          <w:p w14:paraId="76FE6D2F" w14:textId="77777777" w:rsidR="00B33542" w:rsidRPr="005071A1" w:rsidRDefault="00B33542" w:rsidP="009B7AF5">
            <w:pPr>
              <w:pStyle w:val="Tabletext"/>
            </w:pPr>
            <w:r w:rsidRPr="005071A1">
              <w:t>0.14</w:t>
            </w:r>
          </w:p>
        </w:tc>
        <w:tc>
          <w:tcPr>
            <w:tcW w:w="2693" w:type="dxa"/>
            <w:tcBorders>
              <w:bottom w:val="single" w:sz="4" w:space="0" w:color="auto"/>
            </w:tcBorders>
            <w:shd w:val="clear" w:color="auto" w:fill="auto"/>
          </w:tcPr>
          <w:p w14:paraId="19AFA2C8" w14:textId="77777777" w:rsidR="00B33542" w:rsidRPr="005071A1" w:rsidRDefault="00B33542" w:rsidP="009B7AF5">
            <w:pPr>
              <w:pStyle w:val="Tabletext"/>
            </w:pPr>
            <w:r w:rsidRPr="005071A1">
              <w:t>0.06</w:t>
            </w:r>
          </w:p>
        </w:tc>
        <w:tc>
          <w:tcPr>
            <w:tcW w:w="1985" w:type="dxa"/>
            <w:tcBorders>
              <w:bottom w:val="single" w:sz="4" w:space="0" w:color="auto"/>
            </w:tcBorders>
            <w:shd w:val="clear" w:color="auto" w:fill="auto"/>
          </w:tcPr>
          <w:p w14:paraId="02048C21" w14:textId="77777777" w:rsidR="00B33542" w:rsidRPr="005071A1" w:rsidRDefault="00B33542" w:rsidP="009B7AF5">
            <w:pPr>
              <w:pStyle w:val="Tabletext"/>
            </w:pPr>
            <w:r w:rsidRPr="005071A1">
              <w:t>0.12</w:t>
            </w:r>
          </w:p>
        </w:tc>
      </w:tr>
      <w:tr w:rsidR="00B33542" w:rsidRPr="005071A1" w14:paraId="326C7454" w14:textId="77777777" w:rsidTr="00D57394">
        <w:tc>
          <w:tcPr>
            <w:tcW w:w="1101" w:type="dxa"/>
            <w:tcBorders>
              <w:bottom w:val="single" w:sz="4" w:space="0" w:color="auto"/>
            </w:tcBorders>
            <w:shd w:val="clear" w:color="auto" w:fill="auto"/>
          </w:tcPr>
          <w:p w14:paraId="75C80ED2" w14:textId="77777777" w:rsidR="00B33542" w:rsidRPr="005071A1" w:rsidRDefault="00B33542" w:rsidP="009B7AF5">
            <w:pPr>
              <w:pStyle w:val="Tabletext"/>
            </w:pPr>
            <w:r w:rsidRPr="005071A1">
              <w:t>33</w:t>
            </w:r>
          </w:p>
        </w:tc>
        <w:tc>
          <w:tcPr>
            <w:tcW w:w="1417" w:type="dxa"/>
            <w:tcBorders>
              <w:bottom w:val="single" w:sz="4" w:space="0" w:color="auto"/>
            </w:tcBorders>
            <w:shd w:val="clear" w:color="auto" w:fill="auto"/>
          </w:tcPr>
          <w:p w14:paraId="16ED917B" w14:textId="77777777" w:rsidR="00B33542" w:rsidRPr="005071A1" w:rsidRDefault="00B33542" w:rsidP="009B7AF5">
            <w:pPr>
              <w:pStyle w:val="Tabletext"/>
            </w:pPr>
            <w:r w:rsidRPr="005071A1">
              <w:t>0.14</w:t>
            </w:r>
          </w:p>
        </w:tc>
        <w:tc>
          <w:tcPr>
            <w:tcW w:w="2693" w:type="dxa"/>
            <w:tcBorders>
              <w:bottom w:val="single" w:sz="4" w:space="0" w:color="auto"/>
            </w:tcBorders>
            <w:shd w:val="clear" w:color="auto" w:fill="auto"/>
          </w:tcPr>
          <w:p w14:paraId="32F2E856" w14:textId="77777777" w:rsidR="00B33542" w:rsidRPr="005071A1" w:rsidRDefault="00B33542" w:rsidP="009B7AF5">
            <w:pPr>
              <w:pStyle w:val="Tabletext"/>
            </w:pPr>
            <w:r w:rsidRPr="005071A1">
              <w:t>0.06</w:t>
            </w:r>
          </w:p>
        </w:tc>
        <w:tc>
          <w:tcPr>
            <w:tcW w:w="1985" w:type="dxa"/>
            <w:tcBorders>
              <w:bottom w:val="single" w:sz="4" w:space="0" w:color="auto"/>
            </w:tcBorders>
            <w:shd w:val="clear" w:color="auto" w:fill="auto"/>
          </w:tcPr>
          <w:p w14:paraId="2BC7FE1D" w14:textId="77777777" w:rsidR="00B33542" w:rsidRPr="005071A1" w:rsidRDefault="00B33542" w:rsidP="009B7AF5">
            <w:pPr>
              <w:pStyle w:val="Tabletext"/>
            </w:pPr>
            <w:r w:rsidRPr="005071A1">
              <w:t>0.12</w:t>
            </w:r>
          </w:p>
        </w:tc>
      </w:tr>
      <w:tr w:rsidR="00B33542" w:rsidRPr="005071A1" w14:paraId="1FE188AD" w14:textId="77777777" w:rsidTr="00640BB6">
        <w:tc>
          <w:tcPr>
            <w:tcW w:w="1101" w:type="dxa"/>
            <w:tcBorders>
              <w:top w:val="single" w:sz="4" w:space="0" w:color="auto"/>
              <w:bottom w:val="single" w:sz="4" w:space="0" w:color="auto"/>
            </w:tcBorders>
            <w:shd w:val="clear" w:color="auto" w:fill="auto"/>
          </w:tcPr>
          <w:p w14:paraId="05B79389" w14:textId="77777777" w:rsidR="00B33542" w:rsidRPr="005071A1" w:rsidRDefault="00B33542" w:rsidP="009B7AF5">
            <w:pPr>
              <w:pStyle w:val="Tabletext"/>
            </w:pPr>
            <w:r w:rsidRPr="005071A1">
              <w:t>34</w:t>
            </w:r>
          </w:p>
        </w:tc>
        <w:tc>
          <w:tcPr>
            <w:tcW w:w="1417" w:type="dxa"/>
            <w:tcBorders>
              <w:top w:val="single" w:sz="4" w:space="0" w:color="auto"/>
              <w:bottom w:val="single" w:sz="4" w:space="0" w:color="auto"/>
            </w:tcBorders>
            <w:shd w:val="clear" w:color="auto" w:fill="auto"/>
          </w:tcPr>
          <w:p w14:paraId="6EA39A27" w14:textId="77777777" w:rsidR="00B33542" w:rsidRPr="005071A1" w:rsidRDefault="00B33542" w:rsidP="009B7AF5">
            <w:pPr>
              <w:pStyle w:val="Tabletext"/>
            </w:pPr>
            <w:r w:rsidRPr="005071A1">
              <w:t>0.14</w:t>
            </w:r>
          </w:p>
        </w:tc>
        <w:tc>
          <w:tcPr>
            <w:tcW w:w="2693" w:type="dxa"/>
            <w:tcBorders>
              <w:top w:val="single" w:sz="4" w:space="0" w:color="auto"/>
              <w:bottom w:val="single" w:sz="4" w:space="0" w:color="auto"/>
            </w:tcBorders>
            <w:shd w:val="clear" w:color="auto" w:fill="auto"/>
          </w:tcPr>
          <w:p w14:paraId="155DAA87" w14:textId="77777777" w:rsidR="00B33542" w:rsidRPr="005071A1" w:rsidRDefault="00B33542" w:rsidP="009B7AF5">
            <w:pPr>
              <w:pStyle w:val="Tabletext"/>
            </w:pPr>
            <w:r w:rsidRPr="005071A1">
              <w:t>0.06</w:t>
            </w:r>
          </w:p>
        </w:tc>
        <w:tc>
          <w:tcPr>
            <w:tcW w:w="1985" w:type="dxa"/>
            <w:tcBorders>
              <w:top w:val="single" w:sz="4" w:space="0" w:color="auto"/>
              <w:bottom w:val="single" w:sz="4" w:space="0" w:color="auto"/>
            </w:tcBorders>
            <w:shd w:val="clear" w:color="auto" w:fill="auto"/>
          </w:tcPr>
          <w:p w14:paraId="4563C74C" w14:textId="77777777" w:rsidR="00B33542" w:rsidRPr="005071A1" w:rsidRDefault="00B33542" w:rsidP="009B7AF5">
            <w:pPr>
              <w:pStyle w:val="Tabletext"/>
            </w:pPr>
            <w:r w:rsidRPr="005071A1">
              <w:t>0.12</w:t>
            </w:r>
          </w:p>
        </w:tc>
      </w:tr>
      <w:tr w:rsidR="00B33542" w:rsidRPr="005071A1" w14:paraId="4BB88430" w14:textId="77777777" w:rsidTr="00640BB6">
        <w:tc>
          <w:tcPr>
            <w:tcW w:w="1101" w:type="dxa"/>
            <w:tcBorders>
              <w:bottom w:val="single" w:sz="4" w:space="0" w:color="auto"/>
            </w:tcBorders>
            <w:shd w:val="clear" w:color="auto" w:fill="auto"/>
          </w:tcPr>
          <w:p w14:paraId="2A451510" w14:textId="77777777" w:rsidR="00B33542" w:rsidRPr="005071A1" w:rsidRDefault="00B33542" w:rsidP="009B7AF5">
            <w:pPr>
              <w:pStyle w:val="Tabletext"/>
            </w:pPr>
            <w:r w:rsidRPr="005071A1">
              <w:t>35</w:t>
            </w:r>
          </w:p>
        </w:tc>
        <w:tc>
          <w:tcPr>
            <w:tcW w:w="1417" w:type="dxa"/>
            <w:tcBorders>
              <w:bottom w:val="single" w:sz="4" w:space="0" w:color="auto"/>
            </w:tcBorders>
            <w:shd w:val="clear" w:color="auto" w:fill="auto"/>
          </w:tcPr>
          <w:p w14:paraId="3745D3D7" w14:textId="77777777" w:rsidR="00B33542" w:rsidRPr="005071A1" w:rsidRDefault="00B33542" w:rsidP="009B7AF5">
            <w:pPr>
              <w:pStyle w:val="Tabletext"/>
            </w:pPr>
            <w:r w:rsidRPr="005071A1">
              <w:t>0.16</w:t>
            </w:r>
          </w:p>
        </w:tc>
        <w:tc>
          <w:tcPr>
            <w:tcW w:w="2693" w:type="dxa"/>
            <w:tcBorders>
              <w:bottom w:val="single" w:sz="4" w:space="0" w:color="auto"/>
            </w:tcBorders>
            <w:shd w:val="clear" w:color="auto" w:fill="auto"/>
          </w:tcPr>
          <w:p w14:paraId="0CDCAE75" w14:textId="77777777" w:rsidR="00B33542" w:rsidRPr="005071A1" w:rsidRDefault="00B33542" w:rsidP="009B7AF5">
            <w:pPr>
              <w:pStyle w:val="Tabletext"/>
            </w:pPr>
            <w:r w:rsidRPr="005071A1">
              <w:t>0.06</w:t>
            </w:r>
          </w:p>
        </w:tc>
        <w:tc>
          <w:tcPr>
            <w:tcW w:w="1985" w:type="dxa"/>
            <w:tcBorders>
              <w:bottom w:val="single" w:sz="4" w:space="0" w:color="auto"/>
            </w:tcBorders>
            <w:shd w:val="clear" w:color="auto" w:fill="auto"/>
          </w:tcPr>
          <w:p w14:paraId="091D7FB2" w14:textId="77777777" w:rsidR="00B33542" w:rsidRPr="005071A1" w:rsidRDefault="00B33542" w:rsidP="009B7AF5">
            <w:pPr>
              <w:pStyle w:val="Tabletext"/>
            </w:pPr>
            <w:r w:rsidRPr="005071A1">
              <w:t>0.12</w:t>
            </w:r>
          </w:p>
        </w:tc>
      </w:tr>
      <w:tr w:rsidR="00B33542" w:rsidRPr="005071A1" w14:paraId="3544B249" w14:textId="77777777" w:rsidTr="00640BB6">
        <w:tc>
          <w:tcPr>
            <w:tcW w:w="1101" w:type="dxa"/>
            <w:tcBorders>
              <w:top w:val="single" w:sz="4" w:space="0" w:color="auto"/>
            </w:tcBorders>
            <w:shd w:val="clear" w:color="auto" w:fill="auto"/>
          </w:tcPr>
          <w:p w14:paraId="00B40BF2" w14:textId="77777777" w:rsidR="00B33542" w:rsidRPr="005071A1" w:rsidRDefault="00B33542" w:rsidP="009B7AF5">
            <w:pPr>
              <w:pStyle w:val="Tabletext"/>
            </w:pPr>
            <w:r w:rsidRPr="005071A1">
              <w:t>36</w:t>
            </w:r>
          </w:p>
        </w:tc>
        <w:tc>
          <w:tcPr>
            <w:tcW w:w="1417" w:type="dxa"/>
            <w:tcBorders>
              <w:top w:val="single" w:sz="4" w:space="0" w:color="auto"/>
            </w:tcBorders>
            <w:shd w:val="clear" w:color="auto" w:fill="auto"/>
          </w:tcPr>
          <w:p w14:paraId="163AE29D" w14:textId="77777777" w:rsidR="00B33542" w:rsidRPr="005071A1" w:rsidRDefault="00B33542" w:rsidP="009B7AF5">
            <w:pPr>
              <w:pStyle w:val="Tabletext"/>
            </w:pPr>
            <w:r w:rsidRPr="005071A1">
              <w:t>0.16</w:t>
            </w:r>
          </w:p>
        </w:tc>
        <w:tc>
          <w:tcPr>
            <w:tcW w:w="2693" w:type="dxa"/>
            <w:tcBorders>
              <w:top w:val="single" w:sz="4" w:space="0" w:color="auto"/>
            </w:tcBorders>
            <w:shd w:val="clear" w:color="auto" w:fill="auto"/>
          </w:tcPr>
          <w:p w14:paraId="6C144E24" w14:textId="77777777" w:rsidR="00B33542" w:rsidRPr="005071A1" w:rsidRDefault="00B33542" w:rsidP="009B7AF5">
            <w:pPr>
              <w:pStyle w:val="Tabletext"/>
            </w:pPr>
            <w:r w:rsidRPr="005071A1">
              <w:t>0.07</w:t>
            </w:r>
          </w:p>
        </w:tc>
        <w:tc>
          <w:tcPr>
            <w:tcW w:w="1985" w:type="dxa"/>
            <w:tcBorders>
              <w:top w:val="single" w:sz="4" w:space="0" w:color="auto"/>
            </w:tcBorders>
            <w:shd w:val="clear" w:color="auto" w:fill="auto"/>
          </w:tcPr>
          <w:p w14:paraId="6206ADC1" w14:textId="77777777" w:rsidR="00B33542" w:rsidRPr="005071A1" w:rsidRDefault="00B33542" w:rsidP="009B7AF5">
            <w:pPr>
              <w:pStyle w:val="Tabletext"/>
            </w:pPr>
            <w:r w:rsidRPr="005071A1">
              <w:t>0.14</w:t>
            </w:r>
          </w:p>
        </w:tc>
      </w:tr>
      <w:tr w:rsidR="00B33542" w:rsidRPr="005071A1" w14:paraId="0785BAC3" w14:textId="77777777" w:rsidTr="009B7AF5">
        <w:tc>
          <w:tcPr>
            <w:tcW w:w="1101" w:type="dxa"/>
            <w:shd w:val="clear" w:color="auto" w:fill="auto"/>
          </w:tcPr>
          <w:p w14:paraId="277866F3" w14:textId="77777777" w:rsidR="00B33542" w:rsidRPr="005071A1" w:rsidRDefault="00B33542" w:rsidP="009B7AF5">
            <w:pPr>
              <w:pStyle w:val="Tabletext"/>
            </w:pPr>
            <w:r w:rsidRPr="005071A1">
              <w:t>37</w:t>
            </w:r>
          </w:p>
        </w:tc>
        <w:tc>
          <w:tcPr>
            <w:tcW w:w="1417" w:type="dxa"/>
            <w:shd w:val="clear" w:color="auto" w:fill="auto"/>
          </w:tcPr>
          <w:p w14:paraId="5112363E" w14:textId="77777777" w:rsidR="00B33542" w:rsidRPr="005071A1" w:rsidRDefault="00B33542" w:rsidP="009B7AF5">
            <w:pPr>
              <w:pStyle w:val="Tabletext"/>
            </w:pPr>
            <w:r w:rsidRPr="005071A1">
              <w:t>0.18</w:t>
            </w:r>
          </w:p>
        </w:tc>
        <w:tc>
          <w:tcPr>
            <w:tcW w:w="2693" w:type="dxa"/>
            <w:shd w:val="clear" w:color="auto" w:fill="auto"/>
          </w:tcPr>
          <w:p w14:paraId="42B7CAAE" w14:textId="77777777" w:rsidR="00B33542" w:rsidRPr="005071A1" w:rsidRDefault="00B33542" w:rsidP="009B7AF5">
            <w:pPr>
              <w:pStyle w:val="Tabletext"/>
            </w:pPr>
            <w:r w:rsidRPr="005071A1">
              <w:t>0.07</w:t>
            </w:r>
          </w:p>
        </w:tc>
        <w:tc>
          <w:tcPr>
            <w:tcW w:w="1985" w:type="dxa"/>
            <w:shd w:val="clear" w:color="auto" w:fill="auto"/>
          </w:tcPr>
          <w:p w14:paraId="1FE74D1B" w14:textId="77777777" w:rsidR="00B33542" w:rsidRPr="005071A1" w:rsidRDefault="00B33542" w:rsidP="009B7AF5">
            <w:pPr>
              <w:pStyle w:val="Tabletext"/>
            </w:pPr>
            <w:r w:rsidRPr="005071A1">
              <w:t>0.14</w:t>
            </w:r>
          </w:p>
        </w:tc>
      </w:tr>
      <w:tr w:rsidR="00B33542" w:rsidRPr="005071A1" w14:paraId="2749CC80" w14:textId="77777777" w:rsidTr="009B7AF5">
        <w:tc>
          <w:tcPr>
            <w:tcW w:w="1101" w:type="dxa"/>
            <w:shd w:val="clear" w:color="auto" w:fill="auto"/>
          </w:tcPr>
          <w:p w14:paraId="305A75ED" w14:textId="77777777" w:rsidR="00B33542" w:rsidRPr="005071A1" w:rsidRDefault="00B33542" w:rsidP="009B7AF5">
            <w:pPr>
              <w:pStyle w:val="Tabletext"/>
            </w:pPr>
            <w:r w:rsidRPr="005071A1">
              <w:t>38</w:t>
            </w:r>
          </w:p>
        </w:tc>
        <w:tc>
          <w:tcPr>
            <w:tcW w:w="1417" w:type="dxa"/>
            <w:shd w:val="clear" w:color="auto" w:fill="auto"/>
          </w:tcPr>
          <w:p w14:paraId="196AC996" w14:textId="77777777" w:rsidR="00B33542" w:rsidRPr="005071A1" w:rsidRDefault="00B33542" w:rsidP="009B7AF5">
            <w:pPr>
              <w:pStyle w:val="Tabletext"/>
            </w:pPr>
            <w:r w:rsidRPr="005071A1">
              <w:t>0.18</w:t>
            </w:r>
          </w:p>
        </w:tc>
        <w:tc>
          <w:tcPr>
            <w:tcW w:w="2693" w:type="dxa"/>
            <w:shd w:val="clear" w:color="auto" w:fill="auto"/>
          </w:tcPr>
          <w:p w14:paraId="30C433B8" w14:textId="77777777" w:rsidR="00B33542" w:rsidRPr="005071A1" w:rsidRDefault="00B33542" w:rsidP="009B7AF5">
            <w:pPr>
              <w:pStyle w:val="Tabletext"/>
            </w:pPr>
            <w:r w:rsidRPr="005071A1">
              <w:t>0.08</w:t>
            </w:r>
          </w:p>
        </w:tc>
        <w:tc>
          <w:tcPr>
            <w:tcW w:w="1985" w:type="dxa"/>
            <w:shd w:val="clear" w:color="auto" w:fill="auto"/>
          </w:tcPr>
          <w:p w14:paraId="7200E478" w14:textId="77777777" w:rsidR="00B33542" w:rsidRPr="005071A1" w:rsidRDefault="00B33542" w:rsidP="009B7AF5">
            <w:pPr>
              <w:pStyle w:val="Tabletext"/>
            </w:pPr>
            <w:r w:rsidRPr="005071A1">
              <w:t>0.16</w:t>
            </w:r>
          </w:p>
        </w:tc>
      </w:tr>
      <w:tr w:rsidR="00B33542" w:rsidRPr="005071A1" w14:paraId="0F007C5A" w14:textId="77777777" w:rsidTr="009B7AF5">
        <w:tc>
          <w:tcPr>
            <w:tcW w:w="1101" w:type="dxa"/>
            <w:shd w:val="clear" w:color="auto" w:fill="auto"/>
          </w:tcPr>
          <w:p w14:paraId="55371C8C" w14:textId="77777777" w:rsidR="00B33542" w:rsidRPr="005071A1" w:rsidRDefault="00B33542" w:rsidP="009B7AF5">
            <w:pPr>
              <w:pStyle w:val="Tabletext"/>
            </w:pPr>
            <w:r w:rsidRPr="005071A1">
              <w:t>39</w:t>
            </w:r>
          </w:p>
        </w:tc>
        <w:tc>
          <w:tcPr>
            <w:tcW w:w="1417" w:type="dxa"/>
            <w:shd w:val="clear" w:color="auto" w:fill="auto"/>
          </w:tcPr>
          <w:p w14:paraId="3E4EFCBA" w14:textId="77777777" w:rsidR="00B33542" w:rsidRPr="005071A1" w:rsidRDefault="00B33542" w:rsidP="009B7AF5">
            <w:pPr>
              <w:pStyle w:val="Tabletext"/>
            </w:pPr>
            <w:r w:rsidRPr="005071A1">
              <w:t>0.18</w:t>
            </w:r>
          </w:p>
        </w:tc>
        <w:tc>
          <w:tcPr>
            <w:tcW w:w="2693" w:type="dxa"/>
            <w:shd w:val="clear" w:color="auto" w:fill="auto"/>
          </w:tcPr>
          <w:p w14:paraId="77424B8D" w14:textId="77777777" w:rsidR="00B33542" w:rsidRPr="005071A1" w:rsidRDefault="00B33542" w:rsidP="009B7AF5">
            <w:pPr>
              <w:pStyle w:val="Tabletext"/>
            </w:pPr>
            <w:r w:rsidRPr="005071A1">
              <w:t>0.08</w:t>
            </w:r>
          </w:p>
        </w:tc>
        <w:tc>
          <w:tcPr>
            <w:tcW w:w="1985" w:type="dxa"/>
            <w:shd w:val="clear" w:color="auto" w:fill="auto"/>
          </w:tcPr>
          <w:p w14:paraId="45595436" w14:textId="77777777" w:rsidR="00B33542" w:rsidRPr="005071A1" w:rsidRDefault="00B33542" w:rsidP="009B7AF5">
            <w:pPr>
              <w:pStyle w:val="Tabletext"/>
            </w:pPr>
            <w:r w:rsidRPr="005071A1">
              <w:t>0.16</w:t>
            </w:r>
          </w:p>
        </w:tc>
      </w:tr>
      <w:tr w:rsidR="00B33542" w:rsidRPr="005071A1" w14:paraId="2650B554" w14:textId="77777777" w:rsidTr="009B7AF5">
        <w:tc>
          <w:tcPr>
            <w:tcW w:w="1101" w:type="dxa"/>
            <w:shd w:val="clear" w:color="auto" w:fill="auto"/>
          </w:tcPr>
          <w:p w14:paraId="20AF4F48" w14:textId="77777777" w:rsidR="00B33542" w:rsidRPr="005071A1" w:rsidRDefault="00B33542" w:rsidP="009B7AF5">
            <w:pPr>
              <w:pStyle w:val="Tabletext"/>
            </w:pPr>
            <w:r w:rsidRPr="005071A1">
              <w:t>40</w:t>
            </w:r>
          </w:p>
        </w:tc>
        <w:tc>
          <w:tcPr>
            <w:tcW w:w="1417" w:type="dxa"/>
            <w:shd w:val="clear" w:color="auto" w:fill="auto"/>
          </w:tcPr>
          <w:p w14:paraId="008134AF" w14:textId="77777777" w:rsidR="00B33542" w:rsidRPr="005071A1" w:rsidRDefault="00B33542" w:rsidP="009B7AF5">
            <w:pPr>
              <w:pStyle w:val="Tabletext"/>
            </w:pPr>
            <w:r w:rsidRPr="005071A1">
              <w:t>0.18</w:t>
            </w:r>
          </w:p>
        </w:tc>
        <w:tc>
          <w:tcPr>
            <w:tcW w:w="2693" w:type="dxa"/>
            <w:shd w:val="clear" w:color="auto" w:fill="auto"/>
          </w:tcPr>
          <w:p w14:paraId="77CEC189" w14:textId="77777777" w:rsidR="00B33542" w:rsidRPr="005071A1" w:rsidRDefault="00B33542" w:rsidP="009B7AF5">
            <w:pPr>
              <w:pStyle w:val="Tabletext"/>
            </w:pPr>
            <w:r w:rsidRPr="005071A1">
              <w:t>0.08</w:t>
            </w:r>
          </w:p>
        </w:tc>
        <w:tc>
          <w:tcPr>
            <w:tcW w:w="1985" w:type="dxa"/>
            <w:shd w:val="clear" w:color="auto" w:fill="auto"/>
          </w:tcPr>
          <w:p w14:paraId="51E3AC2A" w14:textId="77777777" w:rsidR="00B33542" w:rsidRPr="005071A1" w:rsidRDefault="00B33542" w:rsidP="009B7AF5">
            <w:pPr>
              <w:pStyle w:val="Tabletext"/>
            </w:pPr>
            <w:r w:rsidRPr="005071A1">
              <w:t>0.16</w:t>
            </w:r>
          </w:p>
        </w:tc>
      </w:tr>
      <w:tr w:rsidR="00B33542" w:rsidRPr="005071A1" w14:paraId="41E2B1F9" w14:textId="77777777" w:rsidTr="009B7AF5">
        <w:tc>
          <w:tcPr>
            <w:tcW w:w="1101" w:type="dxa"/>
            <w:shd w:val="clear" w:color="auto" w:fill="auto"/>
          </w:tcPr>
          <w:p w14:paraId="01492AD7" w14:textId="77777777" w:rsidR="00B33542" w:rsidRPr="005071A1" w:rsidRDefault="00B33542" w:rsidP="009B7AF5">
            <w:pPr>
              <w:pStyle w:val="Tabletext"/>
            </w:pPr>
            <w:r w:rsidRPr="005071A1">
              <w:t>41</w:t>
            </w:r>
          </w:p>
        </w:tc>
        <w:tc>
          <w:tcPr>
            <w:tcW w:w="1417" w:type="dxa"/>
            <w:shd w:val="clear" w:color="auto" w:fill="auto"/>
          </w:tcPr>
          <w:p w14:paraId="6EFD2CFB" w14:textId="77777777" w:rsidR="00B33542" w:rsidRPr="005071A1" w:rsidRDefault="00B33542" w:rsidP="009B7AF5">
            <w:pPr>
              <w:pStyle w:val="Tabletext"/>
            </w:pPr>
            <w:r w:rsidRPr="005071A1">
              <w:t>0.18</w:t>
            </w:r>
          </w:p>
        </w:tc>
        <w:tc>
          <w:tcPr>
            <w:tcW w:w="2693" w:type="dxa"/>
            <w:shd w:val="clear" w:color="auto" w:fill="auto"/>
          </w:tcPr>
          <w:p w14:paraId="01B37FD7" w14:textId="77777777" w:rsidR="00B33542" w:rsidRPr="005071A1" w:rsidRDefault="00B33542" w:rsidP="009B7AF5">
            <w:pPr>
              <w:pStyle w:val="Tabletext"/>
            </w:pPr>
            <w:r w:rsidRPr="005071A1">
              <w:t>0.08</w:t>
            </w:r>
          </w:p>
        </w:tc>
        <w:tc>
          <w:tcPr>
            <w:tcW w:w="1985" w:type="dxa"/>
            <w:shd w:val="clear" w:color="auto" w:fill="auto"/>
          </w:tcPr>
          <w:p w14:paraId="5E3C1446" w14:textId="77777777" w:rsidR="00B33542" w:rsidRPr="005071A1" w:rsidRDefault="00B33542" w:rsidP="009B7AF5">
            <w:pPr>
              <w:pStyle w:val="Tabletext"/>
            </w:pPr>
            <w:r w:rsidRPr="005071A1">
              <w:t>0.16</w:t>
            </w:r>
          </w:p>
        </w:tc>
      </w:tr>
      <w:tr w:rsidR="00B33542" w:rsidRPr="005071A1" w14:paraId="77FDD6D0" w14:textId="77777777" w:rsidTr="009B7AF5">
        <w:tc>
          <w:tcPr>
            <w:tcW w:w="1101" w:type="dxa"/>
            <w:shd w:val="clear" w:color="auto" w:fill="auto"/>
          </w:tcPr>
          <w:p w14:paraId="30D2878F" w14:textId="77777777" w:rsidR="00B33542" w:rsidRPr="005071A1" w:rsidRDefault="00B33542" w:rsidP="009B7AF5">
            <w:pPr>
              <w:pStyle w:val="Tabletext"/>
            </w:pPr>
            <w:r w:rsidRPr="005071A1">
              <w:t>42</w:t>
            </w:r>
          </w:p>
        </w:tc>
        <w:tc>
          <w:tcPr>
            <w:tcW w:w="1417" w:type="dxa"/>
            <w:shd w:val="clear" w:color="auto" w:fill="auto"/>
          </w:tcPr>
          <w:p w14:paraId="17A73438" w14:textId="77777777" w:rsidR="00B33542" w:rsidRPr="005071A1" w:rsidRDefault="00B33542" w:rsidP="009B7AF5">
            <w:pPr>
              <w:pStyle w:val="Tabletext"/>
            </w:pPr>
            <w:r w:rsidRPr="005071A1">
              <w:t>0.18</w:t>
            </w:r>
          </w:p>
        </w:tc>
        <w:tc>
          <w:tcPr>
            <w:tcW w:w="2693" w:type="dxa"/>
            <w:shd w:val="clear" w:color="auto" w:fill="auto"/>
          </w:tcPr>
          <w:p w14:paraId="048B15D3" w14:textId="77777777" w:rsidR="00B33542" w:rsidRPr="005071A1" w:rsidRDefault="00B33542" w:rsidP="009B7AF5">
            <w:pPr>
              <w:pStyle w:val="Tabletext"/>
            </w:pPr>
            <w:r w:rsidRPr="005071A1">
              <w:t>0.08</w:t>
            </w:r>
          </w:p>
        </w:tc>
        <w:tc>
          <w:tcPr>
            <w:tcW w:w="1985" w:type="dxa"/>
            <w:shd w:val="clear" w:color="auto" w:fill="auto"/>
          </w:tcPr>
          <w:p w14:paraId="66D0EC15" w14:textId="77777777" w:rsidR="00B33542" w:rsidRPr="005071A1" w:rsidRDefault="00B33542" w:rsidP="009B7AF5">
            <w:pPr>
              <w:pStyle w:val="Tabletext"/>
            </w:pPr>
            <w:r w:rsidRPr="005071A1">
              <w:t>0.16</w:t>
            </w:r>
          </w:p>
        </w:tc>
      </w:tr>
      <w:tr w:rsidR="00B33542" w:rsidRPr="005071A1" w14:paraId="69985826" w14:textId="77777777" w:rsidTr="009B7AF5">
        <w:tc>
          <w:tcPr>
            <w:tcW w:w="1101" w:type="dxa"/>
            <w:shd w:val="clear" w:color="auto" w:fill="auto"/>
          </w:tcPr>
          <w:p w14:paraId="6026ED0F" w14:textId="77777777" w:rsidR="00B33542" w:rsidRPr="005071A1" w:rsidRDefault="00B33542" w:rsidP="009B7AF5">
            <w:pPr>
              <w:pStyle w:val="Tabletext"/>
            </w:pPr>
            <w:r w:rsidRPr="005071A1">
              <w:t>43</w:t>
            </w:r>
          </w:p>
        </w:tc>
        <w:tc>
          <w:tcPr>
            <w:tcW w:w="1417" w:type="dxa"/>
            <w:shd w:val="clear" w:color="auto" w:fill="auto"/>
          </w:tcPr>
          <w:p w14:paraId="50615042" w14:textId="77777777" w:rsidR="00B33542" w:rsidRPr="005071A1" w:rsidRDefault="00B33542" w:rsidP="009B7AF5">
            <w:pPr>
              <w:pStyle w:val="Tabletext"/>
            </w:pPr>
            <w:r w:rsidRPr="005071A1">
              <w:t>0.22</w:t>
            </w:r>
          </w:p>
        </w:tc>
        <w:tc>
          <w:tcPr>
            <w:tcW w:w="2693" w:type="dxa"/>
            <w:shd w:val="clear" w:color="auto" w:fill="auto"/>
          </w:tcPr>
          <w:p w14:paraId="4050DED3" w14:textId="77777777" w:rsidR="00B33542" w:rsidRPr="005071A1" w:rsidRDefault="00B33542" w:rsidP="009B7AF5">
            <w:pPr>
              <w:pStyle w:val="Tabletext"/>
            </w:pPr>
            <w:r w:rsidRPr="005071A1">
              <w:t>0.09</w:t>
            </w:r>
          </w:p>
        </w:tc>
        <w:tc>
          <w:tcPr>
            <w:tcW w:w="1985" w:type="dxa"/>
            <w:shd w:val="clear" w:color="auto" w:fill="auto"/>
          </w:tcPr>
          <w:p w14:paraId="79811F3D" w14:textId="77777777" w:rsidR="00B33542" w:rsidRPr="005071A1" w:rsidRDefault="00B33542" w:rsidP="009B7AF5">
            <w:pPr>
              <w:pStyle w:val="Tabletext"/>
            </w:pPr>
            <w:r w:rsidRPr="005071A1">
              <w:t>0.18</w:t>
            </w:r>
          </w:p>
        </w:tc>
      </w:tr>
      <w:tr w:rsidR="00B33542" w:rsidRPr="005071A1" w14:paraId="007AE419" w14:textId="77777777" w:rsidTr="009B7AF5">
        <w:tc>
          <w:tcPr>
            <w:tcW w:w="1101" w:type="dxa"/>
            <w:shd w:val="clear" w:color="auto" w:fill="auto"/>
          </w:tcPr>
          <w:p w14:paraId="147AA6B7" w14:textId="77777777" w:rsidR="00B33542" w:rsidRPr="005071A1" w:rsidRDefault="00B33542" w:rsidP="009B7AF5">
            <w:pPr>
              <w:pStyle w:val="Tabletext"/>
            </w:pPr>
            <w:r w:rsidRPr="005071A1">
              <w:t>44</w:t>
            </w:r>
          </w:p>
        </w:tc>
        <w:tc>
          <w:tcPr>
            <w:tcW w:w="1417" w:type="dxa"/>
            <w:shd w:val="clear" w:color="auto" w:fill="auto"/>
          </w:tcPr>
          <w:p w14:paraId="405A6617" w14:textId="77777777" w:rsidR="00B33542" w:rsidRPr="005071A1" w:rsidRDefault="00B33542" w:rsidP="009B7AF5">
            <w:pPr>
              <w:pStyle w:val="Tabletext"/>
            </w:pPr>
            <w:r w:rsidRPr="005071A1">
              <w:t>0.22</w:t>
            </w:r>
          </w:p>
        </w:tc>
        <w:tc>
          <w:tcPr>
            <w:tcW w:w="2693" w:type="dxa"/>
            <w:shd w:val="clear" w:color="auto" w:fill="auto"/>
          </w:tcPr>
          <w:p w14:paraId="670B4F41" w14:textId="77777777" w:rsidR="00B33542" w:rsidRPr="005071A1" w:rsidRDefault="00B33542" w:rsidP="009B7AF5">
            <w:pPr>
              <w:pStyle w:val="Tabletext"/>
            </w:pPr>
            <w:r w:rsidRPr="005071A1">
              <w:t>0.10</w:t>
            </w:r>
          </w:p>
        </w:tc>
        <w:tc>
          <w:tcPr>
            <w:tcW w:w="1985" w:type="dxa"/>
            <w:shd w:val="clear" w:color="auto" w:fill="auto"/>
          </w:tcPr>
          <w:p w14:paraId="37EC54B8" w14:textId="77777777" w:rsidR="00B33542" w:rsidRPr="005071A1" w:rsidRDefault="00B33542" w:rsidP="009B7AF5">
            <w:pPr>
              <w:pStyle w:val="Tabletext"/>
            </w:pPr>
            <w:r w:rsidRPr="005071A1">
              <w:t>0.20</w:t>
            </w:r>
          </w:p>
        </w:tc>
      </w:tr>
      <w:tr w:rsidR="00B33542" w:rsidRPr="005071A1" w14:paraId="3317A858" w14:textId="77777777" w:rsidTr="009B7AF5">
        <w:tc>
          <w:tcPr>
            <w:tcW w:w="1101" w:type="dxa"/>
            <w:shd w:val="clear" w:color="auto" w:fill="auto"/>
          </w:tcPr>
          <w:p w14:paraId="058D50FA" w14:textId="77777777" w:rsidR="00B33542" w:rsidRPr="005071A1" w:rsidRDefault="00B33542" w:rsidP="009B7AF5">
            <w:pPr>
              <w:pStyle w:val="Tabletext"/>
            </w:pPr>
            <w:r w:rsidRPr="005071A1">
              <w:t>45</w:t>
            </w:r>
          </w:p>
        </w:tc>
        <w:tc>
          <w:tcPr>
            <w:tcW w:w="1417" w:type="dxa"/>
            <w:shd w:val="clear" w:color="auto" w:fill="auto"/>
          </w:tcPr>
          <w:p w14:paraId="19683BA6" w14:textId="77777777" w:rsidR="00B33542" w:rsidRPr="005071A1" w:rsidRDefault="00B33542" w:rsidP="009B7AF5">
            <w:pPr>
              <w:pStyle w:val="Tabletext"/>
            </w:pPr>
            <w:r w:rsidRPr="005071A1">
              <w:t>0.22</w:t>
            </w:r>
          </w:p>
        </w:tc>
        <w:tc>
          <w:tcPr>
            <w:tcW w:w="2693" w:type="dxa"/>
            <w:shd w:val="clear" w:color="auto" w:fill="auto"/>
          </w:tcPr>
          <w:p w14:paraId="4EC51073" w14:textId="77777777" w:rsidR="00B33542" w:rsidRPr="005071A1" w:rsidRDefault="00B33542" w:rsidP="009B7AF5">
            <w:pPr>
              <w:pStyle w:val="Tabletext"/>
            </w:pPr>
            <w:r w:rsidRPr="005071A1">
              <w:t>0.10</w:t>
            </w:r>
          </w:p>
        </w:tc>
        <w:tc>
          <w:tcPr>
            <w:tcW w:w="1985" w:type="dxa"/>
            <w:shd w:val="clear" w:color="auto" w:fill="auto"/>
          </w:tcPr>
          <w:p w14:paraId="7914EEBC" w14:textId="77777777" w:rsidR="00B33542" w:rsidRPr="005071A1" w:rsidRDefault="00B33542" w:rsidP="009B7AF5">
            <w:pPr>
              <w:pStyle w:val="Tabletext"/>
            </w:pPr>
            <w:r w:rsidRPr="005071A1">
              <w:t>0.20</w:t>
            </w:r>
          </w:p>
        </w:tc>
      </w:tr>
      <w:tr w:rsidR="00B33542" w:rsidRPr="005071A1" w14:paraId="0E5C9F94" w14:textId="77777777" w:rsidTr="00D57394">
        <w:tc>
          <w:tcPr>
            <w:tcW w:w="1101" w:type="dxa"/>
            <w:tcBorders>
              <w:bottom w:val="single" w:sz="4" w:space="0" w:color="auto"/>
            </w:tcBorders>
            <w:shd w:val="clear" w:color="auto" w:fill="auto"/>
          </w:tcPr>
          <w:p w14:paraId="2DA21029" w14:textId="77777777" w:rsidR="00B33542" w:rsidRPr="005071A1" w:rsidRDefault="00B33542" w:rsidP="009B7AF5">
            <w:pPr>
              <w:pStyle w:val="Tabletext"/>
            </w:pPr>
            <w:r w:rsidRPr="005071A1">
              <w:t>46</w:t>
            </w:r>
          </w:p>
        </w:tc>
        <w:tc>
          <w:tcPr>
            <w:tcW w:w="1417" w:type="dxa"/>
            <w:tcBorders>
              <w:bottom w:val="single" w:sz="4" w:space="0" w:color="auto"/>
            </w:tcBorders>
            <w:shd w:val="clear" w:color="auto" w:fill="auto"/>
          </w:tcPr>
          <w:p w14:paraId="3D52C6B7" w14:textId="77777777" w:rsidR="00B33542" w:rsidRPr="005071A1" w:rsidRDefault="00B33542" w:rsidP="009B7AF5">
            <w:pPr>
              <w:pStyle w:val="Tabletext"/>
            </w:pPr>
            <w:r w:rsidRPr="005071A1">
              <w:t>0.26</w:t>
            </w:r>
          </w:p>
        </w:tc>
        <w:tc>
          <w:tcPr>
            <w:tcW w:w="2693" w:type="dxa"/>
            <w:tcBorders>
              <w:bottom w:val="single" w:sz="4" w:space="0" w:color="auto"/>
            </w:tcBorders>
            <w:shd w:val="clear" w:color="auto" w:fill="auto"/>
          </w:tcPr>
          <w:p w14:paraId="2B9E41CF" w14:textId="77777777" w:rsidR="00B33542" w:rsidRPr="005071A1" w:rsidRDefault="00B33542" w:rsidP="009B7AF5">
            <w:pPr>
              <w:pStyle w:val="Tabletext"/>
            </w:pPr>
            <w:r w:rsidRPr="005071A1">
              <w:t>0.11</w:t>
            </w:r>
          </w:p>
        </w:tc>
        <w:tc>
          <w:tcPr>
            <w:tcW w:w="1985" w:type="dxa"/>
            <w:tcBorders>
              <w:bottom w:val="single" w:sz="4" w:space="0" w:color="auto"/>
            </w:tcBorders>
            <w:shd w:val="clear" w:color="auto" w:fill="auto"/>
          </w:tcPr>
          <w:p w14:paraId="714F682E" w14:textId="77777777" w:rsidR="00B33542" w:rsidRPr="005071A1" w:rsidRDefault="00B33542" w:rsidP="009B7AF5">
            <w:pPr>
              <w:pStyle w:val="Tabletext"/>
            </w:pPr>
            <w:r w:rsidRPr="005071A1">
              <w:t>0.22</w:t>
            </w:r>
          </w:p>
        </w:tc>
      </w:tr>
      <w:tr w:rsidR="00B33542" w:rsidRPr="005071A1" w14:paraId="58B91388" w14:textId="77777777" w:rsidTr="00D57394">
        <w:tc>
          <w:tcPr>
            <w:tcW w:w="1101" w:type="dxa"/>
            <w:tcBorders>
              <w:bottom w:val="single" w:sz="4" w:space="0" w:color="auto"/>
            </w:tcBorders>
            <w:shd w:val="clear" w:color="auto" w:fill="auto"/>
          </w:tcPr>
          <w:p w14:paraId="1262B5C7" w14:textId="77777777" w:rsidR="00B33542" w:rsidRPr="005071A1" w:rsidRDefault="00B33542" w:rsidP="009B7AF5">
            <w:pPr>
              <w:pStyle w:val="Tabletext"/>
            </w:pPr>
            <w:r w:rsidRPr="005071A1">
              <w:t>47</w:t>
            </w:r>
          </w:p>
        </w:tc>
        <w:tc>
          <w:tcPr>
            <w:tcW w:w="1417" w:type="dxa"/>
            <w:tcBorders>
              <w:bottom w:val="single" w:sz="4" w:space="0" w:color="auto"/>
            </w:tcBorders>
            <w:shd w:val="clear" w:color="auto" w:fill="auto"/>
          </w:tcPr>
          <w:p w14:paraId="6FE451EE" w14:textId="77777777" w:rsidR="00B33542" w:rsidRPr="005071A1" w:rsidRDefault="00B33542" w:rsidP="009B7AF5">
            <w:pPr>
              <w:pStyle w:val="Tabletext"/>
            </w:pPr>
            <w:r w:rsidRPr="005071A1">
              <w:t>0.28</w:t>
            </w:r>
          </w:p>
        </w:tc>
        <w:tc>
          <w:tcPr>
            <w:tcW w:w="2693" w:type="dxa"/>
            <w:tcBorders>
              <w:bottom w:val="single" w:sz="4" w:space="0" w:color="auto"/>
            </w:tcBorders>
            <w:shd w:val="clear" w:color="auto" w:fill="auto"/>
          </w:tcPr>
          <w:p w14:paraId="252811F8" w14:textId="77777777" w:rsidR="00B33542" w:rsidRPr="005071A1" w:rsidRDefault="00B33542" w:rsidP="009B7AF5">
            <w:pPr>
              <w:pStyle w:val="Tabletext"/>
            </w:pPr>
            <w:r w:rsidRPr="005071A1">
              <w:t>0.12</w:t>
            </w:r>
          </w:p>
        </w:tc>
        <w:tc>
          <w:tcPr>
            <w:tcW w:w="1985" w:type="dxa"/>
            <w:tcBorders>
              <w:bottom w:val="single" w:sz="4" w:space="0" w:color="auto"/>
            </w:tcBorders>
            <w:shd w:val="clear" w:color="auto" w:fill="auto"/>
          </w:tcPr>
          <w:p w14:paraId="0D463056" w14:textId="77777777" w:rsidR="00B33542" w:rsidRPr="005071A1" w:rsidRDefault="00B33542" w:rsidP="009B7AF5">
            <w:pPr>
              <w:pStyle w:val="Tabletext"/>
            </w:pPr>
            <w:r w:rsidRPr="005071A1">
              <w:t>0.24</w:t>
            </w:r>
          </w:p>
        </w:tc>
      </w:tr>
      <w:tr w:rsidR="00B33542" w:rsidRPr="005071A1" w14:paraId="06F4FE81" w14:textId="77777777" w:rsidTr="00640BB6">
        <w:tc>
          <w:tcPr>
            <w:tcW w:w="1101" w:type="dxa"/>
            <w:tcBorders>
              <w:top w:val="single" w:sz="4" w:space="0" w:color="auto"/>
              <w:bottom w:val="single" w:sz="4" w:space="0" w:color="auto"/>
            </w:tcBorders>
            <w:shd w:val="clear" w:color="auto" w:fill="auto"/>
          </w:tcPr>
          <w:p w14:paraId="4F2F1C66" w14:textId="77777777" w:rsidR="00B33542" w:rsidRPr="005071A1" w:rsidRDefault="00B33542" w:rsidP="009B7AF5">
            <w:pPr>
              <w:pStyle w:val="Tabletext"/>
            </w:pPr>
            <w:r w:rsidRPr="005071A1">
              <w:t>48</w:t>
            </w:r>
          </w:p>
        </w:tc>
        <w:tc>
          <w:tcPr>
            <w:tcW w:w="1417" w:type="dxa"/>
            <w:tcBorders>
              <w:top w:val="single" w:sz="4" w:space="0" w:color="auto"/>
              <w:bottom w:val="single" w:sz="4" w:space="0" w:color="auto"/>
            </w:tcBorders>
            <w:shd w:val="clear" w:color="auto" w:fill="auto"/>
          </w:tcPr>
          <w:p w14:paraId="5D6166A5" w14:textId="77777777" w:rsidR="00B33542" w:rsidRPr="005071A1" w:rsidRDefault="00B33542" w:rsidP="009B7AF5">
            <w:pPr>
              <w:pStyle w:val="Tabletext"/>
            </w:pPr>
            <w:r w:rsidRPr="005071A1">
              <w:t>0.28</w:t>
            </w:r>
          </w:p>
        </w:tc>
        <w:tc>
          <w:tcPr>
            <w:tcW w:w="2693" w:type="dxa"/>
            <w:tcBorders>
              <w:top w:val="single" w:sz="4" w:space="0" w:color="auto"/>
              <w:bottom w:val="single" w:sz="4" w:space="0" w:color="auto"/>
            </w:tcBorders>
            <w:shd w:val="clear" w:color="auto" w:fill="auto"/>
          </w:tcPr>
          <w:p w14:paraId="7CABAFDD" w14:textId="77777777" w:rsidR="00B33542" w:rsidRPr="005071A1" w:rsidRDefault="00B33542" w:rsidP="009B7AF5">
            <w:pPr>
              <w:pStyle w:val="Tabletext"/>
            </w:pPr>
            <w:r w:rsidRPr="005071A1">
              <w:t>0.13</w:t>
            </w:r>
          </w:p>
        </w:tc>
        <w:tc>
          <w:tcPr>
            <w:tcW w:w="1985" w:type="dxa"/>
            <w:tcBorders>
              <w:top w:val="single" w:sz="4" w:space="0" w:color="auto"/>
              <w:bottom w:val="single" w:sz="4" w:space="0" w:color="auto"/>
            </w:tcBorders>
            <w:shd w:val="clear" w:color="auto" w:fill="auto"/>
          </w:tcPr>
          <w:p w14:paraId="6186AF03" w14:textId="77777777" w:rsidR="00B33542" w:rsidRPr="005071A1" w:rsidRDefault="00B33542" w:rsidP="009B7AF5">
            <w:pPr>
              <w:pStyle w:val="Tabletext"/>
            </w:pPr>
            <w:r w:rsidRPr="005071A1">
              <w:t>0.26</w:t>
            </w:r>
          </w:p>
        </w:tc>
      </w:tr>
      <w:tr w:rsidR="00B33542" w:rsidRPr="005071A1" w14:paraId="15871810" w14:textId="77777777" w:rsidTr="00640BB6">
        <w:tc>
          <w:tcPr>
            <w:tcW w:w="1101" w:type="dxa"/>
            <w:tcBorders>
              <w:bottom w:val="single" w:sz="4" w:space="0" w:color="auto"/>
            </w:tcBorders>
            <w:shd w:val="clear" w:color="auto" w:fill="auto"/>
          </w:tcPr>
          <w:p w14:paraId="7FD44A5D" w14:textId="77777777" w:rsidR="00B33542" w:rsidRPr="005071A1" w:rsidRDefault="00B33542" w:rsidP="009B7AF5">
            <w:pPr>
              <w:pStyle w:val="Tabletext"/>
            </w:pPr>
            <w:r w:rsidRPr="005071A1">
              <w:t>49</w:t>
            </w:r>
          </w:p>
        </w:tc>
        <w:tc>
          <w:tcPr>
            <w:tcW w:w="1417" w:type="dxa"/>
            <w:tcBorders>
              <w:bottom w:val="single" w:sz="4" w:space="0" w:color="auto"/>
            </w:tcBorders>
            <w:shd w:val="clear" w:color="auto" w:fill="auto"/>
          </w:tcPr>
          <w:p w14:paraId="0E35D823" w14:textId="77777777" w:rsidR="00B33542" w:rsidRPr="005071A1" w:rsidRDefault="00B33542" w:rsidP="009B7AF5">
            <w:pPr>
              <w:pStyle w:val="Tabletext"/>
            </w:pPr>
            <w:r w:rsidRPr="005071A1">
              <w:t>0.32</w:t>
            </w:r>
          </w:p>
        </w:tc>
        <w:tc>
          <w:tcPr>
            <w:tcW w:w="2693" w:type="dxa"/>
            <w:tcBorders>
              <w:bottom w:val="single" w:sz="4" w:space="0" w:color="auto"/>
            </w:tcBorders>
            <w:shd w:val="clear" w:color="auto" w:fill="auto"/>
          </w:tcPr>
          <w:p w14:paraId="42B15E0D" w14:textId="77777777" w:rsidR="00B33542" w:rsidRPr="005071A1" w:rsidRDefault="00B33542" w:rsidP="009B7AF5">
            <w:pPr>
              <w:pStyle w:val="Tabletext"/>
            </w:pPr>
            <w:r w:rsidRPr="005071A1">
              <w:t>0.14</w:t>
            </w:r>
          </w:p>
        </w:tc>
        <w:tc>
          <w:tcPr>
            <w:tcW w:w="1985" w:type="dxa"/>
            <w:tcBorders>
              <w:bottom w:val="single" w:sz="4" w:space="0" w:color="auto"/>
            </w:tcBorders>
            <w:shd w:val="clear" w:color="auto" w:fill="auto"/>
          </w:tcPr>
          <w:p w14:paraId="2972006D" w14:textId="77777777" w:rsidR="00B33542" w:rsidRPr="005071A1" w:rsidRDefault="00B33542" w:rsidP="009B7AF5">
            <w:pPr>
              <w:pStyle w:val="Tabletext"/>
            </w:pPr>
            <w:r w:rsidRPr="005071A1">
              <w:t>0.28</w:t>
            </w:r>
          </w:p>
        </w:tc>
      </w:tr>
      <w:tr w:rsidR="00B33542" w:rsidRPr="005071A1" w14:paraId="721DFEC5" w14:textId="77777777" w:rsidTr="00640BB6">
        <w:tc>
          <w:tcPr>
            <w:tcW w:w="1101" w:type="dxa"/>
            <w:tcBorders>
              <w:top w:val="single" w:sz="4" w:space="0" w:color="auto"/>
            </w:tcBorders>
            <w:shd w:val="clear" w:color="auto" w:fill="auto"/>
          </w:tcPr>
          <w:p w14:paraId="7AB2D5B5" w14:textId="77777777" w:rsidR="00B33542" w:rsidRPr="005071A1" w:rsidRDefault="00B33542" w:rsidP="009B7AF5">
            <w:pPr>
              <w:pStyle w:val="Tabletext"/>
            </w:pPr>
            <w:r w:rsidRPr="005071A1">
              <w:t>50</w:t>
            </w:r>
          </w:p>
        </w:tc>
        <w:tc>
          <w:tcPr>
            <w:tcW w:w="1417" w:type="dxa"/>
            <w:tcBorders>
              <w:top w:val="single" w:sz="4" w:space="0" w:color="auto"/>
            </w:tcBorders>
            <w:shd w:val="clear" w:color="auto" w:fill="auto"/>
          </w:tcPr>
          <w:p w14:paraId="39BD6DED" w14:textId="77777777" w:rsidR="00B33542" w:rsidRPr="005071A1" w:rsidRDefault="00B33542" w:rsidP="009B7AF5">
            <w:pPr>
              <w:pStyle w:val="Tabletext"/>
            </w:pPr>
            <w:r w:rsidRPr="005071A1">
              <w:t>0.36</w:t>
            </w:r>
          </w:p>
        </w:tc>
        <w:tc>
          <w:tcPr>
            <w:tcW w:w="2693" w:type="dxa"/>
            <w:tcBorders>
              <w:top w:val="single" w:sz="4" w:space="0" w:color="auto"/>
            </w:tcBorders>
            <w:shd w:val="clear" w:color="auto" w:fill="auto"/>
          </w:tcPr>
          <w:p w14:paraId="332EE99A" w14:textId="77777777" w:rsidR="00B33542" w:rsidRPr="005071A1" w:rsidRDefault="00B33542" w:rsidP="009B7AF5">
            <w:pPr>
              <w:pStyle w:val="Tabletext"/>
            </w:pPr>
            <w:r w:rsidRPr="005071A1">
              <w:t>0.16</w:t>
            </w:r>
          </w:p>
        </w:tc>
        <w:tc>
          <w:tcPr>
            <w:tcW w:w="1985" w:type="dxa"/>
            <w:tcBorders>
              <w:top w:val="single" w:sz="4" w:space="0" w:color="auto"/>
            </w:tcBorders>
            <w:shd w:val="clear" w:color="auto" w:fill="auto"/>
          </w:tcPr>
          <w:p w14:paraId="29C47DE2" w14:textId="77777777" w:rsidR="00B33542" w:rsidRPr="005071A1" w:rsidRDefault="00B33542" w:rsidP="009B7AF5">
            <w:pPr>
              <w:pStyle w:val="Tabletext"/>
            </w:pPr>
            <w:r w:rsidRPr="005071A1">
              <w:t>0.32</w:t>
            </w:r>
          </w:p>
        </w:tc>
      </w:tr>
      <w:tr w:rsidR="00B33542" w:rsidRPr="005071A1" w14:paraId="48B0E330" w14:textId="77777777" w:rsidTr="009B7AF5">
        <w:tc>
          <w:tcPr>
            <w:tcW w:w="1101" w:type="dxa"/>
            <w:shd w:val="clear" w:color="auto" w:fill="auto"/>
          </w:tcPr>
          <w:p w14:paraId="03C3CA33" w14:textId="77777777" w:rsidR="00B33542" w:rsidRPr="005071A1" w:rsidRDefault="00B33542" w:rsidP="009B7AF5">
            <w:pPr>
              <w:pStyle w:val="Tabletext"/>
            </w:pPr>
            <w:r w:rsidRPr="005071A1">
              <w:t>51</w:t>
            </w:r>
          </w:p>
        </w:tc>
        <w:tc>
          <w:tcPr>
            <w:tcW w:w="1417" w:type="dxa"/>
            <w:shd w:val="clear" w:color="auto" w:fill="auto"/>
          </w:tcPr>
          <w:p w14:paraId="0930B91C" w14:textId="77777777" w:rsidR="00B33542" w:rsidRPr="005071A1" w:rsidRDefault="00B33542" w:rsidP="009B7AF5">
            <w:pPr>
              <w:pStyle w:val="Tabletext"/>
            </w:pPr>
            <w:r w:rsidRPr="005071A1">
              <w:t>0.38</w:t>
            </w:r>
          </w:p>
        </w:tc>
        <w:tc>
          <w:tcPr>
            <w:tcW w:w="2693" w:type="dxa"/>
            <w:shd w:val="clear" w:color="auto" w:fill="auto"/>
          </w:tcPr>
          <w:p w14:paraId="2D3A0B97" w14:textId="77777777" w:rsidR="00B33542" w:rsidRPr="005071A1" w:rsidRDefault="00B33542" w:rsidP="009B7AF5">
            <w:pPr>
              <w:pStyle w:val="Tabletext"/>
            </w:pPr>
            <w:r w:rsidRPr="005071A1">
              <w:t>0.17</w:t>
            </w:r>
          </w:p>
        </w:tc>
        <w:tc>
          <w:tcPr>
            <w:tcW w:w="1985" w:type="dxa"/>
            <w:shd w:val="clear" w:color="auto" w:fill="auto"/>
          </w:tcPr>
          <w:p w14:paraId="26DB5DF9" w14:textId="77777777" w:rsidR="00B33542" w:rsidRPr="005071A1" w:rsidRDefault="00B33542" w:rsidP="009B7AF5">
            <w:pPr>
              <w:pStyle w:val="Tabletext"/>
            </w:pPr>
            <w:r w:rsidRPr="005071A1">
              <w:t>0.34</w:t>
            </w:r>
          </w:p>
        </w:tc>
      </w:tr>
      <w:tr w:rsidR="00B33542" w:rsidRPr="005071A1" w14:paraId="77A1B159" w14:textId="77777777" w:rsidTr="009B7AF5">
        <w:tc>
          <w:tcPr>
            <w:tcW w:w="1101" w:type="dxa"/>
            <w:shd w:val="clear" w:color="auto" w:fill="auto"/>
          </w:tcPr>
          <w:p w14:paraId="45087816" w14:textId="77777777" w:rsidR="00B33542" w:rsidRPr="005071A1" w:rsidRDefault="00B33542" w:rsidP="009B7AF5">
            <w:pPr>
              <w:pStyle w:val="Tabletext"/>
            </w:pPr>
            <w:r w:rsidRPr="005071A1">
              <w:t>52</w:t>
            </w:r>
          </w:p>
        </w:tc>
        <w:tc>
          <w:tcPr>
            <w:tcW w:w="1417" w:type="dxa"/>
            <w:shd w:val="clear" w:color="auto" w:fill="auto"/>
          </w:tcPr>
          <w:p w14:paraId="70F3C10D" w14:textId="77777777" w:rsidR="00B33542" w:rsidRPr="005071A1" w:rsidRDefault="00B33542" w:rsidP="009B7AF5">
            <w:pPr>
              <w:pStyle w:val="Tabletext"/>
            </w:pPr>
            <w:r w:rsidRPr="005071A1">
              <w:t>0.44</w:t>
            </w:r>
          </w:p>
        </w:tc>
        <w:tc>
          <w:tcPr>
            <w:tcW w:w="2693" w:type="dxa"/>
            <w:shd w:val="clear" w:color="auto" w:fill="auto"/>
          </w:tcPr>
          <w:p w14:paraId="5242007D" w14:textId="77777777" w:rsidR="00B33542" w:rsidRPr="005071A1" w:rsidRDefault="00B33542" w:rsidP="009B7AF5">
            <w:pPr>
              <w:pStyle w:val="Tabletext"/>
            </w:pPr>
            <w:r w:rsidRPr="005071A1">
              <w:t>0.20</w:t>
            </w:r>
          </w:p>
        </w:tc>
        <w:tc>
          <w:tcPr>
            <w:tcW w:w="1985" w:type="dxa"/>
            <w:shd w:val="clear" w:color="auto" w:fill="auto"/>
          </w:tcPr>
          <w:p w14:paraId="4919A37C" w14:textId="77777777" w:rsidR="00B33542" w:rsidRPr="005071A1" w:rsidRDefault="00B33542" w:rsidP="009B7AF5">
            <w:pPr>
              <w:pStyle w:val="Tabletext"/>
            </w:pPr>
            <w:r w:rsidRPr="005071A1">
              <w:t>0.40</w:t>
            </w:r>
          </w:p>
        </w:tc>
      </w:tr>
      <w:tr w:rsidR="00B33542" w:rsidRPr="005071A1" w14:paraId="7F89890B" w14:textId="77777777" w:rsidTr="009B7AF5">
        <w:tc>
          <w:tcPr>
            <w:tcW w:w="1101" w:type="dxa"/>
            <w:shd w:val="clear" w:color="auto" w:fill="auto"/>
          </w:tcPr>
          <w:p w14:paraId="111D935A" w14:textId="77777777" w:rsidR="00B33542" w:rsidRPr="005071A1" w:rsidRDefault="00B33542" w:rsidP="009B7AF5">
            <w:pPr>
              <w:pStyle w:val="Tabletext"/>
            </w:pPr>
            <w:r w:rsidRPr="005071A1">
              <w:t>53</w:t>
            </w:r>
          </w:p>
        </w:tc>
        <w:tc>
          <w:tcPr>
            <w:tcW w:w="1417" w:type="dxa"/>
            <w:shd w:val="clear" w:color="auto" w:fill="auto"/>
          </w:tcPr>
          <w:p w14:paraId="36AAAC74" w14:textId="77777777" w:rsidR="00B33542" w:rsidRPr="005071A1" w:rsidRDefault="00B33542" w:rsidP="009B7AF5">
            <w:pPr>
              <w:pStyle w:val="Tabletext"/>
            </w:pPr>
            <w:r w:rsidRPr="005071A1">
              <w:t>0.50</w:t>
            </w:r>
          </w:p>
        </w:tc>
        <w:tc>
          <w:tcPr>
            <w:tcW w:w="2693" w:type="dxa"/>
            <w:shd w:val="clear" w:color="auto" w:fill="auto"/>
          </w:tcPr>
          <w:p w14:paraId="4CA69FED" w14:textId="77777777" w:rsidR="00B33542" w:rsidRPr="005071A1" w:rsidRDefault="00B33542" w:rsidP="009B7AF5">
            <w:pPr>
              <w:pStyle w:val="Tabletext"/>
            </w:pPr>
            <w:r w:rsidRPr="005071A1">
              <w:t>0.23</w:t>
            </w:r>
          </w:p>
        </w:tc>
        <w:tc>
          <w:tcPr>
            <w:tcW w:w="1985" w:type="dxa"/>
            <w:shd w:val="clear" w:color="auto" w:fill="auto"/>
          </w:tcPr>
          <w:p w14:paraId="2F52335F" w14:textId="77777777" w:rsidR="00B33542" w:rsidRPr="005071A1" w:rsidRDefault="00B33542" w:rsidP="009B7AF5">
            <w:pPr>
              <w:pStyle w:val="Tabletext"/>
            </w:pPr>
            <w:r w:rsidRPr="005071A1">
              <w:t>0.46</w:t>
            </w:r>
          </w:p>
        </w:tc>
      </w:tr>
      <w:tr w:rsidR="00B33542" w:rsidRPr="005071A1" w14:paraId="2B8DF5A0" w14:textId="77777777" w:rsidTr="009B7AF5">
        <w:tc>
          <w:tcPr>
            <w:tcW w:w="1101" w:type="dxa"/>
            <w:shd w:val="clear" w:color="auto" w:fill="auto"/>
          </w:tcPr>
          <w:p w14:paraId="5A5B5A6A" w14:textId="77777777" w:rsidR="00B33542" w:rsidRPr="005071A1" w:rsidRDefault="00B33542" w:rsidP="009B7AF5">
            <w:pPr>
              <w:pStyle w:val="Tabletext"/>
            </w:pPr>
            <w:r w:rsidRPr="005071A1">
              <w:t>54</w:t>
            </w:r>
          </w:p>
        </w:tc>
        <w:tc>
          <w:tcPr>
            <w:tcW w:w="1417" w:type="dxa"/>
            <w:shd w:val="clear" w:color="auto" w:fill="auto"/>
          </w:tcPr>
          <w:p w14:paraId="7DA8723D" w14:textId="77777777" w:rsidR="00B33542" w:rsidRPr="005071A1" w:rsidRDefault="00B33542" w:rsidP="009B7AF5">
            <w:pPr>
              <w:pStyle w:val="Tabletext"/>
            </w:pPr>
            <w:r w:rsidRPr="005071A1">
              <w:t>0.60</w:t>
            </w:r>
          </w:p>
        </w:tc>
        <w:tc>
          <w:tcPr>
            <w:tcW w:w="2693" w:type="dxa"/>
            <w:shd w:val="clear" w:color="auto" w:fill="auto"/>
          </w:tcPr>
          <w:p w14:paraId="42339747" w14:textId="77777777" w:rsidR="00B33542" w:rsidRPr="005071A1" w:rsidRDefault="00B33542" w:rsidP="009B7AF5">
            <w:pPr>
              <w:pStyle w:val="Tabletext"/>
            </w:pPr>
            <w:r w:rsidRPr="005071A1">
              <w:t>0.27</w:t>
            </w:r>
          </w:p>
        </w:tc>
        <w:tc>
          <w:tcPr>
            <w:tcW w:w="1985" w:type="dxa"/>
            <w:shd w:val="clear" w:color="auto" w:fill="auto"/>
          </w:tcPr>
          <w:p w14:paraId="503F6837" w14:textId="77777777" w:rsidR="00B33542" w:rsidRPr="005071A1" w:rsidRDefault="00B33542" w:rsidP="009B7AF5">
            <w:pPr>
              <w:pStyle w:val="Tabletext"/>
            </w:pPr>
            <w:r w:rsidRPr="005071A1">
              <w:t>0.54</w:t>
            </w:r>
          </w:p>
        </w:tc>
      </w:tr>
      <w:tr w:rsidR="00F617A1" w:rsidRPr="005071A1" w14:paraId="211798A8" w14:textId="77777777" w:rsidTr="009B7AF5">
        <w:tc>
          <w:tcPr>
            <w:tcW w:w="1101" w:type="dxa"/>
            <w:shd w:val="clear" w:color="auto" w:fill="auto"/>
          </w:tcPr>
          <w:p w14:paraId="0014C755" w14:textId="77777777" w:rsidR="00F617A1" w:rsidRPr="005071A1" w:rsidRDefault="00F617A1" w:rsidP="009B7AF5">
            <w:pPr>
              <w:pStyle w:val="Tabletext"/>
            </w:pPr>
            <w:r w:rsidRPr="005071A1">
              <w:t>55</w:t>
            </w:r>
          </w:p>
        </w:tc>
        <w:tc>
          <w:tcPr>
            <w:tcW w:w="1417" w:type="dxa"/>
            <w:shd w:val="clear" w:color="auto" w:fill="auto"/>
          </w:tcPr>
          <w:p w14:paraId="382FB0F1" w14:textId="77777777" w:rsidR="00F617A1" w:rsidRPr="005071A1" w:rsidRDefault="00F617A1" w:rsidP="009B7AF5">
            <w:pPr>
              <w:pStyle w:val="Tabletext"/>
            </w:pPr>
            <w:r w:rsidRPr="005071A1">
              <w:t>0.72</w:t>
            </w:r>
          </w:p>
        </w:tc>
        <w:tc>
          <w:tcPr>
            <w:tcW w:w="2693" w:type="dxa"/>
            <w:shd w:val="clear" w:color="auto" w:fill="auto"/>
          </w:tcPr>
          <w:p w14:paraId="18A3D5B6" w14:textId="77777777" w:rsidR="00F617A1" w:rsidRPr="005071A1" w:rsidRDefault="00F617A1" w:rsidP="009B7AF5">
            <w:pPr>
              <w:pStyle w:val="Tabletext"/>
            </w:pPr>
            <w:r w:rsidRPr="005071A1">
              <w:t>0.33</w:t>
            </w:r>
          </w:p>
        </w:tc>
        <w:tc>
          <w:tcPr>
            <w:tcW w:w="1985" w:type="dxa"/>
            <w:shd w:val="clear" w:color="auto" w:fill="auto"/>
          </w:tcPr>
          <w:p w14:paraId="604A6528" w14:textId="77777777" w:rsidR="00F617A1" w:rsidRPr="005071A1" w:rsidRDefault="00F617A1" w:rsidP="009B7AF5">
            <w:pPr>
              <w:pStyle w:val="Tabletext"/>
            </w:pPr>
            <w:r w:rsidRPr="005071A1">
              <w:t>0.66</w:t>
            </w:r>
          </w:p>
        </w:tc>
      </w:tr>
      <w:tr w:rsidR="00B33542" w:rsidRPr="005071A1" w14:paraId="781736DD" w14:textId="77777777" w:rsidTr="009B7AF5">
        <w:tc>
          <w:tcPr>
            <w:tcW w:w="1101" w:type="dxa"/>
            <w:shd w:val="clear" w:color="auto" w:fill="auto"/>
          </w:tcPr>
          <w:p w14:paraId="214838CE" w14:textId="77777777" w:rsidR="00B33542" w:rsidRPr="005071A1" w:rsidRDefault="00B33542" w:rsidP="009B7AF5">
            <w:pPr>
              <w:pStyle w:val="Tabletext"/>
            </w:pPr>
            <w:r w:rsidRPr="005071A1">
              <w:t>56</w:t>
            </w:r>
          </w:p>
        </w:tc>
        <w:tc>
          <w:tcPr>
            <w:tcW w:w="1417" w:type="dxa"/>
            <w:shd w:val="clear" w:color="auto" w:fill="auto"/>
          </w:tcPr>
          <w:p w14:paraId="6AB7ED28" w14:textId="77777777" w:rsidR="00B33542" w:rsidRPr="005071A1" w:rsidRDefault="00B33542" w:rsidP="009B7AF5">
            <w:pPr>
              <w:pStyle w:val="Tabletext"/>
            </w:pPr>
            <w:r w:rsidRPr="005071A1">
              <w:t>0.86</w:t>
            </w:r>
          </w:p>
        </w:tc>
        <w:tc>
          <w:tcPr>
            <w:tcW w:w="2693" w:type="dxa"/>
            <w:shd w:val="clear" w:color="auto" w:fill="auto"/>
          </w:tcPr>
          <w:p w14:paraId="2D120BD2" w14:textId="77777777" w:rsidR="00B33542" w:rsidRPr="005071A1" w:rsidRDefault="00B33542" w:rsidP="009B7AF5">
            <w:pPr>
              <w:pStyle w:val="Tabletext"/>
            </w:pPr>
            <w:r w:rsidRPr="005071A1">
              <w:t>0.40</w:t>
            </w:r>
          </w:p>
        </w:tc>
        <w:tc>
          <w:tcPr>
            <w:tcW w:w="1985" w:type="dxa"/>
            <w:shd w:val="clear" w:color="auto" w:fill="auto"/>
          </w:tcPr>
          <w:p w14:paraId="285C4D89" w14:textId="77777777" w:rsidR="00B33542" w:rsidRPr="005071A1" w:rsidRDefault="00B33542" w:rsidP="009B7AF5">
            <w:pPr>
              <w:pStyle w:val="Tabletext"/>
            </w:pPr>
            <w:r w:rsidRPr="005071A1">
              <w:t>0.80</w:t>
            </w:r>
          </w:p>
        </w:tc>
      </w:tr>
      <w:tr w:rsidR="00B33542" w:rsidRPr="005071A1" w14:paraId="004F0D43" w14:textId="77777777" w:rsidTr="009B7AF5">
        <w:tc>
          <w:tcPr>
            <w:tcW w:w="1101" w:type="dxa"/>
            <w:shd w:val="clear" w:color="auto" w:fill="auto"/>
          </w:tcPr>
          <w:p w14:paraId="2DA0C209" w14:textId="77777777" w:rsidR="00B33542" w:rsidRPr="005071A1" w:rsidRDefault="00B33542" w:rsidP="009B7AF5">
            <w:pPr>
              <w:pStyle w:val="Tabletext"/>
            </w:pPr>
            <w:r w:rsidRPr="005071A1">
              <w:t>57</w:t>
            </w:r>
          </w:p>
        </w:tc>
        <w:tc>
          <w:tcPr>
            <w:tcW w:w="1417" w:type="dxa"/>
            <w:shd w:val="clear" w:color="auto" w:fill="auto"/>
          </w:tcPr>
          <w:p w14:paraId="0B408F97" w14:textId="77777777" w:rsidR="00B33542" w:rsidRPr="005071A1" w:rsidRDefault="00B33542" w:rsidP="009B7AF5">
            <w:pPr>
              <w:pStyle w:val="Tabletext"/>
            </w:pPr>
            <w:r w:rsidRPr="005071A1">
              <w:t>1.14</w:t>
            </w:r>
          </w:p>
        </w:tc>
        <w:tc>
          <w:tcPr>
            <w:tcW w:w="2693" w:type="dxa"/>
            <w:shd w:val="clear" w:color="auto" w:fill="auto"/>
          </w:tcPr>
          <w:p w14:paraId="46D14FCC" w14:textId="77777777" w:rsidR="00B33542" w:rsidRPr="005071A1" w:rsidRDefault="00B33542" w:rsidP="009B7AF5">
            <w:pPr>
              <w:pStyle w:val="Tabletext"/>
            </w:pPr>
            <w:r w:rsidRPr="005071A1">
              <w:t>0.53</w:t>
            </w:r>
          </w:p>
        </w:tc>
        <w:tc>
          <w:tcPr>
            <w:tcW w:w="1985" w:type="dxa"/>
            <w:shd w:val="clear" w:color="auto" w:fill="auto"/>
          </w:tcPr>
          <w:p w14:paraId="66EF2AEF" w14:textId="77777777" w:rsidR="00B33542" w:rsidRPr="005071A1" w:rsidRDefault="00B33542" w:rsidP="009B7AF5">
            <w:pPr>
              <w:pStyle w:val="Tabletext"/>
            </w:pPr>
            <w:r w:rsidRPr="005071A1">
              <w:t>1.06</w:t>
            </w:r>
            <w:bookmarkStart w:id="322" w:name="opcCurrentPosition"/>
            <w:bookmarkEnd w:id="322"/>
          </w:p>
        </w:tc>
      </w:tr>
      <w:tr w:rsidR="00B33542" w:rsidRPr="005071A1" w14:paraId="5C5901B2" w14:textId="77777777" w:rsidTr="009B7AF5">
        <w:tc>
          <w:tcPr>
            <w:tcW w:w="1101" w:type="dxa"/>
            <w:shd w:val="clear" w:color="auto" w:fill="auto"/>
          </w:tcPr>
          <w:p w14:paraId="73BC6F2C" w14:textId="77777777" w:rsidR="00B33542" w:rsidRPr="005071A1" w:rsidRDefault="00B33542" w:rsidP="009B7AF5">
            <w:pPr>
              <w:pStyle w:val="Tabletext"/>
            </w:pPr>
            <w:r w:rsidRPr="005071A1">
              <w:t>58</w:t>
            </w:r>
          </w:p>
        </w:tc>
        <w:tc>
          <w:tcPr>
            <w:tcW w:w="1417" w:type="dxa"/>
            <w:shd w:val="clear" w:color="auto" w:fill="auto"/>
          </w:tcPr>
          <w:p w14:paraId="1F01CECB" w14:textId="77777777" w:rsidR="00B33542" w:rsidRPr="005071A1" w:rsidRDefault="00B33542" w:rsidP="009B7AF5">
            <w:pPr>
              <w:pStyle w:val="Tabletext"/>
            </w:pPr>
            <w:r w:rsidRPr="005071A1">
              <w:t>1.68</w:t>
            </w:r>
          </w:p>
        </w:tc>
        <w:tc>
          <w:tcPr>
            <w:tcW w:w="2693" w:type="dxa"/>
            <w:shd w:val="clear" w:color="auto" w:fill="auto"/>
          </w:tcPr>
          <w:p w14:paraId="23670183" w14:textId="77777777" w:rsidR="00B33542" w:rsidRPr="005071A1" w:rsidRDefault="00B33542" w:rsidP="009B7AF5">
            <w:pPr>
              <w:pStyle w:val="Tabletext"/>
            </w:pPr>
            <w:r w:rsidRPr="005071A1">
              <w:t>0.79</w:t>
            </w:r>
          </w:p>
        </w:tc>
        <w:tc>
          <w:tcPr>
            <w:tcW w:w="1985" w:type="dxa"/>
            <w:shd w:val="clear" w:color="auto" w:fill="auto"/>
          </w:tcPr>
          <w:p w14:paraId="41B1C82B" w14:textId="77777777" w:rsidR="00B33542" w:rsidRPr="005071A1" w:rsidRDefault="00B33542" w:rsidP="009B7AF5">
            <w:pPr>
              <w:pStyle w:val="Tabletext"/>
            </w:pPr>
            <w:r w:rsidRPr="005071A1">
              <w:t>1.58</w:t>
            </w:r>
          </w:p>
        </w:tc>
      </w:tr>
      <w:tr w:rsidR="00B33542" w:rsidRPr="005071A1" w14:paraId="5A99A978" w14:textId="77777777" w:rsidTr="009B7AF5">
        <w:tc>
          <w:tcPr>
            <w:tcW w:w="1101" w:type="dxa"/>
            <w:tcBorders>
              <w:bottom w:val="single" w:sz="4" w:space="0" w:color="auto"/>
            </w:tcBorders>
            <w:shd w:val="clear" w:color="auto" w:fill="auto"/>
          </w:tcPr>
          <w:p w14:paraId="5DA2EEF7" w14:textId="77777777" w:rsidR="00B33542" w:rsidRPr="005071A1" w:rsidRDefault="00B33542" w:rsidP="009B7AF5">
            <w:pPr>
              <w:pStyle w:val="Tabletext"/>
            </w:pPr>
            <w:r w:rsidRPr="005071A1">
              <w:t>59</w:t>
            </w:r>
          </w:p>
        </w:tc>
        <w:tc>
          <w:tcPr>
            <w:tcW w:w="1417" w:type="dxa"/>
            <w:tcBorders>
              <w:bottom w:val="single" w:sz="4" w:space="0" w:color="auto"/>
            </w:tcBorders>
            <w:shd w:val="clear" w:color="auto" w:fill="auto"/>
          </w:tcPr>
          <w:p w14:paraId="4EB669BF" w14:textId="77777777" w:rsidR="00B33542" w:rsidRPr="005071A1" w:rsidRDefault="00B33542" w:rsidP="009B7AF5">
            <w:pPr>
              <w:pStyle w:val="Tabletext"/>
            </w:pPr>
            <w:r w:rsidRPr="005071A1">
              <w:t>3.32</w:t>
            </w:r>
          </w:p>
        </w:tc>
        <w:tc>
          <w:tcPr>
            <w:tcW w:w="2693" w:type="dxa"/>
            <w:tcBorders>
              <w:bottom w:val="single" w:sz="4" w:space="0" w:color="auto"/>
            </w:tcBorders>
            <w:shd w:val="clear" w:color="auto" w:fill="auto"/>
          </w:tcPr>
          <w:p w14:paraId="4703B36E" w14:textId="77777777" w:rsidR="00B33542" w:rsidRPr="005071A1" w:rsidRDefault="00B33542" w:rsidP="009B7AF5">
            <w:pPr>
              <w:pStyle w:val="Tabletext"/>
            </w:pPr>
            <w:r w:rsidRPr="005071A1">
              <w:t>1.58</w:t>
            </w:r>
          </w:p>
        </w:tc>
        <w:tc>
          <w:tcPr>
            <w:tcW w:w="1985" w:type="dxa"/>
            <w:tcBorders>
              <w:bottom w:val="single" w:sz="4" w:space="0" w:color="auto"/>
            </w:tcBorders>
            <w:shd w:val="clear" w:color="auto" w:fill="auto"/>
          </w:tcPr>
          <w:p w14:paraId="74076424" w14:textId="77777777" w:rsidR="00B33542" w:rsidRPr="005071A1" w:rsidRDefault="00B33542" w:rsidP="009B7AF5">
            <w:pPr>
              <w:pStyle w:val="Tabletext"/>
            </w:pPr>
            <w:r w:rsidRPr="005071A1">
              <w:t>3.16</w:t>
            </w:r>
          </w:p>
        </w:tc>
      </w:tr>
      <w:tr w:rsidR="00B33542" w:rsidRPr="005071A1" w14:paraId="2C643767" w14:textId="77777777" w:rsidTr="009B7AF5">
        <w:tc>
          <w:tcPr>
            <w:tcW w:w="1101" w:type="dxa"/>
            <w:tcBorders>
              <w:bottom w:val="single" w:sz="12" w:space="0" w:color="auto"/>
            </w:tcBorders>
            <w:shd w:val="clear" w:color="auto" w:fill="auto"/>
          </w:tcPr>
          <w:p w14:paraId="54074C1D" w14:textId="77777777" w:rsidR="00B33542" w:rsidRPr="005071A1" w:rsidRDefault="00B33542" w:rsidP="009B7AF5">
            <w:pPr>
              <w:pStyle w:val="Tabletext"/>
            </w:pPr>
            <w:r w:rsidRPr="005071A1">
              <w:t>60</w:t>
            </w:r>
          </w:p>
        </w:tc>
        <w:tc>
          <w:tcPr>
            <w:tcW w:w="1417" w:type="dxa"/>
            <w:tcBorders>
              <w:bottom w:val="single" w:sz="12" w:space="0" w:color="auto"/>
            </w:tcBorders>
            <w:shd w:val="clear" w:color="auto" w:fill="auto"/>
          </w:tcPr>
          <w:p w14:paraId="36FFE77A" w14:textId="77777777" w:rsidR="00B33542" w:rsidRPr="005071A1" w:rsidRDefault="00B33542" w:rsidP="009B7AF5">
            <w:pPr>
              <w:pStyle w:val="Tabletext"/>
            </w:pPr>
            <w:r w:rsidRPr="005071A1">
              <w:t>2.92</w:t>
            </w:r>
          </w:p>
        </w:tc>
        <w:tc>
          <w:tcPr>
            <w:tcW w:w="2693" w:type="dxa"/>
            <w:tcBorders>
              <w:bottom w:val="single" w:sz="12" w:space="0" w:color="auto"/>
            </w:tcBorders>
            <w:shd w:val="clear" w:color="auto" w:fill="auto"/>
          </w:tcPr>
          <w:p w14:paraId="125FFF3A" w14:textId="77777777" w:rsidR="00B33542" w:rsidRPr="005071A1" w:rsidRDefault="00B33542" w:rsidP="009B7AF5">
            <w:pPr>
              <w:pStyle w:val="Tabletext"/>
            </w:pPr>
            <w:r w:rsidRPr="005071A1">
              <w:t>1.38</w:t>
            </w:r>
          </w:p>
        </w:tc>
        <w:tc>
          <w:tcPr>
            <w:tcW w:w="1985" w:type="dxa"/>
            <w:tcBorders>
              <w:bottom w:val="single" w:sz="12" w:space="0" w:color="auto"/>
            </w:tcBorders>
            <w:shd w:val="clear" w:color="auto" w:fill="auto"/>
          </w:tcPr>
          <w:p w14:paraId="07CF07A0" w14:textId="77777777" w:rsidR="00B33542" w:rsidRPr="005071A1" w:rsidRDefault="00B33542" w:rsidP="009B7AF5">
            <w:pPr>
              <w:pStyle w:val="Tabletext"/>
            </w:pPr>
            <w:r w:rsidRPr="005071A1">
              <w:t>2.76</w:t>
            </w:r>
          </w:p>
        </w:tc>
      </w:tr>
    </w:tbl>
    <w:p w14:paraId="1BAE3FB0" w14:textId="77777777" w:rsidR="00B33542" w:rsidRPr="005071A1" w:rsidRDefault="00B33542" w:rsidP="00674A0D">
      <w:pPr>
        <w:pStyle w:val="ActHead5"/>
        <w:pageBreakBefore/>
      </w:pPr>
      <w:bookmarkStart w:id="323" w:name="_Toc185577704"/>
      <w:r w:rsidRPr="005071A1">
        <w:t>Table XII</w:t>
      </w:r>
      <w:bookmarkEnd w:id="323"/>
    </w:p>
    <w:p w14:paraId="06CE118B" w14:textId="77777777" w:rsidR="00B33542" w:rsidRPr="005071A1" w:rsidRDefault="00B33542" w:rsidP="00B33542">
      <w:pPr>
        <w:spacing w:before="120"/>
      </w:pPr>
      <w:r w:rsidRPr="005071A1">
        <w:t>Reductions in fortnightly rates of contribution payable on or after 1st July, 1962, by female contributors for units of pension based on a retiring age of 60 years and the age next birthday of the contributor when the obligation to contribute for those units came into existence</w:t>
      </w:r>
    </w:p>
    <w:p w14:paraId="2A83A35E"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384"/>
        <w:gridCol w:w="2552"/>
        <w:gridCol w:w="3360"/>
      </w:tblGrid>
      <w:tr w:rsidR="00B33542" w:rsidRPr="005071A1" w14:paraId="31A58945" w14:textId="77777777" w:rsidTr="009B7AF5">
        <w:trPr>
          <w:tblHeader/>
        </w:trPr>
        <w:tc>
          <w:tcPr>
            <w:tcW w:w="1384" w:type="dxa"/>
            <w:tcBorders>
              <w:top w:val="single" w:sz="12" w:space="0" w:color="auto"/>
              <w:bottom w:val="single" w:sz="6" w:space="0" w:color="auto"/>
            </w:tcBorders>
            <w:shd w:val="clear" w:color="auto" w:fill="auto"/>
          </w:tcPr>
          <w:p w14:paraId="171F0486" w14:textId="77777777" w:rsidR="00B33542" w:rsidRPr="005071A1" w:rsidRDefault="00B33542" w:rsidP="009B7AF5">
            <w:pPr>
              <w:pStyle w:val="TableHeading"/>
            </w:pPr>
            <w:r w:rsidRPr="005071A1">
              <w:t>Column 1</w:t>
            </w:r>
          </w:p>
        </w:tc>
        <w:tc>
          <w:tcPr>
            <w:tcW w:w="2552" w:type="dxa"/>
            <w:tcBorders>
              <w:top w:val="single" w:sz="12" w:space="0" w:color="auto"/>
              <w:bottom w:val="single" w:sz="6" w:space="0" w:color="auto"/>
            </w:tcBorders>
            <w:shd w:val="clear" w:color="auto" w:fill="auto"/>
          </w:tcPr>
          <w:p w14:paraId="1BFD4513" w14:textId="77777777" w:rsidR="00B33542" w:rsidRPr="005071A1" w:rsidRDefault="00B33542" w:rsidP="009B7AF5">
            <w:pPr>
              <w:pStyle w:val="TableHeading"/>
            </w:pPr>
            <w:r w:rsidRPr="005071A1">
              <w:t>Column 2</w:t>
            </w:r>
          </w:p>
        </w:tc>
        <w:tc>
          <w:tcPr>
            <w:tcW w:w="3360" w:type="dxa"/>
            <w:tcBorders>
              <w:top w:val="single" w:sz="12" w:space="0" w:color="auto"/>
              <w:bottom w:val="single" w:sz="6" w:space="0" w:color="auto"/>
            </w:tcBorders>
            <w:shd w:val="clear" w:color="auto" w:fill="auto"/>
          </w:tcPr>
          <w:p w14:paraId="5E4FACD0" w14:textId="77777777" w:rsidR="00B33542" w:rsidRPr="005071A1" w:rsidRDefault="00B33542" w:rsidP="009B7AF5">
            <w:pPr>
              <w:pStyle w:val="TableHeading"/>
            </w:pPr>
            <w:r w:rsidRPr="005071A1">
              <w:t>Column 3</w:t>
            </w:r>
          </w:p>
        </w:tc>
      </w:tr>
      <w:tr w:rsidR="00B33542" w:rsidRPr="005071A1" w14:paraId="74E3DA29" w14:textId="77777777" w:rsidTr="009B7AF5">
        <w:trPr>
          <w:tblHeader/>
        </w:trPr>
        <w:tc>
          <w:tcPr>
            <w:tcW w:w="1384" w:type="dxa"/>
            <w:tcBorders>
              <w:top w:val="single" w:sz="6" w:space="0" w:color="auto"/>
              <w:bottom w:val="single" w:sz="6" w:space="0" w:color="auto"/>
            </w:tcBorders>
            <w:shd w:val="clear" w:color="auto" w:fill="auto"/>
          </w:tcPr>
          <w:p w14:paraId="368FF083" w14:textId="77777777" w:rsidR="00B33542" w:rsidRPr="005071A1" w:rsidRDefault="00B33542" w:rsidP="004B224B">
            <w:pPr>
              <w:pStyle w:val="TableHeading"/>
              <w:spacing w:before="40" w:after="40" w:line="180" w:lineRule="atLeast"/>
              <w:rPr>
                <w:sz w:val="16"/>
                <w:szCs w:val="16"/>
              </w:rPr>
            </w:pPr>
            <w:r w:rsidRPr="005071A1">
              <w:rPr>
                <w:sz w:val="16"/>
                <w:szCs w:val="16"/>
              </w:rPr>
              <w:br/>
            </w:r>
            <w:r w:rsidRPr="005071A1">
              <w:rPr>
                <w:sz w:val="16"/>
                <w:szCs w:val="16"/>
              </w:rPr>
              <w:br/>
            </w:r>
            <w:r w:rsidRPr="005071A1">
              <w:rPr>
                <w:sz w:val="16"/>
                <w:szCs w:val="16"/>
              </w:rPr>
              <w:br/>
              <w:t>Age next birthday</w:t>
            </w:r>
          </w:p>
        </w:tc>
        <w:tc>
          <w:tcPr>
            <w:tcW w:w="2552" w:type="dxa"/>
            <w:tcBorders>
              <w:top w:val="single" w:sz="6" w:space="0" w:color="auto"/>
              <w:bottom w:val="single" w:sz="6" w:space="0" w:color="auto"/>
            </w:tcBorders>
            <w:shd w:val="clear" w:color="auto" w:fill="auto"/>
          </w:tcPr>
          <w:p w14:paraId="4B0AA044" w14:textId="77777777" w:rsidR="00B33542" w:rsidRPr="005071A1" w:rsidRDefault="00B33542" w:rsidP="004B224B">
            <w:pPr>
              <w:pStyle w:val="TableHeading"/>
              <w:spacing w:before="40" w:after="40" w:line="180" w:lineRule="atLeast"/>
              <w:rPr>
                <w:sz w:val="16"/>
                <w:szCs w:val="16"/>
              </w:rPr>
            </w:pPr>
            <w:r w:rsidRPr="005071A1">
              <w:rPr>
                <w:sz w:val="16"/>
                <w:szCs w:val="16"/>
              </w:rPr>
              <w:br/>
            </w:r>
            <w:r w:rsidRPr="005071A1">
              <w:rPr>
                <w:sz w:val="16"/>
                <w:szCs w:val="16"/>
              </w:rPr>
              <w:br/>
              <w:t>Reduction in Contribution for—</w:t>
            </w:r>
          </w:p>
          <w:p w14:paraId="71B31FE6" w14:textId="77777777" w:rsidR="00B33542" w:rsidRPr="005071A1" w:rsidRDefault="009B7AF5" w:rsidP="004B224B">
            <w:pPr>
              <w:pStyle w:val="TableHeading"/>
              <w:spacing w:before="40" w:after="40" w:line="180" w:lineRule="atLeast"/>
              <w:rPr>
                <w:sz w:val="16"/>
                <w:szCs w:val="16"/>
              </w:rPr>
            </w:pPr>
            <w:r w:rsidRPr="005071A1">
              <w:rPr>
                <w:sz w:val="16"/>
                <w:szCs w:val="16"/>
              </w:rPr>
              <w:t>(</w:t>
            </w:r>
            <w:r w:rsidR="00B33542" w:rsidRPr="005071A1">
              <w:rPr>
                <w:sz w:val="16"/>
                <w:szCs w:val="16"/>
              </w:rPr>
              <w:t>a</w:t>
            </w:r>
            <w:r w:rsidRPr="005071A1">
              <w:rPr>
                <w:sz w:val="16"/>
                <w:szCs w:val="16"/>
              </w:rPr>
              <w:t xml:space="preserve">) </w:t>
            </w:r>
            <w:r w:rsidR="00B33542" w:rsidRPr="005071A1">
              <w:rPr>
                <w:sz w:val="16"/>
                <w:szCs w:val="16"/>
              </w:rPr>
              <w:t>First Two Units where the Obligation to Contribute for those Units came into existence after 2nd November, 1942, and before 14th December, 1959; and</w:t>
            </w:r>
          </w:p>
          <w:p w14:paraId="7FDBBA87" w14:textId="77777777" w:rsidR="00B33542" w:rsidRPr="005071A1" w:rsidRDefault="009B7AF5" w:rsidP="004B224B">
            <w:pPr>
              <w:pStyle w:val="TableHeading"/>
              <w:spacing w:before="40" w:after="40" w:line="180" w:lineRule="atLeast"/>
              <w:rPr>
                <w:sz w:val="16"/>
                <w:szCs w:val="16"/>
              </w:rPr>
            </w:pPr>
            <w:r w:rsidRPr="005071A1">
              <w:rPr>
                <w:sz w:val="16"/>
                <w:szCs w:val="16"/>
              </w:rPr>
              <w:t>(</w:t>
            </w:r>
            <w:r w:rsidR="00B33542" w:rsidRPr="005071A1">
              <w:rPr>
                <w:sz w:val="16"/>
                <w:szCs w:val="16"/>
              </w:rPr>
              <w:t>b</w:t>
            </w:r>
            <w:r w:rsidRPr="005071A1">
              <w:rPr>
                <w:sz w:val="16"/>
                <w:szCs w:val="16"/>
              </w:rPr>
              <w:t xml:space="preserve">) </w:t>
            </w:r>
            <w:r w:rsidR="00B33542" w:rsidRPr="005071A1">
              <w:rPr>
                <w:sz w:val="16"/>
                <w:szCs w:val="16"/>
              </w:rPr>
              <w:t>Each Additional Two Units included in a number of Additional Units for which Contributor became liable to Contribute at the same time, excluding any Unit to which Column 3 of this Table applies, where the Obligation to Contribute for those Additional Units came into existence after 2nd November, 1942, and before 1st November, 1951</w:t>
            </w:r>
          </w:p>
        </w:tc>
        <w:tc>
          <w:tcPr>
            <w:tcW w:w="3360" w:type="dxa"/>
            <w:tcBorders>
              <w:top w:val="single" w:sz="6" w:space="0" w:color="auto"/>
              <w:bottom w:val="single" w:sz="6" w:space="0" w:color="auto"/>
            </w:tcBorders>
            <w:shd w:val="clear" w:color="auto" w:fill="auto"/>
          </w:tcPr>
          <w:p w14:paraId="2B8FD68A" w14:textId="77777777" w:rsidR="00B33542" w:rsidRPr="005071A1" w:rsidRDefault="00B33542" w:rsidP="004B224B">
            <w:pPr>
              <w:pStyle w:val="TableHeading"/>
              <w:spacing w:before="40" w:after="40" w:line="180" w:lineRule="atLeast"/>
              <w:rPr>
                <w:sz w:val="16"/>
                <w:szCs w:val="16"/>
              </w:rPr>
            </w:pPr>
            <w:r w:rsidRPr="005071A1">
              <w:rPr>
                <w:sz w:val="16"/>
                <w:szCs w:val="16"/>
              </w:rPr>
              <w:t>Reduction in Contribution for—</w:t>
            </w:r>
          </w:p>
          <w:p w14:paraId="48262B99" w14:textId="77777777" w:rsidR="00B33542" w:rsidRPr="005071A1" w:rsidRDefault="009B7AF5" w:rsidP="004B224B">
            <w:pPr>
              <w:pStyle w:val="TableHeading"/>
              <w:spacing w:before="40" w:after="40" w:line="180" w:lineRule="atLeast"/>
              <w:rPr>
                <w:sz w:val="16"/>
                <w:szCs w:val="16"/>
              </w:rPr>
            </w:pPr>
            <w:r w:rsidRPr="005071A1">
              <w:rPr>
                <w:sz w:val="16"/>
                <w:szCs w:val="16"/>
              </w:rPr>
              <w:t>(</w:t>
            </w:r>
            <w:r w:rsidR="00B33542" w:rsidRPr="005071A1">
              <w:rPr>
                <w:sz w:val="16"/>
                <w:szCs w:val="16"/>
              </w:rPr>
              <w:t>a</w:t>
            </w:r>
            <w:r w:rsidRPr="005071A1">
              <w:rPr>
                <w:sz w:val="16"/>
                <w:szCs w:val="16"/>
              </w:rPr>
              <w:t xml:space="preserve">) </w:t>
            </w:r>
            <w:r w:rsidR="00B33542" w:rsidRPr="005071A1">
              <w:rPr>
                <w:sz w:val="16"/>
                <w:szCs w:val="16"/>
              </w:rPr>
              <w:t>Additional Unit where Contributor did not become liable to Contribute for other Additional Units at the same time and the Obligation to Contribute for that Additional Unit came into existence after 2nd November, 1942, and before 1st November 1951;</w:t>
            </w:r>
          </w:p>
          <w:p w14:paraId="7B6360A6" w14:textId="77777777" w:rsidR="00B33542" w:rsidRPr="005071A1" w:rsidRDefault="009B7AF5" w:rsidP="004B224B">
            <w:pPr>
              <w:pStyle w:val="TableHeading"/>
              <w:spacing w:before="40" w:after="40" w:line="180" w:lineRule="atLeast"/>
              <w:rPr>
                <w:sz w:val="16"/>
                <w:szCs w:val="16"/>
              </w:rPr>
            </w:pPr>
            <w:r w:rsidRPr="005071A1">
              <w:rPr>
                <w:sz w:val="16"/>
                <w:szCs w:val="16"/>
              </w:rPr>
              <w:t>(</w:t>
            </w:r>
            <w:r w:rsidR="00B33542" w:rsidRPr="005071A1">
              <w:rPr>
                <w:sz w:val="16"/>
                <w:szCs w:val="16"/>
              </w:rPr>
              <w:t>b</w:t>
            </w:r>
            <w:r w:rsidRPr="005071A1">
              <w:rPr>
                <w:sz w:val="16"/>
                <w:szCs w:val="16"/>
              </w:rPr>
              <w:t xml:space="preserve">) </w:t>
            </w:r>
            <w:r w:rsidR="00B33542" w:rsidRPr="005071A1">
              <w:rPr>
                <w:sz w:val="16"/>
                <w:szCs w:val="16"/>
              </w:rPr>
              <w:t>One of a number of Additional Units for which Contributor became liable to Contribute at the same time, being a number that is not two or a multiple of two, where the Obligation to Contribute for those Additional Units came into existence after 2nd November, 1942, and before 1st November, 1951; and</w:t>
            </w:r>
          </w:p>
          <w:p w14:paraId="2E7FB8DE" w14:textId="77777777" w:rsidR="00B33542" w:rsidRPr="005071A1" w:rsidRDefault="009B7AF5" w:rsidP="004B224B">
            <w:pPr>
              <w:pStyle w:val="TableHeading"/>
              <w:spacing w:before="40" w:after="40" w:line="180" w:lineRule="atLeast"/>
              <w:rPr>
                <w:sz w:val="16"/>
                <w:szCs w:val="16"/>
              </w:rPr>
            </w:pPr>
            <w:r w:rsidRPr="005071A1">
              <w:rPr>
                <w:sz w:val="16"/>
                <w:szCs w:val="16"/>
              </w:rPr>
              <w:t>(</w:t>
            </w:r>
            <w:r w:rsidR="00B33542" w:rsidRPr="005071A1">
              <w:rPr>
                <w:sz w:val="16"/>
                <w:szCs w:val="16"/>
              </w:rPr>
              <w:t>c</w:t>
            </w:r>
            <w:r w:rsidRPr="005071A1">
              <w:rPr>
                <w:sz w:val="16"/>
                <w:szCs w:val="16"/>
              </w:rPr>
              <w:t xml:space="preserve">) </w:t>
            </w:r>
            <w:r w:rsidR="00B33542" w:rsidRPr="005071A1">
              <w:rPr>
                <w:sz w:val="16"/>
                <w:szCs w:val="16"/>
              </w:rPr>
              <w:t>Each Additional Unit where the Obligation to Contribute for that Additional Unit came into existence on or after 1st November, 1951, and before 14th December, 1959</w:t>
            </w:r>
          </w:p>
        </w:tc>
      </w:tr>
      <w:tr w:rsidR="00B33542" w:rsidRPr="005071A1" w14:paraId="433ED46B" w14:textId="77777777" w:rsidTr="009B7AF5">
        <w:trPr>
          <w:tblHeader/>
        </w:trPr>
        <w:tc>
          <w:tcPr>
            <w:tcW w:w="1384" w:type="dxa"/>
            <w:tcBorders>
              <w:top w:val="single" w:sz="6" w:space="0" w:color="auto"/>
              <w:bottom w:val="single" w:sz="12" w:space="0" w:color="auto"/>
            </w:tcBorders>
            <w:shd w:val="clear" w:color="auto" w:fill="auto"/>
          </w:tcPr>
          <w:p w14:paraId="64355BF7" w14:textId="77777777" w:rsidR="00B33542" w:rsidRPr="005071A1" w:rsidRDefault="00B33542" w:rsidP="009B7AF5">
            <w:pPr>
              <w:pStyle w:val="Tabletext"/>
              <w:rPr>
                <w:b/>
              </w:rPr>
            </w:pPr>
          </w:p>
        </w:tc>
        <w:tc>
          <w:tcPr>
            <w:tcW w:w="2552" w:type="dxa"/>
            <w:tcBorders>
              <w:top w:val="single" w:sz="6" w:space="0" w:color="auto"/>
              <w:bottom w:val="single" w:sz="12" w:space="0" w:color="auto"/>
            </w:tcBorders>
            <w:shd w:val="clear" w:color="auto" w:fill="auto"/>
          </w:tcPr>
          <w:p w14:paraId="6E160358" w14:textId="77777777" w:rsidR="00B33542" w:rsidRPr="005071A1" w:rsidRDefault="00B33542" w:rsidP="009B7AF5">
            <w:pPr>
              <w:pStyle w:val="Tabletext"/>
              <w:rPr>
                <w:b/>
              </w:rPr>
            </w:pPr>
            <w:r w:rsidRPr="005071A1">
              <w:rPr>
                <w:b/>
              </w:rPr>
              <w:t>$</w:t>
            </w:r>
          </w:p>
        </w:tc>
        <w:tc>
          <w:tcPr>
            <w:tcW w:w="3360" w:type="dxa"/>
            <w:tcBorders>
              <w:top w:val="single" w:sz="6" w:space="0" w:color="auto"/>
              <w:bottom w:val="single" w:sz="12" w:space="0" w:color="auto"/>
            </w:tcBorders>
            <w:shd w:val="clear" w:color="auto" w:fill="auto"/>
          </w:tcPr>
          <w:p w14:paraId="5D8B4765" w14:textId="77777777" w:rsidR="00B33542" w:rsidRPr="005071A1" w:rsidRDefault="00B33542" w:rsidP="009B7AF5">
            <w:pPr>
              <w:pStyle w:val="Tabletext"/>
              <w:rPr>
                <w:b/>
              </w:rPr>
            </w:pPr>
            <w:r w:rsidRPr="005071A1">
              <w:rPr>
                <w:b/>
              </w:rPr>
              <w:t>$</w:t>
            </w:r>
          </w:p>
        </w:tc>
      </w:tr>
      <w:tr w:rsidR="00B33542" w:rsidRPr="005071A1" w14:paraId="31EDA033" w14:textId="77777777" w:rsidTr="009B7AF5">
        <w:tc>
          <w:tcPr>
            <w:tcW w:w="1384" w:type="dxa"/>
            <w:tcBorders>
              <w:top w:val="single" w:sz="12" w:space="0" w:color="auto"/>
            </w:tcBorders>
            <w:shd w:val="clear" w:color="auto" w:fill="auto"/>
          </w:tcPr>
          <w:p w14:paraId="5C67E7D5" w14:textId="77777777" w:rsidR="00B33542" w:rsidRPr="005071A1" w:rsidRDefault="00B33542" w:rsidP="009B7AF5">
            <w:pPr>
              <w:pStyle w:val="Tabletext"/>
            </w:pPr>
            <w:r w:rsidRPr="005071A1">
              <w:t>15</w:t>
            </w:r>
          </w:p>
        </w:tc>
        <w:tc>
          <w:tcPr>
            <w:tcW w:w="2552" w:type="dxa"/>
            <w:tcBorders>
              <w:top w:val="single" w:sz="12" w:space="0" w:color="auto"/>
            </w:tcBorders>
            <w:shd w:val="clear" w:color="auto" w:fill="auto"/>
          </w:tcPr>
          <w:p w14:paraId="1935C3DA" w14:textId="77777777" w:rsidR="00B33542" w:rsidRPr="005071A1" w:rsidRDefault="00B33542" w:rsidP="009B7AF5">
            <w:pPr>
              <w:pStyle w:val="Tabletext"/>
            </w:pPr>
            <w:r w:rsidRPr="005071A1">
              <w:t>0.08</w:t>
            </w:r>
          </w:p>
        </w:tc>
        <w:tc>
          <w:tcPr>
            <w:tcW w:w="3360" w:type="dxa"/>
            <w:tcBorders>
              <w:top w:val="single" w:sz="12" w:space="0" w:color="auto"/>
            </w:tcBorders>
            <w:shd w:val="clear" w:color="auto" w:fill="auto"/>
          </w:tcPr>
          <w:p w14:paraId="3EA74422" w14:textId="77777777" w:rsidR="00B33542" w:rsidRPr="005071A1" w:rsidRDefault="00B33542" w:rsidP="009B7AF5">
            <w:pPr>
              <w:pStyle w:val="Tabletext"/>
            </w:pPr>
            <w:r w:rsidRPr="005071A1">
              <w:t>0.04</w:t>
            </w:r>
          </w:p>
        </w:tc>
      </w:tr>
      <w:tr w:rsidR="00B33542" w:rsidRPr="005071A1" w14:paraId="6593662E" w14:textId="77777777" w:rsidTr="009B7AF5">
        <w:tc>
          <w:tcPr>
            <w:tcW w:w="1384" w:type="dxa"/>
            <w:shd w:val="clear" w:color="auto" w:fill="auto"/>
          </w:tcPr>
          <w:p w14:paraId="042781D3" w14:textId="77777777" w:rsidR="00B33542" w:rsidRPr="005071A1" w:rsidRDefault="00B33542" w:rsidP="009B7AF5">
            <w:pPr>
              <w:pStyle w:val="Tabletext"/>
            </w:pPr>
            <w:r w:rsidRPr="005071A1">
              <w:t>16</w:t>
            </w:r>
          </w:p>
        </w:tc>
        <w:tc>
          <w:tcPr>
            <w:tcW w:w="2552" w:type="dxa"/>
            <w:shd w:val="clear" w:color="auto" w:fill="auto"/>
          </w:tcPr>
          <w:p w14:paraId="7AAC1F17" w14:textId="77777777" w:rsidR="00B33542" w:rsidRPr="005071A1" w:rsidRDefault="00B33542" w:rsidP="009B7AF5">
            <w:pPr>
              <w:pStyle w:val="Tabletext"/>
            </w:pPr>
            <w:r w:rsidRPr="005071A1">
              <w:t>0.08</w:t>
            </w:r>
          </w:p>
        </w:tc>
        <w:tc>
          <w:tcPr>
            <w:tcW w:w="3360" w:type="dxa"/>
            <w:shd w:val="clear" w:color="auto" w:fill="auto"/>
          </w:tcPr>
          <w:p w14:paraId="3831B256" w14:textId="77777777" w:rsidR="00B33542" w:rsidRPr="005071A1" w:rsidRDefault="00B33542" w:rsidP="009B7AF5">
            <w:pPr>
              <w:pStyle w:val="Tabletext"/>
            </w:pPr>
            <w:r w:rsidRPr="005071A1">
              <w:t>0.04</w:t>
            </w:r>
          </w:p>
        </w:tc>
      </w:tr>
      <w:tr w:rsidR="00B33542" w:rsidRPr="005071A1" w14:paraId="71BAD169" w14:textId="77777777" w:rsidTr="009B7AF5">
        <w:tc>
          <w:tcPr>
            <w:tcW w:w="1384" w:type="dxa"/>
            <w:shd w:val="clear" w:color="auto" w:fill="auto"/>
          </w:tcPr>
          <w:p w14:paraId="62C3E3DA" w14:textId="77777777" w:rsidR="00B33542" w:rsidRPr="005071A1" w:rsidRDefault="00B33542" w:rsidP="009B7AF5">
            <w:pPr>
              <w:pStyle w:val="Tabletext"/>
            </w:pPr>
            <w:r w:rsidRPr="005071A1">
              <w:t>17</w:t>
            </w:r>
          </w:p>
        </w:tc>
        <w:tc>
          <w:tcPr>
            <w:tcW w:w="2552" w:type="dxa"/>
            <w:shd w:val="clear" w:color="auto" w:fill="auto"/>
          </w:tcPr>
          <w:p w14:paraId="100906AD" w14:textId="77777777" w:rsidR="00B33542" w:rsidRPr="005071A1" w:rsidRDefault="00B33542" w:rsidP="009B7AF5">
            <w:pPr>
              <w:pStyle w:val="Tabletext"/>
            </w:pPr>
            <w:r w:rsidRPr="005071A1">
              <w:t>0.08</w:t>
            </w:r>
          </w:p>
        </w:tc>
        <w:tc>
          <w:tcPr>
            <w:tcW w:w="3360" w:type="dxa"/>
            <w:shd w:val="clear" w:color="auto" w:fill="auto"/>
          </w:tcPr>
          <w:p w14:paraId="4551E494" w14:textId="77777777" w:rsidR="00B33542" w:rsidRPr="005071A1" w:rsidRDefault="00B33542" w:rsidP="009B7AF5">
            <w:pPr>
              <w:pStyle w:val="Tabletext"/>
            </w:pPr>
            <w:r w:rsidRPr="005071A1">
              <w:t>0.04</w:t>
            </w:r>
          </w:p>
        </w:tc>
      </w:tr>
      <w:tr w:rsidR="00B33542" w:rsidRPr="005071A1" w14:paraId="48375ED7" w14:textId="77777777" w:rsidTr="009B7AF5">
        <w:tc>
          <w:tcPr>
            <w:tcW w:w="1384" w:type="dxa"/>
            <w:shd w:val="clear" w:color="auto" w:fill="auto"/>
          </w:tcPr>
          <w:p w14:paraId="2700AC92" w14:textId="77777777" w:rsidR="00B33542" w:rsidRPr="005071A1" w:rsidRDefault="00B33542" w:rsidP="009B7AF5">
            <w:pPr>
              <w:pStyle w:val="Tabletext"/>
            </w:pPr>
            <w:r w:rsidRPr="005071A1">
              <w:t>18</w:t>
            </w:r>
          </w:p>
        </w:tc>
        <w:tc>
          <w:tcPr>
            <w:tcW w:w="2552" w:type="dxa"/>
            <w:shd w:val="clear" w:color="auto" w:fill="auto"/>
          </w:tcPr>
          <w:p w14:paraId="5FE92797" w14:textId="77777777" w:rsidR="00B33542" w:rsidRPr="005071A1" w:rsidRDefault="00B33542" w:rsidP="009B7AF5">
            <w:pPr>
              <w:pStyle w:val="Tabletext"/>
            </w:pPr>
            <w:r w:rsidRPr="005071A1">
              <w:t>0.08</w:t>
            </w:r>
          </w:p>
        </w:tc>
        <w:tc>
          <w:tcPr>
            <w:tcW w:w="3360" w:type="dxa"/>
            <w:shd w:val="clear" w:color="auto" w:fill="auto"/>
          </w:tcPr>
          <w:p w14:paraId="0EA0C1CC" w14:textId="77777777" w:rsidR="00B33542" w:rsidRPr="005071A1" w:rsidRDefault="00B33542" w:rsidP="009B7AF5">
            <w:pPr>
              <w:pStyle w:val="Tabletext"/>
            </w:pPr>
            <w:r w:rsidRPr="005071A1">
              <w:t>0.04</w:t>
            </w:r>
          </w:p>
        </w:tc>
      </w:tr>
      <w:tr w:rsidR="00B33542" w:rsidRPr="005071A1" w14:paraId="408C14B6" w14:textId="77777777" w:rsidTr="009B7AF5">
        <w:tc>
          <w:tcPr>
            <w:tcW w:w="1384" w:type="dxa"/>
            <w:shd w:val="clear" w:color="auto" w:fill="auto"/>
          </w:tcPr>
          <w:p w14:paraId="0F3E2CA2" w14:textId="77777777" w:rsidR="00B33542" w:rsidRPr="005071A1" w:rsidRDefault="00B33542" w:rsidP="009B7AF5">
            <w:pPr>
              <w:pStyle w:val="Tabletext"/>
            </w:pPr>
            <w:r w:rsidRPr="005071A1">
              <w:t>19</w:t>
            </w:r>
          </w:p>
        </w:tc>
        <w:tc>
          <w:tcPr>
            <w:tcW w:w="2552" w:type="dxa"/>
            <w:shd w:val="clear" w:color="auto" w:fill="auto"/>
          </w:tcPr>
          <w:p w14:paraId="5F43041D" w14:textId="77777777" w:rsidR="00B33542" w:rsidRPr="005071A1" w:rsidRDefault="00B33542" w:rsidP="009B7AF5">
            <w:pPr>
              <w:pStyle w:val="Tabletext"/>
            </w:pPr>
            <w:r w:rsidRPr="005071A1">
              <w:t>0.08</w:t>
            </w:r>
          </w:p>
        </w:tc>
        <w:tc>
          <w:tcPr>
            <w:tcW w:w="3360" w:type="dxa"/>
            <w:shd w:val="clear" w:color="auto" w:fill="auto"/>
          </w:tcPr>
          <w:p w14:paraId="2901AE65" w14:textId="77777777" w:rsidR="00B33542" w:rsidRPr="005071A1" w:rsidRDefault="00B33542" w:rsidP="009B7AF5">
            <w:pPr>
              <w:pStyle w:val="Tabletext"/>
            </w:pPr>
            <w:r w:rsidRPr="005071A1">
              <w:t>0.04</w:t>
            </w:r>
          </w:p>
        </w:tc>
      </w:tr>
      <w:tr w:rsidR="00B33542" w:rsidRPr="005071A1" w14:paraId="420F7305" w14:textId="77777777" w:rsidTr="009B7AF5">
        <w:tc>
          <w:tcPr>
            <w:tcW w:w="1384" w:type="dxa"/>
            <w:shd w:val="clear" w:color="auto" w:fill="auto"/>
          </w:tcPr>
          <w:p w14:paraId="5903508C" w14:textId="77777777" w:rsidR="00B33542" w:rsidRPr="005071A1" w:rsidRDefault="00B33542" w:rsidP="009B7AF5">
            <w:pPr>
              <w:pStyle w:val="Tabletext"/>
            </w:pPr>
            <w:r w:rsidRPr="005071A1">
              <w:t>20</w:t>
            </w:r>
          </w:p>
        </w:tc>
        <w:tc>
          <w:tcPr>
            <w:tcW w:w="2552" w:type="dxa"/>
            <w:shd w:val="clear" w:color="auto" w:fill="auto"/>
          </w:tcPr>
          <w:p w14:paraId="6F36012B" w14:textId="77777777" w:rsidR="00B33542" w:rsidRPr="005071A1" w:rsidRDefault="00B33542" w:rsidP="009B7AF5">
            <w:pPr>
              <w:pStyle w:val="Tabletext"/>
            </w:pPr>
            <w:r w:rsidRPr="005071A1">
              <w:t>0.08</w:t>
            </w:r>
          </w:p>
        </w:tc>
        <w:tc>
          <w:tcPr>
            <w:tcW w:w="3360" w:type="dxa"/>
            <w:shd w:val="clear" w:color="auto" w:fill="auto"/>
          </w:tcPr>
          <w:p w14:paraId="05D7C78F" w14:textId="77777777" w:rsidR="00B33542" w:rsidRPr="005071A1" w:rsidRDefault="00B33542" w:rsidP="009B7AF5">
            <w:pPr>
              <w:pStyle w:val="Tabletext"/>
            </w:pPr>
            <w:r w:rsidRPr="005071A1">
              <w:t>0.04</w:t>
            </w:r>
          </w:p>
        </w:tc>
      </w:tr>
      <w:tr w:rsidR="00B33542" w:rsidRPr="005071A1" w14:paraId="06F5B729" w14:textId="77777777" w:rsidTr="009B7AF5">
        <w:tc>
          <w:tcPr>
            <w:tcW w:w="1384" w:type="dxa"/>
            <w:shd w:val="clear" w:color="auto" w:fill="auto"/>
          </w:tcPr>
          <w:p w14:paraId="65BC57E3" w14:textId="77777777" w:rsidR="00B33542" w:rsidRPr="005071A1" w:rsidRDefault="00B33542" w:rsidP="009B7AF5">
            <w:pPr>
              <w:pStyle w:val="Tabletext"/>
            </w:pPr>
            <w:r w:rsidRPr="005071A1">
              <w:t>21</w:t>
            </w:r>
          </w:p>
        </w:tc>
        <w:tc>
          <w:tcPr>
            <w:tcW w:w="2552" w:type="dxa"/>
            <w:shd w:val="clear" w:color="auto" w:fill="auto"/>
          </w:tcPr>
          <w:p w14:paraId="05848DD7" w14:textId="77777777" w:rsidR="00B33542" w:rsidRPr="005071A1" w:rsidRDefault="00B33542" w:rsidP="009B7AF5">
            <w:pPr>
              <w:pStyle w:val="Tabletext"/>
            </w:pPr>
            <w:r w:rsidRPr="005071A1">
              <w:t>0.10</w:t>
            </w:r>
          </w:p>
        </w:tc>
        <w:tc>
          <w:tcPr>
            <w:tcW w:w="3360" w:type="dxa"/>
            <w:shd w:val="clear" w:color="auto" w:fill="auto"/>
          </w:tcPr>
          <w:p w14:paraId="49421392" w14:textId="77777777" w:rsidR="00B33542" w:rsidRPr="005071A1" w:rsidRDefault="00B33542" w:rsidP="009B7AF5">
            <w:pPr>
              <w:pStyle w:val="Tabletext"/>
            </w:pPr>
            <w:r w:rsidRPr="005071A1">
              <w:t>0.05</w:t>
            </w:r>
          </w:p>
        </w:tc>
      </w:tr>
      <w:tr w:rsidR="00B33542" w:rsidRPr="005071A1" w14:paraId="420DEB2F" w14:textId="77777777" w:rsidTr="009B7AF5">
        <w:tc>
          <w:tcPr>
            <w:tcW w:w="1384" w:type="dxa"/>
            <w:shd w:val="clear" w:color="auto" w:fill="auto"/>
          </w:tcPr>
          <w:p w14:paraId="1B8061AF" w14:textId="77777777" w:rsidR="00B33542" w:rsidRPr="005071A1" w:rsidRDefault="00B33542" w:rsidP="009B7AF5">
            <w:pPr>
              <w:pStyle w:val="Tabletext"/>
            </w:pPr>
            <w:r w:rsidRPr="005071A1">
              <w:t>22</w:t>
            </w:r>
          </w:p>
        </w:tc>
        <w:tc>
          <w:tcPr>
            <w:tcW w:w="2552" w:type="dxa"/>
            <w:shd w:val="clear" w:color="auto" w:fill="auto"/>
          </w:tcPr>
          <w:p w14:paraId="27303C7C" w14:textId="77777777" w:rsidR="00B33542" w:rsidRPr="005071A1" w:rsidRDefault="00B33542" w:rsidP="009B7AF5">
            <w:pPr>
              <w:pStyle w:val="Tabletext"/>
            </w:pPr>
            <w:r w:rsidRPr="005071A1">
              <w:t>0.10</w:t>
            </w:r>
          </w:p>
        </w:tc>
        <w:tc>
          <w:tcPr>
            <w:tcW w:w="3360" w:type="dxa"/>
            <w:shd w:val="clear" w:color="auto" w:fill="auto"/>
          </w:tcPr>
          <w:p w14:paraId="008D2696" w14:textId="77777777" w:rsidR="00B33542" w:rsidRPr="005071A1" w:rsidRDefault="00B33542" w:rsidP="009B7AF5">
            <w:pPr>
              <w:pStyle w:val="Tabletext"/>
            </w:pPr>
            <w:r w:rsidRPr="005071A1">
              <w:t>0.05</w:t>
            </w:r>
          </w:p>
        </w:tc>
      </w:tr>
      <w:tr w:rsidR="00B33542" w:rsidRPr="005071A1" w14:paraId="0478A2C9" w14:textId="77777777" w:rsidTr="009B7AF5">
        <w:tc>
          <w:tcPr>
            <w:tcW w:w="1384" w:type="dxa"/>
            <w:shd w:val="clear" w:color="auto" w:fill="auto"/>
          </w:tcPr>
          <w:p w14:paraId="2B0447BD" w14:textId="77777777" w:rsidR="00B33542" w:rsidRPr="005071A1" w:rsidRDefault="00B33542" w:rsidP="009B7AF5">
            <w:pPr>
              <w:pStyle w:val="Tabletext"/>
            </w:pPr>
            <w:r w:rsidRPr="005071A1">
              <w:t>23</w:t>
            </w:r>
          </w:p>
        </w:tc>
        <w:tc>
          <w:tcPr>
            <w:tcW w:w="2552" w:type="dxa"/>
            <w:shd w:val="clear" w:color="auto" w:fill="auto"/>
          </w:tcPr>
          <w:p w14:paraId="5E40DE8C" w14:textId="77777777" w:rsidR="00B33542" w:rsidRPr="005071A1" w:rsidRDefault="00B33542" w:rsidP="009B7AF5">
            <w:pPr>
              <w:pStyle w:val="Tabletext"/>
            </w:pPr>
            <w:r w:rsidRPr="005071A1">
              <w:t>0.10</w:t>
            </w:r>
          </w:p>
        </w:tc>
        <w:tc>
          <w:tcPr>
            <w:tcW w:w="3360" w:type="dxa"/>
            <w:shd w:val="clear" w:color="auto" w:fill="auto"/>
          </w:tcPr>
          <w:p w14:paraId="79A6863C" w14:textId="77777777" w:rsidR="00B33542" w:rsidRPr="005071A1" w:rsidRDefault="00B33542" w:rsidP="009B7AF5">
            <w:pPr>
              <w:pStyle w:val="Tabletext"/>
            </w:pPr>
            <w:r w:rsidRPr="005071A1">
              <w:t>0.05</w:t>
            </w:r>
          </w:p>
        </w:tc>
      </w:tr>
      <w:tr w:rsidR="00FB153D" w:rsidRPr="005071A1" w14:paraId="24C54050" w14:textId="77777777" w:rsidTr="009B7AF5">
        <w:tc>
          <w:tcPr>
            <w:tcW w:w="1384" w:type="dxa"/>
            <w:shd w:val="clear" w:color="auto" w:fill="auto"/>
          </w:tcPr>
          <w:p w14:paraId="2309BD95" w14:textId="77777777" w:rsidR="00FB153D" w:rsidRPr="005071A1" w:rsidRDefault="00FB153D" w:rsidP="009B7AF5">
            <w:pPr>
              <w:pStyle w:val="Tabletext"/>
            </w:pPr>
            <w:r w:rsidRPr="005071A1">
              <w:t>24</w:t>
            </w:r>
          </w:p>
        </w:tc>
        <w:tc>
          <w:tcPr>
            <w:tcW w:w="2552" w:type="dxa"/>
            <w:shd w:val="clear" w:color="auto" w:fill="auto"/>
          </w:tcPr>
          <w:p w14:paraId="47BAB852" w14:textId="77777777" w:rsidR="00FB153D" w:rsidRPr="005071A1" w:rsidRDefault="00FB153D" w:rsidP="009B7AF5">
            <w:pPr>
              <w:pStyle w:val="Tabletext"/>
            </w:pPr>
            <w:r w:rsidRPr="005071A1">
              <w:t>0.10</w:t>
            </w:r>
          </w:p>
        </w:tc>
        <w:tc>
          <w:tcPr>
            <w:tcW w:w="3360" w:type="dxa"/>
            <w:shd w:val="clear" w:color="auto" w:fill="auto"/>
          </w:tcPr>
          <w:p w14:paraId="613E0EA8" w14:textId="77777777" w:rsidR="00FB153D" w:rsidRPr="005071A1" w:rsidRDefault="00FB153D" w:rsidP="009B7AF5">
            <w:pPr>
              <w:pStyle w:val="Tabletext"/>
            </w:pPr>
            <w:r w:rsidRPr="005071A1">
              <w:t>0.05</w:t>
            </w:r>
          </w:p>
        </w:tc>
      </w:tr>
      <w:tr w:rsidR="00B33542" w:rsidRPr="005071A1" w14:paraId="266C874B" w14:textId="77777777" w:rsidTr="00640BB6">
        <w:tc>
          <w:tcPr>
            <w:tcW w:w="1384" w:type="dxa"/>
            <w:tcBorders>
              <w:bottom w:val="single" w:sz="4" w:space="0" w:color="auto"/>
            </w:tcBorders>
            <w:shd w:val="clear" w:color="auto" w:fill="auto"/>
          </w:tcPr>
          <w:p w14:paraId="3E410B83" w14:textId="77777777" w:rsidR="00B33542" w:rsidRPr="005071A1" w:rsidRDefault="00B33542" w:rsidP="009B7AF5">
            <w:pPr>
              <w:pStyle w:val="Tabletext"/>
            </w:pPr>
            <w:r w:rsidRPr="005071A1">
              <w:t>25</w:t>
            </w:r>
          </w:p>
        </w:tc>
        <w:tc>
          <w:tcPr>
            <w:tcW w:w="2552" w:type="dxa"/>
            <w:tcBorders>
              <w:bottom w:val="single" w:sz="4" w:space="0" w:color="auto"/>
            </w:tcBorders>
            <w:shd w:val="clear" w:color="auto" w:fill="auto"/>
          </w:tcPr>
          <w:p w14:paraId="6063813F" w14:textId="77777777" w:rsidR="00B33542" w:rsidRPr="005071A1" w:rsidRDefault="00B33542" w:rsidP="009B7AF5">
            <w:pPr>
              <w:pStyle w:val="Tabletext"/>
            </w:pPr>
            <w:r w:rsidRPr="005071A1">
              <w:t>0.10</w:t>
            </w:r>
          </w:p>
        </w:tc>
        <w:tc>
          <w:tcPr>
            <w:tcW w:w="3360" w:type="dxa"/>
            <w:tcBorders>
              <w:bottom w:val="single" w:sz="4" w:space="0" w:color="auto"/>
            </w:tcBorders>
            <w:shd w:val="clear" w:color="auto" w:fill="auto"/>
          </w:tcPr>
          <w:p w14:paraId="646233DD" w14:textId="77777777" w:rsidR="00B33542" w:rsidRPr="005071A1" w:rsidRDefault="00B33542" w:rsidP="009B7AF5">
            <w:pPr>
              <w:pStyle w:val="Tabletext"/>
            </w:pPr>
            <w:r w:rsidRPr="005071A1">
              <w:t>0.05</w:t>
            </w:r>
          </w:p>
        </w:tc>
      </w:tr>
      <w:tr w:rsidR="00B33542" w:rsidRPr="005071A1" w14:paraId="6C89AB0A" w14:textId="77777777" w:rsidTr="00640BB6">
        <w:tc>
          <w:tcPr>
            <w:tcW w:w="1384" w:type="dxa"/>
            <w:tcBorders>
              <w:top w:val="single" w:sz="4" w:space="0" w:color="auto"/>
              <w:bottom w:val="single" w:sz="4" w:space="0" w:color="auto"/>
            </w:tcBorders>
            <w:shd w:val="clear" w:color="auto" w:fill="auto"/>
          </w:tcPr>
          <w:p w14:paraId="2C8F1234" w14:textId="77777777" w:rsidR="00B33542" w:rsidRPr="005071A1" w:rsidRDefault="00B33542" w:rsidP="009B7AF5">
            <w:pPr>
              <w:pStyle w:val="Tabletext"/>
            </w:pPr>
            <w:r w:rsidRPr="005071A1">
              <w:t>26</w:t>
            </w:r>
          </w:p>
        </w:tc>
        <w:tc>
          <w:tcPr>
            <w:tcW w:w="2552" w:type="dxa"/>
            <w:tcBorders>
              <w:top w:val="single" w:sz="4" w:space="0" w:color="auto"/>
              <w:bottom w:val="single" w:sz="4" w:space="0" w:color="auto"/>
            </w:tcBorders>
            <w:shd w:val="clear" w:color="auto" w:fill="auto"/>
          </w:tcPr>
          <w:p w14:paraId="07BA1316" w14:textId="77777777" w:rsidR="00B33542" w:rsidRPr="005071A1" w:rsidRDefault="00B33542" w:rsidP="009B7AF5">
            <w:pPr>
              <w:pStyle w:val="Tabletext"/>
            </w:pPr>
            <w:r w:rsidRPr="005071A1">
              <w:t>0.10</w:t>
            </w:r>
          </w:p>
        </w:tc>
        <w:tc>
          <w:tcPr>
            <w:tcW w:w="3360" w:type="dxa"/>
            <w:tcBorders>
              <w:top w:val="single" w:sz="4" w:space="0" w:color="auto"/>
              <w:bottom w:val="single" w:sz="4" w:space="0" w:color="auto"/>
            </w:tcBorders>
            <w:shd w:val="clear" w:color="auto" w:fill="auto"/>
          </w:tcPr>
          <w:p w14:paraId="087ADD55" w14:textId="77777777" w:rsidR="00B33542" w:rsidRPr="005071A1" w:rsidRDefault="00B33542" w:rsidP="009B7AF5">
            <w:pPr>
              <w:pStyle w:val="Tabletext"/>
            </w:pPr>
            <w:r w:rsidRPr="005071A1">
              <w:t>0.05</w:t>
            </w:r>
          </w:p>
        </w:tc>
      </w:tr>
      <w:tr w:rsidR="00B33542" w:rsidRPr="005071A1" w14:paraId="0380D947" w14:textId="77777777" w:rsidTr="00640BB6">
        <w:tc>
          <w:tcPr>
            <w:tcW w:w="1384" w:type="dxa"/>
            <w:tcBorders>
              <w:top w:val="single" w:sz="4" w:space="0" w:color="auto"/>
            </w:tcBorders>
            <w:shd w:val="clear" w:color="auto" w:fill="auto"/>
          </w:tcPr>
          <w:p w14:paraId="7873A26E" w14:textId="77777777" w:rsidR="00B33542" w:rsidRPr="005071A1" w:rsidRDefault="00B33542" w:rsidP="009B7AF5">
            <w:pPr>
              <w:pStyle w:val="Tabletext"/>
            </w:pPr>
            <w:r w:rsidRPr="005071A1">
              <w:t>27</w:t>
            </w:r>
          </w:p>
        </w:tc>
        <w:tc>
          <w:tcPr>
            <w:tcW w:w="2552" w:type="dxa"/>
            <w:tcBorders>
              <w:top w:val="single" w:sz="4" w:space="0" w:color="auto"/>
            </w:tcBorders>
            <w:shd w:val="clear" w:color="auto" w:fill="auto"/>
          </w:tcPr>
          <w:p w14:paraId="072B4349" w14:textId="77777777" w:rsidR="00B33542" w:rsidRPr="005071A1" w:rsidRDefault="00B33542" w:rsidP="009B7AF5">
            <w:pPr>
              <w:pStyle w:val="Tabletext"/>
            </w:pPr>
            <w:r w:rsidRPr="005071A1">
              <w:t>0.10</w:t>
            </w:r>
          </w:p>
        </w:tc>
        <w:tc>
          <w:tcPr>
            <w:tcW w:w="3360" w:type="dxa"/>
            <w:tcBorders>
              <w:top w:val="single" w:sz="4" w:space="0" w:color="auto"/>
            </w:tcBorders>
            <w:shd w:val="clear" w:color="auto" w:fill="auto"/>
          </w:tcPr>
          <w:p w14:paraId="21C0FB99" w14:textId="77777777" w:rsidR="00B33542" w:rsidRPr="005071A1" w:rsidRDefault="00B33542" w:rsidP="009B7AF5">
            <w:pPr>
              <w:pStyle w:val="Tabletext"/>
            </w:pPr>
            <w:r w:rsidRPr="005071A1">
              <w:t>0.05</w:t>
            </w:r>
          </w:p>
        </w:tc>
      </w:tr>
      <w:tr w:rsidR="00B33542" w:rsidRPr="005071A1" w14:paraId="70DBB9D4" w14:textId="77777777" w:rsidTr="009B7AF5">
        <w:tc>
          <w:tcPr>
            <w:tcW w:w="1384" w:type="dxa"/>
            <w:shd w:val="clear" w:color="auto" w:fill="auto"/>
          </w:tcPr>
          <w:p w14:paraId="011C3138" w14:textId="77777777" w:rsidR="00B33542" w:rsidRPr="005071A1" w:rsidRDefault="00B33542" w:rsidP="009B7AF5">
            <w:pPr>
              <w:pStyle w:val="Tabletext"/>
            </w:pPr>
            <w:r w:rsidRPr="005071A1">
              <w:t>28</w:t>
            </w:r>
          </w:p>
        </w:tc>
        <w:tc>
          <w:tcPr>
            <w:tcW w:w="2552" w:type="dxa"/>
            <w:shd w:val="clear" w:color="auto" w:fill="auto"/>
          </w:tcPr>
          <w:p w14:paraId="3198DC34" w14:textId="77777777" w:rsidR="00B33542" w:rsidRPr="005071A1" w:rsidRDefault="00B33542" w:rsidP="009B7AF5">
            <w:pPr>
              <w:pStyle w:val="Tabletext"/>
            </w:pPr>
            <w:r w:rsidRPr="005071A1">
              <w:t>0.10</w:t>
            </w:r>
          </w:p>
        </w:tc>
        <w:tc>
          <w:tcPr>
            <w:tcW w:w="3360" w:type="dxa"/>
            <w:shd w:val="clear" w:color="auto" w:fill="auto"/>
          </w:tcPr>
          <w:p w14:paraId="50448CD5" w14:textId="77777777" w:rsidR="00B33542" w:rsidRPr="005071A1" w:rsidRDefault="00B33542" w:rsidP="009B7AF5">
            <w:pPr>
              <w:pStyle w:val="Tabletext"/>
            </w:pPr>
            <w:r w:rsidRPr="005071A1">
              <w:t>0.05</w:t>
            </w:r>
          </w:p>
        </w:tc>
      </w:tr>
      <w:tr w:rsidR="00B33542" w:rsidRPr="005071A1" w14:paraId="643EAA2E" w14:textId="77777777" w:rsidTr="009B7AF5">
        <w:tc>
          <w:tcPr>
            <w:tcW w:w="1384" w:type="dxa"/>
            <w:shd w:val="clear" w:color="auto" w:fill="auto"/>
          </w:tcPr>
          <w:p w14:paraId="3874F87F" w14:textId="77777777" w:rsidR="00B33542" w:rsidRPr="005071A1" w:rsidRDefault="00B33542" w:rsidP="009B7AF5">
            <w:pPr>
              <w:pStyle w:val="Tabletext"/>
            </w:pPr>
            <w:r w:rsidRPr="005071A1">
              <w:t>29</w:t>
            </w:r>
          </w:p>
        </w:tc>
        <w:tc>
          <w:tcPr>
            <w:tcW w:w="2552" w:type="dxa"/>
            <w:shd w:val="clear" w:color="auto" w:fill="auto"/>
          </w:tcPr>
          <w:p w14:paraId="7A6DEAFD" w14:textId="77777777" w:rsidR="00B33542" w:rsidRPr="005071A1" w:rsidRDefault="00B33542" w:rsidP="009B7AF5">
            <w:pPr>
              <w:pStyle w:val="Tabletext"/>
            </w:pPr>
            <w:r w:rsidRPr="005071A1">
              <w:t>0.10</w:t>
            </w:r>
          </w:p>
        </w:tc>
        <w:tc>
          <w:tcPr>
            <w:tcW w:w="3360" w:type="dxa"/>
            <w:shd w:val="clear" w:color="auto" w:fill="auto"/>
          </w:tcPr>
          <w:p w14:paraId="65DCD75B" w14:textId="77777777" w:rsidR="00B33542" w:rsidRPr="005071A1" w:rsidRDefault="00B33542" w:rsidP="009B7AF5">
            <w:pPr>
              <w:pStyle w:val="Tabletext"/>
            </w:pPr>
            <w:r w:rsidRPr="005071A1">
              <w:t>0.05</w:t>
            </w:r>
          </w:p>
        </w:tc>
      </w:tr>
      <w:tr w:rsidR="00B33542" w:rsidRPr="005071A1" w14:paraId="77992181" w14:textId="77777777" w:rsidTr="009B7AF5">
        <w:tc>
          <w:tcPr>
            <w:tcW w:w="1384" w:type="dxa"/>
            <w:shd w:val="clear" w:color="auto" w:fill="auto"/>
          </w:tcPr>
          <w:p w14:paraId="531384AC" w14:textId="77777777" w:rsidR="00B33542" w:rsidRPr="005071A1" w:rsidRDefault="00B33542" w:rsidP="009B7AF5">
            <w:pPr>
              <w:pStyle w:val="Tabletext"/>
            </w:pPr>
            <w:r w:rsidRPr="005071A1">
              <w:t>30</w:t>
            </w:r>
          </w:p>
        </w:tc>
        <w:tc>
          <w:tcPr>
            <w:tcW w:w="2552" w:type="dxa"/>
            <w:shd w:val="clear" w:color="auto" w:fill="auto"/>
          </w:tcPr>
          <w:p w14:paraId="2ED58BC8" w14:textId="77777777" w:rsidR="00B33542" w:rsidRPr="005071A1" w:rsidRDefault="00B33542" w:rsidP="009B7AF5">
            <w:pPr>
              <w:pStyle w:val="Tabletext"/>
            </w:pPr>
            <w:r w:rsidRPr="005071A1">
              <w:t>0.12</w:t>
            </w:r>
          </w:p>
        </w:tc>
        <w:tc>
          <w:tcPr>
            <w:tcW w:w="3360" w:type="dxa"/>
            <w:shd w:val="clear" w:color="auto" w:fill="auto"/>
          </w:tcPr>
          <w:p w14:paraId="51605491" w14:textId="77777777" w:rsidR="00B33542" w:rsidRPr="005071A1" w:rsidRDefault="00B33542" w:rsidP="009B7AF5">
            <w:pPr>
              <w:pStyle w:val="Tabletext"/>
            </w:pPr>
            <w:r w:rsidRPr="005071A1">
              <w:t>0.06</w:t>
            </w:r>
          </w:p>
        </w:tc>
      </w:tr>
      <w:tr w:rsidR="00B33542" w:rsidRPr="005071A1" w14:paraId="07A03687" w14:textId="77777777" w:rsidTr="009B7AF5">
        <w:tc>
          <w:tcPr>
            <w:tcW w:w="1384" w:type="dxa"/>
            <w:shd w:val="clear" w:color="auto" w:fill="auto"/>
          </w:tcPr>
          <w:p w14:paraId="48A7421B" w14:textId="77777777" w:rsidR="00B33542" w:rsidRPr="005071A1" w:rsidRDefault="00B33542" w:rsidP="009B7AF5">
            <w:pPr>
              <w:pStyle w:val="Tabletext"/>
            </w:pPr>
            <w:r w:rsidRPr="005071A1">
              <w:t>31</w:t>
            </w:r>
          </w:p>
        </w:tc>
        <w:tc>
          <w:tcPr>
            <w:tcW w:w="2552" w:type="dxa"/>
            <w:shd w:val="clear" w:color="auto" w:fill="auto"/>
          </w:tcPr>
          <w:p w14:paraId="539FE38B" w14:textId="77777777" w:rsidR="00B33542" w:rsidRPr="005071A1" w:rsidRDefault="00B33542" w:rsidP="009B7AF5">
            <w:pPr>
              <w:pStyle w:val="Tabletext"/>
            </w:pPr>
            <w:r w:rsidRPr="005071A1">
              <w:t>0.12</w:t>
            </w:r>
          </w:p>
        </w:tc>
        <w:tc>
          <w:tcPr>
            <w:tcW w:w="3360" w:type="dxa"/>
            <w:shd w:val="clear" w:color="auto" w:fill="auto"/>
          </w:tcPr>
          <w:p w14:paraId="37E92E41" w14:textId="77777777" w:rsidR="00B33542" w:rsidRPr="005071A1" w:rsidRDefault="00B33542" w:rsidP="009B7AF5">
            <w:pPr>
              <w:pStyle w:val="Tabletext"/>
            </w:pPr>
            <w:r w:rsidRPr="005071A1">
              <w:t>0.06</w:t>
            </w:r>
          </w:p>
        </w:tc>
      </w:tr>
      <w:tr w:rsidR="00B33542" w:rsidRPr="005071A1" w14:paraId="359BC77D" w14:textId="77777777" w:rsidTr="009B7AF5">
        <w:tc>
          <w:tcPr>
            <w:tcW w:w="1384" w:type="dxa"/>
            <w:shd w:val="clear" w:color="auto" w:fill="auto"/>
          </w:tcPr>
          <w:p w14:paraId="28589463" w14:textId="77777777" w:rsidR="00B33542" w:rsidRPr="005071A1" w:rsidRDefault="00B33542" w:rsidP="009B7AF5">
            <w:pPr>
              <w:pStyle w:val="Tabletext"/>
            </w:pPr>
            <w:r w:rsidRPr="005071A1">
              <w:t>32</w:t>
            </w:r>
          </w:p>
        </w:tc>
        <w:tc>
          <w:tcPr>
            <w:tcW w:w="2552" w:type="dxa"/>
            <w:shd w:val="clear" w:color="auto" w:fill="auto"/>
          </w:tcPr>
          <w:p w14:paraId="69416E68" w14:textId="77777777" w:rsidR="00B33542" w:rsidRPr="005071A1" w:rsidRDefault="00B33542" w:rsidP="009B7AF5">
            <w:pPr>
              <w:pStyle w:val="Tabletext"/>
            </w:pPr>
            <w:r w:rsidRPr="005071A1">
              <w:t>0.12</w:t>
            </w:r>
          </w:p>
        </w:tc>
        <w:tc>
          <w:tcPr>
            <w:tcW w:w="3360" w:type="dxa"/>
            <w:shd w:val="clear" w:color="auto" w:fill="auto"/>
          </w:tcPr>
          <w:p w14:paraId="0E3580D3" w14:textId="77777777" w:rsidR="00B33542" w:rsidRPr="005071A1" w:rsidRDefault="00B33542" w:rsidP="009B7AF5">
            <w:pPr>
              <w:pStyle w:val="Tabletext"/>
            </w:pPr>
            <w:r w:rsidRPr="005071A1">
              <w:t>0.06</w:t>
            </w:r>
          </w:p>
        </w:tc>
      </w:tr>
      <w:tr w:rsidR="00B33542" w:rsidRPr="005071A1" w14:paraId="557EAC3E" w14:textId="77777777" w:rsidTr="009B7AF5">
        <w:tc>
          <w:tcPr>
            <w:tcW w:w="1384" w:type="dxa"/>
            <w:shd w:val="clear" w:color="auto" w:fill="auto"/>
          </w:tcPr>
          <w:p w14:paraId="3440E007" w14:textId="77777777" w:rsidR="00B33542" w:rsidRPr="005071A1" w:rsidRDefault="00B33542" w:rsidP="009B7AF5">
            <w:pPr>
              <w:pStyle w:val="Tabletext"/>
            </w:pPr>
            <w:r w:rsidRPr="005071A1">
              <w:t>33</w:t>
            </w:r>
          </w:p>
        </w:tc>
        <w:tc>
          <w:tcPr>
            <w:tcW w:w="2552" w:type="dxa"/>
            <w:shd w:val="clear" w:color="auto" w:fill="auto"/>
          </w:tcPr>
          <w:p w14:paraId="37DF2950" w14:textId="77777777" w:rsidR="00B33542" w:rsidRPr="005071A1" w:rsidRDefault="00B33542" w:rsidP="009B7AF5">
            <w:pPr>
              <w:pStyle w:val="Tabletext"/>
            </w:pPr>
            <w:r w:rsidRPr="005071A1">
              <w:t>0.12</w:t>
            </w:r>
          </w:p>
        </w:tc>
        <w:tc>
          <w:tcPr>
            <w:tcW w:w="3360" w:type="dxa"/>
            <w:shd w:val="clear" w:color="auto" w:fill="auto"/>
          </w:tcPr>
          <w:p w14:paraId="0740A175" w14:textId="77777777" w:rsidR="00B33542" w:rsidRPr="005071A1" w:rsidRDefault="00B33542" w:rsidP="009B7AF5">
            <w:pPr>
              <w:pStyle w:val="Tabletext"/>
            </w:pPr>
            <w:r w:rsidRPr="005071A1">
              <w:t>0.06</w:t>
            </w:r>
          </w:p>
        </w:tc>
      </w:tr>
      <w:tr w:rsidR="00B33542" w:rsidRPr="005071A1" w14:paraId="274A2BC2" w14:textId="77777777" w:rsidTr="009B7AF5">
        <w:tc>
          <w:tcPr>
            <w:tcW w:w="1384" w:type="dxa"/>
            <w:shd w:val="clear" w:color="auto" w:fill="auto"/>
          </w:tcPr>
          <w:p w14:paraId="77A29CD6" w14:textId="77777777" w:rsidR="00B33542" w:rsidRPr="005071A1" w:rsidRDefault="00B33542" w:rsidP="009B7AF5">
            <w:pPr>
              <w:pStyle w:val="Tabletext"/>
            </w:pPr>
            <w:r w:rsidRPr="005071A1">
              <w:t>34</w:t>
            </w:r>
          </w:p>
        </w:tc>
        <w:tc>
          <w:tcPr>
            <w:tcW w:w="2552" w:type="dxa"/>
            <w:shd w:val="clear" w:color="auto" w:fill="auto"/>
          </w:tcPr>
          <w:p w14:paraId="3467C789" w14:textId="77777777" w:rsidR="00B33542" w:rsidRPr="005071A1" w:rsidRDefault="00B33542" w:rsidP="009B7AF5">
            <w:pPr>
              <w:pStyle w:val="Tabletext"/>
            </w:pPr>
            <w:r w:rsidRPr="005071A1">
              <w:t>0.12</w:t>
            </w:r>
          </w:p>
        </w:tc>
        <w:tc>
          <w:tcPr>
            <w:tcW w:w="3360" w:type="dxa"/>
            <w:shd w:val="clear" w:color="auto" w:fill="auto"/>
          </w:tcPr>
          <w:p w14:paraId="0C5EAE1C" w14:textId="77777777" w:rsidR="00B33542" w:rsidRPr="005071A1" w:rsidRDefault="00B33542" w:rsidP="009B7AF5">
            <w:pPr>
              <w:pStyle w:val="Tabletext"/>
            </w:pPr>
            <w:r w:rsidRPr="005071A1">
              <w:t>0.06</w:t>
            </w:r>
          </w:p>
        </w:tc>
      </w:tr>
      <w:tr w:rsidR="00B33542" w:rsidRPr="005071A1" w14:paraId="6DC98B8E" w14:textId="77777777" w:rsidTr="009B7AF5">
        <w:tc>
          <w:tcPr>
            <w:tcW w:w="1384" w:type="dxa"/>
            <w:shd w:val="clear" w:color="auto" w:fill="auto"/>
          </w:tcPr>
          <w:p w14:paraId="637D852B" w14:textId="77777777" w:rsidR="00B33542" w:rsidRPr="005071A1" w:rsidRDefault="00B33542" w:rsidP="009B7AF5">
            <w:pPr>
              <w:pStyle w:val="Tabletext"/>
            </w:pPr>
            <w:r w:rsidRPr="005071A1">
              <w:t>35</w:t>
            </w:r>
          </w:p>
        </w:tc>
        <w:tc>
          <w:tcPr>
            <w:tcW w:w="2552" w:type="dxa"/>
            <w:shd w:val="clear" w:color="auto" w:fill="auto"/>
          </w:tcPr>
          <w:p w14:paraId="616ABEB3" w14:textId="77777777" w:rsidR="00B33542" w:rsidRPr="005071A1" w:rsidRDefault="00B33542" w:rsidP="009B7AF5">
            <w:pPr>
              <w:pStyle w:val="Tabletext"/>
            </w:pPr>
            <w:r w:rsidRPr="005071A1">
              <w:t>0.12</w:t>
            </w:r>
          </w:p>
        </w:tc>
        <w:tc>
          <w:tcPr>
            <w:tcW w:w="3360" w:type="dxa"/>
            <w:shd w:val="clear" w:color="auto" w:fill="auto"/>
          </w:tcPr>
          <w:p w14:paraId="5722D170" w14:textId="77777777" w:rsidR="00B33542" w:rsidRPr="005071A1" w:rsidRDefault="00B33542" w:rsidP="009B7AF5">
            <w:pPr>
              <w:pStyle w:val="Tabletext"/>
            </w:pPr>
            <w:r w:rsidRPr="005071A1">
              <w:t>0.06</w:t>
            </w:r>
          </w:p>
        </w:tc>
      </w:tr>
      <w:tr w:rsidR="00B33542" w:rsidRPr="005071A1" w14:paraId="45FBA03F" w14:textId="77777777" w:rsidTr="009B7AF5">
        <w:tc>
          <w:tcPr>
            <w:tcW w:w="1384" w:type="dxa"/>
            <w:shd w:val="clear" w:color="auto" w:fill="auto"/>
          </w:tcPr>
          <w:p w14:paraId="67FBA691" w14:textId="77777777" w:rsidR="00B33542" w:rsidRPr="005071A1" w:rsidRDefault="00B33542" w:rsidP="009B7AF5">
            <w:pPr>
              <w:pStyle w:val="Tabletext"/>
            </w:pPr>
            <w:r w:rsidRPr="005071A1">
              <w:t>36</w:t>
            </w:r>
          </w:p>
        </w:tc>
        <w:tc>
          <w:tcPr>
            <w:tcW w:w="2552" w:type="dxa"/>
            <w:shd w:val="clear" w:color="auto" w:fill="auto"/>
          </w:tcPr>
          <w:p w14:paraId="3C31FCBE" w14:textId="77777777" w:rsidR="00B33542" w:rsidRPr="005071A1" w:rsidRDefault="00B33542" w:rsidP="009B7AF5">
            <w:pPr>
              <w:pStyle w:val="Tabletext"/>
            </w:pPr>
            <w:r w:rsidRPr="005071A1">
              <w:t>0.12</w:t>
            </w:r>
          </w:p>
        </w:tc>
        <w:tc>
          <w:tcPr>
            <w:tcW w:w="3360" w:type="dxa"/>
            <w:shd w:val="clear" w:color="auto" w:fill="auto"/>
          </w:tcPr>
          <w:p w14:paraId="64B9C65C" w14:textId="77777777" w:rsidR="00B33542" w:rsidRPr="005071A1" w:rsidRDefault="00B33542" w:rsidP="009B7AF5">
            <w:pPr>
              <w:pStyle w:val="Tabletext"/>
            </w:pPr>
            <w:r w:rsidRPr="005071A1">
              <w:t>0.06</w:t>
            </w:r>
          </w:p>
        </w:tc>
      </w:tr>
      <w:tr w:rsidR="00B33542" w:rsidRPr="005071A1" w14:paraId="39B01D32" w14:textId="77777777" w:rsidTr="009B7AF5">
        <w:tc>
          <w:tcPr>
            <w:tcW w:w="1384" w:type="dxa"/>
            <w:shd w:val="clear" w:color="auto" w:fill="auto"/>
          </w:tcPr>
          <w:p w14:paraId="613F6F25" w14:textId="77777777" w:rsidR="00B33542" w:rsidRPr="005071A1" w:rsidRDefault="00B33542" w:rsidP="009B7AF5">
            <w:pPr>
              <w:pStyle w:val="Tabletext"/>
            </w:pPr>
            <w:r w:rsidRPr="005071A1">
              <w:t>37</w:t>
            </w:r>
          </w:p>
        </w:tc>
        <w:tc>
          <w:tcPr>
            <w:tcW w:w="2552" w:type="dxa"/>
            <w:shd w:val="clear" w:color="auto" w:fill="auto"/>
          </w:tcPr>
          <w:p w14:paraId="5997CB9C" w14:textId="77777777" w:rsidR="00B33542" w:rsidRPr="005071A1" w:rsidRDefault="00B33542" w:rsidP="009B7AF5">
            <w:pPr>
              <w:pStyle w:val="Tabletext"/>
            </w:pPr>
            <w:r w:rsidRPr="005071A1">
              <w:t>0.12</w:t>
            </w:r>
          </w:p>
        </w:tc>
        <w:tc>
          <w:tcPr>
            <w:tcW w:w="3360" w:type="dxa"/>
            <w:shd w:val="clear" w:color="auto" w:fill="auto"/>
          </w:tcPr>
          <w:p w14:paraId="2F6B1277" w14:textId="77777777" w:rsidR="00B33542" w:rsidRPr="005071A1" w:rsidRDefault="00B33542" w:rsidP="009B7AF5">
            <w:pPr>
              <w:pStyle w:val="Tabletext"/>
            </w:pPr>
            <w:r w:rsidRPr="005071A1">
              <w:t>0.06</w:t>
            </w:r>
          </w:p>
        </w:tc>
      </w:tr>
      <w:tr w:rsidR="00B33542" w:rsidRPr="005071A1" w14:paraId="59B02F20" w14:textId="77777777" w:rsidTr="009B7AF5">
        <w:tc>
          <w:tcPr>
            <w:tcW w:w="1384" w:type="dxa"/>
            <w:shd w:val="clear" w:color="auto" w:fill="auto"/>
          </w:tcPr>
          <w:p w14:paraId="345CE952" w14:textId="77777777" w:rsidR="00B33542" w:rsidRPr="005071A1" w:rsidRDefault="00B33542" w:rsidP="009B7AF5">
            <w:pPr>
              <w:pStyle w:val="Tabletext"/>
            </w:pPr>
            <w:r w:rsidRPr="005071A1">
              <w:t>38</w:t>
            </w:r>
          </w:p>
        </w:tc>
        <w:tc>
          <w:tcPr>
            <w:tcW w:w="2552" w:type="dxa"/>
            <w:shd w:val="clear" w:color="auto" w:fill="auto"/>
          </w:tcPr>
          <w:p w14:paraId="6B6FC6AD" w14:textId="77777777" w:rsidR="00B33542" w:rsidRPr="005071A1" w:rsidRDefault="00B33542" w:rsidP="009B7AF5">
            <w:pPr>
              <w:pStyle w:val="Tabletext"/>
            </w:pPr>
            <w:r w:rsidRPr="005071A1">
              <w:t>0.12</w:t>
            </w:r>
          </w:p>
        </w:tc>
        <w:tc>
          <w:tcPr>
            <w:tcW w:w="3360" w:type="dxa"/>
            <w:shd w:val="clear" w:color="auto" w:fill="auto"/>
          </w:tcPr>
          <w:p w14:paraId="3A25DD86" w14:textId="77777777" w:rsidR="00B33542" w:rsidRPr="005071A1" w:rsidRDefault="00B33542" w:rsidP="009B7AF5">
            <w:pPr>
              <w:pStyle w:val="Tabletext"/>
            </w:pPr>
            <w:r w:rsidRPr="005071A1">
              <w:t>0.06</w:t>
            </w:r>
          </w:p>
        </w:tc>
      </w:tr>
      <w:tr w:rsidR="00B33542" w:rsidRPr="005071A1" w14:paraId="0449EBF5" w14:textId="77777777" w:rsidTr="009B7AF5">
        <w:tc>
          <w:tcPr>
            <w:tcW w:w="1384" w:type="dxa"/>
            <w:shd w:val="clear" w:color="auto" w:fill="auto"/>
          </w:tcPr>
          <w:p w14:paraId="570CC979" w14:textId="77777777" w:rsidR="00B33542" w:rsidRPr="005071A1" w:rsidRDefault="00B33542" w:rsidP="009B7AF5">
            <w:pPr>
              <w:pStyle w:val="Tabletext"/>
            </w:pPr>
            <w:r w:rsidRPr="005071A1">
              <w:t>39</w:t>
            </w:r>
          </w:p>
        </w:tc>
        <w:tc>
          <w:tcPr>
            <w:tcW w:w="2552" w:type="dxa"/>
            <w:shd w:val="clear" w:color="auto" w:fill="auto"/>
          </w:tcPr>
          <w:p w14:paraId="209A018C" w14:textId="77777777" w:rsidR="00B33542" w:rsidRPr="005071A1" w:rsidRDefault="00B33542" w:rsidP="009B7AF5">
            <w:pPr>
              <w:pStyle w:val="Tabletext"/>
            </w:pPr>
            <w:r w:rsidRPr="005071A1">
              <w:t>0.12</w:t>
            </w:r>
          </w:p>
        </w:tc>
        <w:tc>
          <w:tcPr>
            <w:tcW w:w="3360" w:type="dxa"/>
            <w:shd w:val="clear" w:color="auto" w:fill="auto"/>
          </w:tcPr>
          <w:p w14:paraId="4F3A227D" w14:textId="77777777" w:rsidR="00B33542" w:rsidRPr="005071A1" w:rsidRDefault="00B33542" w:rsidP="009B7AF5">
            <w:pPr>
              <w:pStyle w:val="Tabletext"/>
            </w:pPr>
            <w:r w:rsidRPr="005071A1">
              <w:t>0.06</w:t>
            </w:r>
          </w:p>
        </w:tc>
      </w:tr>
      <w:tr w:rsidR="00B33542" w:rsidRPr="005071A1" w14:paraId="444E5DB6" w14:textId="77777777" w:rsidTr="009B7AF5">
        <w:tc>
          <w:tcPr>
            <w:tcW w:w="1384" w:type="dxa"/>
            <w:shd w:val="clear" w:color="auto" w:fill="auto"/>
          </w:tcPr>
          <w:p w14:paraId="22EDC19D" w14:textId="77777777" w:rsidR="00B33542" w:rsidRPr="005071A1" w:rsidRDefault="00B33542" w:rsidP="009B7AF5">
            <w:pPr>
              <w:pStyle w:val="Tabletext"/>
            </w:pPr>
            <w:r w:rsidRPr="005071A1">
              <w:t>40</w:t>
            </w:r>
          </w:p>
        </w:tc>
        <w:tc>
          <w:tcPr>
            <w:tcW w:w="2552" w:type="dxa"/>
            <w:shd w:val="clear" w:color="auto" w:fill="auto"/>
          </w:tcPr>
          <w:p w14:paraId="162972F0" w14:textId="77777777" w:rsidR="00B33542" w:rsidRPr="005071A1" w:rsidRDefault="00B33542" w:rsidP="009B7AF5">
            <w:pPr>
              <w:pStyle w:val="Tabletext"/>
            </w:pPr>
            <w:r w:rsidRPr="005071A1">
              <w:t>0.14</w:t>
            </w:r>
          </w:p>
        </w:tc>
        <w:tc>
          <w:tcPr>
            <w:tcW w:w="3360" w:type="dxa"/>
            <w:shd w:val="clear" w:color="auto" w:fill="auto"/>
          </w:tcPr>
          <w:p w14:paraId="4F2B1EEE" w14:textId="77777777" w:rsidR="00B33542" w:rsidRPr="005071A1" w:rsidRDefault="00B33542" w:rsidP="009B7AF5">
            <w:pPr>
              <w:pStyle w:val="Tabletext"/>
            </w:pPr>
            <w:r w:rsidRPr="005071A1">
              <w:t>0.07</w:t>
            </w:r>
          </w:p>
        </w:tc>
      </w:tr>
      <w:tr w:rsidR="00B33542" w:rsidRPr="005071A1" w14:paraId="3FB0BC92" w14:textId="77777777" w:rsidTr="009B7AF5">
        <w:tc>
          <w:tcPr>
            <w:tcW w:w="1384" w:type="dxa"/>
            <w:shd w:val="clear" w:color="auto" w:fill="auto"/>
          </w:tcPr>
          <w:p w14:paraId="0D6DF360" w14:textId="77777777" w:rsidR="00B33542" w:rsidRPr="005071A1" w:rsidRDefault="00B33542" w:rsidP="009B7AF5">
            <w:pPr>
              <w:pStyle w:val="Tabletext"/>
            </w:pPr>
            <w:r w:rsidRPr="005071A1">
              <w:t>41</w:t>
            </w:r>
          </w:p>
        </w:tc>
        <w:tc>
          <w:tcPr>
            <w:tcW w:w="2552" w:type="dxa"/>
            <w:shd w:val="clear" w:color="auto" w:fill="auto"/>
          </w:tcPr>
          <w:p w14:paraId="4E1E5EB3" w14:textId="77777777" w:rsidR="00B33542" w:rsidRPr="005071A1" w:rsidRDefault="00B33542" w:rsidP="009B7AF5">
            <w:pPr>
              <w:pStyle w:val="Tabletext"/>
            </w:pPr>
            <w:r w:rsidRPr="005071A1">
              <w:t>0.14</w:t>
            </w:r>
          </w:p>
        </w:tc>
        <w:tc>
          <w:tcPr>
            <w:tcW w:w="3360" w:type="dxa"/>
            <w:shd w:val="clear" w:color="auto" w:fill="auto"/>
          </w:tcPr>
          <w:p w14:paraId="7E23D509" w14:textId="77777777" w:rsidR="00B33542" w:rsidRPr="005071A1" w:rsidRDefault="00B33542" w:rsidP="009B7AF5">
            <w:pPr>
              <w:pStyle w:val="Tabletext"/>
            </w:pPr>
            <w:r w:rsidRPr="005071A1">
              <w:t>0.07</w:t>
            </w:r>
          </w:p>
        </w:tc>
      </w:tr>
      <w:tr w:rsidR="00B33542" w:rsidRPr="005071A1" w14:paraId="5B2CD8C2" w14:textId="77777777" w:rsidTr="00D57394">
        <w:tc>
          <w:tcPr>
            <w:tcW w:w="1384" w:type="dxa"/>
            <w:tcBorders>
              <w:bottom w:val="single" w:sz="4" w:space="0" w:color="auto"/>
            </w:tcBorders>
            <w:shd w:val="clear" w:color="auto" w:fill="auto"/>
          </w:tcPr>
          <w:p w14:paraId="7A3F0214" w14:textId="77777777" w:rsidR="00B33542" w:rsidRPr="005071A1" w:rsidRDefault="00B33542" w:rsidP="009B7AF5">
            <w:pPr>
              <w:pStyle w:val="Tabletext"/>
            </w:pPr>
            <w:r w:rsidRPr="005071A1">
              <w:t>42</w:t>
            </w:r>
          </w:p>
        </w:tc>
        <w:tc>
          <w:tcPr>
            <w:tcW w:w="2552" w:type="dxa"/>
            <w:tcBorders>
              <w:bottom w:val="single" w:sz="4" w:space="0" w:color="auto"/>
            </w:tcBorders>
            <w:shd w:val="clear" w:color="auto" w:fill="auto"/>
          </w:tcPr>
          <w:p w14:paraId="5E3FBFAF" w14:textId="77777777" w:rsidR="00B33542" w:rsidRPr="005071A1" w:rsidRDefault="00B33542" w:rsidP="009B7AF5">
            <w:pPr>
              <w:pStyle w:val="Tabletext"/>
            </w:pPr>
            <w:r w:rsidRPr="005071A1">
              <w:t>0.14</w:t>
            </w:r>
          </w:p>
        </w:tc>
        <w:tc>
          <w:tcPr>
            <w:tcW w:w="3360" w:type="dxa"/>
            <w:tcBorders>
              <w:bottom w:val="single" w:sz="4" w:space="0" w:color="auto"/>
            </w:tcBorders>
            <w:shd w:val="clear" w:color="auto" w:fill="auto"/>
          </w:tcPr>
          <w:p w14:paraId="4EA997AE" w14:textId="77777777" w:rsidR="00B33542" w:rsidRPr="005071A1" w:rsidRDefault="00B33542" w:rsidP="009B7AF5">
            <w:pPr>
              <w:pStyle w:val="Tabletext"/>
            </w:pPr>
            <w:r w:rsidRPr="005071A1">
              <w:t>0.07</w:t>
            </w:r>
          </w:p>
        </w:tc>
      </w:tr>
      <w:tr w:rsidR="00B33542" w:rsidRPr="005071A1" w14:paraId="1A9C779A" w14:textId="77777777" w:rsidTr="00D57394">
        <w:tc>
          <w:tcPr>
            <w:tcW w:w="1384" w:type="dxa"/>
            <w:tcBorders>
              <w:bottom w:val="single" w:sz="4" w:space="0" w:color="auto"/>
            </w:tcBorders>
            <w:shd w:val="clear" w:color="auto" w:fill="auto"/>
          </w:tcPr>
          <w:p w14:paraId="62846F8E" w14:textId="77777777" w:rsidR="00B33542" w:rsidRPr="005071A1" w:rsidRDefault="00B33542" w:rsidP="009B7AF5">
            <w:pPr>
              <w:pStyle w:val="Tabletext"/>
            </w:pPr>
            <w:r w:rsidRPr="005071A1">
              <w:t>43</w:t>
            </w:r>
          </w:p>
        </w:tc>
        <w:tc>
          <w:tcPr>
            <w:tcW w:w="2552" w:type="dxa"/>
            <w:tcBorders>
              <w:bottom w:val="single" w:sz="4" w:space="0" w:color="auto"/>
            </w:tcBorders>
            <w:shd w:val="clear" w:color="auto" w:fill="auto"/>
          </w:tcPr>
          <w:p w14:paraId="0DB875B4" w14:textId="77777777" w:rsidR="00B33542" w:rsidRPr="005071A1" w:rsidRDefault="00B33542" w:rsidP="009B7AF5">
            <w:pPr>
              <w:pStyle w:val="Tabletext"/>
            </w:pPr>
            <w:r w:rsidRPr="005071A1">
              <w:t>0.16</w:t>
            </w:r>
          </w:p>
        </w:tc>
        <w:tc>
          <w:tcPr>
            <w:tcW w:w="3360" w:type="dxa"/>
            <w:tcBorders>
              <w:bottom w:val="single" w:sz="4" w:space="0" w:color="auto"/>
            </w:tcBorders>
            <w:shd w:val="clear" w:color="auto" w:fill="auto"/>
          </w:tcPr>
          <w:p w14:paraId="78882911" w14:textId="77777777" w:rsidR="00B33542" w:rsidRPr="005071A1" w:rsidRDefault="00B33542" w:rsidP="009B7AF5">
            <w:pPr>
              <w:pStyle w:val="Tabletext"/>
            </w:pPr>
            <w:r w:rsidRPr="005071A1">
              <w:t>0.08</w:t>
            </w:r>
          </w:p>
        </w:tc>
      </w:tr>
      <w:tr w:rsidR="00B33542" w:rsidRPr="005071A1" w14:paraId="6D0F19BC" w14:textId="77777777" w:rsidTr="00640BB6">
        <w:tc>
          <w:tcPr>
            <w:tcW w:w="1384" w:type="dxa"/>
            <w:tcBorders>
              <w:top w:val="single" w:sz="4" w:space="0" w:color="auto"/>
              <w:bottom w:val="single" w:sz="4" w:space="0" w:color="auto"/>
            </w:tcBorders>
            <w:shd w:val="clear" w:color="auto" w:fill="auto"/>
          </w:tcPr>
          <w:p w14:paraId="7FA4FD53" w14:textId="77777777" w:rsidR="00B33542" w:rsidRPr="005071A1" w:rsidRDefault="00B33542" w:rsidP="009B7AF5">
            <w:pPr>
              <w:pStyle w:val="Tabletext"/>
            </w:pPr>
            <w:r w:rsidRPr="005071A1">
              <w:t>44</w:t>
            </w:r>
          </w:p>
        </w:tc>
        <w:tc>
          <w:tcPr>
            <w:tcW w:w="2552" w:type="dxa"/>
            <w:tcBorders>
              <w:top w:val="single" w:sz="4" w:space="0" w:color="auto"/>
              <w:bottom w:val="single" w:sz="4" w:space="0" w:color="auto"/>
            </w:tcBorders>
            <w:shd w:val="clear" w:color="auto" w:fill="auto"/>
          </w:tcPr>
          <w:p w14:paraId="779743B3" w14:textId="77777777" w:rsidR="00B33542" w:rsidRPr="005071A1" w:rsidRDefault="00B33542" w:rsidP="009B7AF5">
            <w:pPr>
              <w:pStyle w:val="Tabletext"/>
            </w:pPr>
            <w:r w:rsidRPr="005071A1">
              <w:t>0.16</w:t>
            </w:r>
          </w:p>
        </w:tc>
        <w:tc>
          <w:tcPr>
            <w:tcW w:w="3360" w:type="dxa"/>
            <w:tcBorders>
              <w:top w:val="single" w:sz="4" w:space="0" w:color="auto"/>
              <w:bottom w:val="single" w:sz="4" w:space="0" w:color="auto"/>
            </w:tcBorders>
            <w:shd w:val="clear" w:color="auto" w:fill="auto"/>
          </w:tcPr>
          <w:p w14:paraId="010D0F42" w14:textId="77777777" w:rsidR="00B33542" w:rsidRPr="005071A1" w:rsidRDefault="00B33542" w:rsidP="009B7AF5">
            <w:pPr>
              <w:pStyle w:val="Tabletext"/>
            </w:pPr>
            <w:r w:rsidRPr="005071A1">
              <w:t>0.08</w:t>
            </w:r>
          </w:p>
        </w:tc>
      </w:tr>
      <w:tr w:rsidR="00B33542" w:rsidRPr="005071A1" w14:paraId="3DDAB5B6" w14:textId="77777777" w:rsidTr="00640BB6">
        <w:tc>
          <w:tcPr>
            <w:tcW w:w="1384" w:type="dxa"/>
            <w:tcBorders>
              <w:bottom w:val="single" w:sz="4" w:space="0" w:color="auto"/>
            </w:tcBorders>
            <w:shd w:val="clear" w:color="auto" w:fill="auto"/>
          </w:tcPr>
          <w:p w14:paraId="775B3B6E" w14:textId="77777777" w:rsidR="00B33542" w:rsidRPr="005071A1" w:rsidRDefault="00B33542" w:rsidP="009B7AF5">
            <w:pPr>
              <w:pStyle w:val="Tabletext"/>
            </w:pPr>
            <w:r w:rsidRPr="005071A1">
              <w:t>45</w:t>
            </w:r>
          </w:p>
        </w:tc>
        <w:tc>
          <w:tcPr>
            <w:tcW w:w="2552" w:type="dxa"/>
            <w:tcBorders>
              <w:bottom w:val="single" w:sz="4" w:space="0" w:color="auto"/>
            </w:tcBorders>
            <w:shd w:val="clear" w:color="auto" w:fill="auto"/>
          </w:tcPr>
          <w:p w14:paraId="0203D331" w14:textId="77777777" w:rsidR="00B33542" w:rsidRPr="005071A1" w:rsidRDefault="00B33542" w:rsidP="009B7AF5">
            <w:pPr>
              <w:pStyle w:val="Tabletext"/>
            </w:pPr>
            <w:r w:rsidRPr="005071A1">
              <w:t>0.18</w:t>
            </w:r>
          </w:p>
        </w:tc>
        <w:tc>
          <w:tcPr>
            <w:tcW w:w="3360" w:type="dxa"/>
            <w:tcBorders>
              <w:bottom w:val="single" w:sz="4" w:space="0" w:color="auto"/>
            </w:tcBorders>
            <w:shd w:val="clear" w:color="auto" w:fill="auto"/>
          </w:tcPr>
          <w:p w14:paraId="67C9A563" w14:textId="77777777" w:rsidR="00B33542" w:rsidRPr="005071A1" w:rsidRDefault="00B33542" w:rsidP="009B7AF5">
            <w:pPr>
              <w:pStyle w:val="Tabletext"/>
            </w:pPr>
            <w:r w:rsidRPr="005071A1">
              <w:t>0.09</w:t>
            </w:r>
          </w:p>
        </w:tc>
      </w:tr>
      <w:tr w:rsidR="00B33542" w:rsidRPr="005071A1" w14:paraId="15135F15" w14:textId="77777777" w:rsidTr="00640BB6">
        <w:tc>
          <w:tcPr>
            <w:tcW w:w="1384" w:type="dxa"/>
            <w:tcBorders>
              <w:top w:val="single" w:sz="4" w:space="0" w:color="auto"/>
            </w:tcBorders>
            <w:shd w:val="clear" w:color="auto" w:fill="auto"/>
          </w:tcPr>
          <w:p w14:paraId="0A79E36F" w14:textId="77777777" w:rsidR="00B33542" w:rsidRPr="005071A1" w:rsidRDefault="00B33542" w:rsidP="009B7AF5">
            <w:pPr>
              <w:pStyle w:val="Tabletext"/>
            </w:pPr>
            <w:r w:rsidRPr="005071A1">
              <w:t>46</w:t>
            </w:r>
          </w:p>
        </w:tc>
        <w:tc>
          <w:tcPr>
            <w:tcW w:w="2552" w:type="dxa"/>
            <w:tcBorders>
              <w:top w:val="single" w:sz="4" w:space="0" w:color="auto"/>
            </w:tcBorders>
            <w:shd w:val="clear" w:color="auto" w:fill="auto"/>
          </w:tcPr>
          <w:p w14:paraId="0116C46A" w14:textId="77777777" w:rsidR="00B33542" w:rsidRPr="005071A1" w:rsidRDefault="00B33542" w:rsidP="009B7AF5">
            <w:pPr>
              <w:pStyle w:val="Tabletext"/>
            </w:pPr>
            <w:r w:rsidRPr="005071A1">
              <w:t>0.18</w:t>
            </w:r>
          </w:p>
        </w:tc>
        <w:tc>
          <w:tcPr>
            <w:tcW w:w="3360" w:type="dxa"/>
            <w:tcBorders>
              <w:top w:val="single" w:sz="4" w:space="0" w:color="auto"/>
            </w:tcBorders>
            <w:shd w:val="clear" w:color="auto" w:fill="auto"/>
          </w:tcPr>
          <w:p w14:paraId="6179B4A1" w14:textId="77777777" w:rsidR="00B33542" w:rsidRPr="005071A1" w:rsidRDefault="00B33542" w:rsidP="009B7AF5">
            <w:pPr>
              <w:pStyle w:val="Tabletext"/>
            </w:pPr>
            <w:r w:rsidRPr="005071A1">
              <w:t>0.09</w:t>
            </w:r>
          </w:p>
        </w:tc>
      </w:tr>
      <w:tr w:rsidR="00B33542" w:rsidRPr="005071A1" w14:paraId="2F7C75FE" w14:textId="77777777" w:rsidTr="009B7AF5">
        <w:tc>
          <w:tcPr>
            <w:tcW w:w="1384" w:type="dxa"/>
            <w:shd w:val="clear" w:color="auto" w:fill="auto"/>
          </w:tcPr>
          <w:p w14:paraId="2333585C" w14:textId="77777777" w:rsidR="00B33542" w:rsidRPr="005071A1" w:rsidRDefault="00B33542" w:rsidP="009B7AF5">
            <w:pPr>
              <w:pStyle w:val="Tabletext"/>
            </w:pPr>
            <w:r w:rsidRPr="005071A1">
              <w:t>47</w:t>
            </w:r>
          </w:p>
        </w:tc>
        <w:tc>
          <w:tcPr>
            <w:tcW w:w="2552" w:type="dxa"/>
            <w:shd w:val="clear" w:color="auto" w:fill="auto"/>
          </w:tcPr>
          <w:p w14:paraId="03D18FF3" w14:textId="77777777" w:rsidR="00B33542" w:rsidRPr="005071A1" w:rsidRDefault="00B33542" w:rsidP="009B7AF5">
            <w:pPr>
              <w:pStyle w:val="Tabletext"/>
            </w:pPr>
            <w:r w:rsidRPr="005071A1">
              <w:t>0.20</w:t>
            </w:r>
          </w:p>
        </w:tc>
        <w:tc>
          <w:tcPr>
            <w:tcW w:w="3360" w:type="dxa"/>
            <w:shd w:val="clear" w:color="auto" w:fill="auto"/>
          </w:tcPr>
          <w:p w14:paraId="198C1E8B" w14:textId="77777777" w:rsidR="00B33542" w:rsidRPr="005071A1" w:rsidRDefault="00B33542" w:rsidP="009B7AF5">
            <w:pPr>
              <w:pStyle w:val="Tabletext"/>
            </w:pPr>
            <w:r w:rsidRPr="005071A1">
              <w:t>0.10</w:t>
            </w:r>
          </w:p>
        </w:tc>
      </w:tr>
      <w:tr w:rsidR="00B33542" w:rsidRPr="005071A1" w14:paraId="4E034A8A" w14:textId="77777777" w:rsidTr="009B7AF5">
        <w:tc>
          <w:tcPr>
            <w:tcW w:w="1384" w:type="dxa"/>
            <w:shd w:val="clear" w:color="auto" w:fill="auto"/>
          </w:tcPr>
          <w:p w14:paraId="54C74D4A" w14:textId="77777777" w:rsidR="00B33542" w:rsidRPr="005071A1" w:rsidRDefault="00B33542" w:rsidP="009B7AF5">
            <w:pPr>
              <w:pStyle w:val="Tabletext"/>
            </w:pPr>
            <w:r w:rsidRPr="005071A1">
              <w:t>48</w:t>
            </w:r>
          </w:p>
        </w:tc>
        <w:tc>
          <w:tcPr>
            <w:tcW w:w="2552" w:type="dxa"/>
            <w:shd w:val="clear" w:color="auto" w:fill="auto"/>
          </w:tcPr>
          <w:p w14:paraId="7CECFCAD" w14:textId="77777777" w:rsidR="00B33542" w:rsidRPr="005071A1" w:rsidRDefault="00B33542" w:rsidP="009B7AF5">
            <w:pPr>
              <w:pStyle w:val="Tabletext"/>
            </w:pPr>
            <w:r w:rsidRPr="005071A1">
              <w:t>0.22</w:t>
            </w:r>
          </w:p>
        </w:tc>
        <w:tc>
          <w:tcPr>
            <w:tcW w:w="3360" w:type="dxa"/>
            <w:shd w:val="clear" w:color="auto" w:fill="auto"/>
          </w:tcPr>
          <w:p w14:paraId="2AA66F29" w14:textId="77777777" w:rsidR="00B33542" w:rsidRPr="005071A1" w:rsidRDefault="00B33542" w:rsidP="009B7AF5">
            <w:pPr>
              <w:pStyle w:val="Tabletext"/>
            </w:pPr>
            <w:r w:rsidRPr="005071A1">
              <w:t>0.11</w:t>
            </w:r>
          </w:p>
        </w:tc>
      </w:tr>
      <w:tr w:rsidR="00B33542" w:rsidRPr="005071A1" w14:paraId="601EC9A1" w14:textId="77777777" w:rsidTr="009B7AF5">
        <w:tc>
          <w:tcPr>
            <w:tcW w:w="1384" w:type="dxa"/>
            <w:shd w:val="clear" w:color="auto" w:fill="auto"/>
          </w:tcPr>
          <w:p w14:paraId="6F4F7762" w14:textId="77777777" w:rsidR="00B33542" w:rsidRPr="005071A1" w:rsidRDefault="00B33542" w:rsidP="009B7AF5">
            <w:pPr>
              <w:pStyle w:val="Tabletext"/>
            </w:pPr>
            <w:r w:rsidRPr="005071A1">
              <w:t>49</w:t>
            </w:r>
          </w:p>
        </w:tc>
        <w:tc>
          <w:tcPr>
            <w:tcW w:w="2552" w:type="dxa"/>
            <w:shd w:val="clear" w:color="auto" w:fill="auto"/>
          </w:tcPr>
          <w:p w14:paraId="56A3CFFA" w14:textId="77777777" w:rsidR="00B33542" w:rsidRPr="005071A1" w:rsidRDefault="00B33542" w:rsidP="009B7AF5">
            <w:pPr>
              <w:pStyle w:val="Tabletext"/>
            </w:pPr>
            <w:r w:rsidRPr="005071A1">
              <w:t>0.24</w:t>
            </w:r>
          </w:p>
        </w:tc>
        <w:tc>
          <w:tcPr>
            <w:tcW w:w="3360" w:type="dxa"/>
            <w:shd w:val="clear" w:color="auto" w:fill="auto"/>
          </w:tcPr>
          <w:p w14:paraId="656EA0E1" w14:textId="77777777" w:rsidR="00B33542" w:rsidRPr="005071A1" w:rsidRDefault="00B33542" w:rsidP="009B7AF5">
            <w:pPr>
              <w:pStyle w:val="Tabletext"/>
            </w:pPr>
            <w:r w:rsidRPr="005071A1">
              <w:t>0.12</w:t>
            </w:r>
          </w:p>
        </w:tc>
      </w:tr>
      <w:tr w:rsidR="00B33542" w:rsidRPr="005071A1" w14:paraId="1F03E1FA" w14:textId="77777777" w:rsidTr="009B7AF5">
        <w:tc>
          <w:tcPr>
            <w:tcW w:w="1384" w:type="dxa"/>
            <w:shd w:val="clear" w:color="auto" w:fill="auto"/>
          </w:tcPr>
          <w:p w14:paraId="182A02ED" w14:textId="77777777" w:rsidR="00B33542" w:rsidRPr="005071A1" w:rsidRDefault="00B33542" w:rsidP="009B7AF5">
            <w:pPr>
              <w:pStyle w:val="Tabletext"/>
            </w:pPr>
            <w:r w:rsidRPr="005071A1">
              <w:t>50</w:t>
            </w:r>
          </w:p>
        </w:tc>
        <w:tc>
          <w:tcPr>
            <w:tcW w:w="2552" w:type="dxa"/>
            <w:shd w:val="clear" w:color="auto" w:fill="auto"/>
          </w:tcPr>
          <w:p w14:paraId="1EBF04FB" w14:textId="77777777" w:rsidR="00B33542" w:rsidRPr="005071A1" w:rsidRDefault="00B33542" w:rsidP="009B7AF5">
            <w:pPr>
              <w:pStyle w:val="Tabletext"/>
            </w:pPr>
            <w:r w:rsidRPr="005071A1">
              <w:t>0.28</w:t>
            </w:r>
          </w:p>
        </w:tc>
        <w:tc>
          <w:tcPr>
            <w:tcW w:w="3360" w:type="dxa"/>
            <w:shd w:val="clear" w:color="auto" w:fill="auto"/>
          </w:tcPr>
          <w:p w14:paraId="212EE495" w14:textId="77777777" w:rsidR="00B33542" w:rsidRPr="005071A1" w:rsidRDefault="00B33542" w:rsidP="009B7AF5">
            <w:pPr>
              <w:pStyle w:val="Tabletext"/>
            </w:pPr>
            <w:r w:rsidRPr="005071A1">
              <w:t>0.14</w:t>
            </w:r>
          </w:p>
        </w:tc>
      </w:tr>
      <w:tr w:rsidR="00B33542" w:rsidRPr="005071A1" w14:paraId="7C233758" w14:textId="77777777" w:rsidTr="009B7AF5">
        <w:tc>
          <w:tcPr>
            <w:tcW w:w="1384" w:type="dxa"/>
            <w:shd w:val="clear" w:color="auto" w:fill="auto"/>
          </w:tcPr>
          <w:p w14:paraId="7300EFFC" w14:textId="77777777" w:rsidR="00B33542" w:rsidRPr="005071A1" w:rsidRDefault="00B33542" w:rsidP="009B7AF5">
            <w:pPr>
              <w:pStyle w:val="Tabletext"/>
            </w:pPr>
            <w:r w:rsidRPr="005071A1">
              <w:t>51</w:t>
            </w:r>
          </w:p>
        </w:tc>
        <w:tc>
          <w:tcPr>
            <w:tcW w:w="2552" w:type="dxa"/>
            <w:shd w:val="clear" w:color="auto" w:fill="auto"/>
          </w:tcPr>
          <w:p w14:paraId="06039149" w14:textId="77777777" w:rsidR="00B33542" w:rsidRPr="005071A1" w:rsidRDefault="00B33542" w:rsidP="009B7AF5">
            <w:pPr>
              <w:pStyle w:val="Tabletext"/>
            </w:pPr>
            <w:r w:rsidRPr="005071A1">
              <w:t>0.30</w:t>
            </w:r>
          </w:p>
        </w:tc>
        <w:tc>
          <w:tcPr>
            <w:tcW w:w="3360" w:type="dxa"/>
            <w:shd w:val="clear" w:color="auto" w:fill="auto"/>
          </w:tcPr>
          <w:p w14:paraId="51E93F03" w14:textId="77777777" w:rsidR="00B33542" w:rsidRPr="005071A1" w:rsidRDefault="00B33542" w:rsidP="009B7AF5">
            <w:pPr>
              <w:pStyle w:val="Tabletext"/>
            </w:pPr>
            <w:r w:rsidRPr="005071A1">
              <w:t>0.15</w:t>
            </w:r>
          </w:p>
        </w:tc>
      </w:tr>
      <w:tr w:rsidR="00B33542" w:rsidRPr="005071A1" w14:paraId="6493C54B" w14:textId="77777777" w:rsidTr="009B7AF5">
        <w:tc>
          <w:tcPr>
            <w:tcW w:w="1384" w:type="dxa"/>
            <w:shd w:val="clear" w:color="auto" w:fill="auto"/>
          </w:tcPr>
          <w:p w14:paraId="6E0F2254" w14:textId="77777777" w:rsidR="00B33542" w:rsidRPr="005071A1" w:rsidRDefault="00B33542" w:rsidP="009B7AF5">
            <w:pPr>
              <w:pStyle w:val="Tabletext"/>
            </w:pPr>
            <w:r w:rsidRPr="005071A1">
              <w:t>52</w:t>
            </w:r>
          </w:p>
        </w:tc>
        <w:tc>
          <w:tcPr>
            <w:tcW w:w="2552" w:type="dxa"/>
            <w:shd w:val="clear" w:color="auto" w:fill="auto"/>
          </w:tcPr>
          <w:p w14:paraId="55A4D7FE" w14:textId="77777777" w:rsidR="00B33542" w:rsidRPr="005071A1" w:rsidRDefault="00B33542" w:rsidP="009B7AF5">
            <w:pPr>
              <w:pStyle w:val="Tabletext"/>
            </w:pPr>
            <w:r w:rsidRPr="005071A1">
              <w:t>0.36</w:t>
            </w:r>
          </w:p>
        </w:tc>
        <w:tc>
          <w:tcPr>
            <w:tcW w:w="3360" w:type="dxa"/>
            <w:shd w:val="clear" w:color="auto" w:fill="auto"/>
          </w:tcPr>
          <w:p w14:paraId="2FFEFF45" w14:textId="77777777" w:rsidR="00B33542" w:rsidRPr="005071A1" w:rsidRDefault="00B33542" w:rsidP="009B7AF5">
            <w:pPr>
              <w:pStyle w:val="Tabletext"/>
            </w:pPr>
            <w:r w:rsidRPr="005071A1">
              <w:t>0.18</w:t>
            </w:r>
          </w:p>
        </w:tc>
      </w:tr>
      <w:tr w:rsidR="00B33542" w:rsidRPr="005071A1" w14:paraId="5BC29A26" w14:textId="77777777" w:rsidTr="009B7AF5">
        <w:tc>
          <w:tcPr>
            <w:tcW w:w="1384" w:type="dxa"/>
            <w:shd w:val="clear" w:color="auto" w:fill="auto"/>
          </w:tcPr>
          <w:p w14:paraId="1404B62D" w14:textId="77777777" w:rsidR="00B33542" w:rsidRPr="005071A1" w:rsidRDefault="00B33542" w:rsidP="009B7AF5">
            <w:pPr>
              <w:pStyle w:val="Tabletext"/>
            </w:pPr>
            <w:r w:rsidRPr="005071A1">
              <w:t>53</w:t>
            </w:r>
          </w:p>
        </w:tc>
        <w:tc>
          <w:tcPr>
            <w:tcW w:w="2552" w:type="dxa"/>
            <w:shd w:val="clear" w:color="auto" w:fill="auto"/>
          </w:tcPr>
          <w:p w14:paraId="13CD8D5B" w14:textId="77777777" w:rsidR="00B33542" w:rsidRPr="005071A1" w:rsidRDefault="00B33542" w:rsidP="009B7AF5">
            <w:pPr>
              <w:pStyle w:val="Tabletext"/>
            </w:pPr>
            <w:r w:rsidRPr="005071A1">
              <w:t>0.40</w:t>
            </w:r>
          </w:p>
        </w:tc>
        <w:tc>
          <w:tcPr>
            <w:tcW w:w="3360" w:type="dxa"/>
            <w:shd w:val="clear" w:color="auto" w:fill="auto"/>
          </w:tcPr>
          <w:p w14:paraId="4FB48797" w14:textId="77777777" w:rsidR="00B33542" w:rsidRPr="005071A1" w:rsidRDefault="00B33542" w:rsidP="009B7AF5">
            <w:pPr>
              <w:pStyle w:val="Tabletext"/>
            </w:pPr>
            <w:r w:rsidRPr="005071A1">
              <w:t>0.20</w:t>
            </w:r>
          </w:p>
        </w:tc>
      </w:tr>
      <w:tr w:rsidR="00B33542" w:rsidRPr="005071A1" w14:paraId="1EB3BEC2" w14:textId="77777777" w:rsidTr="009B7AF5">
        <w:tc>
          <w:tcPr>
            <w:tcW w:w="1384" w:type="dxa"/>
            <w:shd w:val="clear" w:color="auto" w:fill="auto"/>
          </w:tcPr>
          <w:p w14:paraId="53A08C07" w14:textId="77777777" w:rsidR="00B33542" w:rsidRPr="005071A1" w:rsidRDefault="00B33542" w:rsidP="009B7AF5">
            <w:pPr>
              <w:pStyle w:val="Tabletext"/>
            </w:pPr>
            <w:r w:rsidRPr="005071A1">
              <w:t>54</w:t>
            </w:r>
          </w:p>
        </w:tc>
        <w:tc>
          <w:tcPr>
            <w:tcW w:w="2552" w:type="dxa"/>
            <w:shd w:val="clear" w:color="auto" w:fill="auto"/>
          </w:tcPr>
          <w:p w14:paraId="5128DBC8" w14:textId="77777777" w:rsidR="00B33542" w:rsidRPr="005071A1" w:rsidRDefault="00B33542" w:rsidP="009B7AF5">
            <w:pPr>
              <w:pStyle w:val="Tabletext"/>
            </w:pPr>
            <w:r w:rsidRPr="005071A1">
              <w:t>0.46</w:t>
            </w:r>
          </w:p>
        </w:tc>
        <w:tc>
          <w:tcPr>
            <w:tcW w:w="3360" w:type="dxa"/>
            <w:shd w:val="clear" w:color="auto" w:fill="auto"/>
          </w:tcPr>
          <w:p w14:paraId="27846F6F" w14:textId="77777777" w:rsidR="00B33542" w:rsidRPr="005071A1" w:rsidRDefault="00B33542" w:rsidP="009B7AF5">
            <w:pPr>
              <w:pStyle w:val="Tabletext"/>
            </w:pPr>
            <w:r w:rsidRPr="005071A1">
              <w:t>0.23</w:t>
            </w:r>
          </w:p>
        </w:tc>
      </w:tr>
      <w:tr w:rsidR="00B33542" w:rsidRPr="005071A1" w14:paraId="4827D7EB" w14:textId="77777777" w:rsidTr="009B7AF5">
        <w:tc>
          <w:tcPr>
            <w:tcW w:w="1384" w:type="dxa"/>
            <w:shd w:val="clear" w:color="auto" w:fill="auto"/>
          </w:tcPr>
          <w:p w14:paraId="70A9CC40" w14:textId="77777777" w:rsidR="00B33542" w:rsidRPr="005071A1" w:rsidRDefault="00B33542" w:rsidP="009B7AF5">
            <w:pPr>
              <w:pStyle w:val="Tabletext"/>
            </w:pPr>
            <w:r w:rsidRPr="005071A1">
              <w:t>55</w:t>
            </w:r>
          </w:p>
        </w:tc>
        <w:tc>
          <w:tcPr>
            <w:tcW w:w="2552" w:type="dxa"/>
            <w:shd w:val="clear" w:color="auto" w:fill="auto"/>
          </w:tcPr>
          <w:p w14:paraId="3D0DA0CC" w14:textId="77777777" w:rsidR="00B33542" w:rsidRPr="005071A1" w:rsidRDefault="00B33542" w:rsidP="009B7AF5">
            <w:pPr>
              <w:pStyle w:val="Tabletext"/>
            </w:pPr>
            <w:r w:rsidRPr="005071A1">
              <w:t>0.54</w:t>
            </w:r>
          </w:p>
        </w:tc>
        <w:tc>
          <w:tcPr>
            <w:tcW w:w="3360" w:type="dxa"/>
            <w:shd w:val="clear" w:color="auto" w:fill="auto"/>
          </w:tcPr>
          <w:p w14:paraId="4EDE7B2A" w14:textId="77777777" w:rsidR="00B33542" w:rsidRPr="005071A1" w:rsidRDefault="00B33542" w:rsidP="009B7AF5">
            <w:pPr>
              <w:pStyle w:val="Tabletext"/>
            </w:pPr>
            <w:r w:rsidRPr="005071A1">
              <w:t>0.27</w:t>
            </w:r>
          </w:p>
        </w:tc>
      </w:tr>
      <w:tr w:rsidR="00B33542" w:rsidRPr="005071A1" w14:paraId="48D96DED" w14:textId="77777777" w:rsidTr="009B7AF5">
        <w:tc>
          <w:tcPr>
            <w:tcW w:w="1384" w:type="dxa"/>
            <w:shd w:val="clear" w:color="auto" w:fill="auto"/>
          </w:tcPr>
          <w:p w14:paraId="3B932E29" w14:textId="77777777" w:rsidR="00B33542" w:rsidRPr="005071A1" w:rsidRDefault="00B33542" w:rsidP="009B7AF5">
            <w:pPr>
              <w:pStyle w:val="Tabletext"/>
            </w:pPr>
            <w:r w:rsidRPr="005071A1">
              <w:t>56</w:t>
            </w:r>
          </w:p>
        </w:tc>
        <w:tc>
          <w:tcPr>
            <w:tcW w:w="2552" w:type="dxa"/>
            <w:shd w:val="clear" w:color="auto" w:fill="auto"/>
          </w:tcPr>
          <w:p w14:paraId="185EA1EE" w14:textId="77777777" w:rsidR="00B33542" w:rsidRPr="005071A1" w:rsidRDefault="00B33542" w:rsidP="009B7AF5">
            <w:pPr>
              <w:pStyle w:val="Tabletext"/>
            </w:pPr>
            <w:r w:rsidRPr="005071A1">
              <w:t>0.68</w:t>
            </w:r>
          </w:p>
        </w:tc>
        <w:tc>
          <w:tcPr>
            <w:tcW w:w="3360" w:type="dxa"/>
            <w:shd w:val="clear" w:color="auto" w:fill="auto"/>
          </w:tcPr>
          <w:p w14:paraId="0176E26F" w14:textId="77777777" w:rsidR="00B33542" w:rsidRPr="005071A1" w:rsidRDefault="00B33542" w:rsidP="009B7AF5">
            <w:pPr>
              <w:pStyle w:val="Tabletext"/>
            </w:pPr>
            <w:r w:rsidRPr="005071A1">
              <w:t>0.34</w:t>
            </w:r>
          </w:p>
        </w:tc>
      </w:tr>
      <w:tr w:rsidR="00B33542" w:rsidRPr="005071A1" w14:paraId="7054511B" w14:textId="77777777" w:rsidTr="009B7AF5">
        <w:tc>
          <w:tcPr>
            <w:tcW w:w="1384" w:type="dxa"/>
            <w:shd w:val="clear" w:color="auto" w:fill="auto"/>
          </w:tcPr>
          <w:p w14:paraId="585B0061" w14:textId="77777777" w:rsidR="00B33542" w:rsidRPr="005071A1" w:rsidRDefault="00B33542" w:rsidP="009B7AF5">
            <w:pPr>
              <w:pStyle w:val="Tabletext"/>
            </w:pPr>
            <w:r w:rsidRPr="005071A1">
              <w:t>57</w:t>
            </w:r>
          </w:p>
        </w:tc>
        <w:tc>
          <w:tcPr>
            <w:tcW w:w="2552" w:type="dxa"/>
            <w:shd w:val="clear" w:color="auto" w:fill="auto"/>
          </w:tcPr>
          <w:p w14:paraId="362A6207" w14:textId="77777777" w:rsidR="00B33542" w:rsidRPr="005071A1" w:rsidRDefault="00B33542" w:rsidP="009B7AF5">
            <w:pPr>
              <w:pStyle w:val="Tabletext"/>
            </w:pPr>
            <w:r w:rsidRPr="005071A1">
              <w:t>0.92</w:t>
            </w:r>
          </w:p>
        </w:tc>
        <w:tc>
          <w:tcPr>
            <w:tcW w:w="3360" w:type="dxa"/>
            <w:shd w:val="clear" w:color="auto" w:fill="auto"/>
          </w:tcPr>
          <w:p w14:paraId="12FF89C0" w14:textId="77777777" w:rsidR="00B33542" w:rsidRPr="005071A1" w:rsidRDefault="00B33542" w:rsidP="009B7AF5">
            <w:pPr>
              <w:pStyle w:val="Tabletext"/>
            </w:pPr>
            <w:r w:rsidRPr="005071A1">
              <w:t>0.46</w:t>
            </w:r>
          </w:p>
        </w:tc>
      </w:tr>
      <w:tr w:rsidR="00B33542" w:rsidRPr="005071A1" w14:paraId="714826B0" w14:textId="77777777" w:rsidTr="009B7AF5">
        <w:tc>
          <w:tcPr>
            <w:tcW w:w="1384" w:type="dxa"/>
            <w:shd w:val="clear" w:color="auto" w:fill="auto"/>
          </w:tcPr>
          <w:p w14:paraId="6DB86826" w14:textId="77777777" w:rsidR="00B33542" w:rsidRPr="005071A1" w:rsidRDefault="00B33542" w:rsidP="009B7AF5">
            <w:pPr>
              <w:pStyle w:val="Tabletext"/>
            </w:pPr>
            <w:r w:rsidRPr="005071A1">
              <w:t>58</w:t>
            </w:r>
          </w:p>
        </w:tc>
        <w:tc>
          <w:tcPr>
            <w:tcW w:w="2552" w:type="dxa"/>
            <w:shd w:val="clear" w:color="auto" w:fill="auto"/>
          </w:tcPr>
          <w:p w14:paraId="56807702" w14:textId="77777777" w:rsidR="00B33542" w:rsidRPr="005071A1" w:rsidRDefault="00B33542" w:rsidP="009B7AF5">
            <w:pPr>
              <w:pStyle w:val="Tabletext"/>
            </w:pPr>
            <w:r w:rsidRPr="005071A1">
              <w:t>1.32</w:t>
            </w:r>
          </w:p>
        </w:tc>
        <w:tc>
          <w:tcPr>
            <w:tcW w:w="3360" w:type="dxa"/>
            <w:shd w:val="clear" w:color="auto" w:fill="auto"/>
          </w:tcPr>
          <w:p w14:paraId="196275A6" w14:textId="77777777" w:rsidR="00B33542" w:rsidRPr="005071A1" w:rsidRDefault="00B33542" w:rsidP="009B7AF5">
            <w:pPr>
              <w:pStyle w:val="Tabletext"/>
            </w:pPr>
            <w:r w:rsidRPr="005071A1">
              <w:t>0.66</w:t>
            </w:r>
          </w:p>
        </w:tc>
      </w:tr>
      <w:tr w:rsidR="00B33542" w:rsidRPr="005071A1" w14:paraId="77FC18ED" w14:textId="77777777" w:rsidTr="009B7AF5">
        <w:tc>
          <w:tcPr>
            <w:tcW w:w="1384" w:type="dxa"/>
            <w:tcBorders>
              <w:bottom w:val="single" w:sz="4" w:space="0" w:color="auto"/>
            </w:tcBorders>
            <w:shd w:val="clear" w:color="auto" w:fill="auto"/>
          </w:tcPr>
          <w:p w14:paraId="78010F6B" w14:textId="77777777" w:rsidR="00B33542" w:rsidRPr="005071A1" w:rsidRDefault="00B33542" w:rsidP="009B7AF5">
            <w:pPr>
              <w:pStyle w:val="Tabletext"/>
            </w:pPr>
            <w:r w:rsidRPr="005071A1">
              <w:t>59</w:t>
            </w:r>
          </w:p>
        </w:tc>
        <w:tc>
          <w:tcPr>
            <w:tcW w:w="2552" w:type="dxa"/>
            <w:tcBorders>
              <w:bottom w:val="single" w:sz="4" w:space="0" w:color="auto"/>
            </w:tcBorders>
            <w:shd w:val="clear" w:color="auto" w:fill="auto"/>
          </w:tcPr>
          <w:p w14:paraId="5BB961D9" w14:textId="77777777" w:rsidR="00B33542" w:rsidRPr="005071A1" w:rsidRDefault="00B33542" w:rsidP="009B7AF5">
            <w:pPr>
              <w:pStyle w:val="Tabletext"/>
            </w:pPr>
            <w:r w:rsidRPr="005071A1">
              <w:t>2.60</w:t>
            </w:r>
          </w:p>
        </w:tc>
        <w:tc>
          <w:tcPr>
            <w:tcW w:w="3360" w:type="dxa"/>
            <w:tcBorders>
              <w:bottom w:val="single" w:sz="4" w:space="0" w:color="auto"/>
            </w:tcBorders>
            <w:shd w:val="clear" w:color="auto" w:fill="auto"/>
          </w:tcPr>
          <w:p w14:paraId="71EBA3E9" w14:textId="77777777" w:rsidR="00B33542" w:rsidRPr="005071A1" w:rsidRDefault="00B33542" w:rsidP="009B7AF5">
            <w:pPr>
              <w:pStyle w:val="Tabletext"/>
            </w:pPr>
            <w:r w:rsidRPr="005071A1">
              <w:t>1.30</w:t>
            </w:r>
          </w:p>
        </w:tc>
      </w:tr>
      <w:tr w:rsidR="00B33542" w:rsidRPr="005071A1" w14:paraId="5FEC8CFD" w14:textId="77777777" w:rsidTr="009B7AF5">
        <w:tc>
          <w:tcPr>
            <w:tcW w:w="1384" w:type="dxa"/>
            <w:tcBorders>
              <w:bottom w:val="single" w:sz="12" w:space="0" w:color="auto"/>
            </w:tcBorders>
            <w:shd w:val="clear" w:color="auto" w:fill="auto"/>
          </w:tcPr>
          <w:p w14:paraId="1D5542E5" w14:textId="77777777" w:rsidR="00B33542" w:rsidRPr="005071A1" w:rsidRDefault="00B33542" w:rsidP="009B7AF5">
            <w:pPr>
              <w:pStyle w:val="Tabletext"/>
            </w:pPr>
            <w:r w:rsidRPr="005071A1">
              <w:t>60</w:t>
            </w:r>
          </w:p>
        </w:tc>
        <w:tc>
          <w:tcPr>
            <w:tcW w:w="2552" w:type="dxa"/>
            <w:tcBorders>
              <w:bottom w:val="single" w:sz="12" w:space="0" w:color="auto"/>
            </w:tcBorders>
            <w:shd w:val="clear" w:color="auto" w:fill="auto"/>
          </w:tcPr>
          <w:p w14:paraId="6AF41C56" w14:textId="77777777" w:rsidR="00B33542" w:rsidRPr="005071A1" w:rsidRDefault="00B33542" w:rsidP="009B7AF5">
            <w:pPr>
              <w:pStyle w:val="Tabletext"/>
            </w:pPr>
            <w:r w:rsidRPr="005071A1">
              <w:t>2.22</w:t>
            </w:r>
          </w:p>
        </w:tc>
        <w:tc>
          <w:tcPr>
            <w:tcW w:w="3360" w:type="dxa"/>
            <w:tcBorders>
              <w:bottom w:val="single" w:sz="12" w:space="0" w:color="auto"/>
            </w:tcBorders>
            <w:shd w:val="clear" w:color="auto" w:fill="auto"/>
          </w:tcPr>
          <w:p w14:paraId="31F00495" w14:textId="77777777" w:rsidR="00B33542" w:rsidRPr="005071A1" w:rsidRDefault="00B33542" w:rsidP="009B7AF5">
            <w:pPr>
              <w:pStyle w:val="Tabletext"/>
            </w:pPr>
            <w:r w:rsidRPr="005071A1">
              <w:t>1.11</w:t>
            </w:r>
          </w:p>
        </w:tc>
      </w:tr>
    </w:tbl>
    <w:p w14:paraId="10E99CFB" w14:textId="77777777" w:rsidR="00B33542" w:rsidRPr="005071A1" w:rsidRDefault="00B33542" w:rsidP="00674A0D">
      <w:pPr>
        <w:pStyle w:val="ActHead5"/>
        <w:pageBreakBefore/>
      </w:pPr>
      <w:bookmarkStart w:id="324" w:name="_Toc185577705"/>
      <w:r w:rsidRPr="005071A1">
        <w:t>Table XIII</w:t>
      </w:r>
      <w:bookmarkEnd w:id="324"/>
    </w:p>
    <w:p w14:paraId="6D37FF34" w14:textId="77777777" w:rsidR="00B33542" w:rsidRPr="005071A1" w:rsidRDefault="00B33542" w:rsidP="00B33542">
      <w:pPr>
        <w:spacing w:before="120"/>
      </w:pPr>
      <w:r w:rsidRPr="005071A1">
        <w:t xml:space="preserve">Reductions in fortnightly rates of contributions payable on or after 1st July, 1962, by male contributors for units of pension (other than units of pension to which </w:t>
      </w:r>
      <w:r w:rsidR="008B2950" w:rsidRPr="005071A1">
        <w:t>paragraph (</w:t>
      </w:r>
      <w:r w:rsidRPr="005071A1">
        <w:t xml:space="preserve">a) of </w:t>
      </w:r>
      <w:r w:rsidR="008B2950" w:rsidRPr="005071A1">
        <w:t>subsection (</w:t>
      </w:r>
      <w:r w:rsidRPr="005071A1">
        <w:t>3) of section</w:t>
      </w:r>
      <w:r w:rsidR="008B2950" w:rsidRPr="005071A1">
        <w:t> </w:t>
      </w:r>
      <w:r w:rsidRPr="005071A1">
        <w:t>23 applies) where the obligation to contribute for those units came into existence on or after 14th December, 1959, and before 1st July, 1962, based on a retiring age of 65 years and the age next birthday of the contributor when that obligation came into existence</w:t>
      </w:r>
    </w:p>
    <w:p w14:paraId="18466CAC"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240"/>
        <w:gridCol w:w="2572"/>
      </w:tblGrid>
      <w:tr w:rsidR="00B33542" w:rsidRPr="005071A1" w14:paraId="74AE2E37" w14:textId="77777777" w:rsidTr="009B7AF5">
        <w:trPr>
          <w:tblHeader/>
        </w:trPr>
        <w:tc>
          <w:tcPr>
            <w:tcW w:w="3240" w:type="dxa"/>
            <w:tcBorders>
              <w:top w:val="single" w:sz="12" w:space="0" w:color="auto"/>
              <w:bottom w:val="single" w:sz="6" w:space="0" w:color="auto"/>
            </w:tcBorders>
            <w:shd w:val="clear" w:color="auto" w:fill="auto"/>
          </w:tcPr>
          <w:p w14:paraId="60C3C2D9" w14:textId="77777777" w:rsidR="00B33542" w:rsidRPr="005071A1" w:rsidRDefault="00B33542" w:rsidP="009B7AF5">
            <w:pPr>
              <w:pStyle w:val="TableHeading"/>
            </w:pPr>
            <w:r w:rsidRPr="005071A1">
              <w:t>Column 1</w:t>
            </w:r>
          </w:p>
        </w:tc>
        <w:tc>
          <w:tcPr>
            <w:tcW w:w="2572" w:type="dxa"/>
            <w:tcBorders>
              <w:top w:val="single" w:sz="12" w:space="0" w:color="auto"/>
              <w:bottom w:val="single" w:sz="6" w:space="0" w:color="auto"/>
            </w:tcBorders>
            <w:shd w:val="clear" w:color="auto" w:fill="auto"/>
          </w:tcPr>
          <w:p w14:paraId="5116D9CB" w14:textId="77777777" w:rsidR="00B33542" w:rsidRPr="005071A1" w:rsidRDefault="00B33542" w:rsidP="009B7AF5">
            <w:pPr>
              <w:pStyle w:val="TableHeading"/>
            </w:pPr>
            <w:r w:rsidRPr="005071A1">
              <w:t>Column 2</w:t>
            </w:r>
          </w:p>
        </w:tc>
      </w:tr>
      <w:tr w:rsidR="00B33542" w:rsidRPr="005071A1" w14:paraId="741505A7" w14:textId="77777777" w:rsidTr="009B7AF5">
        <w:trPr>
          <w:tblHeader/>
        </w:trPr>
        <w:tc>
          <w:tcPr>
            <w:tcW w:w="3240" w:type="dxa"/>
            <w:tcBorders>
              <w:top w:val="single" w:sz="6" w:space="0" w:color="auto"/>
              <w:bottom w:val="single" w:sz="6" w:space="0" w:color="auto"/>
            </w:tcBorders>
            <w:shd w:val="clear" w:color="auto" w:fill="auto"/>
          </w:tcPr>
          <w:p w14:paraId="592FDC48" w14:textId="77777777" w:rsidR="00B33542" w:rsidRPr="005071A1" w:rsidRDefault="00B33542" w:rsidP="004B224B">
            <w:pPr>
              <w:pStyle w:val="TableHeading"/>
              <w:spacing w:before="40" w:after="40" w:line="180" w:lineRule="atLeast"/>
              <w:rPr>
                <w:sz w:val="16"/>
                <w:szCs w:val="16"/>
              </w:rPr>
            </w:pPr>
            <w:r w:rsidRPr="005071A1">
              <w:rPr>
                <w:sz w:val="16"/>
                <w:szCs w:val="16"/>
              </w:rPr>
              <w:br/>
              <w:t>Age next Birthday</w:t>
            </w:r>
          </w:p>
        </w:tc>
        <w:tc>
          <w:tcPr>
            <w:tcW w:w="2572" w:type="dxa"/>
            <w:tcBorders>
              <w:top w:val="single" w:sz="6" w:space="0" w:color="auto"/>
              <w:bottom w:val="single" w:sz="6" w:space="0" w:color="auto"/>
            </w:tcBorders>
            <w:shd w:val="clear" w:color="auto" w:fill="auto"/>
          </w:tcPr>
          <w:p w14:paraId="1C228A01" w14:textId="77777777" w:rsidR="00B33542" w:rsidRPr="005071A1" w:rsidRDefault="00B33542" w:rsidP="004B224B">
            <w:pPr>
              <w:pStyle w:val="TableHeading"/>
              <w:spacing w:before="40" w:after="40" w:line="180" w:lineRule="atLeast"/>
              <w:rPr>
                <w:sz w:val="16"/>
                <w:szCs w:val="16"/>
              </w:rPr>
            </w:pPr>
            <w:r w:rsidRPr="005071A1">
              <w:rPr>
                <w:sz w:val="16"/>
                <w:szCs w:val="16"/>
              </w:rPr>
              <w:t>Reduction in Contribution for each Unit</w:t>
            </w:r>
          </w:p>
        </w:tc>
      </w:tr>
      <w:tr w:rsidR="00B33542" w:rsidRPr="005071A1" w14:paraId="559B093B" w14:textId="77777777" w:rsidTr="009B7AF5">
        <w:trPr>
          <w:tblHeader/>
        </w:trPr>
        <w:tc>
          <w:tcPr>
            <w:tcW w:w="3240" w:type="dxa"/>
            <w:tcBorders>
              <w:top w:val="single" w:sz="6" w:space="0" w:color="auto"/>
              <w:bottom w:val="single" w:sz="12" w:space="0" w:color="auto"/>
            </w:tcBorders>
            <w:shd w:val="clear" w:color="auto" w:fill="auto"/>
          </w:tcPr>
          <w:p w14:paraId="6586C7D5" w14:textId="77777777" w:rsidR="00B33542" w:rsidRPr="005071A1" w:rsidRDefault="00B33542" w:rsidP="004B224B">
            <w:pPr>
              <w:pStyle w:val="TableHeading"/>
            </w:pPr>
          </w:p>
        </w:tc>
        <w:tc>
          <w:tcPr>
            <w:tcW w:w="2572" w:type="dxa"/>
            <w:tcBorders>
              <w:top w:val="single" w:sz="6" w:space="0" w:color="auto"/>
              <w:bottom w:val="single" w:sz="12" w:space="0" w:color="auto"/>
            </w:tcBorders>
            <w:shd w:val="clear" w:color="auto" w:fill="auto"/>
          </w:tcPr>
          <w:p w14:paraId="7EAD336E" w14:textId="77777777" w:rsidR="00B33542" w:rsidRPr="005071A1" w:rsidRDefault="00B33542" w:rsidP="004B224B">
            <w:pPr>
              <w:pStyle w:val="TableHeading"/>
            </w:pPr>
            <w:r w:rsidRPr="005071A1">
              <w:t>$</w:t>
            </w:r>
          </w:p>
        </w:tc>
      </w:tr>
      <w:tr w:rsidR="00B33542" w:rsidRPr="005071A1" w14:paraId="3B707BD8" w14:textId="77777777" w:rsidTr="009B7AF5">
        <w:tc>
          <w:tcPr>
            <w:tcW w:w="3240" w:type="dxa"/>
            <w:tcBorders>
              <w:top w:val="single" w:sz="12" w:space="0" w:color="auto"/>
            </w:tcBorders>
            <w:shd w:val="clear" w:color="auto" w:fill="auto"/>
          </w:tcPr>
          <w:p w14:paraId="37BE0975" w14:textId="77777777" w:rsidR="00B33542" w:rsidRPr="005071A1" w:rsidRDefault="00B33542" w:rsidP="009B7AF5">
            <w:pPr>
              <w:pStyle w:val="Tabletext"/>
            </w:pPr>
            <w:r w:rsidRPr="005071A1">
              <w:t>15</w:t>
            </w:r>
          </w:p>
        </w:tc>
        <w:tc>
          <w:tcPr>
            <w:tcW w:w="2572" w:type="dxa"/>
            <w:tcBorders>
              <w:top w:val="single" w:sz="12" w:space="0" w:color="auto"/>
            </w:tcBorders>
            <w:shd w:val="clear" w:color="auto" w:fill="auto"/>
          </w:tcPr>
          <w:p w14:paraId="107D8BFF" w14:textId="77777777" w:rsidR="00B33542" w:rsidRPr="005071A1" w:rsidRDefault="00B33542" w:rsidP="009B7AF5">
            <w:pPr>
              <w:pStyle w:val="Tabletext"/>
            </w:pPr>
            <w:r w:rsidRPr="005071A1">
              <w:t>0.03</w:t>
            </w:r>
          </w:p>
        </w:tc>
      </w:tr>
      <w:tr w:rsidR="00B33542" w:rsidRPr="005071A1" w14:paraId="08EB43DD" w14:textId="77777777" w:rsidTr="009B7AF5">
        <w:tc>
          <w:tcPr>
            <w:tcW w:w="3240" w:type="dxa"/>
            <w:shd w:val="clear" w:color="auto" w:fill="auto"/>
          </w:tcPr>
          <w:p w14:paraId="654BEEE0" w14:textId="77777777" w:rsidR="00B33542" w:rsidRPr="005071A1" w:rsidRDefault="00B33542" w:rsidP="009B7AF5">
            <w:pPr>
              <w:pStyle w:val="Tabletext"/>
            </w:pPr>
            <w:r w:rsidRPr="005071A1">
              <w:t>16</w:t>
            </w:r>
          </w:p>
        </w:tc>
        <w:tc>
          <w:tcPr>
            <w:tcW w:w="2572" w:type="dxa"/>
            <w:shd w:val="clear" w:color="auto" w:fill="auto"/>
          </w:tcPr>
          <w:p w14:paraId="2D17E650" w14:textId="77777777" w:rsidR="00B33542" w:rsidRPr="005071A1" w:rsidRDefault="00B33542" w:rsidP="009B7AF5">
            <w:pPr>
              <w:pStyle w:val="Tabletext"/>
            </w:pPr>
            <w:r w:rsidRPr="005071A1">
              <w:t>0.03</w:t>
            </w:r>
          </w:p>
        </w:tc>
      </w:tr>
      <w:tr w:rsidR="00B33542" w:rsidRPr="005071A1" w14:paraId="398982B1" w14:textId="77777777" w:rsidTr="009B7AF5">
        <w:tc>
          <w:tcPr>
            <w:tcW w:w="3240" w:type="dxa"/>
            <w:shd w:val="clear" w:color="auto" w:fill="auto"/>
          </w:tcPr>
          <w:p w14:paraId="44971C9F" w14:textId="77777777" w:rsidR="00B33542" w:rsidRPr="005071A1" w:rsidRDefault="00B33542" w:rsidP="009B7AF5">
            <w:pPr>
              <w:pStyle w:val="Tabletext"/>
            </w:pPr>
            <w:r w:rsidRPr="005071A1">
              <w:t>17</w:t>
            </w:r>
          </w:p>
        </w:tc>
        <w:tc>
          <w:tcPr>
            <w:tcW w:w="2572" w:type="dxa"/>
            <w:shd w:val="clear" w:color="auto" w:fill="auto"/>
          </w:tcPr>
          <w:p w14:paraId="7431E776" w14:textId="77777777" w:rsidR="00B33542" w:rsidRPr="005071A1" w:rsidRDefault="00B33542" w:rsidP="009B7AF5">
            <w:pPr>
              <w:pStyle w:val="Tabletext"/>
            </w:pPr>
            <w:r w:rsidRPr="005071A1">
              <w:t>0.03</w:t>
            </w:r>
          </w:p>
        </w:tc>
      </w:tr>
      <w:tr w:rsidR="00B33542" w:rsidRPr="005071A1" w14:paraId="3455F8BB" w14:textId="77777777" w:rsidTr="009B7AF5">
        <w:tc>
          <w:tcPr>
            <w:tcW w:w="3240" w:type="dxa"/>
            <w:shd w:val="clear" w:color="auto" w:fill="auto"/>
          </w:tcPr>
          <w:p w14:paraId="6B679EA2" w14:textId="77777777" w:rsidR="00B33542" w:rsidRPr="005071A1" w:rsidRDefault="00B33542" w:rsidP="009B7AF5">
            <w:pPr>
              <w:pStyle w:val="Tabletext"/>
            </w:pPr>
            <w:r w:rsidRPr="005071A1">
              <w:t>18</w:t>
            </w:r>
          </w:p>
        </w:tc>
        <w:tc>
          <w:tcPr>
            <w:tcW w:w="2572" w:type="dxa"/>
            <w:shd w:val="clear" w:color="auto" w:fill="auto"/>
          </w:tcPr>
          <w:p w14:paraId="013DA0FF" w14:textId="77777777" w:rsidR="00B33542" w:rsidRPr="005071A1" w:rsidRDefault="00B33542" w:rsidP="009B7AF5">
            <w:pPr>
              <w:pStyle w:val="Tabletext"/>
            </w:pPr>
            <w:r w:rsidRPr="005071A1">
              <w:t>0.03</w:t>
            </w:r>
          </w:p>
        </w:tc>
      </w:tr>
      <w:tr w:rsidR="00B33542" w:rsidRPr="005071A1" w14:paraId="4A39A34F" w14:textId="77777777" w:rsidTr="009B7AF5">
        <w:tc>
          <w:tcPr>
            <w:tcW w:w="3240" w:type="dxa"/>
            <w:shd w:val="clear" w:color="auto" w:fill="auto"/>
          </w:tcPr>
          <w:p w14:paraId="6133EA36" w14:textId="77777777" w:rsidR="00B33542" w:rsidRPr="005071A1" w:rsidRDefault="00B33542" w:rsidP="009B7AF5">
            <w:pPr>
              <w:pStyle w:val="Tabletext"/>
            </w:pPr>
            <w:r w:rsidRPr="005071A1">
              <w:t>19</w:t>
            </w:r>
          </w:p>
        </w:tc>
        <w:tc>
          <w:tcPr>
            <w:tcW w:w="2572" w:type="dxa"/>
            <w:shd w:val="clear" w:color="auto" w:fill="auto"/>
          </w:tcPr>
          <w:p w14:paraId="1FACFB83" w14:textId="77777777" w:rsidR="00B33542" w:rsidRPr="005071A1" w:rsidRDefault="00B33542" w:rsidP="009B7AF5">
            <w:pPr>
              <w:pStyle w:val="Tabletext"/>
            </w:pPr>
            <w:r w:rsidRPr="005071A1">
              <w:t>0.03</w:t>
            </w:r>
          </w:p>
        </w:tc>
      </w:tr>
      <w:tr w:rsidR="00B33542" w:rsidRPr="005071A1" w14:paraId="3DCBBC7C" w14:textId="77777777" w:rsidTr="009B7AF5">
        <w:tc>
          <w:tcPr>
            <w:tcW w:w="3240" w:type="dxa"/>
            <w:shd w:val="clear" w:color="auto" w:fill="auto"/>
          </w:tcPr>
          <w:p w14:paraId="203AFBEC" w14:textId="77777777" w:rsidR="00B33542" w:rsidRPr="005071A1" w:rsidRDefault="00B33542" w:rsidP="009B7AF5">
            <w:pPr>
              <w:pStyle w:val="Tabletext"/>
            </w:pPr>
            <w:r w:rsidRPr="005071A1">
              <w:t>20</w:t>
            </w:r>
          </w:p>
        </w:tc>
        <w:tc>
          <w:tcPr>
            <w:tcW w:w="2572" w:type="dxa"/>
            <w:shd w:val="clear" w:color="auto" w:fill="auto"/>
          </w:tcPr>
          <w:p w14:paraId="11DF47A2" w14:textId="77777777" w:rsidR="00B33542" w:rsidRPr="005071A1" w:rsidRDefault="00B33542" w:rsidP="009B7AF5">
            <w:pPr>
              <w:pStyle w:val="Tabletext"/>
            </w:pPr>
            <w:r w:rsidRPr="005071A1">
              <w:t>0.04</w:t>
            </w:r>
          </w:p>
        </w:tc>
      </w:tr>
      <w:tr w:rsidR="00B33542" w:rsidRPr="005071A1" w14:paraId="4C60BE50" w14:textId="77777777" w:rsidTr="009B7AF5">
        <w:tc>
          <w:tcPr>
            <w:tcW w:w="3240" w:type="dxa"/>
            <w:shd w:val="clear" w:color="auto" w:fill="auto"/>
          </w:tcPr>
          <w:p w14:paraId="4C0AC873" w14:textId="77777777" w:rsidR="00B33542" w:rsidRPr="005071A1" w:rsidRDefault="00B33542" w:rsidP="009B7AF5">
            <w:pPr>
              <w:pStyle w:val="Tabletext"/>
            </w:pPr>
            <w:r w:rsidRPr="005071A1">
              <w:t>21</w:t>
            </w:r>
          </w:p>
        </w:tc>
        <w:tc>
          <w:tcPr>
            <w:tcW w:w="2572" w:type="dxa"/>
            <w:shd w:val="clear" w:color="auto" w:fill="auto"/>
          </w:tcPr>
          <w:p w14:paraId="54B8B0BA" w14:textId="77777777" w:rsidR="00B33542" w:rsidRPr="005071A1" w:rsidRDefault="00B33542" w:rsidP="009B7AF5">
            <w:pPr>
              <w:pStyle w:val="Tabletext"/>
            </w:pPr>
            <w:r w:rsidRPr="005071A1">
              <w:t>0.03</w:t>
            </w:r>
          </w:p>
        </w:tc>
      </w:tr>
      <w:tr w:rsidR="00B33542" w:rsidRPr="005071A1" w14:paraId="7E20FB38" w14:textId="77777777" w:rsidTr="009B7AF5">
        <w:tc>
          <w:tcPr>
            <w:tcW w:w="3240" w:type="dxa"/>
            <w:shd w:val="clear" w:color="auto" w:fill="auto"/>
          </w:tcPr>
          <w:p w14:paraId="3671EEBC" w14:textId="77777777" w:rsidR="00B33542" w:rsidRPr="005071A1" w:rsidRDefault="00B33542" w:rsidP="009B7AF5">
            <w:pPr>
              <w:pStyle w:val="Tabletext"/>
            </w:pPr>
            <w:r w:rsidRPr="005071A1">
              <w:t>22</w:t>
            </w:r>
          </w:p>
        </w:tc>
        <w:tc>
          <w:tcPr>
            <w:tcW w:w="2572" w:type="dxa"/>
            <w:shd w:val="clear" w:color="auto" w:fill="auto"/>
          </w:tcPr>
          <w:p w14:paraId="4BE07CCF" w14:textId="77777777" w:rsidR="00B33542" w:rsidRPr="005071A1" w:rsidRDefault="00B33542" w:rsidP="009B7AF5">
            <w:pPr>
              <w:pStyle w:val="Tabletext"/>
            </w:pPr>
            <w:r w:rsidRPr="005071A1">
              <w:t>0.03</w:t>
            </w:r>
          </w:p>
        </w:tc>
      </w:tr>
      <w:tr w:rsidR="00B33542" w:rsidRPr="005071A1" w14:paraId="7E190E55" w14:textId="77777777" w:rsidTr="009B7AF5">
        <w:tc>
          <w:tcPr>
            <w:tcW w:w="3240" w:type="dxa"/>
            <w:shd w:val="clear" w:color="auto" w:fill="auto"/>
          </w:tcPr>
          <w:p w14:paraId="5252945F" w14:textId="77777777" w:rsidR="00B33542" w:rsidRPr="005071A1" w:rsidRDefault="00B33542" w:rsidP="009B7AF5">
            <w:pPr>
              <w:pStyle w:val="Tabletext"/>
            </w:pPr>
            <w:r w:rsidRPr="005071A1">
              <w:t>23</w:t>
            </w:r>
          </w:p>
        </w:tc>
        <w:tc>
          <w:tcPr>
            <w:tcW w:w="2572" w:type="dxa"/>
            <w:shd w:val="clear" w:color="auto" w:fill="auto"/>
          </w:tcPr>
          <w:p w14:paraId="4512D242" w14:textId="77777777" w:rsidR="00B33542" w:rsidRPr="005071A1" w:rsidRDefault="00B33542" w:rsidP="009B7AF5">
            <w:pPr>
              <w:pStyle w:val="Tabletext"/>
            </w:pPr>
            <w:r w:rsidRPr="005071A1">
              <w:t>0.03</w:t>
            </w:r>
          </w:p>
        </w:tc>
      </w:tr>
      <w:tr w:rsidR="00B33542" w:rsidRPr="005071A1" w14:paraId="36FACC32" w14:textId="77777777" w:rsidTr="009B7AF5">
        <w:tc>
          <w:tcPr>
            <w:tcW w:w="3240" w:type="dxa"/>
            <w:shd w:val="clear" w:color="auto" w:fill="auto"/>
          </w:tcPr>
          <w:p w14:paraId="2247C359" w14:textId="77777777" w:rsidR="00B33542" w:rsidRPr="005071A1" w:rsidRDefault="00B33542" w:rsidP="009B7AF5">
            <w:pPr>
              <w:pStyle w:val="Tabletext"/>
            </w:pPr>
            <w:r w:rsidRPr="005071A1">
              <w:t>24</w:t>
            </w:r>
          </w:p>
        </w:tc>
        <w:tc>
          <w:tcPr>
            <w:tcW w:w="2572" w:type="dxa"/>
            <w:shd w:val="clear" w:color="auto" w:fill="auto"/>
          </w:tcPr>
          <w:p w14:paraId="361DF989" w14:textId="77777777" w:rsidR="00B33542" w:rsidRPr="005071A1" w:rsidRDefault="00B33542" w:rsidP="009B7AF5">
            <w:pPr>
              <w:pStyle w:val="Tabletext"/>
            </w:pPr>
            <w:r w:rsidRPr="005071A1">
              <w:t>0.03</w:t>
            </w:r>
          </w:p>
        </w:tc>
      </w:tr>
      <w:tr w:rsidR="00B33542" w:rsidRPr="005071A1" w14:paraId="48E1C076" w14:textId="77777777" w:rsidTr="009B7AF5">
        <w:tc>
          <w:tcPr>
            <w:tcW w:w="3240" w:type="dxa"/>
            <w:shd w:val="clear" w:color="auto" w:fill="auto"/>
          </w:tcPr>
          <w:p w14:paraId="4E786252" w14:textId="77777777" w:rsidR="00B33542" w:rsidRPr="005071A1" w:rsidRDefault="00B33542" w:rsidP="009B7AF5">
            <w:pPr>
              <w:pStyle w:val="Tabletext"/>
            </w:pPr>
            <w:r w:rsidRPr="005071A1">
              <w:t>25</w:t>
            </w:r>
          </w:p>
        </w:tc>
        <w:tc>
          <w:tcPr>
            <w:tcW w:w="2572" w:type="dxa"/>
            <w:shd w:val="clear" w:color="auto" w:fill="auto"/>
          </w:tcPr>
          <w:p w14:paraId="7B60BA8D" w14:textId="77777777" w:rsidR="00B33542" w:rsidRPr="005071A1" w:rsidRDefault="00B33542" w:rsidP="009B7AF5">
            <w:pPr>
              <w:pStyle w:val="Tabletext"/>
            </w:pPr>
            <w:r w:rsidRPr="005071A1">
              <w:t>0.04</w:t>
            </w:r>
          </w:p>
        </w:tc>
      </w:tr>
      <w:tr w:rsidR="00B33542" w:rsidRPr="005071A1" w14:paraId="41BED1E7" w14:textId="77777777" w:rsidTr="009B7AF5">
        <w:tc>
          <w:tcPr>
            <w:tcW w:w="3240" w:type="dxa"/>
            <w:shd w:val="clear" w:color="auto" w:fill="auto"/>
          </w:tcPr>
          <w:p w14:paraId="17A157D8" w14:textId="77777777" w:rsidR="00B33542" w:rsidRPr="005071A1" w:rsidRDefault="00B33542" w:rsidP="009B7AF5">
            <w:pPr>
              <w:pStyle w:val="Tabletext"/>
            </w:pPr>
            <w:r w:rsidRPr="005071A1">
              <w:t>26</w:t>
            </w:r>
          </w:p>
        </w:tc>
        <w:tc>
          <w:tcPr>
            <w:tcW w:w="2572" w:type="dxa"/>
            <w:shd w:val="clear" w:color="auto" w:fill="auto"/>
          </w:tcPr>
          <w:p w14:paraId="23B3BF4E" w14:textId="77777777" w:rsidR="00B33542" w:rsidRPr="005071A1" w:rsidRDefault="00B33542" w:rsidP="009B7AF5">
            <w:pPr>
              <w:pStyle w:val="Tabletext"/>
            </w:pPr>
            <w:r w:rsidRPr="005071A1">
              <w:t>0.04</w:t>
            </w:r>
          </w:p>
        </w:tc>
      </w:tr>
      <w:tr w:rsidR="00B33542" w:rsidRPr="005071A1" w14:paraId="2FC7FBAC" w14:textId="77777777" w:rsidTr="009B7AF5">
        <w:tc>
          <w:tcPr>
            <w:tcW w:w="3240" w:type="dxa"/>
            <w:shd w:val="clear" w:color="auto" w:fill="auto"/>
          </w:tcPr>
          <w:p w14:paraId="50875818" w14:textId="77777777" w:rsidR="00B33542" w:rsidRPr="005071A1" w:rsidRDefault="00B33542" w:rsidP="009B7AF5">
            <w:pPr>
              <w:pStyle w:val="Tabletext"/>
            </w:pPr>
            <w:r w:rsidRPr="005071A1">
              <w:t>27</w:t>
            </w:r>
          </w:p>
        </w:tc>
        <w:tc>
          <w:tcPr>
            <w:tcW w:w="2572" w:type="dxa"/>
            <w:shd w:val="clear" w:color="auto" w:fill="auto"/>
          </w:tcPr>
          <w:p w14:paraId="734B6E00" w14:textId="77777777" w:rsidR="00B33542" w:rsidRPr="005071A1" w:rsidRDefault="00B33542" w:rsidP="009B7AF5">
            <w:pPr>
              <w:pStyle w:val="Tabletext"/>
            </w:pPr>
            <w:r w:rsidRPr="005071A1">
              <w:t>0.04</w:t>
            </w:r>
          </w:p>
        </w:tc>
      </w:tr>
      <w:tr w:rsidR="00B33542" w:rsidRPr="005071A1" w14:paraId="4B0C896B" w14:textId="77777777" w:rsidTr="009B7AF5">
        <w:tc>
          <w:tcPr>
            <w:tcW w:w="3240" w:type="dxa"/>
            <w:shd w:val="clear" w:color="auto" w:fill="auto"/>
          </w:tcPr>
          <w:p w14:paraId="260ED120" w14:textId="77777777" w:rsidR="00B33542" w:rsidRPr="005071A1" w:rsidRDefault="00B33542" w:rsidP="009B7AF5">
            <w:pPr>
              <w:pStyle w:val="Tabletext"/>
            </w:pPr>
            <w:r w:rsidRPr="005071A1">
              <w:t>28</w:t>
            </w:r>
          </w:p>
        </w:tc>
        <w:tc>
          <w:tcPr>
            <w:tcW w:w="2572" w:type="dxa"/>
            <w:shd w:val="clear" w:color="auto" w:fill="auto"/>
          </w:tcPr>
          <w:p w14:paraId="217971B9" w14:textId="77777777" w:rsidR="00B33542" w:rsidRPr="005071A1" w:rsidRDefault="00B33542" w:rsidP="009B7AF5">
            <w:pPr>
              <w:pStyle w:val="Tabletext"/>
            </w:pPr>
            <w:r w:rsidRPr="005071A1">
              <w:t>0.04</w:t>
            </w:r>
          </w:p>
        </w:tc>
      </w:tr>
      <w:tr w:rsidR="00B33542" w:rsidRPr="005071A1" w14:paraId="40531E99" w14:textId="77777777" w:rsidTr="009B7AF5">
        <w:tc>
          <w:tcPr>
            <w:tcW w:w="3240" w:type="dxa"/>
            <w:shd w:val="clear" w:color="auto" w:fill="auto"/>
          </w:tcPr>
          <w:p w14:paraId="3B00A517" w14:textId="77777777" w:rsidR="00B33542" w:rsidRPr="005071A1" w:rsidRDefault="00B33542" w:rsidP="009B7AF5">
            <w:pPr>
              <w:pStyle w:val="Tabletext"/>
            </w:pPr>
            <w:r w:rsidRPr="005071A1">
              <w:t>29</w:t>
            </w:r>
          </w:p>
        </w:tc>
        <w:tc>
          <w:tcPr>
            <w:tcW w:w="2572" w:type="dxa"/>
            <w:shd w:val="clear" w:color="auto" w:fill="auto"/>
          </w:tcPr>
          <w:p w14:paraId="22CA2751" w14:textId="77777777" w:rsidR="00B33542" w:rsidRPr="005071A1" w:rsidRDefault="00B33542" w:rsidP="009B7AF5">
            <w:pPr>
              <w:pStyle w:val="Tabletext"/>
            </w:pPr>
            <w:r w:rsidRPr="005071A1">
              <w:t>0.03</w:t>
            </w:r>
          </w:p>
        </w:tc>
      </w:tr>
      <w:tr w:rsidR="00B33542" w:rsidRPr="005071A1" w14:paraId="45D9BAC5" w14:textId="77777777" w:rsidTr="009B7AF5">
        <w:tc>
          <w:tcPr>
            <w:tcW w:w="3240" w:type="dxa"/>
            <w:shd w:val="clear" w:color="auto" w:fill="auto"/>
          </w:tcPr>
          <w:p w14:paraId="4FC9BB0F" w14:textId="77777777" w:rsidR="00B33542" w:rsidRPr="005071A1" w:rsidRDefault="00B33542" w:rsidP="009B7AF5">
            <w:pPr>
              <w:pStyle w:val="Tabletext"/>
            </w:pPr>
            <w:r w:rsidRPr="005071A1">
              <w:t>30</w:t>
            </w:r>
          </w:p>
        </w:tc>
        <w:tc>
          <w:tcPr>
            <w:tcW w:w="2572" w:type="dxa"/>
            <w:shd w:val="clear" w:color="auto" w:fill="auto"/>
          </w:tcPr>
          <w:p w14:paraId="091A025F" w14:textId="77777777" w:rsidR="00B33542" w:rsidRPr="005071A1" w:rsidRDefault="00B33542" w:rsidP="009B7AF5">
            <w:pPr>
              <w:pStyle w:val="Tabletext"/>
            </w:pPr>
            <w:r w:rsidRPr="005071A1">
              <w:t>0.04</w:t>
            </w:r>
          </w:p>
        </w:tc>
      </w:tr>
      <w:tr w:rsidR="00B33542" w:rsidRPr="005071A1" w14:paraId="1A8862F7" w14:textId="77777777" w:rsidTr="009B7AF5">
        <w:tc>
          <w:tcPr>
            <w:tcW w:w="3240" w:type="dxa"/>
            <w:shd w:val="clear" w:color="auto" w:fill="auto"/>
          </w:tcPr>
          <w:p w14:paraId="4CDF039D" w14:textId="77777777" w:rsidR="00B33542" w:rsidRPr="005071A1" w:rsidRDefault="00B33542" w:rsidP="009B7AF5">
            <w:pPr>
              <w:pStyle w:val="Tabletext"/>
            </w:pPr>
            <w:r w:rsidRPr="005071A1">
              <w:t>31</w:t>
            </w:r>
          </w:p>
        </w:tc>
        <w:tc>
          <w:tcPr>
            <w:tcW w:w="2572" w:type="dxa"/>
            <w:shd w:val="clear" w:color="auto" w:fill="auto"/>
          </w:tcPr>
          <w:p w14:paraId="229A7507" w14:textId="77777777" w:rsidR="00B33542" w:rsidRPr="005071A1" w:rsidRDefault="00B33542" w:rsidP="009B7AF5">
            <w:pPr>
              <w:pStyle w:val="Tabletext"/>
            </w:pPr>
            <w:r w:rsidRPr="005071A1">
              <w:t>0.04</w:t>
            </w:r>
          </w:p>
        </w:tc>
      </w:tr>
      <w:tr w:rsidR="00B33542" w:rsidRPr="005071A1" w14:paraId="76CB54B3" w14:textId="77777777" w:rsidTr="00D57394">
        <w:tc>
          <w:tcPr>
            <w:tcW w:w="3240" w:type="dxa"/>
            <w:tcBorders>
              <w:bottom w:val="single" w:sz="4" w:space="0" w:color="auto"/>
            </w:tcBorders>
            <w:shd w:val="clear" w:color="auto" w:fill="auto"/>
          </w:tcPr>
          <w:p w14:paraId="7D4953E6" w14:textId="77777777" w:rsidR="00B33542" w:rsidRPr="005071A1" w:rsidRDefault="00B33542" w:rsidP="009B7AF5">
            <w:pPr>
              <w:pStyle w:val="Tabletext"/>
            </w:pPr>
            <w:r w:rsidRPr="005071A1">
              <w:t>32</w:t>
            </w:r>
          </w:p>
        </w:tc>
        <w:tc>
          <w:tcPr>
            <w:tcW w:w="2572" w:type="dxa"/>
            <w:tcBorders>
              <w:bottom w:val="single" w:sz="4" w:space="0" w:color="auto"/>
            </w:tcBorders>
            <w:shd w:val="clear" w:color="auto" w:fill="auto"/>
          </w:tcPr>
          <w:p w14:paraId="0124AB46" w14:textId="77777777" w:rsidR="00B33542" w:rsidRPr="005071A1" w:rsidRDefault="00B33542" w:rsidP="009B7AF5">
            <w:pPr>
              <w:pStyle w:val="Tabletext"/>
            </w:pPr>
            <w:r w:rsidRPr="005071A1">
              <w:t>0.04</w:t>
            </w:r>
          </w:p>
        </w:tc>
      </w:tr>
      <w:tr w:rsidR="00B33542" w:rsidRPr="005071A1" w14:paraId="0F99C445" w14:textId="77777777" w:rsidTr="00D57394">
        <w:tc>
          <w:tcPr>
            <w:tcW w:w="3240" w:type="dxa"/>
            <w:tcBorders>
              <w:bottom w:val="single" w:sz="4" w:space="0" w:color="auto"/>
            </w:tcBorders>
            <w:shd w:val="clear" w:color="auto" w:fill="auto"/>
          </w:tcPr>
          <w:p w14:paraId="717D40AD" w14:textId="77777777" w:rsidR="00B33542" w:rsidRPr="005071A1" w:rsidRDefault="00B33542" w:rsidP="009B7AF5">
            <w:pPr>
              <w:pStyle w:val="Tabletext"/>
            </w:pPr>
            <w:r w:rsidRPr="005071A1">
              <w:t>33</w:t>
            </w:r>
          </w:p>
        </w:tc>
        <w:tc>
          <w:tcPr>
            <w:tcW w:w="2572" w:type="dxa"/>
            <w:tcBorders>
              <w:bottom w:val="single" w:sz="4" w:space="0" w:color="auto"/>
            </w:tcBorders>
            <w:shd w:val="clear" w:color="auto" w:fill="auto"/>
          </w:tcPr>
          <w:p w14:paraId="6D271692" w14:textId="77777777" w:rsidR="00B33542" w:rsidRPr="005071A1" w:rsidRDefault="00B33542" w:rsidP="009B7AF5">
            <w:pPr>
              <w:pStyle w:val="Tabletext"/>
            </w:pPr>
            <w:r w:rsidRPr="005071A1">
              <w:t>0.04</w:t>
            </w:r>
          </w:p>
        </w:tc>
      </w:tr>
      <w:tr w:rsidR="00B33542" w:rsidRPr="005071A1" w14:paraId="0DA6A8B6" w14:textId="77777777" w:rsidTr="00640BB6">
        <w:tc>
          <w:tcPr>
            <w:tcW w:w="3240" w:type="dxa"/>
            <w:tcBorders>
              <w:top w:val="single" w:sz="4" w:space="0" w:color="auto"/>
              <w:bottom w:val="single" w:sz="4" w:space="0" w:color="auto"/>
            </w:tcBorders>
            <w:shd w:val="clear" w:color="auto" w:fill="auto"/>
          </w:tcPr>
          <w:p w14:paraId="190B4DD5" w14:textId="77777777" w:rsidR="00B33542" w:rsidRPr="005071A1" w:rsidRDefault="00B33542" w:rsidP="009B7AF5">
            <w:pPr>
              <w:pStyle w:val="Tabletext"/>
            </w:pPr>
            <w:r w:rsidRPr="005071A1">
              <w:t>34</w:t>
            </w:r>
          </w:p>
        </w:tc>
        <w:tc>
          <w:tcPr>
            <w:tcW w:w="2572" w:type="dxa"/>
            <w:tcBorders>
              <w:top w:val="single" w:sz="4" w:space="0" w:color="auto"/>
              <w:bottom w:val="single" w:sz="4" w:space="0" w:color="auto"/>
            </w:tcBorders>
            <w:shd w:val="clear" w:color="auto" w:fill="auto"/>
          </w:tcPr>
          <w:p w14:paraId="61B591C9" w14:textId="77777777" w:rsidR="00B33542" w:rsidRPr="005071A1" w:rsidRDefault="00B33542" w:rsidP="009B7AF5">
            <w:pPr>
              <w:pStyle w:val="Tabletext"/>
            </w:pPr>
            <w:r w:rsidRPr="005071A1">
              <w:t>0.04</w:t>
            </w:r>
          </w:p>
        </w:tc>
      </w:tr>
      <w:tr w:rsidR="00B33542" w:rsidRPr="005071A1" w14:paraId="4DAA409A" w14:textId="77777777" w:rsidTr="00640BB6">
        <w:tc>
          <w:tcPr>
            <w:tcW w:w="3240" w:type="dxa"/>
            <w:tcBorders>
              <w:bottom w:val="single" w:sz="4" w:space="0" w:color="auto"/>
            </w:tcBorders>
            <w:shd w:val="clear" w:color="auto" w:fill="auto"/>
          </w:tcPr>
          <w:p w14:paraId="4DA2F5AE" w14:textId="77777777" w:rsidR="00B33542" w:rsidRPr="005071A1" w:rsidRDefault="00B33542" w:rsidP="009B7AF5">
            <w:pPr>
              <w:pStyle w:val="Tabletext"/>
            </w:pPr>
            <w:r w:rsidRPr="005071A1">
              <w:t>35</w:t>
            </w:r>
          </w:p>
        </w:tc>
        <w:tc>
          <w:tcPr>
            <w:tcW w:w="2572" w:type="dxa"/>
            <w:tcBorders>
              <w:bottom w:val="single" w:sz="4" w:space="0" w:color="auto"/>
            </w:tcBorders>
            <w:shd w:val="clear" w:color="auto" w:fill="auto"/>
          </w:tcPr>
          <w:p w14:paraId="7FB7EA73" w14:textId="77777777" w:rsidR="00B33542" w:rsidRPr="005071A1" w:rsidRDefault="00B33542" w:rsidP="009B7AF5">
            <w:pPr>
              <w:pStyle w:val="Tabletext"/>
            </w:pPr>
            <w:r w:rsidRPr="005071A1">
              <w:t>0.04</w:t>
            </w:r>
          </w:p>
        </w:tc>
      </w:tr>
      <w:tr w:rsidR="00B33542" w:rsidRPr="005071A1" w14:paraId="04C95462" w14:textId="77777777" w:rsidTr="00640BB6">
        <w:tc>
          <w:tcPr>
            <w:tcW w:w="3240" w:type="dxa"/>
            <w:tcBorders>
              <w:top w:val="single" w:sz="4" w:space="0" w:color="auto"/>
            </w:tcBorders>
            <w:shd w:val="clear" w:color="auto" w:fill="auto"/>
          </w:tcPr>
          <w:p w14:paraId="177D337B" w14:textId="77777777" w:rsidR="00B33542" w:rsidRPr="005071A1" w:rsidRDefault="00B33542" w:rsidP="009B7AF5">
            <w:pPr>
              <w:pStyle w:val="Tabletext"/>
            </w:pPr>
            <w:r w:rsidRPr="005071A1">
              <w:t>36</w:t>
            </w:r>
          </w:p>
        </w:tc>
        <w:tc>
          <w:tcPr>
            <w:tcW w:w="2572" w:type="dxa"/>
            <w:tcBorders>
              <w:top w:val="single" w:sz="4" w:space="0" w:color="auto"/>
            </w:tcBorders>
            <w:shd w:val="clear" w:color="auto" w:fill="auto"/>
          </w:tcPr>
          <w:p w14:paraId="392CBFDD" w14:textId="77777777" w:rsidR="00B33542" w:rsidRPr="005071A1" w:rsidRDefault="00B33542" w:rsidP="009B7AF5">
            <w:pPr>
              <w:pStyle w:val="Tabletext"/>
            </w:pPr>
            <w:r w:rsidRPr="005071A1">
              <w:t>0.05</w:t>
            </w:r>
          </w:p>
        </w:tc>
      </w:tr>
      <w:tr w:rsidR="00B33542" w:rsidRPr="005071A1" w14:paraId="2FD8D0FA" w14:textId="77777777" w:rsidTr="009B7AF5">
        <w:tc>
          <w:tcPr>
            <w:tcW w:w="3240" w:type="dxa"/>
            <w:shd w:val="clear" w:color="auto" w:fill="auto"/>
          </w:tcPr>
          <w:p w14:paraId="3AB6F7F0" w14:textId="77777777" w:rsidR="00B33542" w:rsidRPr="005071A1" w:rsidRDefault="00B33542" w:rsidP="009B7AF5">
            <w:pPr>
              <w:pStyle w:val="Tabletext"/>
            </w:pPr>
            <w:r w:rsidRPr="005071A1">
              <w:t>37</w:t>
            </w:r>
          </w:p>
        </w:tc>
        <w:tc>
          <w:tcPr>
            <w:tcW w:w="2572" w:type="dxa"/>
            <w:shd w:val="clear" w:color="auto" w:fill="auto"/>
          </w:tcPr>
          <w:p w14:paraId="18527ED8" w14:textId="77777777" w:rsidR="00B33542" w:rsidRPr="005071A1" w:rsidRDefault="00B33542" w:rsidP="009B7AF5">
            <w:pPr>
              <w:pStyle w:val="Tabletext"/>
            </w:pPr>
            <w:r w:rsidRPr="005071A1">
              <w:t>0.05</w:t>
            </w:r>
          </w:p>
        </w:tc>
      </w:tr>
      <w:tr w:rsidR="00B33542" w:rsidRPr="005071A1" w14:paraId="4FDB6078" w14:textId="77777777" w:rsidTr="009B7AF5">
        <w:tc>
          <w:tcPr>
            <w:tcW w:w="3240" w:type="dxa"/>
            <w:shd w:val="clear" w:color="auto" w:fill="auto"/>
          </w:tcPr>
          <w:p w14:paraId="2BD5DC9D" w14:textId="77777777" w:rsidR="00B33542" w:rsidRPr="005071A1" w:rsidRDefault="00B33542" w:rsidP="009B7AF5">
            <w:pPr>
              <w:pStyle w:val="Tabletext"/>
            </w:pPr>
            <w:r w:rsidRPr="005071A1">
              <w:t>38</w:t>
            </w:r>
          </w:p>
        </w:tc>
        <w:tc>
          <w:tcPr>
            <w:tcW w:w="2572" w:type="dxa"/>
            <w:shd w:val="clear" w:color="auto" w:fill="auto"/>
          </w:tcPr>
          <w:p w14:paraId="467D4C0D" w14:textId="77777777" w:rsidR="00B33542" w:rsidRPr="005071A1" w:rsidRDefault="00B33542" w:rsidP="009B7AF5">
            <w:pPr>
              <w:pStyle w:val="Tabletext"/>
            </w:pPr>
            <w:r w:rsidRPr="005071A1">
              <w:t>0.05</w:t>
            </w:r>
          </w:p>
        </w:tc>
      </w:tr>
      <w:tr w:rsidR="00B33542" w:rsidRPr="005071A1" w14:paraId="59A4F083" w14:textId="77777777" w:rsidTr="009B7AF5">
        <w:tc>
          <w:tcPr>
            <w:tcW w:w="3240" w:type="dxa"/>
            <w:shd w:val="clear" w:color="auto" w:fill="auto"/>
          </w:tcPr>
          <w:p w14:paraId="2E10BBF4" w14:textId="77777777" w:rsidR="00B33542" w:rsidRPr="005071A1" w:rsidRDefault="00B33542" w:rsidP="009B7AF5">
            <w:pPr>
              <w:pStyle w:val="Tabletext"/>
            </w:pPr>
            <w:r w:rsidRPr="005071A1">
              <w:t>39</w:t>
            </w:r>
          </w:p>
        </w:tc>
        <w:tc>
          <w:tcPr>
            <w:tcW w:w="2572" w:type="dxa"/>
            <w:shd w:val="clear" w:color="auto" w:fill="auto"/>
          </w:tcPr>
          <w:p w14:paraId="530749BE" w14:textId="77777777" w:rsidR="00B33542" w:rsidRPr="005071A1" w:rsidRDefault="00B33542" w:rsidP="009B7AF5">
            <w:pPr>
              <w:pStyle w:val="Tabletext"/>
            </w:pPr>
            <w:r w:rsidRPr="005071A1">
              <w:t>0.05</w:t>
            </w:r>
          </w:p>
        </w:tc>
      </w:tr>
      <w:tr w:rsidR="00B33542" w:rsidRPr="005071A1" w14:paraId="63442DA0" w14:textId="77777777" w:rsidTr="009B7AF5">
        <w:tc>
          <w:tcPr>
            <w:tcW w:w="3240" w:type="dxa"/>
            <w:shd w:val="clear" w:color="auto" w:fill="auto"/>
          </w:tcPr>
          <w:p w14:paraId="27ABC069" w14:textId="77777777" w:rsidR="00B33542" w:rsidRPr="005071A1" w:rsidRDefault="00B33542" w:rsidP="009B7AF5">
            <w:pPr>
              <w:pStyle w:val="Tabletext"/>
            </w:pPr>
            <w:r w:rsidRPr="005071A1">
              <w:t>40</w:t>
            </w:r>
          </w:p>
        </w:tc>
        <w:tc>
          <w:tcPr>
            <w:tcW w:w="2572" w:type="dxa"/>
            <w:shd w:val="clear" w:color="auto" w:fill="auto"/>
          </w:tcPr>
          <w:p w14:paraId="0301486D" w14:textId="77777777" w:rsidR="00B33542" w:rsidRPr="005071A1" w:rsidRDefault="00B33542" w:rsidP="009B7AF5">
            <w:pPr>
              <w:pStyle w:val="Tabletext"/>
            </w:pPr>
            <w:r w:rsidRPr="005071A1">
              <w:t>0.05</w:t>
            </w:r>
          </w:p>
        </w:tc>
      </w:tr>
      <w:tr w:rsidR="00B33542" w:rsidRPr="005071A1" w14:paraId="4F3E17F1" w14:textId="77777777" w:rsidTr="009B7AF5">
        <w:tc>
          <w:tcPr>
            <w:tcW w:w="3240" w:type="dxa"/>
            <w:shd w:val="clear" w:color="auto" w:fill="auto"/>
          </w:tcPr>
          <w:p w14:paraId="49973D86" w14:textId="77777777" w:rsidR="00B33542" w:rsidRPr="005071A1" w:rsidRDefault="00B33542" w:rsidP="009B7AF5">
            <w:pPr>
              <w:pStyle w:val="Tabletext"/>
            </w:pPr>
            <w:r w:rsidRPr="005071A1">
              <w:t>41</w:t>
            </w:r>
          </w:p>
        </w:tc>
        <w:tc>
          <w:tcPr>
            <w:tcW w:w="2572" w:type="dxa"/>
            <w:shd w:val="clear" w:color="auto" w:fill="auto"/>
          </w:tcPr>
          <w:p w14:paraId="4A202BD3" w14:textId="77777777" w:rsidR="00B33542" w:rsidRPr="005071A1" w:rsidRDefault="00B33542" w:rsidP="009B7AF5">
            <w:pPr>
              <w:pStyle w:val="Tabletext"/>
            </w:pPr>
            <w:r w:rsidRPr="005071A1">
              <w:t>0.05</w:t>
            </w:r>
          </w:p>
        </w:tc>
      </w:tr>
      <w:tr w:rsidR="00B33542" w:rsidRPr="005071A1" w14:paraId="3D620247" w14:textId="77777777" w:rsidTr="009B7AF5">
        <w:tc>
          <w:tcPr>
            <w:tcW w:w="3240" w:type="dxa"/>
            <w:shd w:val="clear" w:color="auto" w:fill="auto"/>
          </w:tcPr>
          <w:p w14:paraId="1C294DAC" w14:textId="77777777" w:rsidR="00B33542" w:rsidRPr="005071A1" w:rsidRDefault="00B33542" w:rsidP="009B7AF5">
            <w:pPr>
              <w:pStyle w:val="Tabletext"/>
            </w:pPr>
            <w:r w:rsidRPr="005071A1">
              <w:t>42</w:t>
            </w:r>
          </w:p>
        </w:tc>
        <w:tc>
          <w:tcPr>
            <w:tcW w:w="2572" w:type="dxa"/>
            <w:shd w:val="clear" w:color="auto" w:fill="auto"/>
          </w:tcPr>
          <w:p w14:paraId="77958025" w14:textId="77777777" w:rsidR="00B33542" w:rsidRPr="005071A1" w:rsidRDefault="00B33542" w:rsidP="009B7AF5">
            <w:pPr>
              <w:pStyle w:val="Tabletext"/>
            </w:pPr>
            <w:r w:rsidRPr="005071A1">
              <w:t>0.05</w:t>
            </w:r>
          </w:p>
        </w:tc>
      </w:tr>
      <w:tr w:rsidR="00B33542" w:rsidRPr="005071A1" w14:paraId="37790869" w14:textId="77777777" w:rsidTr="009B7AF5">
        <w:tc>
          <w:tcPr>
            <w:tcW w:w="3240" w:type="dxa"/>
            <w:shd w:val="clear" w:color="auto" w:fill="auto"/>
          </w:tcPr>
          <w:p w14:paraId="73FE3AED" w14:textId="77777777" w:rsidR="00B33542" w:rsidRPr="005071A1" w:rsidRDefault="00B33542" w:rsidP="009B7AF5">
            <w:pPr>
              <w:pStyle w:val="Tabletext"/>
            </w:pPr>
            <w:r w:rsidRPr="005071A1">
              <w:t>43</w:t>
            </w:r>
          </w:p>
        </w:tc>
        <w:tc>
          <w:tcPr>
            <w:tcW w:w="2572" w:type="dxa"/>
            <w:shd w:val="clear" w:color="auto" w:fill="auto"/>
          </w:tcPr>
          <w:p w14:paraId="7B278DD4" w14:textId="77777777" w:rsidR="00B33542" w:rsidRPr="005071A1" w:rsidRDefault="00B33542" w:rsidP="009B7AF5">
            <w:pPr>
              <w:pStyle w:val="Tabletext"/>
            </w:pPr>
            <w:r w:rsidRPr="005071A1">
              <w:t>0.05</w:t>
            </w:r>
          </w:p>
        </w:tc>
      </w:tr>
      <w:tr w:rsidR="00B33542" w:rsidRPr="005071A1" w14:paraId="491EF829" w14:textId="77777777" w:rsidTr="009B7AF5">
        <w:tc>
          <w:tcPr>
            <w:tcW w:w="3240" w:type="dxa"/>
            <w:shd w:val="clear" w:color="auto" w:fill="auto"/>
          </w:tcPr>
          <w:p w14:paraId="39446A81" w14:textId="77777777" w:rsidR="00B33542" w:rsidRPr="005071A1" w:rsidRDefault="00B33542" w:rsidP="009B7AF5">
            <w:pPr>
              <w:pStyle w:val="Tabletext"/>
            </w:pPr>
            <w:r w:rsidRPr="005071A1">
              <w:t>44</w:t>
            </w:r>
          </w:p>
        </w:tc>
        <w:tc>
          <w:tcPr>
            <w:tcW w:w="2572" w:type="dxa"/>
            <w:shd w:val="clear" w:color="auto" w:fill="auto"/>
          </w:tcPr>
          <w:p w14:paraId="10B69FD9" w14:textId="77777777" w:rsidR="00B33542" w:rsidRPr="005071A1" w:rsidRDefault="00B33542" w:rsidP="009B7AF5">
            <w:pPr>
              <w:pStyle w:val="Tabletext"/>
            </w:pPr>
            <w:r w:rsidRPr="005071A1">
              <w:t>0.06</w:t>
            </w:r>
          </w:p>
        </w:tc>
      </w:tr>
      <w:tr w:rsidR="00B33542" w:rsidRPr="005071A1" w14:paraId="43B5B3A1" w14:textId="77777777" w:rsidTr="009B7AF5">
        <w:tc>
          <w:tcPr>
            <w:tcW w:w="3240" w:type="dxa"/>
            <w:shd w:val="clear" w:color="auto" w:fill="auto"/>
          </w:tcPr>
          <w:p w14:paraId="44231CCE" w14:textId="77777777" w:rsidR="00B33542" w:rsidRPr="005071A1" w:rsidRDefault="00B33542" w:rsidP="009B7AF5">
            <w:pPr>
              <w:pStyle w:val="Tabletext"/>
            </w:pPr>
            <w:r w:rsidRPr="005071A1">
              <w:t>45</w:t>
            </w:r>
          </w:p>
        </w:tc>
        <w:tc>
          <w:tcPr>
            <w:tcW w:w="2572" w:type="dxa"/>
            <w:shd w:val="clear" w:color="auto" w:fill="auto"/>
          </w:tcPr>
          <w:p w14:paraId="1214D17F" w14:textId="77777777" w:rsidR="00B33542" w:rsidRPr="005071A1" w:rsidRDefault="00B33542" w:rsidP="009B7AF5">
            <w:pPr>
              <w:pStyle w:val="Tabletext"/>
            </w:pPr>
            <w:r w:rsidRPr="005071A1">
              <w:t>0.06</w:t>
            </w:r>
          </w:p>
        </w:tc>
      </w:tr>
      <w:tr w:rsidR="00B33542" w:rsidRPr="005071A1" w14:paraId="4EAD3C79" w14:textId="77777777" w:rsidTr="009B7AF5">
        <w:tc>
          <w:tcPr>
            <w:tcW w:w="3240" w:type="dxa"/>
            <w:shd w:val="clear" w:color="auto" w:fill="auto"/>
          </w:tcPr>
          <w:p w14:paraId="2CB8EDB3" w14:textId="77777777" w:rsidR="00B33542" w:rsidRPr="005071A1" w:rsidRDefault="00B33542" w:rsidP="009B7AF5">
            <w:pPr>
              <w:pStyle w:val="Tabletext"/>
            </w:pPr>
            <w:r w:rsidRPr="005071A1">
              <w:t>46</w:t>
            </w:r>
          </w:p>
        </w:tc>
        <w:tc>
          <w:tcPr>
            <w:tcW w:w="2572" w:type="dxa"/>
            <w:shd w:val="clear" w:color="auto" w:fill="auto"/>
          </w:tcPr>
          <w:p w14:paraId="4D83A712" w14:textId="77777777" w:rsidR="00B33542" w:rsidRPr="005071A1" w:rsidRDefault="00B33542" w:rsidP="009B7AF5">
            <w:pPr>
              <w:pStyle w:val="Tabletext"/>
            </w:pPr>
            <w:r w:rsidRPr="005071A1">
              <w:t>0.06</w:t>
            </w:r>
          </w:p>
        </w:tc>
      </w:tr>
      <w:tr w:rsidR="00B33542" w:rsidRPr="005071A1" w14:paraId="440B6648" w14:textId="77777777" w:rsidTr="009B7AF5">
        <w:tc>
          <w:tcPr>
            <w:tcW w:w="3240" w:type="dxa"/>
            <w:shd w:val="clear" w:color="auto" w:fill="auto"/>
          </w:tcPr>
          <w:p w14:paraId="66F5CD1D" w14:textId="77777777" w:rsidR="00B33542" w:rsidRPr="005071A1" w:rsidRDefault="00B33542" w:rsidP="009B7AF5">
            <w:pPr>
              <w:pStyle w:val="Tabletext"/>
            </w:pPr>
            <w:r w:rsidRPr="005071A1">
              <w:t>47</w:t>
            </w:r>
          </w:p>
        </w:tc>
        <w:tc>
          <w:tcPr>
            <w:tcW w:w="2572" w:type="dxa"/>
            <w:shd w:val="clear" w:color="auto" w:fill="auto"/>
          </w:tcPr>
          <w:p w14:paraId="7ECAC598" w14:textId="77777777" w:rsidR="00B33542" w:rsidRPr="005071A1" w:rsidRDefault="00B33542" w:rsidP="009B7AF5">
            <w:pPr>
              <w:pStyle w:val="Tabletext"/>
            </w:pPr>
            <w:r w:rsidRPr="005071A1">
              <w:t>0.07</w:t>
            </w:r>
          </w:p>
        </w:tc>
      </w:tr>
      <w:tr w:rsidR="00B33542" w:rsidRPr="005071A1" w14:paraId="5AA44B38" w14:textId="77777777" w:rsidTr="009B7AF5">
        <w:tc>
          <w:tcPr>
            <w:tcW w:w="3240" w:type="dxa"/>
            <w:shd w:val="clear" w:color="auto" w:fill="auto"/>
          </w:tcPr>
          <w:p w14:paraId="045FC0FC" w14:textId="77777777" w:rsidR="00B33542" w:rsidRPr="005071A1" w:rsidRDefault="00B33542" w:rsidP="009B7AF5">
            <w:pPr>
              <w:pStyle w:val="Tabletext"/>
            </w:pPr>
            <w:r w:rsidRPr="005071A1">
              <w:t>48</w:t>
            </w:r>
          </w:p>
        </w:tc>
        <w:tc>
          <w:tcPr>
            <w:tcW w:w="2572" w:type="dxa"/>
            <w:shd w:val="clear" w:color="auto" w:fill="auto"/>
          </w:tcPr>
          <w:p w14:paraId="687B3B71" w14:textId="77777777" w:rsidR="00B33542" w:rsidRPr="005071A1" w:rsidRDefault="00B33542" w:rsidP="009B7AF5">
            <w:pPr>
              <w:pStyle w:val="Tabletext"/>
            </w:pPr>
            <w:r w:rsidRPr="005071A1">
              <w:t>0.07</w:t>
            </w:r>
          </w:p>
        </w:tc>
      </w:tr>
      <w:tr w:rsidR="00B33542" w:rsidRPr="005071A1" w14:paraId="7AE14770" w14:textId="77777777" w:rsidTr="009B7AF5">
        <w:tc>
          <w:tcPr>
            <w:tcW w:w="3240" w:type="dxa"/>
            <w:shd w:val="clear" w:color="auto" w:fill="auto"/>
          </w:tcPr>
          <w:p w14:paraId="6BE69622" w14:textId="77777777" w:rsidR="00B33542" w:rsidRPr="005071A1" w:rsidRDefault="00B33542" w:rsidP="009B7AF5">
            <w:pPr>
              <w:pStyle w:val="Tabletext"/>
            </w:pPr>
            <w:r w:rsidRPr="005071A1">
              <w:t>49</w:t>
            </w:r>
          </w:p>
        </w:tc>
        <w:tc>
          <w:tcPr>
            <w:tcW w:w="2572" w:type="dxa"/>
            <w:shd w:val="clear" w:color="auto" w:fill="auto"/>
          </w:tcPr>
          <w:p w14:paraId="081A7AAF" w14:textId="77777777" w:rsidR="00B33542" w:rsidRPr="005071A1" w:rsidRDefault="00B33542" w:rsidP="009B7AF5">
            <w:pPr>
              <w:pStyle w:val="Tabletext"/>
            </w:pPr>
            <w:r w:rsidRPr="005071A1">
              <w:t>0.07</w:t>
            </w:r>
          </w:p>
        </w:tc>
      </w:tr>
      <w:tr w:rsidR="00B33542" w:rsidRPr="005071A1" w14:paraId="3AF5754E" w14:textId="77777777" w:rsidTr="009B7AF5">
        <w:tc>
          <w:tcPr>
            <w:tcW w:w="3240" w:type="dxa"/>
            <w:shd w:val="clear" w:color="auto" w:fill="auto"/>
          </w:tcPr>
          <w:p w14:paraId="2F7E98E9" w14:textId="77777777" w:rsidR="00B33542" w:rsidRPr="005071A1" w:rsidRDefault="00B33542" w:rsidP="009B7AF5">
            <w:pPr>
              <w:pStyle w:val="Tabletext"/>
            </w:pPr>
            <w:r w:rsidRPr="005071A1">
              <w:t>50</w:t>
            </w:r>
          </w:p>
        </w:tc>
        <w:tc>
          <w:tcPr>
            <w:tcW w:w="2572" w:type="dxa"/>
            <w:shd w:val="clear" w:color="auto" w:fill="auto"/>
          </w:tcPr>
          <w:p w14:paraId="26BCFAFD" w14:textId="77777777" w:rsidR="00B33542" w:rsidRPr="005071A1" w:rsidRDefault="00B33542" w:rsidP="009B7AF5">
            <w:pPr>
              <w:pStyle w:val="Tabletext"/>
            </w:pPr>
            <w:r w:rsidRPr="005071A1">
              <w:t>0.08</w:t>
            </w:r>
          </w:p>
        </w:tc>
      </w:tr>
      <w:tr w:rsidR="00B33542" w:rsidRPr="005071A1" w14:paraId="3323808E" w14:textId="77777777" w:rsidTr="009B7AF5">
        <w:tc>
          <w:tcPr>
            <w:tcW w:w="3240" w:type="dxa"/>
            <w:shd w:val="clear" w:color="auto" w:fill="auto"/>
          </w:tcPr>
          <w:p w14:paraId="75A2106B" w14:textId="77777777" w:rsidR="00B33542" w:rsidRPr="005071A1" w:rsidRDefault="00B33542" w:rsidP="009B7AF5">
            <w:pPr>
              <w:pStyle w:val="Tabletext"/>
            </w:pPr>
            <w:r w:rsidRPr="005071A1">
              <w:t>51</w:t>
            </w:r>
          </w:p>
        </w:tc>
        <w:tc>
          <w:tcPr>
            <w:tcW w:w="2572" w:type="dxa"/>
            <w:shd w:val="clear" w:color="auto" w:fill="auto"/>
          </w:tcPr>
          <w:p w14:paraId="655CC5F7" w14:textId="77777777" w:rsidR="00B33542" w:rsidRPr="005071A1" w:rsidRDefault="00B33542" w:rsidP="009B7AF5">
            <w:pPr>
              <w:pStyle w:val="Tabletext"/>
            </w:pPr>
            <w:r w:rsidRPr="005071A1">
              <w:t>0.08</w:t>
            </w:r>
          </w:p>
        </w:tc>
      </w:tr>
      <w:tr w:rsidR="00B33542" w:rsidRPr="005071A1" w14:paraId="1621A532" w14:textId="77777777" w:rsidTr="009B7AF5">
        <w:tc>
          <w:tcPr>
            <w:tcW w:w="3240" w:type="dxa"/>
            <w:shd w:val="clear" w:color="auto" w:fill="auto"/>
          </w:tcPr>
          <w:p w14:paraId="740789AB" w14:textId="77777777" w:rsidR="00B33542" w:rsidRPr="005071A1" w:rsidRDefault="00B33542" w:rsidP="009B7AF5">
            <w:pPr>
              <w:pStyle w:val="Tabletext"/>
            </w:pPr>
            <w:r w:rsidRPr="005071A1">
              <w:t>52</w:t>
            </w:r>
          </w:p>
        </w:tc>
        <w:tc>
          <w:tcPr>
            <w:tcW w:w="2572" w:type="dxa"/>
            <w:shd w:val="clear" w:color="auto" w:fill="auto"/>
          </w:tcPr>
          <w:p w14:paraId="60396D44" w14:textId="77777777" w:rsidR="00B33542" w:rsidRPr="005071A1" w:rsidRDefault="00B33542" w:rsidP="009B7AF5">
            <w:pPr>
              <w:pStyle w:val="Tabletext"/>
            </w:pPr>
            <w:r w:rsidRPr="005071A1">
              <w:t>0.09</w:t>
            </w:r>
          </w:p>
        </w:tc>
      </w:tr>
      <w:tr w:rsidR="00B33542" w:rsidRPr="005071A1" w14:paraId="24B9E9C7" w14:textId="77777777" w:rsidTr="009B7AF5">
        <w:tc>
          <w:tcPr>
            <w:tcW w:w="3240" w:type="dxa"/>
            <w:shd w:val="clear" w:color="auto" w:fill="auto"/>
          </w:tcPr>
          <w:p w14:paraId="23CB1A53" w14:textId="77777777" w:rsidR="00B33542" w:rsidRPr="005071A1" w:rsidRDefault="00B33542" w:rsidP="009B7AF5">
            <w:pPr>
              <w:pStyle w:val="Tabletext"/>
            </w:pPr>
            <w:r w:rsidRPr="005071A1">
              <w:t>53</w:t>
            </w:r>
          </w:p>
        </w:tc>
        <w:tc>
          <w:tcPr>
            <w:tcW w:w="2572" w:type="dxa"/>
            <w:shd w:val="clear" w:color="auto" w:fill="auto"/>
          </w:tcPr>
          <w:p w14:paraId="41BDAD9B" w14:textId="77777777" w:rsidR="00B33542" w:rsidRPr="005071A1" w:rsidRDefault="00B33542" w:rsidP="009B7AF5">
            <w:pPr>
              <w:pStyle w:val="Tabletext"/>
            </w:pPr>
            <w:r w:rsidRPr="005071A1">
              <w:t>0.10</w:t>
            </w:r>
          </w:p>
        </w:tc>
      </w:tr>
      <w:tr w:rsidR="00B33542" w:rsidRPr="005071A1" w14:paraId="78FC7437" w14:textId="77777777" w:rsidTr="009B7AF5">
        <w:tc>
          <w:tcPr>
            <w:tcW w:w="3240" w:type="dxa"/>
            <w:shd w:val="clear" w:color="auto" w:fill="auto"/>
          </w:tcPr>
          <w:p w14:paraId="0B4A424D" w14:textId="77777777" w:rsidR="00B33542" w:rsidRPr="005071A1" w:rsidRDefault="00B33542" w:rsidP="009B7AF5">
            <w:pPr>
              <w:pStyle w:val="Tabletext"/>
            </w:pPr>
            <w:r w:rsidRPr="005071A1">
              <w:t>54</w:t>
            </w:r>
          </w:p>
        </w:tc>
        <w:tc>
          <w:tcPr>
            <w:tcW w:w="2572" w:type="dxa"/>
            <w:shd w:val="clear" w:color="auto" w:fill="auto"/>
          </w:tcPr>
          <w:p w14:paraId="3ADE30A1" w14:textId="77777777" w:rsidR="00B33542" w:rsidRPr="005071A1" w:rsidRDefault="00B33542" w:rsidP="009B7AF5">
            <w:pPr>
              <w:pStyle w:val="Tabletext"/>
            </w:pPr>
            <w:r w:rsidRPr="005071A1">
              <w:t>0.11</w:t>
            </w:r>
          </w:p>
        </w:tc>
      </w:tr>
      <w:tr w:rsidR="00B33542" w:rsidRPr="005071A1" w14:paraId="2CC809C0" w14:textId="77777777" w:rsidTr="009B7AF5">
        <w:tc>
          <w:tcPr>
            <w:tcW w:w="3240" w:type="dxa"/>
            <w:shd w:val="clear" w:color="auto" w:fill="auto"/>
          </w:tcPr>
          <w:p w14:paraId="0803591F" w14:textId="77777777" w:rsidR="00B33542" w:rsidRPr="005071A1" w:rsidRDefault="00B33542" w:rsidP="009B7AF5">
            <w:pPr>
              <w:pStyle w:val="Tabletext"/>
            </w:pPr>
            <w:r w:rsidRPr="005071A1">
              <w:t>55</w:t>
            </w:r>
          </w:p>
        </w:tc>
        <w:tc>
          <w:tcPr>
            <w:tcW w:w="2572" w:type="dxa"/>
            <w:shd w:val="clear" w:color="auto" w:fill="auto"/>
          </w:tcPr>
          <w:p w14:paraId="037EA68C" w14:textId="77777777" w:rsidR="00B33542" w:rsidRPr="005071A1" w:rsidRDefault="00B33542" w:rsidP="009B7AF5">
            <w:pPr>
              <w:pStyle w:val="Tabletext"/>
            </w:pPr>
            <w:r w:rsidRPr="005071A1">
              <w:t>0.12</w:t>
            </w:r>
          </w:p>
        </w:tc>
      </w:tr>
      <w:tr w:rsidR="00B33542" w:rsidRPr="005071A1" w14:paraId="44766D93" w14:textId="77777777" w:rsidTr="009B7AF5">
        <w:tc>
          <w:tcPr>
            <w:tcW w:w="3240" w:type="dxa"/>
            <w:shd w:val="clear" w:color="auto" w:fill="auto"/>
          </w:tcPr>
          <w:p w14:paraId="112AC9C5" w14:textId="77777777" w:rsidR="00B33542" w:rsidRPr="005071A1" w:rsidRDefault="00B33542" w:rsidP="009B7AF5">
            <w:pPr>
              <w:pStyle w:val="Tabletext"/>
            </w:pPr>
            <w:r w:rsidRPr="005071A1">
              <w:t>56</w:t>
            </w:r>
          </w:p>
        </w:tc>
        <w:tc>
          <w:tcPr>
            <w:tcW w:w="2572" w:type="dxa"/>
            <w:shd w:val="clear" w:color="auto" w:fill="auto"/>
          </w:tcPr>
          <w:p w14:paraId="318B34D4" w14:textId="77777777" w:rsidR="00B33542" w:rsidRPr="005071A1" w:rsidRDefault="00B33542" w:rsidP="009B7AF5">
            <w:pPr>
              <w:pStyle w:val="Tabletext"/>
            </w:pPr>
            <w:r w:rsidRPr="005071A1">
              <w:t>0.13</w:t>
            </w:r>
          </w:p>
        </w:tc>
      </w:tr>
      <w:tr w:rsidR="00B33542" w:rsidRPr="005071A1" w14:paraId="3890E84B" w14:textId="77777777" w:rsidTr="009B7AF5">
        <w:tc>
          <w:tcPr>
            <w:tcW w:w="3240" w:type="dxa"/>
            <w:shd w:val="clear" w:color="auto" w:fill="auto"/>
          </w:tcPr>
          <w:p w14:paraId="0E5681F6" w14:textId="77777777" w:rsidR="00B33542" w:rsidRPr="005071A1" w:rsidRDefault="00B33542" w:rsidP="009B7AF5">
            <w:pPr>
              <w:pStyle w:val="Tabletext"/>
            </w:pPr>
            <w:r w:rsidRPr="005071A1">
              <w:t>57</w:t>
            </w:r>
          </w:p>
        </w:tc>
        <w:tc>
          <w:tcPr>
            <w:tcW w:w="2572" w:type="dxa"/>
            <w:shd w:val="clear" w:color="auto" w:fill="auto"/>
          </w:tcPr>
          <w:p w14:paraId="27C480E0" w14:textId="77777777" w:rsidR="00B33542" w:rsidRPr="005071A1" w:rsidRDefault="00B33542" w:rsidP="009B7AF5">
            <w:pPr>
              <w:pStyle w:val="Tabletext"/>
            </w:pPr>
            <w:r w:rsidRPr="005071A1">
              <w:t>0.15</w:t>
            </w:r>
          </w:p>
        </w:tc>
      </w:tr>
      <w:tr w:rsidR="00B33542" w:rsidRPr="005071A1" w14:paraId="1A7993C5" w14:textId="77777777" w:rsidTr="009B7AF5">
        <w:tc>
          <w:tcPr>
            <w:tcW w:w="3240" w:type="dxa"/>
            <w:shd w:val="clear" w:color="auto" w:fill="auto"/>
          </w:tcPr>
          <w:p w14:paraId="2A2C53B3" w14:textId="77777777" w:rsidR="00B33542" w:rsidRPr="005071A1" w:rsidRDefault="00B33542" w:rsidP="009B7AF5">
            <w:pPr>
              <w:pStyle w:val="Tabletext"/>
            </w:pPr>
            <w:r w:rsidRPr="005071A1">
              <w:t>58</w:t>
            </w:r>
          </w:p>
        </w:tc>
        <w:tc>
          <w:tcPr>
            <w:tcW w:w="2572" w:type="dxa"/>
            <w:shd w:val="clear" w:color="auto" w:fill="auto"/>
          </w:tcPr>
          <w:p w14:paraId="0193B453" w14:textId="77777777" w:rsidR="00B33542" w:rsidRPr="005071A1" w:rsidRDefault="00B33542" w:rsidP="009B7AF5">
            <w:pPr>
              <w:pStyle w:val="Tabletext"/>
            </w:pPr>
            <w:r w:rsidRPr="005071A1">
              <w:t>0.17</w:t>
            </w:r>
          </w:p>
        </w:tc>
      </w:tr>
      <w:tr w:rsidR="00B33542" w:rsidRPr="005071A1" w14:paraId="3A39A6C8" w14:textId="77777777" w:rsidTr="009B7AF5">
        <w:tc>
          <w:tcPr>
            <w:tcW w:w="3240" w:type="dxa"/>
            <w:shd w:val="clear" w:color="auto" w:fill="auto"/>
          </w:tcPr>
          <w:p w14:paraId="4526A836" w14:textId="77777777" w:rsidR="00B33542" w:rsidRPr="005071A1" w:rsidRDefault="00B33542" w:rsidP="009B7AF5">
            <w:pPr>
              <w:pStyle w:val="Tabletext"/>
            </w:pPr>
            <w:r w:rsidRPr="005071A1">
              <w:t>59</w:t>
            </w:r>
          </w:p>
        </w:tc>
        <w:tc>
          <w:tcPr>
            <w:tcW w:w="2572" w:type="dxa"/>
            <w:shd w:val="clear" w:color="auto" w:fill="auto"/>
          </w:tcPr>
          <w:p w14:paraId="770FF512" w14:textId="77777777" w:rsidR="00B33542" w:rsidRPr="005071A1" w:rsidRDefault="00B33542" w:rsidP="009B7AF5">
            <w:pPr>
              <w:pStyle w:val="Tabletext"/>
            </w:pPr>
            <w:r w:rsidRPr="005071A1">
              <w:t>0.19</w:t>
            </w:r>
          </w:p>
        </w:tc>
      </w:tr>
      <w:tr w:rsidR="00B33542" w:rsidRPr="005071A1" w14:paraId="3D4ECF04" w14:textId="77777777" w:rsidTr="009B7AF5">
        <w:tc>
          <w:tcPr>
            <w:tcW w:w="3240" w:type="dxa"/>
            <w:shd w:val="clear" w:color="auto" w:fill="auto"/>
          </w:tcPr>
          <w:p w14:paraId="50C00838" w14:textId="77777777" w:rsidR="00B33542" w:rsidRPr="005071A1" w:rsidRDefault="00B33542" w:rsidP="009B7AF5">
            <w:pPr>
              <w:pStyle w:val="Tabletext"/>
            </w:pPr>
            <w:r w:rsidRPr="005071A1">
              <w:t>60</w:t>
            </w:r>
          </w:p>
        </w:tc>
        <w:tc>
          <w:tcPr>
            <w:tcW w:w="2572" w:type="dxa"/>
            <w:shd w:val="clear" w:color="auto" w:fill="auto"/>
          </w:tcPr>
          <w:p w14:paraId="720823B5" w14:textId="77777777" w:rsidR="00B33542" w:rsidRPr="005071A1" w:rsidRDefault="00B33542" w:rsidP="009B7AF5">
            <w:pPr>
              <w:pStyle w:val="Tabletext"/>
            </w:pPr>
            <w:r w:rsidRPr="005071A1">
              <w:t>0.22</w:t>
            </w:r>
          </w:p>
        </w:tc>
      </w:tr>
      <w:tr w:rsidR="00B33542" w:rsidRPr="005071A1" w14:paraId="59430AC8" w14:textId="77777777" w:rsidTr="00D57394">
        <w:tc>
          <w:tcPr>
            <w:tcW w:w="3240" w:type="dxa"/>
            <w:tcBorders>
              <w:bottom w:val="single" w:sz="4" w:space="0" w:color="auto"/>
            </w:tcBorders>
            <w:shd w:val="clear" w:color="auto" w:fill="auto"/>
          </w:tcPr>
          <w:p w14:paraId="13689476" w14:textId="77777777" w:rsidR="00B33542" w:rsidRPr="005071A1" w:rsidRDefault="00B33542" w:rsidP="009B7AF5">
            <w:pPr>
              <w:pStyle w:val="Tabletext"/>
            </w:pPr>
            <w:r w:rsidRPr="005071A1">
              <w:t>61</w:t>
            </w:r>
          </w:p>
        </w:tc>
        <w:tc>
          <w:tcPr>
            <w:tcW w:w="2572" w:type="dxa"/>
            <w:tcBorders>
              <w:bottom w:val="single" w:sz="4" w:space="0" w:color="auto"/>
            </w:tcBorders>
            <w:shd w:val="clear" w:color="auto" w:fill="auto"/>
          </w:tcPr>
          <w:p w14:paraId="2E143BB3" w14:textId="77777777" w:rsidR="00B33542" w:rsidRPr="005071A1" w:rsidRDefault="00B33542" w:rsidP="009B7AF5">
            <w:pPr>
              <w:pStyle w:val="Tabletext"/>
            </w:pPr>
            <w:r w:rsidRPr="005071A1">
              <w:t>0.28</w:t>
            </w:r>
          </w:p>
        </w:tc>
      </w:tr>
      <w:tr w:rsidR="00B33542" w:rsidRPr="005071A1" w14:paraId="7244C8C7" w14:textId="77777777" w:rsidTr="00D57394">
        <w:tc>
          <w:tcPr>
            <w:tcW w:w="3240" w:type="dxa"/>
            <w:tcBorders>
              <w:bottom w:val="single" w:sz="4" w:space="0" w:color="auto"/>
            </w:tcBorders>
            <w:shd w:val="clear" w:color="auto" w:fill="auto"/>
          </w:tcPr>
          <w:p w14:paraId="7C0182CE" w14:textId="77777777" w:rsidR="00B33542" w:rsidRPr="005071A1" w:rsidRDefault="00B33542" w:rsidP="009B7AF5">
            <w:pPr>
              <w:pStyle w:val="Tabletext"/>
            </w:pPr>
            <w:r w:rsidRPr="005071A1">
              <w:t>62</w:t>
            </w:r>
          </w:p>
        </w:tc>
        <w:tc>
          <w:tcPr>
            <w:tcW w:w="2572" w:type="dxa"/>
            <w:tcBorders>
              <w:bottom w:val="single" w:sz="4" w:space="0" w:color="auto"/>
            </w:tcBorders>
            <w:shd w:val="clear" w:color="auto" w:fill="auto"/>
          </w:tcPr>
          <w:p w14:paraId="6104051B" w14:textId="77777777" w:rsidR="00B33542" w:rsidRPr="005071A1" w:rsidRDefault="00B33542" w:rsidP="009B7AF5">
            <w:pPr>
              <w:pStyle w:val="Tabletext"/>
            </w:pPr>
            <w:r w:rsidRPr="005071A1">
              <w:t>0.38</w:t>
            </w:r>
          </w:p>
        </w:tc>
      </w:tr>
      <w:tr w:rsidR="00B33542" w:rsidRPr="005071A1" w14:paraId="312C4DEA" w14:textId="77777777" w:rsidTr="00D57394">
        <w:tc>
          <w:tcPr>
            <w:tcW w:w="3240" w:type="dxa"/>
            <w:tcBorders>
              <w:top w:val="single" w:sz="4" w:space="0" w:color="auto"/>
            </w:tcBorders>
            <w:shd w:val="clear" w:color="auto" w:fill="auto"/>
          </w:tcPr>
          <w:p w14:paraId="53D770AE" w14:textId="77777777" w:rsidR="00B33542" w:rsidRPr="005071A1" w:rsidRDefault="00B33542" w:rsidP="009B7AF5">
            <w:pPr>
              <w:pStyle w:val="Tabletext"/>
            </w:pPr>
            <w:r w:rsidRPr="005071A1">
              <w:t>63</w:t>
            </w:r>
          </w:p>
        </w:tc>
        <w:tc>
          <w:tcPr>
            <w:tcW w:w="2572" w:type="dxa"/>
            <w:tcBorders>
              <w:top w:val="single" w:sz="4" w:space="0" w:color="auto"/>
            </w:tcBorders>
            <w:shd w:val="clear" w:color="auto" w:fill="auto"/>
          </w:tcPr>
          <w:p w14:paraId="0B0A9CC1" w14:textId="77777777" w:rsidR="00B33542" w:rsidRPr="005071A1" w:rsidRDefault="00B33542" w:rsidP="009B7AF5">
            <w:pPr>
              <w:pStyle w:val="Tabletext"/>
            </w:pPr>
            <w:r w:rsidRPr="005071A1">
              <w:t>0.56</w:t>
            </w:r>
          </w:p>
        </w:tc>
      </w:tr>
      <w:tr w:rsidR="00B33542" w:rsidRPr="005071A1" w14:paraId="2ECB63D6" w14:textId="77777777" w:rsidTr="00AD02FE">
        <w:tc>
          <w:tcPr>
            <w:tcW w:w="3240" w:type="dxa"/>
            <w:tcBorders>
              <w:bottom w:val="single" w:sz="4" w:space="0" w:color="auto"/>
            </w:tcBorders>
            <w:shd w:val="clear" w:color="auto" w:fill="auto"/>
          </w:tcPr>
          <w:p w14:paraId="0BB5CD86" w14:textId="77777777" w:rsidR="00B33542" w:rsidRPr="005071A1" w:rsidRDefault="00B33542" w:rsidP="009B7AF5">
            <w:pPr>
              <w:pStyle w:val="Tabletext"/>
            </w:pPr>
            <w:r w:rsidRPr="005071A1">
              <w:t>64</w:t>
            </w:r>
          </w:p>
        </w:tc>
        <w:tc>
          <w:tcPr>
            <w:tcW w:w="2572" w:type="dxa"/>
            <w:tcBorders>
              <w:bottom w:val="single" w:sz="4" w:space="0" w:color="auto"/>
            </w:tcBorders>
            <w:shd w:val="clear" w:color="auto" w:fill="auto"/>
          </w:tcPr>
          <w:p w14:paraId="589A340B" w14:textId="77777777" w:rsidR="00B33542" w:rsidRPr="005071A1" w:rsidRDefault="00B33542" w:rsidP="009B7AF5">
            <w:pPr>
              <w:pStyle w:val="Tabletext"/>
            </w:pPr>
            <w:r w:rsidRPr="005071A1">
              <w:t>1.13</w:t>
            </w:r>
          </w:p>
        </w:tc>
      </w:tr>
      <w:tr w:rsidR="00B33542" w:rsidRPr="005071A1" w14:paraId="77875EC7" w14:textId="77777777" w:rsidTr="00AD02FE">
        <w:tc>
          <w:tcPr>
            <w:tcW w:w="3240" w:type="dxa"/>
            <w:tcBorders>
              <w:bottom w:val="single" w:sz="12" w:space="0" w:color="auto"/>
            </w:tcBorders>
            <w:shd w:val="clear" w:color="auto" w:fill="auto"/>
          </w:tcPr>
          <w:p w14:paraId="4BC1DA6A" w14:textId="77777777" w:rsidR="00B33542" w:rsidRPr="005071A1" w:rsidRDefault="00B33542" w:rsidP="009B7AF5">
            <w:pPr>
              <w:pStyle w:val="Tabletext"/>
            </w:pPr>
            <w:r w:rsidRPr="005071A1">
              <w:t>65</w:t>
            </w:r>
          </w:p>
        </w:tc>
        <w:tc>
          <w:tcPr>
            <w:tcW w:w="2572" w:type="dxa"/>
            <w:tcBorders>
              <w:bottom w:val="single" w:sz="12" w:space="0" w:color="auto"/>
            </w:tcBorders>
            <w:shd w:val="clear" w:color="auto" w:fill="auto"/>
          </w:tcPr>
          <w:p w14:paraId="66E4EDE5" w14:textId="77777777" w:rsidR="00B33542" w:rsidRPr="005071A1" w:rsidRDefault="00B33542" w:rsidP="009B7AF5">
            <w:pPr>
              <w:pStyle w:val="Tabletext"/>
            </w:pPr>
            <w:r w:rsidRPr="005071A1">
              <w:t>0.93</w:t>
            </w:r>
          </w:p>
        </w:tc>
      </w:tr>
    </w:tbl>
    <w:p w14:paraId="1F4BEA69" w14:textId="77777777" w:rsidR="00B33542" w:rsidRPr="005071A1" w:rsidRDefault="00B33542" w:rsidP="00674A0D">
      <w:pPr>
        <w:pStyle w:val="ActHead5"/>
        <w:pageBreakBefore/>
      </w:pPr>
      <w:bookmarkStart w:id="325" w:name="_Toc185577706"/>
      <w:r w:rsidRPr="005071A1">
        <w:t>Table XIV</w:t>
      </w:r>
      <w:bookmarkEnd w:id="325"/>
    </w:p>
    <w:p w14:paraId="3E6C8A32" w14:textId="77777777" w:rsidR="00B33542" w:rsidRPr="005071A1" w:rsidRDefault="00B33542" w:rsidP="00B33542">
      <w:pPr>
        <w:spacing w:before="120"/>
      </w:pPr>
      <w:r w:rsidRPr="005071A1">
        <w:t>Reductions in fortnightly rates of contribution payable on or after 1st July, 1962, by female contributors for units of pension where the obligation to contribute for those units came into existence on or after 14th December, 1959, and before 1st July, 1962, based on a retiring age of 65 years and the age next birthday of the contributor when that obligation came into existence</w:t>
      </w:r>
    </w:p>
    <w:p w14:paraId="64FE8803"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240"/>
        <w:gridCol w:w="2572"/>
      </w:tblGrid>
      <w:tr w:rsidR="00B33542" w:rsidRPr="005071A1" w14:paraId="2207FB8A" w14:textId="77777777" w:rsidTr="009B7AF5">
        <w:trPr>
          <w:tblHeader/>
        </w:trPr>
        <w:tc>
          <w:tcPr>
            <w:tcW w:w="3240" w:type="dxa"/>
            <w:tcBorders>
              <w:top w:val="single" w:sz="12" w:space="0" w:color="auto"/>
              <w:bottom w:val="single" w:sz="6" w:space="0" w:color="auto"/>
            </w:tcBorders>
            <w:shd w:val="clear" w:color="auto" w:fill="auto"/>
          </w:tcPr>
          <w:p w14:paraId="13B4D1DB" w14:textId="77777777" w:rsidR="00B33542" w:rsidRPr="005071A1" w:rsidRDefault="00B33542" w:rsidP="009B7AF5">
            <w:pPr>
              <w:pStyle w:val="TableHeading"/>
            </w:pPr>
            <w:r w:rsidRPr="005071A1">
              <w:t>Column 1</w:t>
            </w:r>
          </w:p>
        </w:tc>
        <w:tc>
          <w:tcPr>
            <w:tcW w:w="2572" w:type="dxa"/>
            <w:tcBorders>
              <w:top w:val="single" w:sz="12" w:space="0" w:color="auto"/>
              <w:bottom w:val="single" w:sz="6" w:space="0" w:color="auto"/>
            </w:tcBorders>
            <w:shd w:val="clear" w:color="auto" w:fill="auto"/>
          </w:tcPr>
          <w:p w14:paraId="1AE36E37" w14:textId="77777777" w:rsidR="00B33542" w:rsidRPr="005071A1" w:rsidRDefault="00B33542" w:rsidP="009B7AF5">
            <w:pPr>
              <w:pStyle w:val="TableHeading"/>
            </w:pPr>
            <w:r w:rsidRPr="005071A1">
              <w:t>Column 2</w:t>
            </w:r>
          </w:p>
        </w:tc>
      </w:tr>
      <w:tr w:rsidR="00B33542" w:rsidRPr="005071A1" w14:paraId="627B1F3A" w14:textId="77777777" w:rsidTr="009B7AF5">
        <w:trPr>
          <w:tblHeader/>
        </w:trPr>
        <w:tc>
          <w:tcPr>
            <w:tcW w:w="3240" w:type="dxa"/>
            <w:tcBorders>
              <w:top w:val="single" w:sz="6" w:space="0" w:color="auto"/>
              <w:bottom w:val="single" w:sz="6" w:space="0" w:color="auto"/>
            </w:tcBorders>
            <w:shd w:val="clear" w:color="auto" w:fill="auto"/>
          </w:tcPr>
          <w:p w14:paraId="2749A285" w14:textId="77777777" w:rsidR="00B33542" w:rsidRPr="005071A1" w:rsidRDefault="00B33542" w:rsidP="00AD02FE">
            <w:pPr>
              <w:pStyle w:val="TableHeading"/>
              <w:spacing w:before="40" w:after="40" w:line="180" w:lineRule="atLeast"/>
              <w:rPr>
                <w:sz w:val="16"/>
                <w:szCs w:val="16"/>
              </w:rPr>
            </w:pPr>
            <w:r w:rsidRPr="005071A1">
              <w:rPr>
                <w:sz w:val="16"/>
                <w:szCs w:val="16"/>
              </w:rPr>
              <w:br/>
              <w:t>Age next Birthday</w:t>
            </w:r>
          </w:p>
        </w:tc>
        <w:tc>
          <w:tcPr>
            <w:tcW w:w="2572" w:type="dxa"/>
            <w:tcBorders>
              <w:top w:val="single" w:sz="6" w:space="0" w:color="auto"/>
              <w:bottom w:val="single" w:sz="6" w:space="0" w:color="auto"/>
            </w:tcBorders>
            <w:shd w:val="clear" w:color="auto" w:fill="auto"/>
          </w:tcPr>
          <w:p w14:paraId="4EEC836F" w14:textId="77777777" w:rsidR="00B33542" w:rsidRPr="005071A1" w:rsidRDefault="00B33542" w:rsidP="00AD02FE">
            <w:pPr>
              <w:pStyle w:val="TableHeading"/>
              <w:spacing w:before="40" w:after="40" w:line="180" w:lineRule="atLeast"/>
              <w:rPr>
                <w:sz w:val="16"/>
                <w:szCs w:val="16"/>
              </w:rPr>
            </w:pPr>
            <w:r w:rsidRPr="005071A1">
              <w:rPr>
                <w:sz w:val="16"/>
                <w:szCs w:val="16"/>
              </w:rPr>
              <w:t>Reduction in Contribution for each Unit</w:t>
            </w:r>
          </w:p>
        </w:tc>
      </w:tr>
      <w:tr w:rsidR="00B33542" w:rsidRPr="005071A1" w14:paraId="4029DC11" w14:textId="77777777" w:rsidTr="009B7AF5">
        <w:trPr>
          <w:tblHeader/>
        </w:trPr>
        <w:tc>
          <w:tcPr>
            <w:tcW w:w="3240" w:type="dxa"/>
            <w:tcBorders>
              <w:top w:val="single" w:sz="6" w:space="0" w:color="auto"/>
              <w:bottom w:val="single" w:sz="12" w:space="0" w:color="auto"/>
            </w:tcBorders>
            <w:shd w:val="clear" w:color="auto" w:fill="auto"/>
          </w:tcPr>
          <w:p w14:paraId="2869CF1C" w14:textId="77777777" w:rsidR="00B33542" w:rsidRPr="005071A1" w:rsidRDefault="00B33542" w:rsidP="00AD02FE">
            <w:pPr>
              <w:pStyle w:val="TableHeading"/>
            </w:pPr>
          </w:p>
        </w:tc>
        <w:tc>
          <w:tcPr>
            <w:tcW w:w="2572" w:type="dxa"/>
            <w:tcBorders>
              <w:top w:val="single" w:sz="6" w:space="0" w:color="auto"/>
              <w:bottom w:val="single" w:sz="12" w:space="0" w:color="auto"/>
            </w:tcBorders>
            <w:shd w:val="clear" w:color="auto" w:fill="auto"/>
          </w:tcPr>
          <w:p w14:paraId="7E3B333E" w14:textId="77777777" w:rsidR="00B33542" w:rsidRPr="005071A1" w:rsidRDefault="00B33542" w:rsidP="00AD02FE">
            <w:pPr>
              <w:pStyle w:val="TableHeading"/>
            </w:pPr>
            <w:r w:rsidRPr="005071A1">
              <w:t>$</w:t>
            </w:r>
          </w:p>
        </w:tc>
      </w:tr>
      <w:tr w:rsidR="00B33542" w:rsidRPr="005071A1" w14:paraId="0C8F4A1C" w14:textId="77777777" w:rsidTr="009B7AF5">
        <w:tc>
          <w:tcPr>
            <w:tcW w:w="3240" w:type="dxa"/>
            <w:tcBorders>
              <w:top w:val="single" w:sz="12" w:space="0" w:color="auto"/>
            </w:tcBorders>
            <w:shd w:val="clear" w:color="auto" w:fill="auto"/>
          </w:tcPr>
          <w:p w14:paraId="20EC4C79" w14:textId="77777777" w:rsidR="00B33542" w:rsidRPr="005071A1" w:rsidRDefault="00B33542" w:rsidP="009B7AF5">
            <w:pPr>
              <w:pStyle w:val="Tabletext"/>
            </w:pPr>
            <w:r w:rsidRPr="005071A1">
              <w:t>15</w:t>
            </w:r>
          </w:p>
        </w:tc>
        <w:tc>
          <w:tcPr>
            <w:tcW w:w="2572" w:type="dxa"/>
            <w:tcBorders>
              <w:top w:val="single" w:sz="12" w:space="0" w:color="auto"/>
            </w:tcBorders>
            <w:shd w:val="clear" w:color="auto" w:fill="auto"/>
          </w:tcPr>
          <w:p w14:paraId="243E7EB2" w14:textId="77777777" w:rsidR="00B33542" w:rsidRPr="005071A1" w:rsidRDefault="00B33542" w:rsidP="009B7AF5">
            <w:pPr>
              <w:pStyle w:val="Tabletext"/>
            </w:pPr>
            <w:r w:rsidRPr="005071A1">
              <w:t>0.02</w:t>
            </w:r>
          </w:p>
        </w:tc>
      </w:tr>
      <w:tr w:rsidR="00B33542" w:rsidRPr="005071A1" w14:paraId="39877BB5" w14:textId="77777777" w:rsidTr="009B7AF5">
        <w:tc>
          <w:tcPr>
            <w:tcW w:w="3240" w:type="dxa"/>
            <w:shd w:val="clear" w:color="auto" w:fill="auto"/>
          </w:tcPr>
          <w:p w14:paraId="701AC6AC" w14:textId="77777777" w:rsidR="00B33542" w:rsidRPr="005071A1" w:rsidRDefault="00B33542" w:rsidP="009B7AF5">
            <w:pPr>
              <w:pStyle w:val="Tabletext"/>
            </w:pPr>
            <w:r w:rsidRPr="005071A1">
              <w:t>16</w:t>
            </w:r>
          </w:p>
        </w:tc>
        <w:tc>
          <w:tcPr>
            <w:tcW w:w="2572" w:type="dxa"/>
            <w:shd w:val="clear" w:color="auto" w:fill="auto"/>
          </w:tcPr>
          <w:p w14:paraId="4E449EA8" w14:textId="77777777" w:rsidR="00B33542" w:rsidRPr="005071A1" w:rsidRDefault="00B33542" w:rsidP="009B7AF5">
            <w:pPr>
              <w:pStyle w:val="Tabletext"/>
            </w:pPr>
            <w:r w:rsidRPr="005071A1">
              <w:t>0.02</w:t>
            </w:r>
          </w:p>
        </w:tc>
      </w:tr>
      <w:tr w:rsidR="00B33542" w:rsidRPr="005071A1" w14:paraId="7FB39C1A" w14:textId="77777777" w:rsidTr="009B7AF5">
        <w:tc>
          <w:tcPr>
            <w:tcW w:w="3240" w:type="dxa"/>
            <w:shd w:val="clear" w:color="auto" w:fill="auto"/>
          </w:tcPr>
          <w:p w14:paraId="1DA19F14" w14:textId="77777777" w:rsidR="00B33542" w:rsidRPr="005071A1" w:rsidRDefault="00B33542" w:rsidP="009B7AF5">
            <w:pPr>
              <w:pStyle w:val="Tabletext"/>
            </w:pPr>
            <w:r w:rsidRPr="005071A1">
              <w:t>17</w:t>
            </w:r>
          </w:p>
        </w:tc>
        <w:tc>
          <w:tcPr>
            <w:tcW w:w="2572" w:type="dxa"/>
            <w:shd w:val="clear" w:color="auto" w:fill="auto"/>
          </w:tcPr>
          <w:p w14:paraId="5C609150" w14:textId="77777777" w:rsidR="00B33542" w:rsidRPr="005071A1" w:rsidRDefault="00B33542" w:rsidP="009B7AF5">
            <w:pPr>
              <w:pStyle w:val="Tabletext"/>
            </w:pPr>
            <w:r w:rsidRPr="005071A1">
              <w:t>0.02</w:t>
            </w:r>
          </w:p>
        </w:tc>
      </w:tr>
      <w:tr w:rsidR="00B33542" w:rsidRPr="005071A1" w14:paraId="486C587A" w14:textId="77777777" w:rsidTr="009B7AF5">
        <w:tc>
          <w:tcPr>
            <w:tcW w:w="3240" w:type="dxa"/>
            <w:shd w:val="clear" w:color="auto" w:fill="auto"/>
          </w:tcPr>
          <w:p w14:paraId="28787CD2" w14:textId="77777777" w:rsidR="00B33542" w:rsidRPr="005071A1" w:rsidRDefault="00B33542" w:rsidP="009B7AF5">
            <w:pPr>
              <w:pStyle w:val="Tabletext"/>
            </w:pPr>
            <w:r w:rsidRPr="005071A1">
              <w:t>18</w:t>
            </w:r>
          </w:p>
        </w:tc>
        <w:tc>
          <w:tcPr>
            <w:tcW w:w="2572" w:type="dxa"/>
            <w:shd w:val="clear" w:color="auto" w:fill="auto"/>
          </w:tcPr>
          <w:p w14:paraId="31594301" w14:textId="77777777" w:rsidR="00B33542" w:rsidRPr="005071A1" w:rsidRDefault="00B33542" w:rsidP="009B7AF5">
            <w:pPr>
              <w:pStyle w:val="Tabletext"/>
            </w:pPr>
            <w:r w:rsidRPr="005071A1">
              <w:t>0.03</w:t>
            </w:r>
          </w:p>
        </w:tc>
      </w:tr>
      <w:tr w:rsidR="00B33542" w:rsidRPr="005071A1" w14:paraId="6C58E336" w14:textId="77777777" w:rsidTr="009B7AF5">
        <w:tc>
          <w:tcPr>
            <w:tcW w:w="3240" w:type="dxa"/>
            <w:shd w:val="clear" w:color="auto" w:fill="auto"/>
          </w:tcPr>
          <w:p w14:paraId="7F8B155C" w14:textId="77777777" w:rsidR="00B33542" w:rsidRPr="005071A1" w:rsidRDefault="00B33542" w:rsidP="009B7AF5">
            <w:pPr>
              <w:pStyle w:val="Tabletext"/>
            </w:pPr>
            <w:r w:rsidRPr="005071A1">
              <w:t>19</w:t>
            </w:r>
          </w:p>
        </w:tc>
        <w:tc>
          <w:tcPr>
            <w:tcW w:w="2572" w:type="dxa"/>
            <w:shd w:val="clear" w:color="auto" w:fill="auto"/>
          </w:tcPr>
          <w:p w14:paraId="15BF70D9" w14:textId="77777777" w:rsidR="00B33542" w:rsidRPr="005071A1" w:rsidRDefault="00B33542" w:rsidP="009B7AF5">
            <w:pPr>
              <w:pStyle w:val="Tabletext"/>
            </w:pPr>
            <w:r w:rsidRPr="005071A1">
              <w:t>0.03</w:t>
            </w:r>
          </w:p>
        </w:tc>
      </w:tr>
      <w:tr w:rsidR="00B33542" w:rsidRPr="005071A1" w14:paraId="3644EF19" w14:textId="77777777" w:rsidTr="009B7AF5">
        <w:tc>
          <w:tcPr>
            <w:tcW w:w="3240" w:type="dxa"/>
            <w:shd w:val="clear" w:color="auto" w:fill="auto"/>
          </w:tcPr>
          <w:p w14:paraId="2911792B" w14:textId="77777777" w:rsidR="00B33542" w:rsidRPr="005071A1" w:rsidRDefault="00B33542" w:rsidP="009B7AF5">
            <w:pPr>
              <w:pStyle w:val="Tabletext"/>
            </w:pPr>
            <w:r w:rsidRPr="005071A1">
              <w:t>20</w:t>
            </w:r>
          </w:p>
        </w:tc>
        <w:tc>
          <w:tcPr>
            <w:tcW w:w="2572" w:type="dxa"/>
            <w:shd w:val="clear" w:color="auto" w:fill="auto"/>
          </w:tcPr>
          <w:p w14:paraId="1E62257D" w14:textId="77777777" w:rsidR="00B33542" w:rsidRPr="005071A1" w:rsidRDefault="00B33542" w:rsidP="009B7AF5">
            <w:pPr>
              <w:pStyle w:val="Tabletext"/>
            </w:pPr>
            <w:r w:rsidRPr="005071A1">
              <w:t>0.03</w:t>
            </w:r>
          </w:p>
        </w:tc>
      </w:tr>
      <w:tr w:rsidR="00B33542" w:rsidRPr="005071A1" w14:paraId="7E0B8C31" w14:textId="77777777" w:rsidTr="009B7AF5">
        <w:tc>
          <w:tcPr>
            <w:tcW w:w="3240" w:type="dxa"/>
            <w:shd w:val="clear" w:color="auto" w:fill="auto"/>
          </w:tcPr>
          <w:p w14:paraId="0D955EE3" w14:textId="77777777" w:rsidR="00B33542" w:rsidRPr="005071A1" w:rsidRDefault="00B33542" w:rsidP="009B7AF5">
            <w:pPr>
              <w:pStyle w:val="Tabletext"/>
            </w:pPr>
            <w:r w:rsidRPr="005071A1">
              <w:t>21</w:t>
            </w:r>
          </w:p>
        </w:tc>
        <w:tc>
          <w:tcPr>
            <w:tcW w:w="2572" w:type="dxa"/>
            <w:shd w:val="clear" w:color="auto" w:fill="auto"/>
          </w:tcPr>
          <w:p w14:paraId="3665E4E9" w14:textId="77777777" w:rsidR="00B33542" w:rsidRPr="005071A1" w:rsidRDefault="00B33542" w:rsidP="009B7AF5">
            <w:pPr>
              <w:pStyle w:val="Tabletext"/>
            </w:pPr>
            <w:r w:rsidRPr="005071A1">
              <w:t>0.03</w:t>
            </w:r>
          </w:p>
        </w:tc>
      </w:tr>
      <w:tr w:rsidR="00B33542" w:rsidRPr="005071A1" w14:paraId="3CDE7483" w14:textId="77777777" w:rsidTr="009B7AF5">
        <w:tc>
          <w:tcPr>
            <w:tcW w:w="3240" w:type="dxa"/>
            <w:shd w:val="clear" w:color="auto" w:fill="auto"/>
          </w:tcPr>
          <w:p w14:paraId="1C0E33EE" w14:textId="77777777" w:rsidR="00B33542" w:rsidRPr="005071A1" w:rsidRDefault="00B33542" w:rsidP="009B7AF5">
            <w:pPr>
              <w:pStyle w:val="Tabletext"/>
            </w:pPr>
            <w:r w:rsidRPr="005071A1">
              <w:t>22</w:t>
            </w:r>
          </w:p>
        </w:tc>
        <w:tc>
          <w:tcPr>
            <w:tcW w:w="2572" w:type="dxa"/>
            <w:shd w:val="clear" w:color="auto" w:fill="auto"/>
          </w:tcPr>
          <w:p w14:paraId="67EAFC50" w14:textId="77777777" w:rsidR="00B33542" w:rsidRPr="005071A1" w:rsidRDefault="00B33542" w:rsidP="009B7AF5">
            <w:pPr>
              <w:pStyle w:val="Tabletext"/>
            </w:pPr>
            <w:r w:rsidRPr="005071A1">
              <w:t>0.03</w:t>
            </w:r>
          </w:p>
        </w:tc>
      </w:tr>
      <w:tr w:rsidR="00B33542" w:rsidRPr="005071A1" w14:paraId="233C41C4" w14:textId="77777777" w:rsidTr="009B7AF5">
        <w:tc>
          <w:tcPr>
            <w:tcW w:w="3240" w:type="dxa"/>
            <w:shd w:val="clear" w:color="auto" w:fill="auto"/>
          </w:tcPr>
          <w:p w14:paraId="3D288B33" w14:textId="77777777" w:rsidR="00B33542" w:rsidRPr="005071A1" w:rsidRDefault="00B33542" w:rsidP="009B7AF5">
            <w:pPr>
              <w:pStyle w:val="Tabletext"/>
            </w:pPr>
            <w:r w:rsidRPr="005071A1">
              <w:t>23</w:t>
            </w:r>
          </w:p>
        </w:tc>
        <w:tc>
          <w:tcPr>
            <w:tcW w:w="2572" w:type="dxa"/>
            <w:shd w:val="clear" w:color="auto" w:fill="auto"/>
          </w:tcPr>
          <w:p w14:paraId="5770F38D" w14:textId="77777777" w:rsidR="00B33542" w:rsidRPr="005071A1" w:rsidRDefault="00B33542" w:rsidP="009B7AF5">
            <w:pPr>
              <w:pStyle w:val="Tabletext"/>
            </w:pPr>
            <w:r w:rsidRPr="005071A1">
              <w:t>0.03</w:t>
            </w:r>
          </w:p>
        </w:tc>
      </w:tr>
      <w:tr w:rsidR="00B33542" w:rsidRPr="005071A1" w14:paraId="3FF5C51A" w14:textId="77777777" w:rsidTr="009B7AF5">
        <w:tc>
          <w:tcPr>
            <w:tcW w:w="3240" w:type="dxa"/>
            <w:shd w:val="clear" w:color="auto" w:fill="auto"/>
          </w:tcPr>
          <w:p w14:paraId="59B3B200" w14:textId="77777777" w:rsidR="00B33542" w:rsidRPr="005071A1" w:rsidRDefault="00B33542" w:rsidP="009B7AF5">
            <w:pPr>
              <w:pStyle w:val="Tabletext"/>
            </w:pPr>
            <w:r w:rsidRPr="005071A1">
              <w:t>24</w:t>
            </w:r>
          </w:p>
        </w:tc>
        <w:tc>
          <w:tcPr>
            <w:tcW w:w="2572" w:type="dxa"/>
            <w:shd w:val="clear" w:color="auto" w:fill="auto"/>
          </w:tcPr>
          <w:p w14:paraId="5DC093DF" w14:textId="77777777" w:rsidR="00B33542" w:rsidRPr="005071A1" w:rsidRDefault="00B33542" w:rsidP="009B7AF5">
            <w:pPr>
              <w:pStyle w:val="Tabletext"/>
            </w:pPr>
            <w:r w:rsidRPr="005071A1">
              <w:t>0.03</w:t>
            </w:r>
          </w:p>
        </w:tc>
      </w:tr>
      <w:tr w:rsidR="00B33542" w:rsidRPr="005071A1" w14:paraId="385F7B31" w14:textId="77777777" w:rsidTr="009B7AF5">
        <w:tc>
          <w:tcPr>
            <w:tcW w:w="3240" w:type="dxa"/>
            <w:shd w:val="clear" w:color="auto" w:fill="auto"/>
          </w:tcPr>
          <w:p w14:paraId="52975049" w14:textId="77777777" w:rsidR="00B33542" w:rsidRPr="005071A1" w:rsidRDefault="00B33542" w:rsidP="009B7AF5">
            <w:pPr>
              <w:pStyle w:val="Tabletext"/>
            </w:pPr>
            <w:r w:rsidRPr="005071A1">
              <w:t>25</w:t>
            </w:r>
          </w:p>
        </w:tc>
        <w:tc>
          <w:tcPr>
            <w:tcW w:w="2572" w:type="dxa"/>
            <w:shd w:val="clear" w:color="auto" w:fill="auto"/>
          </w:tcPr>
          <w:p w14:paraId="11EFD232" w14:textId="77777777" w:rsidR="00B33542" w:rsidRPr="005071A1" w:rsidRDefault="00B33542" w:rsidP="009B7AF5">
            <w:pPr>
              <w:pStyle w:val="Tabletext"/>
            </w:pPr>
            <w:r w:rsidRPr="005071A1">
              <w:t>0.04</w:t>
            </w:r>
          </w:p>
        </w:tc>
      </w:tr>
      <w:tr w:rsidR="00B33542" w:rsidRPr="005071A1" w14:paraId="0D04E497" w14:textId="77777777" w:rsidTr="009B7AF5">
        <w:tc>
          <w:tcPr>
            <w:tcW w:w="3240" w:type="dxa"/>
            <w:shd w:val="clear" w:color="auto" w:fill="auto"/>
          </w:tcPr>
          <w:p w14:paraId="4205D507" w14:textId="77777777" w:rsidR="00B33542" w:rsidRPr="005071A1" w:rsidRDefault="00B33542" w:rsidP="009B7AF5">
            <w:pPr>
              <w:pStyle w:val="Tabletext"/>
            </w:pPr>
            <w:r w:rsidRPr="005071A1">
              <w:t>26</w:t>
            </w:r>
          </w:p>
        </w:tc>
        <w:tc>
          <w:tcPr>
            <w:tcW w:w="2572" w:type="dxa"/>
            <w:shd w:val="clear" w:color="auto" w:fill="auto"/>
          </w:tcPr>
          <w:p w14:paraId="74CA394B" w14:textId="77777777" w:rsidR="00B33542" w:rsidRPr="005071A1" w:rsidRDefault="00B33542" w:rsidP="009B7AF5">
            <w:pPr>
              <w:pStyle w:val="Tabletext"/>
            </w:pPr>
            <w:r w:rsidRPr="005071A1">
              <w:t>0.04</w:t>
            </w:r>
          </w:p>
        </w:tc>
      </w:tr>
      <w:tr w:rsidR="00B33542" w:rsidRPr="005071A1" w14:paraId="27DFAE1E" w14:textId="77777777" w:rsidTr="009B7AF5">
        <w:tc>
          <w:tcPr>
            <w:tcW w:w="3240" w:type="dxa"/>
            <w:shd w:val="clear" w:color="auto" w:fill="auto"/>
          </w:tcPr>
          <w:p w14:paraId="0FC22F87" w14:textId="77777777" w:rsidR="00B33542" w:rsidRPr="005071A1" w:rsidRDefault="00B33542" w:rsidP="009B7AF5">
            <w:pPr>
              <w:pStyle w:val="Tabletext"/>
            </w:pPr>
            <w:r w:rsidRPr="005071A1">
              <w:t>27</w:t>
            </w:r>
          </w:p>
        </w:tc>
        <w:tc>
          <w:tcPr>
            <w:tcW w:w="2572" w:type="dxa"/>
            <w:shd w:val="clear" w:color="auto" w:fill="auto"/>
          </w:tcPr>
          <w:p w14:paraId="27A60A23" w14:textId="77777777" w:rsidR="00B33542" w:rsidRPr="005071A1" w:rsidRDefault="00B33542" w:rsidP="009B7AF5">
            <w:pPr>
              <w:pStyle w:val="Tabletext"/>
            </w:pPr>
            <w:r w:rsidRPr="005071A1">
              <w:t>0.04</w:t>
            </w:r>
          </w:p>
        </w:tc>
      </w:tr>
      <w:tr w:rsidR="00B33542" w:rsidRPr="005071A1" w14:paraId="2ED8CEB7" w14:textId="77777777" w:rsidTr="009B7AF5">
        <w:tc>
          <w:tcPr>
            <w:tcW w:w="3240" w:type="dxa"/>
            <w:shd w:val="clear" w:color="auto" w:fill="auto"/>
          </w:tcPr>
          <w:p w14:paraId="4B2780BA" w14:textId="77777777" w:rsidR="00B33542" w:rsidRPr="005071A1" w:rsidRDefault="00B33542" w:rsidP="009B7AF5">
            <w:pPr>
              <w:pStyle w:val="Tabletext"/>
            </w:pPr>
            <w:r w:rsidRPr="005071A1">
              <w:t>28</w:t>
            </w:r>
          </w:p>
        </w:tc>
        <w:tc>
          <w:tcPr>
            <w:tcW w:w="2572" w:type="dxa"/>
            <w:shd w:val="clear" w:color="auto" w:fill="auto"/>
          </w:tcPr>
          <w:p w14:paraId="45823284" w14:textId="77777777" w:rsidR="00B33542" w:rsidRPr="005071A1" w:rsidRDefault="00B33542" w:rsidP="009B7AF5">
            <w:pPr>
              <w:pStyle w:val="Tabletext"/>
            </w:pPr>
            <w:r w:rsidRPr="005071A1">
              <w:t>0.04</w:t>
            </w:r>
          </w:p>
        </w:tc>
      </w:tr>
      <w:tr w:rsidR="00B33542" w:rsidRPr="005071A1" w14:paraId="1C91067A" w14:textId="77777777" w:rsidTr="009B7AF5">
        <w:tc>
          <w:tcPr>
            <w:tcW w:w="3240" w:type="dxa"/>
            <w:shd w:val="clear" w:color="auto" w:fill="auto"/>
          </w:tcPr>
          <w:p w14:paraId="4E7F1760" w14:textId="77777777" w:rsidR="00B33542" w:rsidRPr="005071A1" w:rsidRDefault="00B33542" w:rsidP="009B7AF5">
            <w:pPr>
              <w:pStyle w:val="Tabletext"/>
            </w:pPr>
            <w:r w:rsidRPr="005071A1">
              <w:t>29</w:t>
            </w:r>
          </w:p>
        </w:tc>
        <w:tc>
          <w:tcPr>
            <w:tcW w:w="2572" w:type="dxa"/>
            <w:shd w:val="clear" w:color="auto" w:fill="auto"/>
          </w:tcPr>
          <w:p w14:paraId="7CB08FFE" w14:textId="77777777" w:rsidR="00B33542" w:rsidRPr="005071A1" w:rsidRDefault="00B33542" w:rsidP="009B7AF5">
            <w:pPr>
              <w:pStyle w:val="Tabletext"/>
            </w:pPr>
            <w:r w:rsidRPr="005071A1">
              <w:t>0.04</w:t>
            </w:r>
          </w:p>
        </w:tc>
      </w:tr>
      <w:tr w:rsidR="00B33542" w:rsidRPr="005071A1" w14:paraId="377A8EFD" w14:textId="77777777" w:rsidTr="009B7AF5">
        <w:tc>
          <w:tcPr>
            <w:tcW w:w="3240" w:type="dxa"/>
            <w:shd w:val="clear" w:color="auto" w:fill="auto"/>
          </w:tcPr>
          <w:p w14:paraId="02B22BE6" w14:textId="77777777" w:rsidR="00B33542" w:rsidRPr="005071A1" w:rsidRDefault="00B33542" w:rsidP="009B7AF5">
            <w:pPr>
              <w:pStyle w:val="Tabletext"/>
            </w:pPr>
            <w:r w:rsidRPr="005071A1">
              <w:t>30</w:t>
            </w:r>
          </w:p>
        </w:tc>
        <w:tc>
          <w:tcPr>
            <w:tcW w:w="2572" w:type="dxa"/>
            <w:shd w:val="clear" w:color="auto" w:fill="auto"/>
          </w:tcPr>
          <w:p w14:paraId="084AC52A" w14:textId="77777777" w:rsidR="00B33542" w:rsidRPr="005071A1" w:rsidRDefault="00B33542" w:rsidP="009B7AF5">
            <w:pPr>
              <w:pStyle w:val="Tabletext"/>
            </w:pPr>
            <w:r w:rsidRPr="005071A1">
              <w:t>0.04</w:t>
            </w:r>
          </w:p>
        </w:tc>
      </w:tr>
      <w:tr w:rsidR="00B33542" w:rsidRPr="005071A1" w14:paraId="037CE3A5" w14:textId="77777777" w:rsidTr="009B7AF5">
        <w:tc>
          <w:tcPr>
            <w:tcW w:w="3240" w:type="dxa"/>
            <w:shd w:val="clear" w:color="auto" w:fill="auto"/>
          </w:tcPr>
          <w:p w14:paraId="73CC4941" w14:textId="77777777" w:rsidR="00B33542" w:rsidRPr="005071A1" w:rsidRDefault="00B33542" w:rsidP="009B7AF5">
            <w:pPr>
              <w:pStyle w:val="Tabletext"/>
            </w:pPr>
            <w:r w:rsidRPr="005071A1">
              <w:t>31</w:t>
            </w:r>
          </w:p>
        </w:tc>
        <w:tc>
          <w:tcPr>
            <w:tcW w:w="2572" w:type="dxa"/>
            <w:shd w:val="clear" w:color="auto" w:fill="auto"/>
          </w:tcPr>
          <w:p w14:paraId="7F232CDC" w14:textId="77777777" w:rsidR="00B33542" w:rsidRPr="005071A1" w:rsidRDefault="00B33542" w:rsidP="009B7AF5">
            <w:pPr>
              <w:pStyle w:val="Tabletext"/>
            </w:pPr>
            <w:r w:rsidRPr="005071A1">
              <w:t>0.04</w:t>
            </w:r>
          </w:p>
        </w:tc>
      </w:tr>
      <w:tr w:rsidR="00B33542" w:rsidRPr="005071A1" w14:paraId="55687D82" w14:textId="77777777" w:rsidTr="009B7AF5">
        <w:tc>
          <w:tcPr>
            <w:tcW w:w="3240" w:type="dxa"/>
            <w:shd w:val="clear" w:color="auto" w:fill="auto"/>
          </w:tcPr>
          <w:p w14:paraId="6935DDD2" w14:textId="77777777" w:rsidR="00B33542" w:rsidRPr="005071A1" w:rsidRDefault="00B33542" w:rsidP="009B7AF5">
            <w:pPr>
              <w:pStyle w:val="Tabletext"/>
            </w:pPr>
            <w:r w:rsidRPr="005071A1">
              <w:t>32</w:t>
            </w:r>
          </w:p>
        </w:tc>
        <w:tc>
          <w:tcPr>
            <w:tcW w:w="2572" w:type="dxa"/>
            <w:shd w:val="clear" w:color="auto" w:fill="auto"/>
          </w:tcPr>
          <w:p w14:paraId="528BB9EC" w14:textId="77777777" w:rsidR="00B33542" w:rsidRPr="005071A1" w:rsidRDefault="00B33542" w:rsidP="009B7AF5">
            <w:pPr>
              <w:pStyle w:val="Tabletext"/>
            </w:pPr>
            <w:r w:rsidRPr="005071A1">
              <w:t>0.04</w:t>
            </w:r>
          </w:p>
        </w:tc>
      </w:tr>
      <w:tr w:rsidR="00B33542" w:rsidRPr="005071A1" w14:paraId="6092004B" w14:textId="77777777" w:rsidTr="009B7AF5">
        <w:tc>
          <w:tcPr>
            <w:tcW w:w="3240" w:type="dxa"/>
            <w:shd w:val="clear" w:color="auto" w:fill="auto"/>
          </w:tcPr>
          <w:p w14:paraId="24A3B7D9" w14:textId="77777777" w:rsidR="00B33542" w:rsidRPr="005071A1" w:rsidRDefault="00B33542" w:rsidP="009B7AF5">
            <w:pPr>
              <w:pStyle w:val="Tabletext"/>
            </w:pPr>
            <w:r w:rsidRPr="005071A1">
              <w:t>33</w:t>
            </w:r>
          </w:p>
        </w:tc>
        <w:tc>
          <w:tcPr>
            <w:tcW w:w="2572" w:type="dxa"/>
            <w:shd w:val="clear" w:color="auto" w:fill="auto"/>
          </w:tcPr>
          <w:p w14:paraId="37D0CE95" w14:textId="77777777" w:rsidR="00B33542" w:rsidRPr="005071A1" w:rsidRDefault="00B33542" w:rsidP="009B7AF5">
            <w:pPr>
              <w:pStyle w:val="Tabletext"/>
            </w:pPr>
            <w:r w:rsidRPr="005071A1">
              <w:t>0.05</w:t>
            </w:r>
          </w:p>
        </w:tc>
      </w:tr>
      <w:tr w:rsidR="00B33542" w:rsidRPr="005071A1" w14:paraId="0FEDB583" w14:textId="77777777" w:rsidTr="00D57394">
        <w:tc>
          <w:tcPr>
            <w:tcW w:w="3240" w:type="dxa"/>
            <w:tcBorders>
              <w:bottom w:val="single" w:sz="4" w:space="0" w:color="auto"/>
            </w:tcBorders>
            <w:shd w:val="clear" w:color="auto" w:fill="auto"/>
          </w:tcPr>
          <w:p w14:paraId="5C22391A" w14:textId="77777777" w:rsidR="00B33542" w:rsidRPr="005071A1" w:rsidRDefault="00B33542" w:rsidP="009B7AF5">
            <w:pPr>
              <w:pStyle w:val="Tabletext"/>
            </w:pPr>
            <w:r w:rsidRPr="005071A1">
              <w:t>34</w:t>
            </w:r>
          </w:p>
        </w:tc>
        <w:tc>
          <w:tcPr>
            <w:tcW w:w="2572" w:type="dxa"/>
            <w:tcBorders>
              <w:bottom w:val="single" w:sz="4" w:space="0" w:color="auto"/>
            </w:tcBorders>
            <w:shd w:val="clear" w:color="auto" w:fill="auto"/>
          </w:tcPr>
          <w:p w14:paraId="27F57DF4" w14:textId="77777777" w:rsidR="00B33542" w:rsidRPr="005071A1" w:rsidRDefault="00B33542" w:rsidP="009B7AF5">
            <w:pPr>
              <w:pStyle w:val="Tabletext"/>
            </w:pPr>
            <w:r w:rsidRPr="005071A1">
              <w:t>0.05</w:t>
            </w:r>
          </w:p>
        </w:tc>
      </w:tr>
      <w:tr w:rsidR="00B33542" w:rsidRPr="005071A1" w14:paraId="5E2E23E5" w14:textId="77777777" w:rsidTr="00D57394">
        <w:tc>
          <w:tcPr>
            <w:tcW w:w="3240" w:type="dxa"/>
            <w:tcBorders>
              <w:bottom w:val="single" w:sz="4" w:space="0" w:color="auto"/>
            </w:tcBorders>
            <w:shd w:val="clear" w:color="auto" w:fill="auto"/>
          </w:tcPr>
          <w:p w14:paraId="2D591B16" w14:textId="77777777" w:rsidR="00B33542" w:rsidRPr="005071A1" w:rsidRDefault="00B33542" w:rsidP="009B7AF5">
            <w:pPr>
              <w:pStyle w:val="Tabletext"/>
            </w:pPr>
            <w:r w:rsidRPr="005071A1">
              <w:t>35</w:t>
            </w:r>
          </w:p>
        </w:tc>
        <w:tc>
          <w:tcPr>
            <w:tcW w:w="2572" w:type="dxa"/>
            <w:tcBorders>
              <w:bottom w:val="single" w:sz="4" w:space="0" w:color="auto"/>
            </w:tcBorders>
            <w:shd w:val="clear" w:color="auto" w:fill="auto"/>
          </w:tcPr>
          <w:p w14:paraId="4E70F32F" w14:textId="77777777" w:rsidR="00B33542" w:rsidRPr="005071A1" w:rsidRDefault="00B33542" w:rsidP="009B7AF5">
            <w:pPr>
              <w:pStyle w:val="Tabletext"/>
            </w:pPr>
            <w:r w:rsidRPr="005071A1">
              <w:t>0.05</w:t>
            </w:r>
          </w:p>
        </w:tc>
      </w:tr>
      <w:tr w:rsidR="00B33542" w:rsidRPr="005071A1" w14:paraId="085B617A" w14:textId="77777777" w:rsidTr="00D57394">
        <w:tc>
          <w:tcPr>
            <w:tcW w:w="3240" w:type="dxa"/>
            <w:tcBorders>
              <w:top w:val="single" w:sz="4" w:space="0" w:color="auto"/>
            </w:tcBorders>
            <w:shd w:val="clear" w:color="auto" w:fill="auto"/>
          </w:tcPr>
          <w:p w14:paraId="2B23EF85" w14:textId="77777777" w:rsidR="00B33542" w:rsidRPr="005071A1" w:rsidRDefault="00B33542" w:rsidP="009B7AF5">
            <w:pPr>
              <w:pStyle w:val="Tabletext"/>
            </w:pPr>
            <w:r w:rsidRPr="005071A1">
              <w:t>36</w:t>
            </w:r>
          </w:p>
        </w:tc>
        <w:tc>
          <w:tcPr>
            <w:tcW w:w="2572" w:type="dxa"/>
            <w:tcBorders>
              <w:top w:val="single" w:sz="4" w:space="0" w:color="auto"/>
            </w:tcBorders>
            <w:shd w:val="clear" w:color="auto" w:fill="auto"/>
          </w:tcPr>
          <w:p w14:paraId="1CA8874D" w14:textId="77777777" w:rsidR="00B33542" w:rsidRPr="005071A1" w:rsidRDefault="00B33542" w:rsidP="009B7AF5">
            <w:pPr>
              <w:pStyle w:val="Tabletext"/>
            </w:pPr>
            <w:r w:rsidRPr="005071A1">
              <w:t>0.05</w:t>
            </w:r>
          </w:p>
        </w:tc>
      </w:tr>
      <w:tr w:rsidR="00B33542" w:rsidRPr="005071A1" w14:paraId="38E92192" w14:textId="77777777" w:rsidTr="009B7AF5">
        <w:tc>
          <w:tcPr>
            <w:tcW w:w="3240" w:type="dxa"/>
            <w:shd w:val="clear" w:color="auto" w:fill="auto"/>
          </w:tcPr>
          <w:p w14:paraId="34B74A41" w14:textId="77777777" w:rsidR="00B33542" w:rsidRPr="005071A1" w:rsidRDefault="00B33542" w:rsidP="009B7AF5">
            <w:pPr>
              <w:pStyle w:val="Tabletext"/>
            </w:pPr>
            <w:r w:rsidRPr="005071A1">
              <w:t>37</w:t>
            </w:r>
          </w:p>
        </w:tc>
        <w:tc>
          <w:tcPr>
            <w:tcW w:w="2572" w:type="dxa"/>
            <w:shd w:val="clear" w:color="auto" w:fill="auto"/>
          </w:tcPr>
          <w:p w14:paraId="76A87DA5" w14:textId="77777777" w:rsidR="00B33542" w:rsidRPr="005071A1" w:rsidRDefault="00B33542" w:rsidP="009B7AF5">
            <w:pPr>
              <w:pStyle w:val="Tabletext"/>
            </w:pPr>
            <w:r w:rsidRPr="005071A1">
              <w:t>0.05</w:t>
            </w:r>
          </w:p>
        </w:tc>
      </w:tr>
      <w:tr w:rsidR="00B33542" w:rsidRPr="005071A1" w14:paraId="60F912D8" w14:textId="77777777" w:rsidTr="009B7AF5">
        <w:tc>
          <w:tcPr>
            <w:tcW w:w="3240" w:type="dxa"/>
            <w:shd w:val="clear" w:color="auto" w:fill="auto"/>
          </w:tcPr>
          <w:p w14:paraId="62B9B6FA" w14:textId="77777777" w:rsidR="00B33542" w:rsidRPr="005071A1" w:rsidRDefault="00B33542" w:rsidP="009B7AF5">
            <w:pPr>
              <w:pStyle w:val="Tabletext"/>
            </w:pPr>
            <w:r w:rsidRPr="005071A1">
              <w:t>38</w:t>
            </w:r>
          </w:p>
        </w:tc>
        <w:tc>
          <w:tcPr>
            <w:tcW w:w="2572" w:type="dxa"/>
            <w:shd w:val="clear" w:color="auto" w:fill="auto"/>
          </w:tcPr>
          <w:p w14:paraId="09AD85F7" w14:textId="77777777" w:rsidR="00B33542" w:rsidRPr="005071A1" w:rsidRDefault="00B33542" w:rsidP="009B7AF5">
            <w:pPr>
              <w:pStyle w:val="Tabletext"/>
            </w:pPr>
            <w:r w:rsidRPr="005071A1">
              <w:t>0.05</w:t>
            </w:r>
          </w:p>
        </w:tc>
      </w:tr>
      <w:tr w:rsidR="00B33542" w:rsidRPr="005071A1" w14:paraId="5D77496D" w14:textId="77777777" w:rsidTr="009B7AF5">
        <w:tc>
          <w:tcPr>
            <w:tcW w:w="3240" w:type="dxa"/>
            <w:shd w:val="clear" w:color="auto" w:fill="auto"/>
          </w:tcPr>
          <w:p w14:paraId="4E54D890" w14:textId="77777777" w:rsidR="00B33542" w:rsidRPr="005071A1" w:rsidRDefault="00B33542" w:rsidP="009B7AF5">
            <w:pPr>
              <w:pStyle w:val="Tabletext"/>
            </w:pPr>
            <w:r w:rsidRPr="005071A1">
              <w:t>39</w:t>
            </w:r>
          </w:p>
        </w:tc>
        <w:tc>
          <w:tcPr>
            <w:tcW w:w="2572" w:type="dxa"/>
            <w:shd w:val="clear" w:color="auto" w:fill="auto"/>
          </w:tcPr>
          <w:p w14:paraId="2804DBF7" w14:textId="77777777" w:rsidR="00B33542" w:rsidRPr="005071A1" w:rsidRDefault="00B33542" w:rsidP="009B7AF5">
            <w:pPr>
              <w:pStyle w:val="Tabletext"/>
            </w:pPr>
            <w:r w:rsidRPr="005071A1">
              <w:t>0.06</w:t>
            </w:r>
          </w:p>
        </w:tc>
      </w:tr>
      <w:tr w:rsidR="00B33542" w:rsidRPr="005071A1" w14:paraId="3FDB7B5B" w14:textId="77777777" w:rsidTr="009B7AF5">
        <w:tc>
          <w:tcPr>
            <w:tcW w:w="3240" w:type="dxa"/>
            <w:shd w:val="clear" w:color="auto" w:fill="auto"/>
          </w:tcPr>
          <w:p w14:paraId="4448CB5D" w14:textId="77777777" w:rsidR="00B33542" w:rsidRPr="005071A1" w:rsidRDefault="00B33542" w:rsidP="009B7AF5">
            <w:pPr>
              <w:pStyle w:val="Tabletext"/>
            </w:pPr>
            <w:r w:rsidRPr="005071A1">
              <w:t>40</w:t>
            </w:r>
          </w:p>
        </w:tc>
        <w:tc>
          <w:tcPr>
            <w:tcW w:w="2572" w:type="dxa"/>
            <w:shd w:val="clear" w:color="auto" w:fill="auto"/>
          </w:tcPr>
          <w:p w14:paraId="37AE96C9" w14:textId="77777777" w:rsidR="00B33542" w:rsidRPr="005071A1" w:rsidRDefault="00B33542" w:rsidP="009B7AF5">
            <w:pPr>
              <w:pStyle w:val="Tabletext"/>
            </w:pPr>
            <w:r w:rsidRPr="005071A1">
              <w:t>0.06</w:t>
            </w:r>
          </w:p>
        </w:tc>
      </w:tr>
      <w:tr w:rsidR="00B33542" w:rsidRPr="005071A1" w14:paraId="17893A11" w14:textId="77777777" w:rsidTr="009B7AF5">
        <w:tc>
          <w:tcPr>
            <w:tcW w:w="3240" w:type="dxa"/>
            <w:shd w:val="clear" w:color="auto" w:fill="auto"/>
          </w:tcPr>
          <w:p w14:paraId="62181FD5" w14:textId="77777777" w:rsidR="00B33542" w:rsidRPr="005071A1" w:rsidRDefault="00B33542" w:rsidP="009B7AF5">
            <w:pPr>
              <w:pStyle w:val="Tabletext"/>
            </w:pPr>
            <w:r w:rsidRPr="005071A1">
              <w:t>41</w:t>
            </w:r>
          </w:p>
        </w:tc>
        <w:tc>
          <w:tcPr>
            <w:tcW w:w="2572" w:type="dxa"/>
            <w:shd w:val="clear" w:color="auto" w:fill="auto"/>
          </w:tcPr>
          <w:p w14:paraId="528A1D0C" w14:textId="77777777" w:rsidR="00B33542" w:rsidRPr="005071A1" w:rsidRDefault="00B33542" w:rsidP="009B7AF5">
            <w:pPr>
              <w:pStyle w:val="Tabletext"/>
            </w:pPr>
            <w:r w:rsidRPr="005071A1">
              <w:t>0.06</w:t>
            </w:r>
          </w:p>
        </w:tc>
      </w:tr>
      <w:tr w:rsidR="00B33542" w:rsidRPr="005071A1" w14:paraId="21FD6D00" w14:textId="77777777" w:rsidTr="009B7AF5">
        <w:tc>
          <w:tcPr>
            <w:tcW w:w="3240" w:type="dxa"/>
            <w:shd w:val="clear" w:color="auto" w:fill="auto"/>
          </w:tcPr>
          <w:p w14:paraId="06855673" w14:textId="77777777" w:rsidR="00B33542" w:rsidRPr="005071A1" w:rsidRDefault="00B33542" w:rsidP="009B7AF5">
            <w:pPr>
              <w:pStyle w:val="Tabletext"/>
            </w:pPr>
            <w:r w:rsidRPr="005071A1">
              <w:t>42</w:t>
            </w:r>
          </w:p>
        </w:tc>
        <w:tc>
          <w:tcPr>
            <w:tcW w:w="2572" w:type="dxa"/>
            <w:shd w:val="clear" w:color="auto" w:fill="auto"/>
          </w:tcPr>
          <w:p w14:paraId="44523D10" w14:textId="77777777" w:rsidR="00B33542" w:rsidRPr="005071A1" w:rsidRDefault="00B33542" w:rsidP="009B7AF5">
            <w:pPr>
              <w:pStyle w:val="Tabletext"/>
            </w:pPr>
            <w:r w:rsidRPr="005071A1">
              <w:t>0.07</w:t>
            </w:r>
          </w:p>
        </w:tc>
      </w:tr>
      <w:tr w:rsidR="00B33542" w:rsidRPr="005071A1" w14:paraId="4ED1EA9F" w14:textId="77777777" w:rsidTr="009B7AF5">
        <w:tc>
          <w:tcPr>
            <w:tcW w:w="3240" w:type="dxa"/>
            <w:shd w:val="clear" w:color="auto" w:fill="auto"/>
          </w:tcPr>
          <w:p w14:paraId="124B58D8" w14:textId="77777777" w:rsidR="00B33542" w:rsidRPr="005071A1" w:rsidRDefault="00B33542" w:rsidP="009B7AF5">
            <w:pPr>
              <w:pStyle w:val="Tabletext"/>
            </w:pPr>
            <w:r w:rsidRPr="005071A1">
              <w:t>43</w:t>
            </w:r>
          </w:p>
        </w:tc>
        <w:tc>
          <w:tcPr>
            <w:tcW w:w="2572" w:type="dxa"/>
            <w:shd w:val="clear" w:color="auto" w:fill="auto"/>
          </w:tcPr>
          <w:p w14:paraId="6F9C00A7" w14:textId="77777777" w:rsidR="00B33542" w:rsidRPr="005071A1" w:rsidRDefault="00B33542" w:rsidP="009B7AF5">
            <w:pPr>
              <w:pStyle w:val="Tabletext"/>
            </w:pPr>
            <w:r w:rsidRPr="005071A1">
              <w:t>0.07</w:t>
            </w:r>
          </w:p>
        </w:tc>
      </w:tr>
      <w:tr w:rsidR="00B33542" w:rsidRPr="005071A1" w14:paraId="149D4D4C" w14:textId="77777777" w:rsidTr="009B7AF5">
        <w:tc>
          <w:tcPr>
            <w:tcW w:w="3240" w:type="dxa"/>
            <w:shd w:val="clear" w:color="auto" w:fill="auto"/>
          </w:tcPr>
          <w:p w14:paraId="6622BB96" w14:textId="77777777" w:rsidR="00B33542" w:rsidRPr="005071A1" w:rsidRDefault="00B33542" w:rsidP="009B7AF5">
            <w:pPr>
              <w:pStyle w:val="Tabletext"/>
            </w:pPr>
            <w:r w:rsidRPr="005071A1">
              <w:t>44</w:t>
            </w:r>
          </w:p>
        </w:tc>
        <w:tc>
          <w:tcPr>
            <w:tcW w:w="2572" w:type="dxa"/>
            <w:shd w:val="clear" w:color="auto" w:fill="auto"/>
          </w:tcPr>
          <w:p w14:paraId="5D8363EC" w14:textId="77777777" w:rsidR="00B33542" w:rsidRPr="005071A1" w:rsidRDefault="00B33542" w:rsidP="009B7AF5">
            <w:pPr>
              <w:pStyle w:val="Tabletext"/>
            </w:pPr>
            <w:r w:rsidRPr="005071A1">
              <w:t>0.07</w:t>
            </w:r>
          </w:p>
        </w:tc>
      </w:tr>
      <w:tr w:rsidR="00B33542" w:rsidRPr="005071A1" w14:paraId="19036FAF" w14:textId="77777777" w:rsidTr="009B7AF5">
        <w:tc>
          <w:tcPr>
            <w:tcW w:w="3240" w:type="dxa"/>
            <w:shd w:val="clear" w:color="auto" w:fill="auto"/>
          </w:tcPr>
          <w:p w14:paraId="71AB1A0C" w14:textId="77777777" w:rsidR="00B33542" w:rsidRPr="005071A1" w:rsidRDefault="00B33542" w:rsidP="009B7AF5">
            <w:pPr>
              <w:pStyle w:val="Tabletext"/>
            </w:pPr>
            <w:r w:rsidRPr="005071A1">
              <w:t>45</w:t>
            </w:r>
          </w:p>
        </w:tc>
        <w:tc>
          <w:tcPr>
            <w:tcW w:w="2572" w:type="dxa"/>
            <w:shd w:val="clear" w:color="auto" w:fill="auto"/>
          </w:tcPr>
          <w:p w14:paraId="4C133C77" w14:textId="77777777" w:rsidR="00B33542" w:rsidRPr="005071A1" w:rsidRDefault="00B33542" w:rsidP="009B7AF5">
            <w:pPr>
              <w:pStyle w:val="Tabletext"/>
            </w:pPr>
            <w:r w:rsidRPr="005071A1">
              <w:t>0.07</w:t>
            </w:r>
          </w:p>
        </w:tc>
      </w:tr>
      <w:tr w:rsidR="00B33542" w:rsidRPr="005071A1" w14:paraId="5DEB1421" w14:textId="77777777" w:rsidTr="009B7AF5">
        <w:tc>
          <w:tcPr>
            <w:tcW w:w="3240" w:type="dxa"/>
            <w:shd w:val="clear" w:color="auto" w:fill="auto"/>
          </w:tcPr>
          <w:p w14:paraId="33E046DF" w14:textId="77777777" w:rsidR="00B33542" w:rsidRPr="005071A1" w:rsidRDefault="00B33542" w:rsidP="009B7AF5">
            <w:pPr>
              <w:pStyle w:val="Tabletext"/>
            </w:pPr>
            <w:r w:rsidRPr="005071A1">
              <w:t>46</w:t>
            </w:r>
          </w:p>
        </w:tc>
        <w:tc>
          <w:tcPr>
            <w:tcW w:w="2572" w:type="dxa"/>
            <w:shd w:val="clear" w:color="auto" w:fill="auto"/>
          </w:tcPr>
          <w:p w14:paraId="3E0B98A0" w14:textId="77777777" w:rsidR="00B33542" w:rsidRPr="005071A1" w:rsidRDefault="00B33542" w:rsidP="009B7AF5">
            <w:pPr>
              <w:pStyle w:val="Tabletext"/>
            </w:pPr>
            <w:r w:rsidRPr="005071A1">
              <w:t>0.07</w:t>
            </w:r>
          </w:p>
        </w:tc>
      </w:tr>
      <w:tr w:rsidR="00B33542" w:rsidRPr="005071A1" w14:paraId="25309587" w14:textId="77777777" w:rsidTr="009B7AF5">
        <w:tc>
          <w:tcPr>
            <w:tcW w:w="3240" w:type="dxa"/>
            <w:shd w:val="clear" w:color="auto" w:fill="auto"/>
          </w:tcPr>
          <w:p w14:paraId="1E70264F" w14:textId="77777777" w:rsidR="00B33542" w:rsidRPr="005071A1" w:rsidRDefault="00B33542" w:rsidP="009B7AF5">
            <w:pPr>
              <w:pStyle w:val="Tabletext"/>
            </w:pPr>
            <w:r w:rsidRPr="005071A1">
              <w:t>47</w:t>
            </w:r>
          </w:p>
        </w:tc>
        <w:tc>
          <w:tcPr>
            <w:tcW w:w="2572" w:type="dxa"/>
            <w:shd w:val="clear" w:color="auto" w:fill="auto"/>
          </w:tcPr>
          <w:p w14:paraId="4F7A62E4" w14:textId="77777777" w:rsidR="00B33542" w:rsidRPr="005071A1" w:rsidRDefault="00B33542" w:rsidP="009B7AF5">
            <w:pPr>
              <w:pStyle w:val="Tabletext"/>
            </w:pPr>
            <w:r w:rsidRPr="005071A1">
              <w:t>0.07</w:t>
            </w:r>
          </w:p>
        </w:tc>
      </w:tr>
      <w:tr w:rsidR="00B33542" w:rsidRPr="005071A1" w14:paraId="44A8B434" w14:textId="77777777" w:rsidTr="009B7AF5">
        <w:tc>
          <w:tcPr>
            <w:tcW w:w="3240" w:type="dxa"/>
            <w:shd w:val="clear" w:color="auto" w:fill="auto"/>
          </w:tcPr>
          <w:p w14:paraId="53E52792" w14:textId="77777777" w:rsidR="00B33542" w:rsidRPr="005071A1" w:rsidRDefault="00B33542" w:rsidP="009B7AF5">
            <w:pPr>
              <w:pStyle w:val="Tabletext"/>
            </w:pPr>
            <w:r w:rsidRPr="005071A1">
              <w:t>48</w:t>
            </w:r>
          </w:p>
        </w:tc>
        <w:tc>
          <w:tcPr>
            <w:tcW w:w="2572" w:type="dxa"/>
            <w:shd w:val="clear" w:color="auto" w:fill="auto"/>
          </w:tcPr>
          <w:p w14:paraId="192BE97A" w14:textId="77777777" w:rsidR="00B33542" w:rsidRPr="005071A1" w:rsidRDefault="00B33542" w:rsidP="009B7AF5">
            <w:pPr>
              <w:pStyle w:val="Tabletext"/>
            </w:pPr>
            <w:r w:rsidRPr="005071A1">
              <w:t>0.08</w:t>
            </w:r>
          </w:p>
        </w:tc>
      </w:tr>
      <w:tr w:rsidR="00B33542" w:rsidRPr="005071A1" w14:paraId="5970E41A" w14:textId="77777777" w:rsidTr="009B7AF5">
        <w:tc>
          <w:tcPr>
            <w:tcW w:w="3240" w:type="dxa"/>
            <w:shd w:val="clear" w:color="auto" w:fill="auto"/>
          </w:tcPr>
          <w:p w14:paraId="1716024A" w14:textId="77777777" w:rsidR="00B33542" w:rsidRPr="005071A1" w:rsidRDefault="00B33542" w:rsidP="009B7AF5">
            <w:pPr>
              <w:pStyle w:val="Tabletext"/>
            </w:pPr>
            <w:r w:rsidRPr="005071A1">
              <w:t>49</w:t>
            </w:r>
          </w:p>
        </w:tc>
        <w:tc>
          <w:tcPr>
            <w:tcW w:w="2572" w:type="dxa"/>
            <w:shd w:val="clear" w:color="auto" w:fill="auto"/>
          </w:tcPr>
          <w:p w14:paraId="42628ABA" w14:textId="77777777" w:rsidR="00B33542" w:rsidRPr="005071A1" w:rsidRDefault="00B33542" w:rsidP="009B7AF5">
            <w:pPr>
              <w:pStyle w:val="Tabletext"/>
            </w:pPr>
            <w:r w:rsidRPr="005071A1">
              <w:t>0.08</w:t>
            </w:r>
          </w:p>
        </w:tc>
      </w:tr>
      <w:tr w:rsidR="00B33542" w:rsidRPr="005071A1" w14:paraId="02EAE42D" w14:textId="77777777" w:rsidTr="009B7AF5">
        <w:tc>
          <w:tcPr>
            <w:tcW w:w="3240" w:type="dxa"/>
            <w:shd w:val="clear" w:color="auto" w:fill="auto"/>
          </w:tcPr>
          <w:p w14:paraId="5AEB8DD0" w14:textId="77777777" w:rsidR="00B33542" w:rsidRPr="005071A1" w:rsidRDefault="00B33542" w:rsidP="009B7AF5">
            <w:pPr>
              <w:pStyle w:val="Tabletext"/>
            </w:pPr>
            <w:r w:rsidRPr="005071A1">
              <w:t>50</w:t>
            </w:r>
          </w:p>
        </w:tc>
        <w:tc>
          <w:tcPr>
            <w:tcW w:w="2572" w:type="dxa"/>
            <w:shd w:val="clear" w:color="auto" w:fill="auto"/>
          </w:tcPr>
          <w:p w14:paraId="19AC52A3" w14:textId="77777777" w:rsidR="00B33542" w:rsidRPr="005071A1" w:rsidRDefault="00B33542" w:rsidP="009B7AF5">
            <w:pPr>
              <w:pStyle w:val="Tabletext"/>
            </w:pPr>
            <w:r w:rsidRPr="005071A1">
              <w:t>0.08</w:t>
            </w:r>
          </w:p>
        </w:tc>
      </w:tr>
      <w:tr w:rsidR="00B33542" w:rsidRPr="005071A1" w14:paraId="0911EE6A" w14:textId="77777777" w:rsidTr="009B7AF5">
        <w:tc>
          <w:tcPr>
            <w:tcW w:w="3240" w:type="dxa"/>
            <w:shd w:val="clear" w:color="auto" w:fill="auto"/>
          </w:tcPr>
          <w:p w14:paraId="0840453A" w14:textId="77777777" w:rsidR="00B33542" w:rsidRPr="005071A1" w:rsidRDefault="00B33542" w:rsidP="009B7AF5">
            <w:pPr>
              <w:pStyle w:val="Tabletext"/>
            </w:pPr>
            <w:r w:rsidRPr="005071A1">
              <w:t>51</w:t>
            </w:r>
          </w:p>
        </w:tc>
        <w:tc>
          <w:tcPr>
            <w:tcW w:w="2572" w:type="dxa"/>
            <w:shd w:val="clear" w:color="auto" w:fill="auto"/>
          </w:tcPr>
          <w:p w14:paraId="24AC825D" w14:textId="77777777" w:rsidR="00B33542" w:rsidRPr="005071A1" w:rsidRDefault="00B33542" w:rsidP="009B7AF5">
            <w:pPr>
              <w:pStyle w:val="Tabletext"/>
            </w:pPr>
            <w:r w:rsidRPr="005071A1">
              <w:t>0.09</w:t>
            </w:r>
          </w:p>
        </w:tc>
      </w:tr>
      <w:tr w:rsidR="00B33542" w:rsidRPr="005071A1" w14:paraId="2B3EE78E" w14:textId="77777777" w:rsidTr="009B7AF5">
        <w:tc>
          <w:tcPr>
            <w:tcW w:w="3240" w:type="dxa"/>
            <w:shd w:val="clear" w:color="auto" w:fill="auto"/>
          </w:tcPr>
          <w:p w14:paraId="0FF40B6D" w14:textId="77777777" w:rsidR="00B33542" w:rsidRPr="005071A1" w:rsidRDefault="00B33542" w:rsidP="009B7AF5">
            <w:pPr>
              <w:pStyle w:val="Tabletext"/>
            </w:pPr>
            <w:r w:rsidRPr="005071A1">
              <w:t>52</w:t>
            </w:r>
          </w:p>
        </w:tc>
        <w:tc>
          <w:tcPr>
            <w:tcW w:w="2572" w:type="dxa"/>
            <w:shd w:val="clear" w:color="auto" w:fill="auto"/>
          </w:tcPr>
          <w:p w14:paraId="20670531" w14:textId="77777777" w:rsidR="00B33542" w:rsidRPr="005071A1" w:rsidRDefault="00B33542" w:rsidP="009B7AF5">
            <w:pPr>
              <w:pStyle w:val="Tabletext"/>
            </w:pPr>
            <w:r w:rsidRPr="005071A1">
              <w:t>0.10</w:t>
            </w:r>
          </w:p>
        </w:tc>
      </w:tr>
      <w:tr w:rsidR="00B33542" w:rsidRPr="005071A1" w14:paraId="5D612780" w14:textId="77777777" w:rsidTr="009B7AF5">
        <w:tc>
          <w:tcPr>
            <w:tcW w:w="3240" w:type="dxa"/>
            <w:shd w:val="clear" w:color="auto" w:fill="auto"/>
          </w:tcPr>
          <w:p w14:paraId="2745FE01" w14:textId="77777777" w:rsidR="00B33542" w:rsidRPr="005071A1" w:rsidRDefault="00B33542" w:rsidP="009B7AF5">
            <w:pPr>
              <w:pStyle w:val="Tabletext"/>
            </w:pPr>
            <w:r w:rsidRPr="005071A1">
              <w:t>53</w:t>
            </w:r>
          </w:p>
        </w:tc>
        <w:tc>
          <w:tcPr>
            <w:tcW w:w="2572" w:type="dxa"/>
            <w:shd w:val="clear" w:color="auto" w:fill="auto"/>
          </w:tcPr>
          <w:p w14:paraId="432E2C2A" w14:textId="77777777" w:rsidR="00B33542" w:rsidRPr="005071A1" w:rsidRDefault="00B33542" w:rsidP="009B7AF5">
            <w:pPr>
              <w:pStyle w:val="Tabletext"/>
            </w:pPr>
            <w:r w:rsidRPr="005071A1">
              <w:t>0.11</w:t>
            </w:r>
          </w:p>
        </w:tc>
      </w:tr>
      <w:tr w:rsidR="00B33542" w:rsidRPr="005071A1" w14:paraId="0FA96773" w14:textId="77777777" w:rsidTr="009B7AF5">
        <w:tc>
          <w:tcPr>
            <w:tcW w:w="3240" w:type="dxa"/>
            <w:shd w:val="clear" w:color="auto" w:fill="auto"/>
          </w:tcPr>
          <w:p w14:paraId="733552BB" w14:textId="77777777" w:rsidR="00B33542" w:rsidRPr="005071A1" w:rsidRDefault="00B33542" w:rsidP="009B7AF5">
            <w:pPr>
              <w:pStyle w:val="Tabletext"/>
            </w:pPr>
            <w:r w:rsidRPr="005071A1">
              <w:t>54</w:t>
            </w:r>
          </w:p>
        </w:tc>
        <w:tc>
          <w:tcPr>
            <w:tcW w:w="2572" w:type="dxa"/>
            <w:shd w:val="clear" w:color="auto" w:fill="auto"/>
          </w:tcPr>
          <w:p w14:paraId="5FB3CC17" w14:textId="77777777" w:rsidR="00B33542" w:rsidRPr="005071A1" w:rsidRDefault="00B33542" w:rsidP="009B7AF5">
            <w:pPr>
              <w:pStyle w:val="Tabletext"/>
            </w:pPr>
            <w:r w:rsidRPr="005071A1">
              <w:t>0.11</w:t>
            </w:r>
          </w:p>
        </w:tc>
      </w:tr>
      <w:tr w:rsidR="00B33542" w:rsidRPr="005071A1" w14:paraId="161E32A0" w14:textId="77777777" w:rsidTr="009B7AF5">
        <w:tc>
          <w:tcPr>
            <w:tcW w:w="3240" w:type="dxa"/>
            <w:shd w:val="clear" w:color="auto" w:fill="auto"/>
          </w:tcPr>
          <w:p w14:paraId="70F25920" w14:textId="77777777" w:rsidR="00B33542" w:rsidRPr="005071A1" w:rsidRDefault="00B33542" w:rsidP="009B7AF5">
            <w:pPr>
              <w:pStyle w:val="Tabletext"/>
            </w:pPr>
            <w:r w:rsidRPr="005071A1">
              <w:t>55</w:t>
            </w:r>
          </w:p>
        </w:tc>
        <w:tc>
          <w:tcPr>
            <w:tcW w:w="2572" w:type="dxa"/>
            <w:shd w:val="clear" w:color="auto" w:fill="auto"/>
          </w:tcPr>
          <w:p w14:paraId="1C52233A" w14:textId="77777777" w:rsidR="00B33542" w:rsidRPr="005071A1" w:rsidRDefault="00B33542" w:rsidP="009B7AF5">
            <w:pPr>
              <w:pStyle w:val="Tabletext"/>
            </w:pPr>
            <w:r w:rsidRPr="005071A1">
              <w:t>0.12</w:t>
            </w:r>
          </w:p>
        </w:tc>
      </w:tr>
      <w:tr w:rsidR="00B33542" w:rsidRPr="005071A1" w14:paraId="067DA3CA" w14:textId="77777777" w:rsidTr="009B7AF5">
        <w:tc>
          <w:tcPr>
            <w:tcW w:w="3240" w:type="dxa"/>
            <w:shd w:val="clear" w:color="auto" w:fill="auto"/>
          </w:tcPr>
          <w:p w14:paraId="1F88F3B3" w14:textId="77777777" w:rsidR="00B33542" w:rsidRPr="005071A1" w:rsidRDefault="00B33542" w:rsidP="009B7AF5">
            <w:pPr>
              <w:pStyle w:val="Tabletext"/>
            </w:pPr>
            <w:r w:rsidRPr="005071A1">
              <w:t>56</w:t>
            </w:r>
          </w:p>
        </w:tc>
        <w:tc>
          <w:tcPr>
            <w:tcW w:w="2572" w:type="dxa"/>
            <w:shd w:val="clear" w:color="auto" w:fill="auto"/>
          </w:tcPr>
          <w:p w14:paraId="63F9F01E" w14:textId="77777777" w:rsidR="00B33542" w:rsidRPr="005071A1" w:rsidRDefault="00B33542" w:rsidP="009B7AF5">
            <w:pPr>
              <w:pStyle w:val="Tabletext"/>
            </w:pPr>
            <w:r w:rsidRPr="005071A1">
              <w:t>0.14</w:t>
            </w:r>
          </w:p>
        </w:tc>
      </w:tr>
      <w:tr w:rsidR="00B33542" w:rsidRPr="005071A1" w14:paraId="3FD8A87E" w14:textId="77777777" w:rsidTr="009B7AF5">
        <w:tc>
          <w:tcPr>
            <w:tcW w:w="3240" w:type="dxa"/>
            <w:shd w:val="clear" w:color="auto" w:fill="auto"/>
          </w:tcPr>
          <w:p w14:paraId="1D013DA6" w14:textId="77777777" w:rsidR="00B33542" w:rsidRPr="005071A1" w:rsidRDefault="00B33542" w:rsidP="009B7AF5">
            <w:pPr>
              <w:pStyle w:val="Tabletext"/>
            </w:pPr>
            <w:r w:rsidRPr="005071A1">
              <w:t>57</w:t>
            </w:r>
          </w:p>
        </w:tc>
        <w:tc>
          <w:tcPr>
            <w:tcW w:w="2572" w:type="dxa"/>
            <w:shd w:val="clear" w:color="auto" w:fill="auto"/>
          </w:tcPr>
          <w:p w14:paraId="53A6C4CC" w14:textId="77777777" w:rsidR="00B33542" w:rsidRPr="005071A1" w:rsidRDefault="00B33542" w:rsidP="009B7AF5">
            <w:pPr>
              <w:pStyle w:val="Tabletext"/>
            </w:pPr>
            <w:r w:rsidRPr="005071A1">
              <w:t>0.16</w:t>
            </w:r>
          </w:p>
        </w:tc>
      </w:tr>
      <w:tr w:rsidR="00B33542" w:rsidRPr="005071A1" w14:paraId="03A2EA8A" w14:textId="77777777" w:rsidTr="009B7AF5">
        <w:tc>
          <w:tcPr>
            <w:tcW w:w="3240" w:type="dxa"/>
            <w:shd w:val="clear" w:color="auto" w:fill="auto"/>
          </w:tcPr>
          <w:p w14:paraId="75C4B034" w14:textId="77777777" w:rsidR="00B33542" w:rsidRPr="005071A1" w:rsidRDefault="00B33542" w:rsidP="009B7AF5">
            <w:pPr>
              <w:pStyle w:val="Tabletext"/>
            </w:pPr>
            <w:r w:rsidRPr="005071A1">
              <w:t>58</w:t>
            </w:r>
          </w:p>
        </w:tc>
        <w:tc>
          <w:tcPr>
            <w:tcW w:w="2572" w:type="dxa"/>
            <w:shd w:val="clear" w:color="auto" w:fill="auto"/>
          </w:tcPr>
          <w:p w14:paraId="15A8B135" w14:textId="77777777" w:rsidR="00B33542" w:rsidRPr="005071A1" w:rsidRDefault="00B33542" w:rsidP="009B7AF5">
            <w:pPr>
              <w:pStyle w:val="Tabletext"/>
            </w:pPr>
            <w:r w:rsidRPr="005071A1">
              <w:t>0.18</w:t>
            </w:r>
          </w:p>
        </w:tc>
      </w:tr>
      <w:tr w:rsidR="00B33542" w:rsidRPr="005071A1" w14:paraId="79B8F8C9" w14:textId="77777777" w:rsidTr="009B7AF5">
        <w:tc>
          <w:tcPr>
            <w:tcW w:w="3240" w:type="dxa"/>
            <w:shd w:val="clear" w:color="auto" w:fill="auto"/>
          </w:tcPr>
          <w:p w14:paraId="1C0C7106" w14:textId="77777777" w:rsidR="00B33542" w:rsidRPr="005071A1" w:rsidRDefault="00B33542" w:rsidP="009B7AF5">
            <w:pPr>
              <w:pStyle w:val="Tabletext"/>
            </w:pPr>
            <w:r w:rsidRPr="005071A1">
              <w:t>59</w:t>
            </w:r>
          </w:p>
        </w:tc>
        <w:tc>
          <w:tcPr>
            <w:tcW w:w="2572" w:type="dxa"/>
            <w:shd w:val="clear" w:color="auto" w:fill="auto"/>
          </w:tcPr>
          <w:p w14:paraId="2458B232" w14:textId="77777777" w:rsidR="00B33542" w:rsidRPr="005071A1" w:rsidRDefault="00B33542" w:rsidP="009B7AF5">
            <w:pPr>
              <w:pStyle w:val="Tabletext"/>
            </w:pPr>
            <w:r w:rsidRPr="005071A1">
              <w:t>0.21</w:t>
            </w:r>
          </w:p>
        </w:tc>
      </w:tr>
      <w:tr w:rsidR="00B33542" w:rsidRPr="005071A1" w14:paraId="5D86648C" w14:textId="77777777" w:rsidTr="009B7AF5">
        <w:tc>
          <w:tcPr>
            <w:tcW w:w="3240" w:type="dxa"/>
            <w:shd w:val="clear" w:color="auto" w:fill="auto"/>
          </w:tcPr>
          <w:p w14:paraId="482D21F1" w14:textId="77777777" w:rsidR="00B33542" w:rsidRPr="005071A1" w:rsidRDefault="00B33542" w:rsidP="009B7AF5">
            <w:pPr>
              <w:pStyle w:val="Tabletext"/>
            </w:pPr>
            <w:r w:rsidRPr="005071A1">
              <w:t>60</w:t>
            </w:r>
          </w:p>
        </w:tc>
        <w:tc>
          <w:tcPr>
            <w:tcW w:w="2572" w:type="dxa"/>
            <w:shd w:val="clear" w:color="auto" w:fill="auto"/>
          </w:tcPr>
          <w:p w14:paraId="067BFC30" w14:textId="77777777" w:rsidR="00B33542" w:rsidRPr="005071A1" w:rsidRDefault="00B33542" w:rsidP="009B7AF5">
            <w:pPr>
              <w:pStyle w:val="Tabletext"/>
            </w:pPr>
            <w:r w:rsidRPr="005071A1">
              <w:t>0.25</w:t>
            </w:r>
          </w:p>
        </w:tc>
      </w:tr>
      <w:tr w:rsidR="00B33542" w:rsidRPr="005071A1" w14:paraId="1AB28EB7" w14:textId="77777777" w:rsidTr="009B7AF5">
        <w:tc>
          <w:tcPr>
            <w:tcW w:w="3240" w:type="dxa"/>
            <w:shd w:val="clear" w:color="auto" w:fill="auto"/>
          </w:tcPr>
          <w:p w14:paraId="07CC4806" w14:textId="77777777" w:rsidR="00B33542" w:rsidRPr="005071A1" w:rsidRDefault="00B33542" w:rsidP="009B7AF5">
            <w:pPr>
              <w:pStyle w:val="Tabletext"/>
            </w:pPr>
            <w:r w:rsidRPr="005071A1">
              <w:t>61</w:t>
            </w:r>
          </w:p>
        </w:tc>
        <w:tc>
          <w:tcPr>
            <w:tcW w:w="2572" w:type="dxa"/>
            <w:shd w:val="clear" w:color="auto" w:fill="auto"/>
          </w:tcPr>
          <w:p w14:paraId="42F3B6A4" w14:textId="77777777" w:rsidR="00B33542" w:rsidRPr="005071A1" w:rsidRDefault="00B33542" w:rsidP="009B7AF5">
            <w:pPr>
              <w:pStyle w:val="Tabletext"/>
            </w:pPr>
            <w:r w:rsidRPr="005071A1">
              <w:t>0.30</w:t>
            </w:r>
          </w:p>
        </w:tc>
      </w:tr>
      <w:tr w:rsidR="00B33542" w:rsidRPr="005071A1" w14:paraId="56E4559C" w14:textId="77777777" w:rsidTr="009B7AF5">
        <w:tc>
          <w:tcPr>
            <w:tcW w:w="3240" w:type="dxa"/>
            <w:shd w:val="clear" w:color="auto" w:fill="auto"/>
          </w:tcPr>
          <w:p w14:paraId="4F19D3DA" w14:textId="77777777" w:rsidR="00B33542" w:rsidRPr="005071A1" w:rsidRDefault="00B33542" w:rsidP="009B7AF5">
            <w:pPr>
              <w:pStyle w:val="Tabletext"/>
            </w:pPr>
            <w:r w:rsidRPr="005071A1">
              <w:t>62</w:t>
            </w:r>
          </w:p>
        </w:tc>
        <w:tc>
          <w:tcPr>
            <w:tcW w:w="2572" w:type="dxa"/>
            <w:shd w:val="clear" w:color="auto" w:fill="auto"/>
          </w:tcPr>
          <w:p w14:paraId="2CE13614" w14:textId="77777777" w:rsidR="00B33542" w:rsidRPr="005071A1" w:rsidRDefault="00B33542" w:rsidP="009B7AF5">
            <w:pPr>
              <w:pStyle w:val="Tabletext"/>
            </w:pPr>
            <w:r w:rsidRPr="005071A1">
              <w:t>0.40</w:t>
            </w:r>
          </w:p>
        </w:tc>
      </w:tr>
      <w:tr w:rsidR="00B33542" w:rsidRPr="005071A1" w14:paraId="32B19C7E" w14:textId="77777777" w:rsidTr="00D57394">
        <w:tc>
          <w:tcPr>
            <w:tcW w:w="3240" w:type="dxa"/>
            <w:tcBorders>
              <w:bottom w:val="single" w:sz="4" w:space="0" w:color="auto"/>
            </w:tcBorders>
            <w:shd w:val="clear" w:color="auto" w:fill="auto"/>
          </w:tcPr>
          <w:p w14:paraId="10B5324B" w14:textId="77777777" w:rsidR="00B33542" w:rsidRPr="005071A1" w:rsidRDefault="00B33542" w:rsidP="009B7AF5">
            <w:pPr>
              <w:pStyle w:val="Tabletext"/>
            </w:pPr>
            <w:r w:rsidRPr="005071A1">
              <w:t>63</w:t>
            </w:r>
          </w:p>
        </w:tc>
        <w:tc>
          <w:tcPr>
            <w:tcW w:w="2572" w:type="dxa"/>
            <w:tcBorders>
              <w:bottom w:val="single" w:sz="4" w:space="0" w:color="auto"/>
            </w:tcBorders>
            <w:shd w:val="clear" w:color="auto" w:fill="auto"/>
          </w:tcPr>
          <w:p w14:paraId="12571AF3" w14:textId="77777777" w:rsidR="00B33542" w:rsidRPr="005071A1" w:rsidRDefault="00B33542" w:rsidP="009B7AF5">
            <w:pPr>
              <w:pStyle w:val="Tabletext"/>
            </w:pPr>
            <w:r w:rsidRPr="005071A1">
              <w:t>0.58</w:t>
            </w:r>
          </w:p>
        </w:tc>
      </w:tr>
      <w:tr w:rsidR="00B33542" w:rsidRPr="005071A1" w14:paraId="44B414D7" w14:textId="77777777" w:rsidTr="009B7AF5">
        <w:tc>
          <w:tcPr>
            <w:tcW w:w="3240" w:type="dxa"/>
            <w:tcBorders>
              <w:bottom w:val="single" w:sz="4" w:space="0" w:color="auto"/>
            </w:tcBorders>
            <w:shd w:val="clear" w:color="auto" w:fill="auto"/>
          </w:tcPr>
          <w:p w14:paraId="62CD5ACC" w14:textId="77777777" w:rsidR="00B33542" w:rsidRPr="005071A1" w:rsidRDefault="00B33542" w:rsidP="009B7AF5">
            <w:pPr>
              <w:pStyle w:val="Tabletext"/>
            </w:pPr>
            <w:r w:rsidRPr="005071A1">
              <w:t>64</w:t>
            </w:r>
          </w:p>
        </w:tc>
        <w:tc>
          <w:tcPr>
            <w:tcW w:w="2572" w:type="dxa"/>
            <w:tcBorders>
              <w:bottom w:val="single" w:sz="4" w:space="0" w:color="auto"/>
            </w:tcBorders>
            <w:shd w:val="clear" w:color="auto" w:fill="auto"/>
          </w:tcPr>
          <w:p w14:paraId="7B2139D2" w14:textId="77777777" w:rsidR="00B33542" w:rsidRPr="005071A1" w:rsidRDefault="00B33542" w:rsidP="009B7AF5">
            <w:pPr>
              <w:pStyle w:val="Tabletext"/>
            </w:pPr>
            <w:r w:rsidRPr="005071A1">
              <w:t>1.17</w:t>
            </w:r>
          </w:p>
        </w:tc>
      </w:tr>
      <w:tr w:rsidR="00B33542" w:rsidRPr="005071A1" w14:paraId="77905021" w14:textId="77777777" w:rsidTr="009B7AF5">
        <w:tc>
          <w:tcPr>
            <w:tcW w:w="3240" w:type="dxa"/>
            <w:tcBorders>
              <w:bottom w:val="single" w:sz="12" w:space="0" w:color="auto"/>
            </w:tcBorders>
            <w:shd w:val="clear" w:color="auto" w:fill="auto"/>
          </w:tcPr>
          <w:p w14:paraId="4B905725" w14:textId="77777777" w:rsidR="00B33542" w:rsidRPr="005071A1" w:rsidRDefault="00B33542" w:rsidP="009B7AF5">
            <w:pPr>
              <w:pStyle w:val="Tabletext"/>
            </w:pPr>
            <w:r w:rsidRPr="005071A1">
              <w:t>65</w:t>
            </w:r>
          </w:p>
        </w:tc>
        <w:tc>
          <w:tcPr>
            <w:tcW w:w="2572" w:type="dxa"/>
            <w:tcBorders>
              <w:bottom w:val="single" w:sz="12" w:space="0" w:color="auto"/>
            </w:tcBorders>
            <w:shd w:val="clear" w:color="auto" w:fill="auto"/>
          </w:tcPr>
          <w:p w14:paraId="7B6BF483" w14:textId="77777777" w:rsidR="00B33542" w:rsidRPr="005071A1" w:rsidRDefault="00B33542" w:rsidP="009B7AF5">
            <w:pPr>
              <w:pStyle w:val="Tabletext"/>
            </w:pPr>
            <w:r w:rsidRPr="005071A1">
              <w:t>0.83</w:t>
            </w:r>
          </w:p>
        </w:tc>
      </w:tr>
    </w:tbl>
    <w:p w14:paraId="765EFCA5" w14:textId="77777777" w:rsidR="00B33542" w:rsidRPr="005071A1" w:rsidRDefault="00B33542" w:rsidP="00674A0D">
      <w:pPr>
        <w:pStyle w:val="ActHead5"/>
        <w:pageBreakBefore/>
      </w:pPr>
      <w:bookmarkStart w:id="326" w:name="_Toc185577707"/>
      <w:r w:rsidRPr="005071A1">
        <w:t>Table XV</w:t>
      </w:r>
      <w:bookmarkEnd w:id="326"/>
    </w:p>
    <w:p w14:paraId="350F2D1E" w14:textId="77777777" w:rsidR="00B33542" w:rsidRPr="005071A1" w:rsidRDefault="00B33542" w:rsidP="00B33542">
      <w:pPr>
        <w:spacing w:before="120"/>
      </w:pPr>
      <w:r w:rsidRPr="005071A1">
        <w:t xml:space="preserve">Reductions in fortnightly rates of contribution payable on or after 1st July, 1962, by male contributors for units of pension (other than units of pension to which </w:t>
      </w:r>
      <w:r w:rsidR="008B2950" w:rsidRPr="005071A1">
        <w:t>paragraph (</w:t>
      </w:r>
      <w:r w:rsidRPr="005071A1">
        <w:t xml:space="preserve">a) of </w:t>
      </w:r>
      <w:r w:rsidR="008B2950" w:rsidRPr="005071A1">
        <w:t>subsection (</w:t>
      </w:r>
      <w:r w:rsidRPr="005071A1">
        <w:t>3) of section</w:t>
      </w:r>
      <w:r w:rsidR="008B2950" w:rsidRPr="005071A1">
        <w:t> </w:t>
      </w:r>
      <w:r w:rsidRPr="005071A1">
        <w:t>23 applies) where the obligation to contribute for those units came into existence on or after 14th December, 1959, and before 1st July, 1962, based on a retiring age of 60 years and the age next birthday of the contributor when that obligation came into existence</w:t>
      </w:r>
    </w:p>
    <w:p w14:paraId="2242B663"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240"/>
        <w:gridCol w:w="2572"/>
      </w:tblGrid>
      <w:tr w:rsidR="00B33542" w:rsidRPr="005071A1" w14:paraId="4398C8F0" w14:textId="77777777" w:rsidTr="009B7AF5">
        <w:trPr>
          <w:tblHeader/>
        </w:trPr>
        <w:tc>
          <w:tcPr>
            <w:tcW w:w="3240" w:type="dxa"/>
            <w:tcBorders>
              <w:top w:val="single" w:sz="12" w:space="0" w:color="auto"/>
              <w:bottom w:val="single" w:sz="6" w:space="0" w:color="auto"/>
            </w:tcBorders>
            <w:shd w:val="clear" w:color="auto" w:fill="auto"/>
          </w:tcPr>
          <w:p w14:paraId="745BA950" w14:textId="77777777" w:rsidR="00B33542" w:rsidRPr="005071A1" w:rsidRDefault="00B33542" w:rsidP="009B7AF5">
            <w:pPr>
              <w:pStyle w:val="TableHeading"/>
            </w:pPr>
            <w:r w:rsidRPr="005071A1">
              <w:t>Column 1</w:t>
            </w:r>
          </w:p>
        </w:tc>
        <w:tc>
          <w:tcPr>
            <w:tcW w:w="2572" w:type="dxa"/>
            <w:tcBorders>
              <w:top w:val="single" w:sz="12" w:space="0" w:color="auto"/>
              <w:bottom w:val="single" w:sz="6" w:space="0" w:color="auto"/>
            </w:tcBorders>
            <w:shd w:val="clear" w:color="auto" w:fill="auto"/>
          </w:tcPr>
          <w:p w14:paraId="7B7B487C" w14:textId="77777777" w:rsidR="00B33542" w:rsidRPr="005071A1" w:rsidRDefault="00B33542" w:rsidP="009B7AF5">
            <w:pPr>
              <w:pStyle w:val="TableHeading"/>
            </w:pPr>
            <w:r w:rsidRPr="005071A1">
              <w:t>Column 2</w:t>
            </w:r>
          </w:p>
        </w:tc>
      </w:tr>
      <w:tr w:rsidR="00B33542" w:rsidRPr="005071A1" w14:paraId="688A375F" w14:textId="77777777" w:rsidTr="009B7AF5">
        <w:trPr>
          <w:tblHeader/>
        </w:trPr>
        <w:tc>
          <w:tcPr>
            <w:tcW w:w="3240" w:type="dxa"/>
            <w:tcBorders>
              <w:top w:val="single" w:sz="6" w:space="0" w:color="auto"/>
              <w:bottom w:val="single" w:sz="6" w:space="0" w:color="auto"/>
            </w:tcBorders>
            <w:shd w:val="clear" w:color="auto" w:fill="auto"/>
          </w:tcPr>
          <w:p w14:paraId="57617DD2" w14:textId="77777777" w:rsidR="00B33542" w:rsidRPr="005071A1" w:rsidRDefault="00B33542" w:rsidP="00AD02FE">
            <w:pPr>
              <w:pStyle w:val="TableHeading"/>
              <w:spacing w:before="40" w:after="40" w:line="180" w:lineRule="atLeast"/>
              <w:rPr>
                <w:sz w:val="16"/>
                <w:szCs w:val="16"/>
              </w:rPr>
            </w:pPr>
            <w:r w:rsidRPr="005071A1">
              <w:rPr>
                <w:sz w:val="16"/>
                <w:szCs w:val="16"/>
              </w:rPr>
              <w:t>Age next Birthday</w:t>
            </w:r>
          </w:p>
        </w:tc>
        <w:tc>
          <w:tcPr>
            <w:tcW w:w="2572" w:type="dxa"/>
            <w:tcBorders>
              <w:top w:val="single" w:sz="6" w:space="0" w:color="auto"/>
              <w:bottom w:val="single" w:sz="6" w:space="0" w:color="auto"/>
            </w:tcBorders>
            <w:shd w:val="clear" w:color="auto" w:fill="auto"/>
          </w:tcPr>
          <w:p w14:paraId="5224CAF0" w14:textId="77777777" w:rsidR="00B33542" w:rsidRPr="005071A1" w:rsidRDefault="00B33542" w:rsidP="00AD02FE">
            <w:pPr>
              <w:pStyle w:val="TableHeading"/>
              <w:spacing w:before="40" w:after="40" w:line="180" w:lineRule="atLeast"/>
              <w:rPr>
                <w:sz w:val="16"/>
                <w:szCs w:val="16"/>
              </w:rPr>
            </w:pPr>
            <w:r w:rsidRPr="005071A1">
              <w:rPr>
                <w:sz w:val="16"/>
                <w:szCs w:val="16"/>
              </w:rPr>
              <w:t>Reduction in Contribution for each Unit</w:t>
            </w:r>
          </w:p>
        </w:tc>
      </w:tr>
      <w:tr w:rsidR="00B33542" w:rsidRPr="005071A1" w14:paraId="7ACCDE7E" w14:textId="77777777" w:rsidTr="009B7AF5">
        <w:trPr>
          <w:tblHeader/>
        </w:trPr>
        <w:tc>
          <w:tcPr>
            <w:tcW w:w="3240" w:type="dxa"/>
            <w:tcBorders>
              <w:top w:val="single" w:sz="6" w:space="0" w:color="auto"/>
              <w:bottom w:val="single" w:sz="12" w:space="0" w:color="auto"/>
            </w:tcBorders>
            <w:shd w:val="clear" w:color="auto" w:fill="auto"/>
          </w:tcPr>
          <w:p w14:paraId="197B1DB7" w14:textId="77777777" w:rsidR="00B33542" w:rsidRPr="005071A1" w:rsidRDefault="00B33542" w:rsidP="00AD02FE">
            <w:pPr>
              <w:pStyle w:val="TableHeading"/>
            </w:pPr>
          </w:p>
        </w:tc>
        <w:tc>
          <w:tcPr>
            <w:tcW w:w="2572" w:type="dxa"/>
            <w:tcBorders>
              <w:top w:val="single" w:sz="6" w:space="0" w:color="auto"/>
              <w:bottom w:val="single" w:sz="12" w:space="0" w:color="auto"/>
            </w:tcBorders>
            <w:shd w:val="clear" w:color="auto" w:fill="auto"/>
          </w:tcPr>
          <w:p w14:paraId="232FC608" w14:textId="77777777" w:rsidR="00B33542" w:rsidRPr="005071A1" w:rsidRDefault="00B33542" w:rsidP="00AD02FE">
            <w:pPr>
              <w:pStyle w:val="TableHeading"/>
            </w:pPr>
            <w:r w:rsidRPr="005071A1">
              <w:t>$</w:t>
            </w:r>
          </w:p>
        </w:tc>
      </w:tr>
      <w:tr w:rsidR="00B33542" w:rsidRPr="005071A1" w14:paraId="24211CC3" w14:textId="77777777" w:rsidTr="009B7AF5">
        <w:tc>
          <w:tcPr>
            <w:tcW w:w="3240" w:type="dxa"/>
            <w:tcBorders>
              <w:top w:val="single" w:sz="12" w:space="0" w:color="auto"/>
            </w:tcBorders>
            <w:shd w:val="clear" w:color="auto" w:fill="auto"/>
          </w:tcPr>
          <w:p w14:paraId="208093D1" w14:textId="77777777" w:rsidR="00B33542" w:rsidRPr="005071A1" w:rsidRDefault="00B33542" w:rsidP="009B7AF5">
            <w:pPr>
              <w:pStyle w:val="Tabletext"/>
            </w:pPr>
            <w:r w:rsidRPr="005071A1">
              <w:t>15</w:t>
            </w:r>
          </w:p>
        </w:tc>
        <w:tc>
          <w:tcPr>
            <w:tcW w:w="2572" w:type="dxa"/>
            <w:tcBorders>
              <w:top w:val="single" w:sz="12" w:space="0" w:color="auto"/>
            </w:tcBorders>
            <w:shd w:val="clear" w:color="auto" w:fill="auto"/>
          </w:tcPr>
          <w:p w14:paraId="7FB37F21" w14:textId="77777777" w:rsidR="00B33542" w:rsidRPr="005071A1" w:rsidRDefault="00B33542" w:rsidP="009B7AF5">
            <w:pPr>
              <w:pStyle w:val="Tabletext"/>
            </w:pPr>
            <w:r w:rsidRPr="005071A1">
              <w:t>0.05</w:t>
            </w:r>
          </w:p>
        </w:tc>
      </w:tr>
      <w:tr w:rsidR="00B33542" w:rsidRPr="005071A1" w14:paraId="73DF9209" w14:textId="77777777" w:rsidTr="009B7AF5">
        <w:tc>
          <w:tcPr>
            <w:tcW w:w="3240" w:type="dxa"/>
            <w:shd w:val="clear" w:color="auto" w:fill="auto"/>
          </w:tcPr>
          <w:p w14:paraId="25591D6A" w14:textId="77777777" w:rsidR="00B33542" w:rsidRPr="005071A1" w:rsidRDefault="00B33542" w:rsidP="009B7AF5">
            <w:pPr>
              <w:pStyle w:val="Tabletext"/>
            </w:pPr>
            <w:r w:rsidRPr="005071A1">
              <w:t>16</w:t>
            </w:r>
          </w:p>
        </w:tc>
        <w:tc>
          <w:tcPr>
            <w:tcW w:w="2572" w:type="dxa"/>
            <w:shd w:val="clear" w:color="auto" w:fill="auto"/>
          </w:tcPr>
          <w:p w14:paraId="66CA244D" w14:textId="77777777" w:rsidR="00B33542" w:rsidRPr="005071A1" w:rsidRDefault="00B33542" w:rsidP="009B7AF5">
            <w:pPr>
              <w:pStyle w:val="Tabletext"/>
            </w:pPr>
            <w:r w:rsidRPr="005071A1">
              <w:t>0.04</w:t>
            </w:r>
          </w:p>
        </w:tc>
      </w:tr>
      <w:tr w:rsidR="00B33542" w:rsidRPr="005071A1" w14:paraId="31EAB9A2" w14:textId="77777777" w:rsidTr="009B7AF5">
        <w:tc>
          <w:tcPr>
            <w:tcW w:w="3240" w:type="dxa"/>
            <w:shd w:val="clear" w:color="auto" w:fill="auto"/>
          </w:tcPr>
          <w:p w14:paraId="62F24AF8" w14:textId="77777777" w:rsidR="00B33542" w:rsidRPr="005071A1" w:rsidRDefault="00B33542" w:rsidP="009B7AF5">
            <w:pPr>
              <w:pStyle w:val="Tabletext"/>
            </w:pPr>
            <w:r w:rsidRPr="005071A1">
              <w:t>17</w:t>
            </w:r>
          </w:p>
        </w:tc>
        <w:tc>
          <w:tcPr>
            <w:tcW w:w="2572" w:type="dxa"/>
            <w:shd w:val="clear" w:color="auto" w:fill="auto"/>
          </w:tcPr>
          <w:p w14:paraId="0432F4EC" w14:textId="77777777" w:rsidR="00B33542" w:rsidRPr="005071A1" w:rsidRDefault="00B33542" w:rsidP="009B7AF5">
            <w:pPr>
              <w:pStyle w:val="Tabletext"/>
            </w:pPr>
            <w:r w:rsidRPr="005071A1">
              <w:t>0.04</w:t>
            </w:r>
          </w:p>
        </w:tc>
      </w:tr>
      <w:tr w:rsidR="00B33542" w:rsidRPr="005071A1" w14:paraId="536D719E" w14:textId="77777777" w:rsidTr="009B7AF5">
        <w:tc>
          <w:tcPr>
            <w:tcW w:w="3240" w:type="dxa"/>
            <w:shd w:val="clear" w:color="auto" w:fill="auto"/>
          </w:tcPr>
          <w:p w14:paraId="14E042A9" w14:textId="77777777" w:rsidR="00B33542" w:rsidRPr="005071A1" w:rsidRDefault="00B33542" w:rsidP="009B7AF5">
            <w:pPr>
              <w:pStyle w:val="Tabletext"/>
            </w:pPr>
            <w:r w:rsidRPr="005071A1">
              <w:t>18</w:t>
            </w:r>
          </w:p>
        </w:tc>
        <w:tc>
          <w:tcPr>
            <w:tcW w:w="2572" w:type="dxa"/>
            <w:shd w:val="clear" w:color="auto" w:fill="auto"/>
          </w:tcPr>
          <w:p w14:paraId="7A6A19D1" w14:textId="77777777" w:rsidR="00B33542" w:rsidRPr="005071A1" w:rsidRDefault="00B33542" w:rsidP="009B7AF5">
            <w:pPr>
              <w:pStyle w:val="Tabletext"/>
            </w:pPr>
            <w:r w:rsidRPr="005071A1">
              <w:t>0.04</w:t>
            </w:r>
          </w:p>
        </w:tc>
      </w:tr>
      <w:tr w:rsidR="00B33542" w:rsidRPr="005071A1" w14:paraId="38174D86" w14:textId="77777777" w:rsidTr="009B7AF5">
        <w:tc>
          <w:tcPr>
            <w:tcW w:w="3240" w:type="dxa"/>
            <w:shd w:val="clear" w:color="auto" w:fill="auto"/>
          </w:tcPr>
          <w:p w14:paraId="28AC9CA2" w14:textId="77777777" w:rsidR="00B33542" w:rsidRPr="005071A1" w:rsidRDefault="00B33542" w:rsidP="009B7AF5">
            <w:pPr>
              <w:pStyle w:val="Tabletext"/>
            </w:pPr>
            <w:r w:rsidRPr="005071A1">
              <w:t>19</w:t>
            </w:r>
          </w:p>
        </w:tc>
        <w:tc>
          <w:tcPr>
            <w:tcW w:w="2572" w:type="dxa"/>
            <w:shd w:val="clear" w:color="auto" w:fill="auto"/>
          </w:tcPr>
          <w:p w14:paraId="0101AB5A" w14:textId="77777777" w:rsidR="00B33542" w:rsidRPr="005071A1" w:rsidRDefault="00B33542" w:rsidP="009B7AF5">
            <w:pPr>
              <w:pStyle w:val="Tabletext"/>
            </w:pPr>
            <w:r w:rsidRPr="005071A1">
              <w:t>0.04</w:t>
            </w:r>
          </w:p>
        </w:tc>
      </w:tr>
      <w:tr w:rsidR="00B33542" w:rsidRPr="005071A1" w14:paraId="2EE90F37" w14:textId="77777777" w:rsidTr="009B7AF5">
        <w:tc>
          <w:tcPr>
            <w:tcW w:w="3240" w:type="dxa"/>
            <w:shd w:val="clear" w:color="auto" w:fill="auto"/>
          </w:tcPr>
          <w:p w14:paraId="7105DF80" w14:textId="77777777" w:rsidR="00B33542" w:rsidRPr="005071A1" w:rsidRDefault="00B33542" w:rsidP="009B7AF5">
            <w:pPr>
              <w:pStyle w:val="Tabletext"/>
            </w:pPr>
            <w:r w:rsidRPr="005071A1">
              <w:t>20</w:t>
            </w:r>
          </w:p>
        </w:tc>
        <w:tc>
          <w:tcPr>
            <w:tcW w:w="2572" w:type="dxa"/>
            <w:shd w:val="clear" w:color="auto" w:fill="auto"/>
          </w:tcPr>
          <w:p w14:paraId="095C244B" w14:textId="77777777" w:rsidR="00B33542" w:rsidRPr="005071A1" w:rsidRDefault="00B33542" w:rsidP="009B7AF5">
            <w:pPr>
              <w:pStyle w:val="Tabletext"/>
            </w:pPr>
            <w:r w:rsidRPr="005071A1">
              <w:t>0.04</w:t>
            </w:r>
          </w:p>
        </w:tc>
      </w:tr>
      <w:tr w:rsidR="00B33542" w:rsidRPr="005071A1" w14:paraId="2AA1B79A" w14:textId="77777777" w:rsidTr="009B7AF5">
        <w:tc>
          <w:tcPr>
            <w:tcW w:w="3240" w:type="dxa"/>
            <w:shd w:val="clear" w:color="auto" w:fill="auto"/>
          </w:tcPr>
          <w:p w14:paraId="3DF96CC6" w14:textId="77777777" w:rsidR="00B33542" w:rsidRPr="005071A1" w:rsidRDefault="00B33542" w:rsidP="009B7AF5">
            <w:pPr>
              <w:pStyle w:val="Tabletext"/>
            </w:pPr>
            <w:r w:rsidRPr="005071A1">
              <w:t>21</w:t>
            </w:r>
          </w:p>
        </w:tc>
        <w:tc>
          <w:tcPr>
            <w:tcW w:w="2572" w:type="dxa"/>
            <w:shd w:val="clear" w:color="auto" w:fill="auto"/>
          </w:tcPr>
          <w:p w14:paraId="24CEBFD3" w14:textId="77777777" w:rsidR="00B33542" w:rsidRPr="005071A1" w:rsidRDefault="00B33542" w:rsidP="009B7AF5">
            <w:pPr>
              <w:pStyle w:val="Tabletext"/>
            </w:pPr>
            <w:r w:rsidRPr="005071A1">
              <w:t>0.04</w:t>
            </w:r>
          </w:p>
        </w:tc>
      </w:tr>
      <w:tr w:rsidR="00B33542" w:rsidRPr="005071A1" w14:paraId="43E0E3F0" w14:textId="77777777" w:rsidTr="009B7AF5">
        <w:tc>
          <w:tcPr>
            <w:tcW w:w="3240" w:type="dxa"/>
            <w:shd w:val="clear" w:color="auto" w:fill="auto"/>
          </w:tcPr>
          <w:p w14:paraId="190D6065" w14:textId="77777777" w:rsidR="00B33542" w:rsidRPr="005071A1" w:rsidRDefault="00B33542" w:rsidP="009B7AF5">
            <w:pPr>
              <w:pStyle w:val="Tabletext"/>
            </w:pPr>
            <w:r w:rsidRPr="005071A1">
              <w:t>22</w:t>
            </w:r>
          </w:p>
        </w:tc>
        <w:tc>
          <w:tcPr>
            <w:tcW w:w="2572" w:type="dxa"/>
            <w:shd w:val="clear" w:color="auto" w:fill="auto"/>
          </w:tcPr>
          <w:p w14:paraId="3137C72D" w14:textId="77777777" w:rsidR="00B33542" w:rsidRPr="005071A1" w:rsidRDefault="00B33542" w:rsidP="009B7AF5">
            <w:pPr>
              <w:pStyle w:val="Tabletext"/>
            </w:pPr>
            <w:r w:rsidRPr="005071A1">
              <w:t>0.04</w:t>
            </w:r>
          </w:p>
        </w:tc>
      </w:tr>
      <w:tr w:rsidR="00B33542" w:rsidRPr="005071A1" w14:paraId="7C9A4D90" w14:textId="77777777" w:rsidTr="009B7AF5">
        <w:tc>
          <w:tcPr>
            <w:tcW w:w="3240" w:type="dxa"/>
            <w:shd w:val="clear" w:color="auto" w:fill="auto"/>
          </w:tcPr>
          <w:p w14:paraId="259538D1" w14:textId="77777777" w:rsidR="00B33542" w:rsidRPr="005071A1" w:rsidRDefault="00B33542" w:rsidP="009B7AF5">
            <w:pPr>
              <w:pStyle w:val="Tabletext"/>
            </w:pPr>
            <w:r w:rsidRPr="005071A1">
              <w:t>23</w:t>
            </w:r>
          </w:p>
        </w:tc>
        <w:tc>
          <w:tcPr>
            <w:tcW w:w="2572" w:type="dxa"/>
            <w:shd w:val="clear" w:color="auto" w:fill="auto"/>
          </w:tcPr>
          <w:p w14:paraId="68B18077" w14:textId="77777777" w:rsidR="00B33542" w:rsidRPr="005071A1" w:rsidRDefault="00B33542" w:rsidP="009B7AF5">
            <w:pPr>
              <w:pStyle w:val="Tabletext"/>
            </w:pPr>
            <w:r w:rsidRPr="005071A1">
              <w:t>0.04</w:t>
            </w:r>
          </w:p>
        </w:tc>
      </w:tr>
      <w:tr w:rsidR="00B33542" w:rsidRPr="005071A1" w14:paraId="1C22995A" w14:textId="77777777" w:rsidTr="009B7AF5">
        <w:tc>
          <w:tcPr>
            <w:tcW w:w="3240" w:type="dxa"/>
            <w:shd w:val="clear" w:color="auto" w:fill="auto"/>
          </w:tcPr>
          <w:p w14:paraId="469E8293" w14:textId="77777777" w:rsidR="00B33542" w:rsidRPr="005071A1" w:rsidRDefault="00B33542" w:rsidP="009B7AF5">
            <w:pPr>
              <w:pStyle w:val="Tabletext"/>
            </w:pPr>
            <w:r w:rsidRPr="005071A1">
              <w:t>24</w:t>
            </w:r>
          </w:p>
        </w:tc>
        <w:tc>
          <w:tcPr>
            <w:tcW w:w="2572" w:type="dxa"/>
            <w:shd w:val="clear" w:color="auto" w:fill="auto"/>
          </w:tcPr>
          <w:p w14:paraId="4A042595" w14:textId="77777777" w:rsidR="00B33542" w:rsidRPr="005071A1" w:rsidRDefault="00B33542" w:rsidP="009B7AF5">
            <w:pPr>
              <w:pStyle w:val="Tabletext"/>
            </w:pPr>
            <w:r w:rsidRPr="005071A1">
              <w:t>0.05</w:t>
            </w:r>
          </w:p>
        </w:tc>
      </w:tr>
      <w:tr w:rsidR="00B33542" w:rsidRPr="005071A1" w14:paraId="1E189763" w14:textId="77777777" w:rsidTr="009B7AF5">
        <w:tc>
          <w:tcPr>
            <w:tcW w:w="3240" w:type="dxa"/>
            <w:shd w:val="clear" w:color="auto" w:fill="auto"/>
          </w:tcPr>
          <w:p w14:paraId="7661CB76" w14:textId="77777777" w:rsidR="00B33542" w:rsidRPr="005071A1" w:rsidRDefault="00B33542" w:rsidP="009B7AF5">
            <w:pPr>
              <w:pStyle w:val="Tabletext"/>
            </w:pPr>
            <w:r w:rsidRPr="005071A1">
              <w:t>25</w:t>
            </w:r>
          </w:p>
        </w:tc>
        <w:tc>
          <w:tcPr>
            <w:tcW w:w="2572" w:type="dxa"/>
            <w:shd w:val="clear" w:color="auto" w:fill="auto"/>
          </w:tcPr>
          <w:p w14:paraId="20C76FCC" w14:textId="77777777" w:rsidR="00B33542" w:rsidRPr="005071A1" w:rsidRDefault="00B33542" w:rsidP="009B7AF5">
            <w:pPr>
              <w:pStyle w:val="Tabletext"/>
            </w:pPr>
            <w:r w:rsidRPr="005071A1">
              <w:t>0.05</w:t>
            </w:r>
          </w:p>
        </w:tc>
      </w:tr>
      <w:tr w:rsidR="00B33542" w:rsidRPr="005071A1" w14:paraId="3ABA6349" w14:textId="77777777" w:rsidTr="009B7AF5">
        <w:tc>
          <w:tcPr>
            <w:tcW w:w="3240" w:type="dxa"/>
            <w:shd w:val="clear" w:color="auto" w:fill="auto"/>
          </w:tcPr>
          <w:p w14:paraId="3074863C" w14:textId="77777777" w:rsidR="00B33542" w:rsidRPr="005071A1" w:rsidRDefault="00B33542" w:rsidP="009B7AF5">
            <w:pPr>
              <w:pStyle w:val="Tabletext"/>
            </w:pPr>
            <w:r w:rsidRPr="005071A1">
              <w:t>26</w:t>
            </w:r>
          </w:p>
        </w:tc>
        <w:tc>
          <w:tcPr>
            <w:tcW w:w="2572" w:type="dxa"/>
            <w:shd w:val="clear" w:color="auto" w:fill="auto"/>
          </w:tcPr>
          <w:p w14:paraId="014E7A67" w14:textId="77777777" w:rsidR="00B33542" w:rsidRPr="005071A1" w:rsidRDefault="00B33542" w:rsidP="009B7AF5">
            <w:pPr>
              <w:pStyle w:val="Tabletext"/>
            </w:pPr>
            <w:r w:rsidRPr="005071A1">
              <w:t>0.05</w:t>
            </w:r>
          </w:p>
        </w:tc>
      </w:tr>
      <w:tr w:rsidR="00B33542" w:rsidRPr="005071A1" w14:paraId="368D98A3" w14:textId="77777777" w:rsidTr="009B7AF5">
        <w:tc>
          <w:tcPr>
            <w:tcW w:w="3240" w:type="dxa"/>
            <w:shd w:val="clear" w:color="auto" w:fill="auto"/>
          </w:tcPr>
          <w:p w14:paraId="1B7FC542" w14:textId="77777777" w:rsidR="00B33542" w:rsidRPr="005071A1" w:rsidRDefault="00B33542" w:rsidP="009B7AF5">
            <w:pPr>
              <w:pStyle w:val="Tabletext"/>
            </w:pPr>
            <w:r w:rsidRPr="005071A1">
              <w:t>27</w:t>
            </w:r>
          </w:p>
        </w:tc>
        <w:tc>
          <w:tcPr>
            <w:tcW w:w="2572" w:type="dxa"/>
            <w:shd w:val="clear" w:color="auto" w:fill="auto"/>
          </w:tcPr>
          <w:p w14:paraId="0FBF3CD6" w14:textId="77777777" w:rsidR="00B33542" w:rsidRPr="005071A1" w:rsidRDefault="00B33542" w:rsidP="009B7AF5">
            <w:pPr>
              <w:pStyle w:val="Tabletext"/>
            </w:pPr>
            <w:r w:rsidRPr="005071A1">
              <w:t>0.05</w:t>
            </w:r>
          </w:p>
        </w:tc>
      </w:tr>
      <w:tr w:rsidR="00B33542" w:rsidRPr="005071A1" w14:paraId="180FD5C5" w14:textId="77777777" w:rsidTr="009B7AF5">
        <w:tc>
          <w:tcPr>
            <w:tcW w:w="3240" w:type="dxa"/>
            <w:shd w:val="clear" w:color="auto" w:fill="auto"/>
          </w:tcPr>
          <w:p w14:paraId="71257636" w14:textId="77777777" w:rsidR="00B33542" w:rsidRPr="005071A1" w:rsidRDefault="00B33542" w:rsidP="009B7AF5">
            <w:pPr>
              <w:pStyle w:val="Tabletext"/>
            </w:pPr>
            <w:r w:rsidRPr="005071A1">
              <w:t>28</w:t>
            </w:r>
          </w:p>
        </w:tc>
        <w:tc>
          <w:tcPr>
            <w:tcW w:w="2572" w:type="dxa"/>
            <w:shd w:val="clear" w:color="auto" w:fill="auto"/>
          </w:tcPr>
          <w:p w14:paraId="4534DD05" w14:textId="77777777" w:rsidR="00B33542" w:rsidRPr="005071A1" w:rsidRDefault="00B33542" w:rsidP="009B7AF5">
            <w:pPr>
              <w:pStyle w:val="Tabletext"/>
            </w:pPr>
            <w:r w:rsidRPr="005071A1">
              <w:t>0.05</w:t>
            </w:r>
          </w:p>
        </w:tc>
      </w:tr>
      <w:tr w:rsidR="00B33542" w:rsidRPr="005071A1" w14:paraId="30C20602" w14:textId="77777777" w:rsidTr="009B7AF5">
        <w:tc>
          <w:tcPr>
            <w:tcW w:w="3240" w:type="dxa"/>
            <w:shd w:val="clear" w:color="auto" w:fill="auto"/>
          </w:tcPr>
          <w:p w14:paraId="3288AEF3" w14:textId="77777777" w:rsidR="00B33542" w:rsidRPr="005071A1" w:rsidRDefault="00B33542" w:rsidP="009B7AF5">
            <w:pPr>
              <w:pStyle w:val="Tabletext"/>
            </w:pPr>
            <w:r w:rsidRPr="005071A1">
              <w:t>29</w:t>
            </w:r>
          </w:p>
        </w:tc>
        <w:tc>
          <w:tcPr>
            <w:tcW w:w="2572" w:type="dxa"/>
            <w:shd w:val="clear" w:color="auto" w:fill="auto"/>
          </w:tcPr>
          <w:p w14:paraId="40AC6596" w14:textId="77777777" w:rsidR="00B33542" w:rsidRPr="005071A1" w:rsidRDefault="00B33542" w:rsidP="009B7AF5">
            <w:pPr>
              <w:pStyle w:val="Tabletext"/>
            </w:pPr>
            <w:r w:rsidRPr="005071A1">
              <w:t>0.05</w:t>
            </w:r>
          </w:p>
        </w:tc>
      </w:tr>
      <w:tr w:rsidR="00B33542" w:rsidRPr="005071A1" w14:paraId="5CDF9015" w14:textId="77777777" w:rsidTr="009B7AF5">
        <w:tc>
          <w:tcPr>
            <w:tcW w:w="3240" w:type="dxa"/>
            <w:shd w:val="clear" w:color="auto" w:fill="auto"/>
          </w:tcPr>
          <w:p w14:paraId="1E6D3E64" w14:textId="77777777" w:rsidR="00B33542" w:rsidRPr="005071A1" w:rsidRDefault="00B33542" w:rsidP="009B7AF5">
            <w:pPr>
              <w:pStyle w:val="Tabletext"/>
            </w:pPr>
            <w:r w:rsidRPr="005071A1">
              <w:t>30</w:t>
            </w:r>
          </w:p>
        </w:tc>
        <w:tc>
          <w:tcPr>
            <w:tcW w:w="2572" w:type="dxa"/>
            <w:shd w:val="clear" w:color="auto" w:fill="auto"/>
          </w:tcPr>
          <w:p w14:paraId="5FFF36A0" w14:textId="77777777" w:rsidR="00B33542" w:rsidRPr="005071A1" w:rsidRDefault="00B33542" w:rsidP="009B7AF5">
            <w:pPr>
              <w:pStyle w:val="Tabletext"/>
            </w:pPr>
            <w:r w:rsidRPr="005071A1">
              <w:t>0.06</w:t>
            </w:r>
          </w:p>
        </w:tc>
      </w:tr>
      <w:tr w:rsidR="00B33542" w:rsidRPr="005071A1" w14:paraId="67FE5EEF" w14:textId="77777777" w:rsidTr="009B7AF5">
        <w:tc>
          <w:tcPr>
            <w:tcW w:w="3240" w:type="dxa"/>
            <w:shd w:val="clear" w:color="auto" w:fill="auto"/>
          </w:tcPr>
          <w:p w14:paraId="07A76E6B" w14:textId="77777777" w:rsidR="00B33542" w:rsidRPr="005071A1" w:rsidRDefault="00B33542" w:rsidP="009B7AF5">
            <w:pPr>
              <w:pStyle w:val="Tabletext"/>
            </w:pPr>
            <w:r w:rsidRPr="005071A1">
              <w:t>31</w:t>
            </w:r>
          </w:p>
        </w:tc>
        <w:tc>
          <w:tcPr>
            <w:tcW w:w="2572" w:type="dxa"/>
            <w:shd w:val="clear" w:color="auto" w:fill="auto"/>
          </w:tcPr>
          <w:p w14:paraId="3D43AADB" w14:textId="77777777" w:rsidR="00B33542" w:rsidRPr="005071A1" w:rsidRDefault="00B33542" w:rsidP="009B7AF5">
            <w:pPr>
              <w:pStyle w:val="Tabletext"/>
            </w:pPr>
            <w:r w:rsidRPr="005071A1">
              <w:t>0.06</w:t>
            </w:r>
          </w:p>
        </w:tc>
      </w:tr>
      <w:tr w:rsidR="00B33542" w:rsidRPr="005071A1" w14:paraId="1A269776" w14:textId="77777777" w:rsidTr="009B7AF5">
        <w:tc>
          <w:tcPr>
            <w:tcW w:w="3240" w:type="dxa"/>
            <w:shd w:val="clear" w:color="auto" w:fill="auto"/>
          </w:tcPr>
          <w:p w14:paraId="248CECB0" w14:textId="77777777" w:rsidR="00B33542" w:rsidRPr="005071A1" w:rsidRDefault="00B33542" w:rsidP="009B7AF5">
            <w:pPr>
              <w:pStyle w:val="Tabletext"/>
            </w:pPr>
            <w:r w:rsidRPr="005071A1">
              <w:t>32</w:t>
            </w:r>
          </w:p>
        </w:tc>
        <w:tc>
          <w:tcPr>
            <w:tcW w:w="2572" w:type="dxa"/>
            <w:shd w:val="clear" w:color="auto" w:fill="auto"/>
          </w:tcPr>
          <w:p w14:paraId="4D60EB10" w14:textId="77777777" w:rsidR="00B33542" w:rsidRPr="005071A1" w:rsidRDefault="00B33542" w:rsidP="009B7AF5">
            <w:pPr>
              <w:pStyle w:val="Tabletext"/>
            </w:pPr>
            <w:r w:rsidRPr="005071A1">
              <w:t>0.06</w:t>
            </w:r>
          </w:p>
        </w:tc>
      </w:tr>
      <w:tr w:rsidR="00B33542" w:rsidRPr="005071A1" w14:paraId="5FE7B965" w14:textId="77777777" w:rsidTr="009B7AF5">
        <w:tc>
          <w:tcPr>
            <w:tcW w:w="3240" w:type="dxa"/>
            <w:shd w:val="clear" w:color="auto" w:fill="auto"/>
          </w:tcPr>
          <w:p w14:paraId="558D4AC1" w14:textId="77777777" w:rsidR="00B33542" w:rsidRPr="005071A1" w:rsidRDefault="00B33542" w:rsidP="009B7AF5">
            <w:pPr>
              <w:pStyle w:val="Tabletext"/>
            </w:pPr>
            <w:r w:rsidRPr="005071A1">
              <w:t>33</w:t>
            </w:r>
          </w:p>
        </w:tc>
        <w:tc>
          <w:tcPr>
            <w:tcW w:w="2572" w:type="dxa"/>
            <w:shd w:val="clear" w:color="auto" w:fill="auto"/>
          </w:tcPr>
          <w:p w14:paraId="2879B37E" w14:textId="77777777" w:rsidR="00B33542" w:rsidRPr="005071A1" w:rsidRDefault="00B33542" w:rsidP="009B7AF5">
            <w:pPr>
              <w:pStyle w:val="Tabletext"/>
            </w:pPr>
            <w:r w:rsidRPr="005071A1">
              <w:t>0.06</w:t>
            </w:r>
          </w:p>
        </w:tc>
      </w:tr>
      <w:tr w:rsidR="00B33542" w:rsidRPr="005071A1" w14:paraId="737B27B9" w14:textId="77777777" w:rsidTr="009B7AF5">
        <w:tc>
          <w:tcPr>
            <w:tcW w:w="3240" w:type="dxa"/>
            <w:shd w:val="clear" w:color="auto" w:fill="auto"/>
          </w:tcPr>
          <w:p w14:paraId="57C0429D" w14:textId="77777777" w:rsidR="00B33542" w:rsidRPr="005071A1" w:rsidRDefault="00B33542" w:rsidP="009B7AF5">
            <w:pPr>
              <w:pStyle w:val="Tabletext"/>
            </w:pPr>
            <w:r w:rsidRPr="005071A1">
              <w:t>34</w:t>
            </w:r>
          </w:p>
        </w:tc>
        <w:tc>
          <w:tcPr>
            <w:tcW w:w="2572" w:type="dxa"/>
            <w:shd w:val="clear" w:color="auto" w:fill="auto"/>
          </w:tcPr>
          <w:p w14:paraId="05C86298" w14:textId="77777777" w:rsidR="00B33542" w:rsidRPr="005071A1" w:rsidRDefault="00B33542" w:rsidP="009B7AF5">
            <w:pPr>
              <w:pStyle w:val="Tabletext"/>
            </w:pPr>
            <w:r w:rsidRPr="005071A1">
              <w:t>0.06</w:t>
            </w:r>
          </w:p>
        </w:tc>
      </w:tr>
      <w:tr w:rsidR="00B33542" w:rsidRPr="005071A1" w14:paraId="6C2D4694" w14:textId="77777777" w:rsidTr="009B7AF5">
        <w:tc>
          <w:tcPr>
            <w:tcW w:w="3240" w:type="dxa"/>
            <w:shd w:val="clear" w:color="auto" w:fill="auto"/>
          </w:tcPr>
          <w:p w14:paraId="56AFE17C" w14:textId="77777777" w:rsidR="00B33542" w:rsidRPr="005071A1" w:rsidRDefault="00B33542" w:rsidP="009B7AF5">
            <w:pPr>
              <w:pStyle w:val="Tabletext"/>
            </w:pPr>
            <w:r w:rsidRPr="005071A1">
              <w:t>35</w:t>
            </w:r>
          </w:p>
        </w:tc>
        <w:tc>
          <w:tcPr>
            <w:tcW w:w="2572" w:type="dxa"/>
            <w:shd w:val="clear" w:color="auto" w:fill="auto"/>
          </w:tcPr>
          <w:p w14:paraId="346A46DC" w14:textId="77777777" w:rsidR="00B33542" w:rsidRPr="005071A1" w:rsidRDefault="00B33542" w:rsidP="009B7AF5">
            <w:pPr>
              <w:pStyle w:val="Tabletext"/>
            </w:pPr>
            <w:r w:rsidRPr="005071A1">
              <w:t>0.06</w:t>
            </w:r>
          </w:p>
        </w:tc>
      </w:tr>
      <w:tr w:rsidR="00B33542" w:rsidRPr="005071A1" w14:paraId="2ABC34BC" w14:textId="77777777" w:rsidTr="009B7AF5">
        <w:tc>
          <w:tcPr>
            <w:tcW w:w="3240" w:type="dxa"/>
            <w:shd w:val="clear" w:color="auto" w:fill="auto"/>
          </w:tcPr>
          <w:p w14:paraId="1FF981BF" w14:textId="77777777" w:rsidR="00B33542" w:rsidRPr="005071A1" w:rsidRDefault="00B33542" w:rsidP="009B7AF5">
            <w:pPr>
              <w:pStyle w:val="Tabletext"/>
            </w:pPr>
            <w:r w:rsidRPr="005071A1">
              <w:t>36</w:t>
            </w:r>
          </w:p>
        </w:tc>
        <w:tc>
          <w:tcPr>
            <w:tcW w:w="2572" w:type="dxa"/>
            <w:shd w:val="clear" w:color="auto" w:fill="auto"/>
          </w:tcPr>
          <w:p w14:paraId="41F3381B" w14:textId="77777777" w:rsidR="00B33542" w:rsidRPr="005071A1" w:rsidRDefault="00B33542" w:rsidP="009B7AF5">
            <w:pPr>
              <w:pStyle w:val="Tabletext"/>
            </w:pPr>
            <w:r w:rsidRPr="005071A1">
              <w:t>0.07</w:t>
            </w:r>
          </w:p>
        </w:tc>
      </w:tr>
      <w:tr w:rsidR="00B33542" w:rsidRPr="005071A1" w14:paraId="4B5CD7B6" w14:textId="77777777" w:rsidTr="009B7AF5">
        <w:tc>
          <w:tcPr>
            <w:tcW w:w="3240" w:type="dxa"/>
            <w:shd w:val="clear" w:color="auto" w:fill="auto"/>
          </w:tcPr>
          <w:p w14:paraId="113FCA5F" w14:textId="77777777" w:rsidR="00B33542" w:rsidRPr="005071A1" w:rsidRDefault="00B33542" w:rsidP="009B7AF5">
            <w:pPr>
              <w:pStyle w:val="Tabletext"/>
            </w:pPr>
            <w:r w:rsidRPr="005071A1">
              <w:t>37</w:t>
            </w:r>
          </w:p>
        </w:tc>
        <w:tc>
          <w:tcPr>
            <w:tcW w:w="2572" w:type="dxa"/>
            <w:shd w:val="clear" w:color="auto" w:fill="auto"/>
          </w:tcPr>
          <w:p w14:paraId="57434938" w14:textId="77777777" w:rsidR="00B33542" w:rsidRPr="005071A1" w:rsidRDefault="00B33542" w:rsidP="009B7AF5">
            <w:pPr>
              <w:pStyle w:val="Tabletext"/>
            </w:pPr>
            <w:r w:rsidRPr="005071A1">
              <w:t>0.07</w:t>
            </w:r>
          </w:p>
        </w:tc>
      </w:tr>
      <w:tr w:rsidR="00B33542" w:rsidRPr="005071A1" w14:paraId="62E49B13" w14:textId="77777777" w:rsidTr="009B7AF5">
        <w:tc>
          <w:tcPr>
            <w:tcW w:w="3240" w:type="dxa"/>
            <w:shd w:val="clear" w:color="auto" w:fill="auto"/>
          </w:tcPr>
          <w:p w14:paraId="43CC5050" w14:textId="77777777" w:rsidR="00B33542" w:rsidRPr="005071A1" w:rsidRDefault="00B33542" w:rsidP="009B7AF5">
            <w:pPr>
              <w:pStyle w:val="Tabletext"/>
            </w:pPr>
            <w:r w:rsidRPr="005071A1">
              <w:t>38</w:t>
            </w:r>
          </w:p>
        </w:tc>
        <w:tc>
          <w:tcPr>
            <w:tcW w:w="2572" w:type="dxa"/>
            <w:shd w:val="clear" w:color="auto" w:fill="auto"/>
          </w:tcPr>
          <w:p w14:paraId="1031D5D2" w14:textId="77777777" w:rsidR="00B33542" w:rsidRPr="005071A1" w:rsidRDefault="00B33542" w:rsidP="009B7AF5">
            <w:pPr>
              <w:pStyle w:val="Tabletext"/>
            </w:pPr>
            <w:r w:rsidRPr="005071A1">
              <w:t>0.07</w:t>
            </w:r>
          </w:p>
        </w:tc>
      </w:tr>
      <w:tr w:rsidR="00B33542" w:rsidRPr="005071A1" w14:paraId="7E18F227" w14:textId="77777777" w:rsidTr="009B7AF5">
        <w:tc>
          <w:tcPr>
            <w:tcW w:w="3240" w:type="dxa"/>
            <w:shd w:val="clear" w:color="auto" w:fill="auto"/>
          </w:tcPr>
          <w:p w14:paraId="771E142C" w14:textId="77777777" w:rsidR="00B33542" w:rsidRPr="005071A1" w:rsidRDefault="00B33542" w:rsidP="009B7AF5">
            <w:pPr>
              <w:pStyle w:val="Tabletext"/>
            </w:pPr>
            <w:r w:rsidRPr="005071A1">
              <w:t>39</w:t>
            </w:r>
          </w:p>
        </w:tc>
        <w:tc>
          <w:tcPr>
            <w:tcW w:w="2572" w:type="dxa"/>
            <w:shd w:val="clear" w:color="auto" w:fill="auto"/>
          </w:tcPr>
          <w:p w14:paraId="57F8C7E1" w14:textId="77777777" w:rsidR="00B33542" w:rsidRPr="005071A1" w:rsidRDefault="00B33542" w:rsidP="009B7AF5">
            <w:pPr>
              <w:pStyle w:val="Tabletext"/>
            </w:pPr>
            <w:r w:rsidRPr="005071A1">
              <w:t>0.08</w:t>
            </w:r>
          </w:p>
        </w:tc>
      </w:tr>
      <w:tr w:rsidR="00B33542" w:rsidRPr="005071A1" w14:paraId="2CD924A1" w14:textId="77777777" w:rsidTr="009B7AF5">
        <w:tc>
          <w:tcPr>
            <w:tcW w:w="3240" w:type="dxa"/>
            <w:shd w:val="clear" w:color="auto" w:fill="auto"/>
          </w:tcPr>
          <w:p w14:paraId="1E0EC632" w14:textId="77777777" w:rsidR="00B33542" w:rsidRPr="005071A1" w:rsidRDefault="00B33542" w:rsidP="009B7AF5">
            <w:pPr>
              <w:pStyle w:val="Tabletext"/>
            </w:pPr>
            <w:r w:rsidRPr="005071A1">
              <w:t>40</w:t>
            </w:r>
          </w:p>
        </w:tc>
        <w:tc>
          <w:tcPr>
            <w:tcW w:w="2572" w:type="dxa"/>
            <w:shd w:val="clear" w:color="auto" w:fill="auto"/>
          </w:tcPr>
          <w:p w14:paraId="37D621BD" w14:textId="77777777" w:rsidR="00B33542" w:rsidRPr="005071A1" w:rsidRDefault="00B33542" w:rsidP="009B7AF5">
            <w:pPr>
              <w:pStyle w:val="Tabletext"/>
            </w:pPr>
            <w:r w:rsidRPr="005071A1">
              <w:t>0.08</w:t>
            </w:r>
          </w:p>
        </w:tc>
      </w:tr>
      <w:tr w:rsidR="00B33542" w:rsidRPr="005071A1" w14:paraId="3CF6ADEC" w14:textId="77777777" w:rsidTr="009B7AF5">
        <w:tc>
          <w:tcPr>
            <w:tcW w:w="3240" w:type="dxa"/>
            <w:shd w:val="clear" w:color="auto" w:fill="auto"/>
          </w:tcPr>
          <w:p w14:paraId="215F0D95" w14:textId="77777777" w:rsidR="00B33542" w:rsidRPr="005071A1" w:rsidRDefault="00B33542" w:rsidP="009B7AF5">
            <w:pPr>
              <w:pStyle w:val="Tabletext"/>
            </w:pPr>
            <w:r w:rsidRPr="005071A1">
              <w:t>41</w:t>
            </w:r>
          </w:p>
        </w:tc>
        <w:tc>
          <w:tcPr>
            <w:tcW w:w="2572" w:type="dxa"/>
            <w:shd w:val="clear" w:color="auto" w:fill="auto"/>
          </w:tcPr>
          <w:p w14:paraId="5698BF7B" w14:textId="77777777" w:rsidR="00B33542" w:rsidRPr="005071A1" w:rsidRDefault="00B33542" w:rsidP="009B7AF5">
            <w:pPr>
              <w:pStyle w:val="Tabletext"/>
            </w:pPr>
            <w:r w:rsidRPr="005071A1">
              <w:t>0.07</w:t>
            </w:r>
          </w:p>
        </w:tc>
      </w:tr>
      <w:tr w:rsidR="00B33542" w:rsidRPr="005071A1" w14:paraId="4DFB4BB5" w14:textId="77777777" w:rsidTr="009B7AF5">
        <w:tc>
          <w:tcPr>
            <w:tcW w:w="3240" w:type="dxa"/>
            <w:shd w:val="clear" w:color="auto" w:fill="auto"/>
          </w:tcPr>
          <w:p w14:paraId="5E7B0136" w14:textId="77777777" w:rsidR="00B33542" w:rsidRPr="005071A1" w:rsidRDefault="00B33542" w:rsidP="009B7AF5">
            <w:pPr>
              <w:pStyle w:val="Tabletext"/>
            </w:pPr>
            <w:r w:rsidRPr="005071A1">
              <w:t>42</w:t>
            </w:r>
          </w:p>
        </w:tc>
        <w:tc>
          <w:tcPr>
            <w:tcW w:w="2572" w:type="dxa"/>
            <w:shd w:val="clear" w:color="auto" w:fill="auto"/>
          </w:tcPr>
          <w:p w14:paraId="2FEA6396" w14:textId="77777777" w:rsidR="00B33542" w:rsidRPr="005071A1" w:rsidRDefault="00B33542" w:rsidP="009B7AF5">
            <w:pPr>
              <w:pStyle w:val="Tabletext"/>
            </w:pPr>
            <w:r w:rsidRPr="005071A1">
              <w:t>0.08</w:t>
            </w:r>
          </w:p>
        </w:tc>
      </w:tr>
      <w:tr w:rsidR="00B33542" w:rsidRPr="005071A1" w14:paraId="527CAD46" w14:textId="77777777" w:rsidTr="009B7AF5">
        <w:tc>
          <w:tcPr>
            <w:tcW w:w="3240" w:type="dxa"/>
            <w:shd w:val="clear" w:color="auto" w:fill="auto"/>
          </w:tcPr>
          <w:p w14:paraId="3C942CE8" w14:textId="77777777" w:rsidR="00B33542" w:rsidRPr="005071A1" w:rsidRDefault="00B33542" w:rsidP="009B7AF5">
            <w:pPr>
              <w:pStyle w:val="Tabletext"/>
            </w:pPr>
            <w:r w:rsidRPr="005071A1">
              <w:t>43</w:t>
            </w:r>
          </w:p>
        </w:tc>
        <w:tc>
          <w:tcPr>
            <w:tcW w:w="2572" w:type="dxa"/>
            <w:shd w:val="clear" w:color="auto" w:fill="auto"/>
          </w:tcPr>
          <w:p w14:paraId="1B8B8511" w14:textId="77777777" w:rsidR="00B33542" w:rsidRPr="005071A1" w:rsidRDefault="00B33542" w:rsidP="009B7AF5">
            <w:pPr>
              <w:pStyle w:val="Tabletext"/>
            </w:pPr>
            <w:r w:rsidRPr="005071A1">
              <w:t>0.08</w:t>
            </w:r>
          </w:p>
        </w:tc>
      </w:tr>
      <w:tr w:rsidR="00B33542" w:rsidRPr="005071A1" w14:paraId="3D233452" w14:textId="77777777" w:rsidTr="009B7AF5">
        <w:tc>
          <w:tcPr>
            <w:tcW w:w="3240" w:type="dxa"/>
            <w:shd w:val="clear" w:color="auto" w:fill="auto"/>
          </w:tcPr>
          <w:p w14:paraId="141036F1" w14:textId="77777777" w:rsidR="00B33542" w:rsidRPr="005071A1" w:rsidRDefault="00B33542" w:rsidP="009B7AF5">
            <w:pPr>
              <w:pStyle w:val="Tabletext"/>
            </w:pPr>
            <w:r w:rsidRPr="005071A1">
              <w:t>44</w:t>
            </w:r>
          </w:p>
        </w:tc>
        <w:tc>
          <w:tcPr>
            <w:tcW w:w="2572" w:type="dxa"/>
            <w:shd w:val="clear" w:color="auto" w:fill="auto"/>
          </w:tcPr>
          <w:p w14:paraId="4D186D3A" w14:textId="77777777" w:rsidR="00B33542" w:rsidRPr="005071A1" w:rsidRDefault="00B33542" w:rsidP="009B7AF5">
            <w:pPr>
              <w:pStyle w:val="Tabletext"/>
            </w:pPr>
            <w:r w:rsidRPr="005071A1">
              <w:t>0.08</w:t>
            </w:r>
          </w:p>
        </w:tc>
      </w:tr>
      <w:tr w:rsidR="00B33542" w:rsidRPr="005071A1" w14:paraId="533E938E" w14:textId="77777777" w:rsidTr="009B7AF5">
        <w:tc>
          <w:tcPr>
            <w:tcW w:w="3240" w:type="dxa"/>
            <w:shd w:val="clear" w:color="auto" w:fill="auto"/>
          </w:tcPr>
          <w:p w14:paraId="0A9AF6FF" w14:textId="77777777" w:rsidR="00B33542" w:rsidRPr="005071A1" w:rsidRDefault="00B33542" w:rsidP="009B7AF5">
            <w:pPr>
              <w:pStyle w:val="Tabletext"/>
            </w:pPr>
            <w:r w:rsidRPr="005071A1">
              <w:t>45</w:t>
            </w:r>
          </w:p>
        </w:tc>
        <w:tc>
          <w:tcPr>
            <w:tcW w:w="2572" w:type="dxa"/>
            <w:shd w:val="clear" w:color="auto" w:fill="auto"/>
          </w:tcPr>
          <w:p w14:paraId="760259DE" w14:textId="77777777" w:rsidR="00B33542" w:rsidRPr="005071A1" w:rsidRDefault="00B33542" w:rsidP="009B7AF5">
            <w:pPr>
              <w:pStyle w:val="Tabletext"/>
            </w:pPr>
            <w:r w:rsidRPr="005071A1">
              <w:t>0.08</w:t>
            </w:r>
          </w:p>
        </w:tc>
      </w:tr>
      <w:tr w:rsidR="00B33542" w:rsidRPr="005071A1" w14:paraId="3E82A5B7" w14:textId="77777777" w:rsidTr="009B7AF5">
        <w:tc>
          <w:tcPr>
            <w:tcW w:w="3240" w:type="dxa"/>
            <w:shd w:val="clear" w:color="auto" w:fill="auto"/>
          </w:tcPr>
          <w:p w14:paraId="22AF9CCF" w14:textId="77777777" w:rsidR="00B33542" w:rsidRPr="005071A1" w:rsidRDefault="00B33542" w:rsidP="009B7AF5">
            <w:pPr>
              <w:pStyle w:val="Tabletext"/>
            </w:pPr>
            <w:r w:rsidRPr="005071A1">
              <w:t>46</w:t>
            </w:r>
          </w:p>
        </w:tc>
        <w:tc>
          <w:tcPr>
            <w:tcW w:w="2572" w:type="dxa"/>
            <w:shd w:val="clear" w:color="auto" w:fill="auto"/>
          </w:tcPr>
          <w:p w14:paraId="461F6C18" w14:textId="77777777" w:rsidR="00B33542" w:rsidRPr="005071A1" w:rsidRDefault="00B33542" w:rsidP="009B7AF5">
            <w:pPr>
              <w:pStyle w:val="Tabletext"/>
            </w:pPr>
            <w:r w:rsidRPr="005071A1">
              <w:t>0.09</w:t>
            </w:r>
          </w:p>
        </w:tc>
      </w:tr>
      <w:tr w:rsidR="00B33542" w:rsidRPr="005071A1" w14:paraId="35CA6478" w14:textId="77777777" w:rsidTr="009B7AF5">
        <w:tc>
          <w:tcPr>
            <w:tcW w:w="3240" w:type="dxa"/>
            <w:shd w:val="clear" w:color="auto" w:fill="auto"/>
          </w:tcPr>
          <w:p w14:paraId="351C44E2" w14:textId="77777777" w:rsidR="00B33542" w:rsidRPr="005071A1" w:rsidRDefault="00B33542" w:rsidP="009B7AF5">
            <w:pPr>
              <w:pStyle w:val="Tabletext"/>
            </w:pPr>
            <w:r w:rsidRPr="005071A1">
              <w:t>47</w:t>
            </w:r>
          </w:p>
        </w:tc>
        <w:tc>
          <w:tcPr>
            <w:tcW w:w="2572" w:type="dxa"/>
            <w:shd w:val="clear" w:color="auto" w:fill="auto"/>
          </w:tcPr>
          <w:p w14:paraId="188B5F0E" w14:textId="77777777" w:rsidR="00B33542" w:rsidRPr="005071A1" w:rsidRDefault="00B33542" w:rsidP="009B7AF5">
            <w:pPr>
              <w:pStyle w:val="Tabletext"/>
            </w:pPr>
            <w:r w:rsidRPr="005071A1">
              <w:t>0.10</w:t>
            </w:r>
          </w:p>
        </w:tc>
      </w:tr>
      <w:tr w:rsidR="00B33542" w:rsidRPr="005071A1" w14:paraId="5D24B1FC" w14:textId="77777777" w:rsidTr="009B7AF5">
        <w:tc>
          <w:tcPr>
            <w:tcW w:w="3240" w:type="dxa"/>
            <w:shd w:val="clear" w:color="auto" w:fill="auto"/>
          </w:tcPr>
          <w:p w14:paraId="307D14E7" w14:textId="77777777" w:rsidR="00B33542" w:rsidRPr="005071A1" w:rsidRDefault="00B33542" w:rsidP="009B7AF5">
            <w:pPr>
              <w:pStyle w:val="Tabletext"/>
            </w:pPr>
            <w:r w:rsidRPr="005071A1">
              <w:t>48</w:t>
            </w:r>
          </w:p>
        </w:tc>
        <w:tc>
          <w:tcPr>
            <w:tcW w:w="2572" w:type="dxa"/>
            <w:shd w:val="clear" w:color="auto" w:fill="auto"/>
          </w:tcPr>
          <w:p w14:paraId="4997BC6E" w14:textId="77777777" w:rsidR="00B33542" w:rsidRPr="005071A1" w:rsidRDefault="00B33542" w:rsidP="009B7AF5">
            <w:pPr>
              <w:pStyle w:val="Tabletext"/>
            </w:pPr>
            <w:r w:rsidRPr="005071A1">
              <w:t>0.12</w:t>
            </w:r>
          </w:p>
        </w:tc>
      </w:tr>
      <w:tr w:rsidR="00B33542" w:rsidRPr="005071A1" w14:paraId="06A73868" w14:textId="77777777" w:rsidTr="009B7AF5">
        <w:tc>
          <w:tcPr>
            <w:tcW w:w="3240" w:type="dxa"/>
            <w:shd w:val="clear" w:color="auto" w:fill="auto"/>
          </w:tcPr>
          <w:p w14:paraId="63CCEB35" w14:textId="77777777" w:rsidR="00B33542" w:rsidRPr="005071A1" w:rsidRDefault="00B33542" w:rsidP="009B7AF5">
            <w:pPr>
              <w:pStyle w:val="Tabletext"/>
            </w:pPr>
            <w:r w:rsidRPr="005071A1">
              <w:t>49</w:t>
            </w:r>
          </w:p>
        </w:tc>
        <w:tc>
          <w:tcPr>
            <w:tcW w:w="2572" w:type="dxa"/>
            <w:shd w:val="clear" w:color="auto" w:fill="auto"/>
          </w:tcPr>
          <w:p w14:paraId="47684837" w14:textId="77777777" w:rsidR="00B33542" w:rsidRPr="005071A1" w:rsidRDefault="00B33542" w:rsidP="009B7AF5">
            <w:pPr>
              <w:pStyle w:val="Tabletext"/>
            </w:pPr>
            <w:r w:rsidRPr="005071A1">
              <w:t>0.12</w:t>
            </w:r>
          </w:p>
        </w:tc>
      </w:tr>
      <w:tr w:rsidR="00B33542" w:rsidRPr="005071A1" w14:paraId="4CE086A1" w14:textId="77777777" w:rsidTr="009B7AF5">
        <w:tc>
          <w:tcPr>
            <w:tcW w:w="3240" w:type="dxa"/>
            <w:shd w:val="clear" w:color="auto" w:fill="auto"/>
          </w:tcPr>
          <w:p w14:paraId="582B99C3" w14:textId="77777777" w:rsidR="00B33542" w:rsidRPr="005071A1" w:rsidRDefault="00B33542" w:rsidP="009B7AF5">
            <w:pPr>
              <w:pStyle w:val="Tabletext"/>
            </w:pPr>
            <w:r w:rsidRPr="005071A1">
              <w:t>50</w:t>
            </w:r>
          </w:p>
        </w:tc>
        <w:tc>
          <w:tcPr>
            <w:tcW w:w="2572" w:type="dxa"/>
            <w:shd w:val="clear" w:color="auto" w:fill="auto"/>
          </w:tcPr>
          <w:p w14:paraId="1BB6BF95" w14:textId="77777777" w:rsidR="00B33542" w:rsidRPr="005071A1" w:rsidRDefault="00B33542" w:rsidP="009B7AF5">
            <w:pPr>
              <w:pStyle w:val="Tabletext"/>
            </w:pPr>
            <w:r w:rsidRPr="005071A1">
              <w:t>0.14</w:t>
            </w:r>
          </w:p>
        </w:tc>
      </w:tr>
      <w:tr w:rsidR="00B33542" w:rsidRPr="005071A1" w14:paraId="1D169477" w14:textId="77777777" w:rsidTr="009B7AF5">
        <w:tc>
          <w:tcPr>
            <w:tcW w:w="3240" w:type="dxa"/>
            <w:shd w:val="clear" w:color="auto" w:fill="auto"/>
          </w:tcPr>
          <w:p w14:paraId="5C999D9C" w14:textId="77777777" w:rsidR="00B33542" w:rsidRPr="005071A1" w:rsidRDefault="00B33542" w:rsidP="009B7AF5">
            <w:pPr>
              <w:pStyle w:val="Tabletext"/>
            </w:pPr>
            <w:r w:rsidRPr="005071A1">
              <w:t>51</w:t>
            </w:r>
          </w:p>
        </w:tc>
        <w:tc>
          <w:tcPr>
            <w:tcW w:w="2572" w:type="dxa"/>
            <w:shd w:val="clear" w:color="auto" w:fill="auto"/>
          </w:tcPr>
          <w:p w14:paraId="0C4062AF" w14:textId="77777777" w:rsidR="00B33542" w:rsidRPr="005071A1" w:rsidRDefault="00B33542" w:rsidP="009B7AF5">
            <w:pPr>
              <w:pStyle w:val="Tabletext"/>
            </w:pPr>
            <w:r w:rsidRPr="005071A1">
              <w:t>0.16</w:t>
            </w:r>
          </w:p>
        </w:tc>
      </w:tr>
      <w:tr w:rsidR="00B33542" w:rsidRPr="005071A1" w14:paraId="3B331B26" w14:textId="77777777" w:rsidTr="009B7AF5">
        <w:tc>
          <w:tcPr>
            <w:tcW w:w="3240" w:type="dxa"/>
            <w:shd w:val="clear" w:color="auto" w:fill="auto"/>
          </w:tcPr>
          <w:p w14:paraId="064A5840" w14:textId="77777777" w:rsidR="00B33542" w:rsidRPr="005071A1" w:rsidRDefault="00B33542" w:rsidP="009B7AF5">
            <w:pPr>
              <w:pStyle w:val="Tabletext"/>
            </w:pPr>
            <w:r w:rsidRPr="005071A1">
              <w:t>52</w:t>
            </w:r>
          </w:p>
        </w:tc>
        <w:tc>
          <w:tcPr>
            <w:tcW w:w="2572" w:type="dxa"/>
            <w:shd w:val="clear" w:color="auto" w:fill="auto"/>
          </w:tcPr>
          <w:p w14:paraId="6D283982" w14:textId="77777777" w:rsidR="00B33542" w:rsidRPr="005071A1" w:rsidRDefault="00B33542" w:rsidP="009B7AF5">
            <w:pPr>
              <w:pStyle w:val="Tabletext"/>
            </w:pPr>
            <w:r w:rsidRPr="005071A1">
              <w:t>0.18</w:t>
            </w:r>
          </w:p>
        </w:tc>
      </w:tr>
      <w:tr w:rsidR="00B33542" w:rsidRPr="005071A1" w14:paraId="544A8E0D" w14:textId="77777777" w:rsidTr="009B7AF5">
        <w:tc>
          <w:tcPr>
            <w:tcW w:w="3240" w:type="dxa"/>
            <w:shd w:val="clear" w:color="auto" w:fill="auto"/>
          </w:tcPr>
          <w:p w14:paraId="32A56270" w14:textId="77777777" w:rsidR="00B33542" w:rsidRPr="005071A1" w:rsidRDefault="00B33542" w:rsidP="009B7AF5">
            <w:pPr>
              <w:pStyle w:val="Tabletext"/>
            </w:pPr>
            <w:r w:rsidRPr="005071A1">
              <w:t>53</w:t>
            </w:r>
          </w:p>
        </w:tc>
        <w:tc>
          <w:tcPr>
            <w:tcW w:w="2572" w:type="dxa"/>
            <w:shd w:val="clear" w:color="auto" w:fill="auto"/>
          </w:tcPr>
          <w:p w14:paraId="0DBE302B" w14:textId="77777777" w:rsidR="00B33542" w:rsidRPr="005071A1" w:rsidRDefault="00B33542" w:rsidP="009B7AF5">
            <w:pPr>
              <w:pStyle w:val="Tabletext"/>
            </w:pPr>
            <w:r w:rsidRPr="005071A1">
              <w:t>0.21</w:t>
            </w:r>
          </w:p>
        </w:tc>
      </w:tr>
      <w:tr w:rsidR="00B33542" w:rsidRPr="005071A1" w14:paraId="19B33A08" w14:textId="77777777" w:rsidTr="009B7AF5">
        <w:tc>
          <w:tcPr>
            <w:tcW w:w="3240" w:type="dxa"/>
            <w:shd w:val="clear" w:color="auto" w:fill="auto"/>
          </w:tcPr>
          <w:p w14:paraId="4B387DE9" w14:textId="77777777" w:rsidR="00B33542" w:rsidRPr="005071A1" w:rsidRDefault="00B33542" w:rsidP="009B7AF5">
            <w:pPr>
              <w:pStyle w:val="Tabletext"/>
            </w:pPr>
            <w:r w:rsidRPr="005071A1">
              <w:t>54</w:t>
            </w:r>
          </w:p>
        </w:tc>
        <w:tc>
          <w:tcPr>
            <w:tcW w:w="2572" w:type="dxa"/>
            <w:shd w:val="clear" w:color="auto" w:fill="auto"/>
          </w:tcPr>
          <w:p w14:paraId="514330C8" w14:textId="77777777" w:rsidR="00B33542" w:rsidRPr="005071A1" w:rsidRDefault="00B33542" w:rsidP="009B7AF5">
            <w:pPr>
              <w:pStyle w:val="Tabletext"/>
            </w:pPr>
            <w:r w:rsidRPr="005071A1">
              <w:t>0.23</w:t>
            </w:r>
          </w:p>
        </w:tc>
      </w:tr>
      <w:tr w:rsidR="00B33542" w:rsidRPr="005071A1" w14:paraId="309E592B" w14:textId="77777777" w:rsidTr="009B7AF5">
        <w:tc>
          <w:tcPr>
            <w:tcW w:w="3240" w:type="dxa"/>
            <w:shd w:val="clear" w:color="auto" w:fill="auto"/>
          </w:tcPr>
          <w:p w14:paraId="0BC6026D" w14:textId="77777777" w:rsidR="00B33542" w:rsidRPr="005071A1" w:rsidRDefault="00B33542" w:rsidP="009B7AF5">
            <w:pPr>
              <w:pStyle w:val="Tabletext"/>
            </w:pPr>
            <w:r w:rsidRPr="005071A1">
              <w:t>55</w:t>
            </w:r>
          </w:p>
        </w:tc>
        <w:tc>
          <w:tcPr>
            <w:tcW w:w="2572" w:type="dxa"/>
            <w:shd w:val="clear" w:color="auto" w:fill="auto"/>
          </w:tcPr>
          <w:p w14:paraId="4657C7F2" w14:textId="77777777" w:rsidR="00B33542" w:rsidRPr="005071A1" w:rsidRDefault="00B33542" w:rsidP="009B7AF5">
            <w:pPr>
              <w:pStyle w:val="Tabletext"/>
            </w:pPr>
            <w:r w:rsidRPr="005071A1">
              <w:t>0.28</w:t>
            </w:r>
          </w:p>
        </w:tc>
      </w:tr>
      <w:tr w:rsidR="00B33542" w:rsidRPr="005071A1" w14:paraId="402DE532" w14:textId="77777777" w:rsidTr="009B7AF5">
        <w:tc>
          <w:tcPr>
            <w:tcW w:w="3240" w:type="dxa"/>
            <w:shd w:val="clear" w:color="auto" w:fill="auto"/>
          </w:tcPr>
          <w:p w14:paraId="45CFA0AF" w14:textId="77777777" w:rsidR="00B33542" w:rsidRPr="005071A1" w:rsidRDefault="00B33542" w:rsidP="009B7AF5">
            <w:pPr>
              <w:pStyle w:val="Tabletext"/>
            </w:pPr>
            <w:r w:rsidRPr="005071A1">
              <w:t>56</w:t>
            </w:r>
          </w:p>
        </w:tc>
        <w:tc>
          <w:tcPr>
            <w:tcW w:w="2572" w:type="dxa"/>
            <w:shd w:val="clear" w:color="auto" w:fill="auto"/>
          </w:tcPr>
          <w:p w14:paraId="49544027" w14:textId="77777777" w:rsidR="00B33542" w:rsidRPr="005071A1" w:rsidRDefault="00B33542" w:rsidP="009B7AF5">
            <w:pPr>
              <w:pStyle w:val="Tabletext"/>
            </w:pPr>
            <w:r w:rsidRPr="005071A1">
              <w:t>0.35</w:t>
            </w:r>
          </w:p>
        </w:tc>
      </w:tr>
      <w:tr w:rsidR="00B33542" w:rsidRPr="005071A1" w14:paraId="57D0F2F7" w14:textId="77777777" w:rsidTr="009B7AF5">
        <w:tc>
          <w:tcPr>
            <w:tcW w:w="3240" w:type="dxa"/>
            <w:shd w:val="clear" w:color="auto" w:fill="auto"/>
          </w:tcPr>
          <w:p w14:paraId="3BBE7E84" w14:textId="77777777" w:rsidR="00B33542" w:rsidRPr="005071A1" w:rsidRDefault="00B33542" w:rsidP="009B7AF5">
            <w:pPr>
              <w:pStyle w:val="Tabletext"/>
            </w:pPr>
            <w:r w:rsidRPr="005071A1">
              <w:t>57</w:t>
            </w:r>
          </w:p>
        </w:tc>
        <w:tc>
          <w:tcPr>
            <w:tcW w:w="2572" w:type="dxa"/>
            <w:shd w:val="clear" w:color="auto" w:fill="auto"/>
          </w:tcPr>
          <w:p w14:paraId="16084F25" w14:textId="77777777" w:rsidR="00B33542" w:rsidRPr="005071A1" w:rsidRDefault="00B33542" w:rsidP="009B7AF5">
            <w:pPr>
              <w:pStyle w:val="Tabletext"/>
            </w:pPr>
            <w:r w:rsidRPr="005071A1">
              <w:t>0.46</w:t>
            </w:r>
          </w:p>
        </w:tc>
      </w:tr>
      <w:tr w:rsidR="00B33542" w:rsidRPr="005071A1" w14:paraId="611EF007" w14:textId="77777777" w:rsidTr="009B7AF5">
        <w:tc>
          <w:tcPr>
            <w:tcW w:w="3240" w:type="dxa"/>
            <w:shd w:val="clear" w:color="auto" w:fill="auto"/>
          </w:tcPr>
          <w:p w14:paraId="0605D43C" w14:textId="77777777" w:rsidR="00B33542" w:rsidRPr="005071A1" w:rsidRDefault="00B33542" w:rsidP="009B7AF5">
            <w:pPr>
              <w:pStyle w:val="Tabletext"/>
            </w:pPr>
            <w:r w:rsidRPr="005071A1">
              <w:t>58</w:t>
            </w:r>
          </w:p>
        </w:tc>
        <w:tc>
          <w:tcPr>
            <w:tcW w:w="2572" w:type="dxa"/>
            <w:shd w:val="clear" w:color="auto" w:fill="auto"/>
          </w:tcPr>
          <w:p w14:paraId="28ABC7DB" w14:textId="77777777" w:rsidR="00B33542" w:rsidRPr="005071A1" w:rsidRDefault="00B33542" w:rsidP="009B7AF5">
            <w:pPr>
              <w:pStyle w:val="Tabletext"/>
            </w:pPr>
            <w:r w:rsidRPr="005071A1">
              <w:t>0.68</w:t>
            </w:r>
          </w:p>
        </w:tc>
      </w:tr>
      <w:tr w:rsidR="00B33542" w:rsidRPr="005071A1" w14:paraId="32031A5C" w14:textId="77777777" w:rsidTr="009B7AF5">
        <w:tc>
          <w:tcPr>
            <w:tcW w:w="3240" w:type="dxa"/>
            <w:tcBorders>
              <w:bottom w:val="single" w:sz="4" w:space="0" w:color="auto"/>
            </w:tcBorders>
            <w:shd w:val="clear" w:color="auto" w:fill="auto"/>
          </w:tcPr>
          <w:p w14:paraId="7AEB23B7" w14:textId="77777777" w:rsidR="00B33542" w:rsidRPr="005071A1" w:rsidRDefault="00B33542" w:rsidP="009B7AF5">
            <w:pPr>
              <w:pStyle w:val="Tabletext"/>
            </w:pPr>
            <w:r w:rsidRPr="005071A1">
              <w:t>59</w:t>
            </w:r>
          </w:p>
        </w:tc>
        <w:tc>
          <w:tcPr>
            <w:tcW w:w="2572" w:type="dxa"/>
            <w:tcBorders>
              <w:bottom w:val="single" w:sz="4" w:space="0" w:color="auto"/>
            </w:tcBorders>
            <w:shd w:val="clear" w:color="auto" w:fill="auto"/>
          </w:tcPr>
          <w:p w14:paraId="29C62841" w14:textId="77777777" w:rsidR="00B33542" w:rsidRPr="005071A1" w:rsidRDefault="00B33542" w:rsidP="009B7AF5">
            <w:pPr>
              <w:pStyle w:val="Tabletext"/>
            </w:pPr>
            <w:r w:rsidRPr="005071A1">
              <w:t>1.35</w:t>
            </w:r>
          </w:p>
        </w:tc>
      </w:tr>
      <w:tr w:rsidR="00B33542" w:rsidRPr="005071A1" w14:paraId="3D262B14" w14:textId="77777777" w:rsidTr="009B7AF5">
        <w:tc>
          <w:tcPr>
            <w:tcW w:w="3240" w:type="dxa"/>
            <w:tcBorders>
              <w:bottom w:val="single" w:sz="12" w:space="0" w:color="auto"/>
            </w:tcBorders>
            <w:shd w:val="clear" w:color="auto" w:fill="auto"/>
          </w:tcPr>
          <w:p w14:paraId="3C16FF9B" w14:textId="77777777" w:rsidR="00B33542" w:rsidRPr="005071A1" w:rsidRDefault="00B33542" w:rsidP="009B7AF5">
            <w:pPr>
              <w:pStyle w:val="Tabletext"/>
            </w:pPr>
            <w:r w:rsidRPr="005071A1">
              <w:t>60</w:t>
            </w:r>
          </w:p>
        </w:tc>
        <w:tc>
          <w:tcPr>
            <w:tcW w:w="2572" w:type="dxa"/>
            <w:tcBorders>
              <w:bottom w:val="single" w:sz="12" w:space="0" w:color="auto"/>
            </w:tcBorders>
            <w:shd w:val="clear" w:color="auto" w:fill="auto"/>
          </w:tcPr>
          <w:p w14:paraId="5958C263" w14:textId="77777777" w:rsidR="00B33542" w:rsidRPr="005071A1" w:rsidRDefault="00B33542" w:rsidP="009B7AF5">
            <w:pPr>
              <w:pStyle w:val="Tabletext"/>
            </w:pPr>
            <w:r w:rsidRPr="005071A1">
              <w:t>1.20</w:t>
            </w:r>
          </w:p>
        </w:tc>
      </w:tr>
    </w:tbl>
    <w:p w14:paraId="7C4F734E" w14:textId="77777777" w:rsidR="00B33542" w:rsidRPr="005071A1" w:rsidRDefault="00B33542" w:rsidP="00674A0D">
      <w:pPr>
        <w:pStyle w:val="ActHead5"/>
        <w:pageBreakBefore/>
      </w:pPr>
      <w:bookmarkStart w:id="327" w:name="_Toc185577708"/>
      <w:r w:rsidRPr="005071A1">
        <w:t>Table XVI</w:t>
      </w:r>
      <w:bookmarkEnd w:id="327"/>
    </w:p>
    <w:p w14:paraId="0F077DC3" w14:textId="77777777" w:rsidR="00B33542" w:rsidRPr="005071A1" w:rsidRDefault="00B33542" w:rsidP="00B33542">
      <w:pPr>
        <w:spacing w:before="120"/>
      </w:pPr>
      <w:r w:rsidRPr="005071A1">
        <w:t>Reductions in fortnightly rates of contribution payable on or after 1st July, 1962, by female contributors for units of pension where the obligation to contribute for those units came into existence on or after 14th December, 1959, and before 1st July, 1962, based on a retiring age of 60 years and the age next birthday of the contributor when that obligation came into existence</w:t>
      </w:r>
    </w:p>
    <w:p w14:paraId="2D705039"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260"/>
        <w:gridCol w:w="2552"/>
      </w:tblGrid>
      <w:tr w:rsidR="00B33542" w:rsidRPr="005071A1" w14:paraId="3983E065" w14:textId="77777777" w:rsidTr="009B7AF5">
        <w:trPr>
          <w:tblHeader/>
        </w:trPr>
        <w:tc>
          <w:tcPr>
            <w:tcW w:w="3260" w:type="dxa"/>
            <w:tcBorders>
              <w:top w:val="single" w:sz="12" w:space="0" w:color="auto"/>
              <w:bottom w:val="single" w:sz="6" w:space="0" w:color="auto"/>
            </w:tcBorders>
            <w:shd w:val="clear" w:color="auto" w:fill="auto"/>
          </w:tcPr>
          <w:p w14:paraId="48C25EE4" w14:textId="77777777" w:rsidR="00B33542" w:rsidRPr="005071A1" w:rsidRDefault="00B33542" w:rsidP="009B7AF5">
            <w:pPr>
              <w:pStyle w:val="TableHeading"/>
            </w:pPr>
            <w:r w:rsidRPr="005071A1">
              <w:t>Column 1</w:t>
            </w:r>
          </w:p>
        </w:tc>
        <w:tc>
          <w:tcPr>
            <w:tcW w:w="2552" w:type="dxa"/>
            <w:tcBorders>
              <w:top w:val="single" w:sz="12" w:space="0" w:color="auto"/>
              <w:bottom w:val="single" w:sz="6" w:space="0" w:color="auto"/>
            </w:tcBorders>
            <w:shd w:val="clear" w:color="auto" w:fill="auto"/>
          </w:tcPr>
          <w:p w14:paraId="63BF35E8" w14:textId="77777777" w:rsidR="00B33542" w:rsidRPr="005071A1" w:rsidRDefault="00B33542" w:rsidP="009B7AF5">
            <w:pPr>
              <w:pStyle w:val="TableHeading"/>
            </w:pPr>
            <w:r w:rsidRPr="005071A1">
              <w:t>Column 2</w:t>
            </w:r>
          </w:p>
        </w:tc>
      </w:tr>
      <w:tr w:rsidR="00B33542" w:rsidRPr="005071A1" w14:paraId="0EAF22A8" w14:textId="77777777" w:rsidTr="009B7AF5">
        <w:trPr>
          <w:tblHeader/>
        </w:trPr>
        <w:tc>
          <w:tcPr>
            <w:tcW w:w="3260" w:type="dxa"/>
            <w:tcBorders>
              <w:top w:val="single" w:sz="6" w:space="0" w:color="auto"/>
              <w:bottom w:val="single" w:sz="6" w:space="0" w:color="auto"/>
            </w:tcBorders>
            <w:shd w:val="clear" w:color="auto" w:fill="auto"/>
          </w:tcPr>
          <w:p w14:paraId="134457BD" w14:textId="77777777" w:rsidR="00B33542" w:rsidRPr="005071A1" w:rsidRDefault="00B33542" w:rsidP="00AD02FE">
            <w:pPr>
              <w:pStyle w:val="TableHeading"/>
              <w:spacing w:before="40" w:after="40" w:line="180" w:lineRule="atLeast"/>
              <w:rPr>
                <w:sz w:val="16"/>
                <w:szCs w:val="16"/>
              </w:rPr>
            </w:pPr>
            <w:r w:rsidRPr="005071A1">
              <w:rPr>
                <w:sz w:val="16"/>
                <w:szCs w:val="16"/>
              </w:rPr>
              <w:t>Age next Birthday</w:t>
            </w:r>
          </w:p>
        </w:tc>
        <w:tc>
          <w:tcPr>
            <w:tcW w:w="2552" w:type="dxa"/>
            <w:tcBorders>
              <w:top w:val="single" w:sz="6" w:space="0" w:color="auto"/>
              <w:bottom w:val="single" w:sz="6" w:space="0" w:color="auto"/>
            </w:tcBorders>
            <w:shd w:val="clear" w:color="auto" w:fill="auto"/>
          </w:tcPr>
          <w:p w14:paraId="3FE6A75B" w14:textId="77777777" w:rsidR="00B33542" w:rsidRPr="005071A1" w:rsidRDefault="00B33542" w:rsidP="00AD02FE">
            <w:pPr>
              <w:pStyle w:val="TableHeading"/>
              <w:spacing w:before="40" w:after="40" w:line="180" w:lineRule="atLeast"/>
              <w:rPr>
                <w:sz w:val="16"/>
                <w:szCs w:val="16"/>
              </w:rPr>
            </w:pPr>
            <w:r w:rsidRPr="005071A1">
              <w:rPr>
                <w:sz w:val="16"/>
                <w:szCs w:val="16"/>
              </w:rPr>
              <w:t>Reduction in Contribution for each Unit</w:t>
            </w:r>
          </w:p>
        </w:tc>
      </w:tr>
      <w:tr w:rsidR="00B33542" w:rsidRPr="005071A1" w14:paraId="3A78C4F9" w14:textId="77777777" w:rsidTr="009B7AF5">
        <w:trPr>
          <w:tblHeader/>
        </w:trPr>
        <w:tc>
          <w:tcPr>
            <w:tcW w:w="3260" w:type="dxa"/>
            <w:tcBorders>
              <w:top w:val="single" w:sz="6" w:space="0" w:color="auto"/>
              <w:bottom w:val="single" w:sz="12" w:space="0" w:color="auto"/>
            </w:tcBorders>
            <w:shd w:val="clear" w:color="auto" w:fill="auto"/>
          </w:tcPr>
          <w:p w14:paraId="6FD13D47" w14:textId="77777777" w:rsidR="00B33542" w:rsidRPr="005071A1" w:rsidRDefault="00B33542" w:rsidP="00AD02FE">
            <w:pPr>
              <w:pStyle w:val="TableHeading"/>
            </w:pPr>
          </w:p>
        </w:tc>
        <w:tc>
          <w:tcPr>
            <w:tcW w:w="2552" w:type="dxa"/>
            <w:tcBorders>
              <w:top w:val="single" w:sz="6" w:space="0" w:color="auto"/>
              <w:bottom w:val="single" w:sz="12" w:space="0" w:color="auto"/>
            </w:tcBorders>
            <w:shd w:val="clear" w:color="auto" w:fill="auto"/>
          </w:tcPr>
          <w:p w14:paraId="4928BA1D" w14:textId="77777777" w:rsidR="00B33542" w:rsidRPr="005071A1" w:rsidRDefault="00B33542" w:rsidP="00AD02FE">
            <w:pPr>
              <w:pStyle w:val="TableHeading"/>
            </w:pPr>
            <w:r w:rsidRPr="005071A1">
              <w:t>$</w:t>
            </w:r>
          </w:p>
        </w:tc>
      </w:tr>
      <w:tr w:rsidR="00B33542" w:rsidRPr="005071A1" w14:paraId="49769319" w14:textId="77777777" w:rsidTr="009B7AF5">
        <w:tc>
          <w:tcPr>
            <w:tcW w:w="3260" w:type="dxa"/>
            <w:tcBorders>
              <w:top w:val="single" w:sz="12" w:space="0" w:color="auto"/>
            </w:tcBorders>
            <w:shd w:val="clear" w:color="auto" w:fill="auto"/>
          </w:tcPr>
          <w:p w14:paraId="46296783" w14:textId="77777777" w:rsidR="00B33542" w:rsidRPr="005071A1" w:rsidRDefault="00B33542" w:rsidP="009B7AF5">
            <w:pPr>
              <w:pStyle w:val="Tabletext"/>
            </w:pPr>
            <w:r w:rsidRPr="005071A1">
              <w:t>15</w:t>
            </w:r>
          </w:p>
        </w:tc>
        <w:tc>
          <w:tcPr>
            <w:tcW w:w="2552" w:type="dxa"/>
            <w:tcBorders>
              <w:top w:val="single" w:sz="12" w:space="0" w:color="auto"/>
            </w:tcBorders>
            <w:shd w:val="clear" w:color="auto" w:fill="auto"/>
          </w:tcPr>
          <w:p w14:paraId="3D74EB60" w14:textId="77777777" w:rsidR="00B33542" w:rsidRPr="005071A1" w:rsidRDefault="00B33542" w:rsidP="009B7AF5">
            <w:pPr>
              <w:pStyle w:val="Tabletext"/>
            </w:pPr>
            <w:r w:rsidRPr="005071A1">
              <w:t>0.03</w:t>
            </w:r>
          </w:p>
        </w:tc>
      </w:tr>
      <w:tr w:rsidR="00B33542" w:rsidRPr="005071A1" w14:paraId="5FB236DB" w14:textId="77777777" w:rsidTr="009B7AF5">
        <w:tc>
          <w:tcPr>
            <w:tcW w:w="3260" w:type="dxa"/>
            <w:shd w:val="clear" w:color="auto" w:fill="auto"/>
          </w:tcPr>
          <w:p w14:paraId="64F5FC06" w14:textId="77777777" w:rsidR="00B33542" w:rsidRPr="005071A1" w:rsidRDefault="00B33542" w:rsidP="009B7AF5">
            <w:pPr>
              <w:pStyle w:val="Tabletext"/>
            </w:pPr>
            <w:r w:rsidRPr="005071A1">
              <w:t>16</w:t>
            </w:r>
          </w:p>
        </w:tc>
        <w:tc>
          <w:tcPr>
            <w:tcW w:w="2552" w:type="dxa"/>
            <w:shd w:val="clear" w:color="auto" w:fill="auto"/>
          </w:tcPr>
          <w:p w14:paraId="4BD25921" w14:textId="77777777" w:rsidR="00B33542" w:rsidRPr="005071A1" w:rsidRDefault="00B33542" w:rsidP="009B7AF5">
            <w:pPr>
              <w:pStyle w:val="Tabletext"/>
            </w:pPr>
            <w:r w:rsidRPr="005071A1">
              <w:t>0.03</w:t>
            </w:r>
          </w:p>
        </w:tc>
      </w:tr>
      <w:tr w:rsidR="00B33542" w:rsidRPr="005071A1" w14:paraId="26AD9B5B" w14:textId="77777777" w:rsidTr="009B7AF5">
        <w:tc>
          <w:tcPr>
            <w:tcW w:w="3260" w:type="dxa"/>
            <w:shd w:val="clear" w:color="auto" w:fill="auto"/>
          </w:tcPr>
          <w:p w14:paraId="52EF50AA" w14:textId="77777777" w:rsidR="00B33542" w:rsidRPr="005071A1" w:rsidRDefault="00B33542" w:rsidP="009B7AF5">
            <w:pPr>
              <w:pStyle w:val="Tabletext"/>
            </w:pPr>
            <w:r w:rsidRPr="005071A1">
              <w:t>17</w:t>
            </w:r>
          </w:p>
        </w:tc>
        <w:tc>
          <w:tcPr>
            <w:tcW w:w="2552" w:type="dxa"/>
            <w:shd w:val="clear" w:color="auto" w:fill="auto"/>
          </w:tcPr>
          <w:p w14:paraId="41F6732F" w14:textId="77777777" w:rsidR="00B33542" w:rsidRPr="005071A1" w:rsidRDefault="00B33542" w:rsidP="009B7AF5">
            <w:pPr>
              <w:pStyle w:val="Tabletext"/>
            </w:pPr>
            <w:r w:rsidRPr="005071A1">
              <w:t>0.03</w:t>
            </w:r>
          </w:p>
        </w:tc>
      </w:tr>
      <w:tr w:rsidR="00B33542" w:rsidRPr="005071A1" w14:paraId="16DD2A5D" w14:textId="77777777" w:rsidTr="009B7AF5">
        <w:tc>
          <w:tcPr>
            <w:tcW w:w="3260" w:type="dxa"/>
            <w:shd w:val="clear" w:color="auto" w:fill="auto"/>
          </w:tcPr>
          <w:p w14:paraId="6D2DBE42" w14:textId="77777777" w:rsidR="00B33542" w:rsidRPr="005071A1" w:rsidRDefault="00B33542" w:rsidP="009B7AF5">
            <w:pPr>
              <w:pStyle w:val="Tabletext"/>
            </w:pPr>
            <w:r w:rsidRPr="005071A1">
              <w:t>18</w:t>
            </w:r>
          </w:p>
        </w:tc>
        <w:tc>
          <w:tcPr>
            <w:tcW w:w="2552" w:type="dxa"/>
            <w:shd w:val="clear" w:color="auto" w:fill="auto"/>
          </w:tcPr>
          <w:p w14:paraId="0EE8DFC4" w14:textId="77777777" w:rsidR="00B33542" w:rsidRPr="005071A1" w:rsidRDefault="00B33542" w:rsidP="009B7AF5">
            <w:pPr>
              <w:pStyle w:val="Tabletext"/>
            </w:pPr>
            <w:r w:rsidRPr="005071A1">
              <w:t>0.04</w:t>
            </w:r>
          </w:p>
        </w:tc>
      </w:tr>
      <w:tr w:rsidR="00B33542" w:rsidRPr="005071A1" w14:paraId="161F0FF7" w14:textId="77777777" w:rsidTr="009B7AF5">
        <w:tc>
          <w:tcPr>
            <w:tcW w:w="3260" w:type="dxa"/>
            <w:shd w:val="clear" w:color="auto" w:fill="auto"/>
          </w:tcPr>
          <w:p w14:paraId="3DAEE230" w14:textId="77777777" w:rsidR="00B33542" w:rsidRPr="005071A1" w:rsidRDefault="00B33542" w:rsidP="009B7AF5">
            <w:pPr>
              <w:pStyle w:val="Tabletext"/>
            </w:pPr>
            <w:r w:rsidRPr="005071A1">
              <w:t>19</w:t>
            </w:r>
          </w:p>
        </w:tc>
        <w:tc>
          <w:tcPr>
            <w:tcW w:w="2552" w:type="dxa"/>
            <w:shd w:val="clear" w:color="auto" w:fill="auto"/>
          </w:tcPr>
          <w:p w14:paraId="79283250" w14:textId="77777777" w:rsidR="00B33542" w:rsidRPr="005071A1" w:rsidRDefault="00B33542" w:rsidP="009B7AF5">
            <w:pPr>
              <w:pStyle w:val="Tabletext"/>
            </w:pPr>
            <w:r w:rsidRPr="005071A1">
              <w:t>0.04</w:t>
            </w:r>
          </w:p>
        </w:tc>
      </w:tr>
      <w:tr w:rsidR="00B33542" w:rsidRPr="005071A1" w14:paraId="26CCB0DF" w14:textId="77777777" w:rsidTr="009B7AF5">
        <w:tc>
          <w:tcPr>
            <w:tcW w:w="3260" w:type="dxa"/>
            <w:shd w:val="clear" w:color="auto" w:fill="auto"/>
          </w:tcPr>
          <w:p w14:paraId="40B43598" w14:textId="77777777" w:rsidR="00B33542" w:rsidRPr="005071A1" w:rsidRDefault="00B33542" w:rsidP="009B7AF5">
            <w:pPr>
              <w:pStyle w:val="Tabletext"/>
            </w:pPr>
            <w:r w:rsidRPr="005071A1">
              <w:t>20</w:t>
            </w:r>
          </w:p>
        </w:tc>
        <w:tc>
          <w:tcPr>
            <w:tcW w:w="2552" w:type="dxa"/>
            <w:shd w:val="clear" w:color="auto" w:fill="auto"/>
          </w:tcPr>
          <w:p w14:paraId="5C78F144" w14:textId="77777777" w:rsidR="00B33542" w:rsidRPr="005071A1" w:rsidRDefault="00B33542" w:rsidP="009B7AF5">
            <w:pPr>
              <w:pStyle w:val="Tabletext"/>
            </w:pPr>
            <w:r w:rsidRPr="005071A1">
              <w:t>0.04</w:t>
            </w:r>
          </w:p>
        </w:tc>
      </w:tr>
      <w:tr w:rsidR="00B33542" w:rsidRPr="005071A1" w14:paraId="34E3ADDA" w14:textId="77777777" w:rsidTr="009B7AF5">
        <w:tc>
          <w:tcPr>
            <w:tcW w:w="3260" w:type="dxa"/>
            <w:shd w:val="clear" w:color="auto" w:fill="auto"/>
          </w:tcPr>
          <w:p w14:paraId="15AA1575" w14:textId="77777777" w:rsidR="00B33542" w:rsidRPr="005071A1" w:rsidRDefault="00B33542" w:rsidP="009B7AF5">
            <w:pPr>
              <w:pStyle w:val="Tabletext"/>
            </w:pPr>
            <w:r w:rsidRPr="005071A1">
              <w:t>21</w:t>
            </w:r>
          </w:p>
        </w:tc>
        <w:tc>
          <w:tcPr>
            <w:tcW w:w="2552" w:type="dxa"/>
            <w:shd w:val="clear" w:color="auto" w:fill="auto"/>
          </w:tcPr>
          <w:p w14:paraId="3905F70E" w14:textId="77777777" w:rsidR="00B33542" w:rsidRPr="005071A1" w:rsidRDefault="00B33542" w:rsidP="009B7AF5">
            <w:pPr>
              <w:pStyle w:val="Tabletext"/>
            </w:pPr>
            <w:r w:rsidRPr="005071A1">
              <w:t>0.05</w:t>
            </w:r>
          </w:p>
        </w:tc>
      </w:tr>
      <w:tr w:rsidR="00B33542" w:rsidRPr="005071A1" w14:paraId="318B7907" w14:textId="77777777" w:rsidTr="009B7AF5">
        <w:tc>
          <w:tcPr>
            <w:tcW w:w="3260" w:type="dxa"/>
            <w:shd w:val="clear" w:color="auto" w:fill="auto"/>
          </w:tcPr>
          <w:p w14:paraId="1D914EE7" w14:textId="77777777" w:rsidR="00B33542" w:rsidRPr="005071A1" w:rsidRDefault="00B33542" w:rsidP="009B7AF5">
            <w:pPr>
              <w:pStyle w:val="Tabletext"/>
            </w:pPr>
            <w:r w:rsidRPr="005071A1">
              <w:t>22</w:t>
            </w:r>
          </w:p>
        </w:tc>
        <w:tc>
          <w:tcPr>
            <w:tcW w:w="2552" w:type="dxa"/>
            <w:shd w:val="clear" w:color="auto" w:fill="auto"/>
          </w:tcPr>
          <w:p w14:paraId="6A8CAB10" w14:textId="77777777" w:rsidR="00B33542" w:rsidRPr="005071A1" w:rsidRDefault="00B33542" w:rsidP="009B7AF5">
            <w:pPr>
              <w:pStyle w:val="Tabletext"/>
            </w:pPr>
            <w:r w:rsidRPr="005071A1">
              <w:t>0.05</w:t>
            </w:r>
          </w:p>
        </w:tc>
      </w:tr>
      <w:tr w:rsidR="00B33542" w:rsidRPr="005071A1" w14:paraId="106BD43D" w14:textId="77777777" w:rsidTr="009B7AF5">
        <w:tc>
          <w:tcPr>
            <w:tcW w:w="3260" w:type="dxa"/>
            <w:shd w:val="clear" w:color="auto" w:fill="auto"/>
          </w:tcPr>
          <w:p w14:paraId="4EAED0D1" w14:textId="77777777" w:rsidR="00B33542" w:rsidRPr="005071A1" w:rsidRDefault="00B33542" w:rsidP="009B7AF5">
            <w:pPr>
              <w:pStyle w:val="Tabletext"/>
            </w:pPr>
            <w:r w:rsidRPr="005071A1">
              <w:t>23</w:t>
            </w:r>
          </w:p>
        </w:tc>
        <w:tc>
          <w:tcPr>
            <w:tcW w:w="2552" w:type="dxa"/>
            <w:shd w:val="clear" w:color="auto" w:fill="auto"/>
          </w:tcPr>
          <w:p w14:paraId="238DC283" w14:textId="77777777" w:rsidR="00B33542" w:rsidRPr="005071A1" w:rsidRDefault="00B33542" w:rsidP="009B7AF5">
            <w:pPr>
              <w:pStyle w:val="Tabletext"/>
            </w:pPr>
            <w:r w:rsidRPr="005071A1">
              <w:t>0.04</w:t>
            </w:r>
          </w:p>
        </w:tc>
      </w:tr>
      <w:tr w:rsidR="00B33542" w:rsidRPr="005071A1" w14:paraId="3CA22CEC" w14:textId="77777777" w:rsidTr="009B7AF5">
        <w:tc>
          <w:tcPr>
            <w:tcW w:w="3260" w:type="dxa"/>
            <w:shd w:val="clear" w:color="auto" w:fill="auto"/>
          </w:tcPr>
          <w:p w14:paraId="13B9E7ED" w14:textId="77777777" w:rsidR="00B33542" w:rsidRPr="005071A1" w:rsidRDefault="00B33542" w:rsidP="009B7AF5">
            <w:pPr>
              <w:pStyle w:val="Tabletext"/>
            </w:pPr>
            <w:r w:rsidRPr="005071A1">
              <w:t>24</w:t>
            </w:r>
          </w:p>
        </w:tc>
        <w:tc>
          <w:tcPr>
            <w:tcW w:w="2552" w:type="dxa"/>
            <w:shd w:val="clear" w:color="auto" w:fill="auto"/>
          </w:tcPr>
          <w:p w14:paraId="5E0338AD" w14:textId="77777777" w:rsidR="00B33542" w:rsidRPr="005071A1" w:rsidRDefault="00B33542" w:rsidP="009B7AF5">
            <w:pPr>
              <w:pStyle w:val="Tabletext"/>
            </w:pPr>
            <w:r w:rsidRPr="005071A1">
              <w:t>0.05</w:t>
            </w:r>
          </w:p>
        </w:tc>
      </w:tr>
      <w:tr w:rsidR="00B33542" w:rsidRPr="005071A1" w14:paraId="2B04DB91" w14:textId="77777777" w:rsidTr="009B7AF5">
        <w:tc>
          <w:tcPr>
            <w:tcW w:w="3260" w:type="dxa"/>
            <w:shd w:val="clear" w:color="auto" w:fill="auto"/>
          </w:tcPr>
          <w:p w14:paraId="34A23F0A" w14:textId="77777777" w:rsidR="00B33542" w:rsidRPr="005071A1" w:rsidRDefault="00B33542" w:rsidP="009B7AF5">
            <w:pPr>
              <w:pStyle w:val="Tabletext"/>
            </w:pPr>
            <w:r w:rsidRPr="005071A1">
              <w:t>25</w:t>
            </w:r>
          </w:p>
        </w:tc>
        <w:tc>
          <w:tcPr>
            <w:tcW w:w="2552" w:type="dxa"/>
            <w:shd w:val="clear" w:color="auto" w:fill="auto"/>
          </w:tcPr>
          <w:p w14:paraId="4F592C49" w14:textId="77777777" w:rsidR="00B33542" w:rsidRPr="005071A1" w:rsidRDefault="00B33542" w:rsidP="009B7AF5">
            <w:pPr>
              <w:pStyle w:val="Tabletext"/>
            </w:pPr>
            <w:r w:rsidRPr="005071A1">
              <w:t>0.05</w:t>
            </w:r>
          </w:p>
        </w:tc>
      </w:tr>
      <w:tr w:rsidR="00B33542" w:rsidRPr="005071A1" w14:paraId="5B6DA4C7" w14:textId="77777777" w:rsidTr="009B7AF5">
        <w:tc>
          <w:tcPr>
            <w:tcW w:w="3260" w:type="dxa"/>
            <w:shd w:val="clear" w:color="auto" w:fill="auto"/>
          </w:tcPr>
          <w:p w14:paraId="7468047E" w14:textId="77777777" w:rsidR="00B33542" w:rsidRPr="005071A1" w:rsidRDefault="00B33542" w:rsidP="009B7AF5">
            <w:pPr>
              <w:pStyle w:val="Tabletext"/>
            </w:pPr>
            <w:r w:rsidRPr="005071A1">
              <w:t>26</w:t>
            </w:r>
          </w:p>
        </w:tc>
        <w:tc>
          <w:tcPr>
            <w:tcW w:w="2552" w:type="dxa"/>
            <w:shd w:val="clear" w:color="auto" w:fill="auto"/>
          </w:tcPr>
          <w:p w14:paraId="5581462A" w14:textId="77777777" w:rsidR="00B33542" w:rsidRPr="005071A1" w:rsidRDefault="00B33542" w:rsidP="009B7AF5">
            <w:pPr>
              <w:pStyle w:val="Tabletext"/>
            </w:pPr>
            <w:r w:rsidRPr="005071A1">
              <w:t>0.05</w:t>
            </w:r>
          </w:p>
        </w:tc>
      </w:tr>
      <w:tr w:rsidR="00B33542" w:rsidRPr="005071A1" w14:paraId="2E3192F1" w14:textId="77777777" w:rsidTr="009B7AF5">
        <w:tc>
          <w:tcPr>
            <w:tcW w:w="3260" w:type="dxa"/>
            <w:shd w:val="clear" w:color="auto" w:fill="auto"/>
          </w:tcPr>
          <w:p w14:paraId="1857593C" w14:textId="77777777" w:rsidR="00B33542" w:rsidRPr="005071A1" w:rsidRDefault="00B33542" w:rsidP="009B7AF5">
            <w:pPr>
              <w:pStyle w:val="Tabletext"/>
            </w:pPr>
            <w:r w:rsidRPr="005071A1">
              <w:t>27</w:t>
            </w:r>
          </w:p>
        </w:tc>
        <w:tc>
          <w:tcPr>
            <w:tcW w:w="2552" w:type="dxa"/>
            <w:shd w:val="clear" w:color="auto" w:fill="auto"/>
          </w:tcPr>
          <w:p w14:paraId="6A071EB2" w14:textId="77777777" w:rsidR="00B33542" w:rsidRPr="005071A1" w:rsidRDefault="00B33542" w:rsidP="009B7AF5">
            <w:pPr>
              <w:pStyle w:val="Tabletext"/>
            </w:pPr>
            <w:r w:rsidRPr="005071A1">
              <w:t>0.06</w:t>
            </w:r>
          </w:p>
        </w:tc>
      </w:tr>
      <w:tr w:rsidR="00B33542" w:rsidRPr="005071A1" w14:paraId="7028DA23" w14:textId="77777777" w:rsidTr="009B7AF5">
        <w:tc>
          <w:tcPr>
            <w:tcW w:w="3260" w:type="dxa"/>
            <w:shd w:val="clear" w:color="auto" w:fill="auto"/>
          </w:tcPr>
          <w:p w14:paraId="3EDF0031" w14:textId="77777777" w:rsidR="00B33542" w:rsidRPr="005071A1" w:rsidRDefault="00B33542" w:rsidP="009B7AF5">
            <w:pPr>
              <w:pStyle w:val="Tabletext"/>
            </w:pPr>
            <w:r w:rsidRPr="005071A1">
              <w:t>28</w:t>
            </w:r>
          </w:p>
        </w:tc>
        <w:tc>
          <w:tcPr>
            <w:tcW w:w="2552" w:type="dxa"/>
            <w:shd w:val="clear" w:color="auto" w:fill="auto"/>
          </w:tcPr>
          <w:p w14:paraId="0C172D13" w14:textId="77777777" w:rsidR="00B33542" w:rsidRPr="005071A1" w:rsidRDefault="00B33542" w:rsidP="009B7AF5">
            <w:pPr>
              <w:pStyle w:val="Tabletext"/>
            </w:pPr>
            <w:r w:rsidRPr="005071A1">
              <w:t>0.05</w:t>
            </w:r>
          </w:p>
        </w:tc>
      </w:tr>
      <w:tr w:rsidR="00B33542" w:rsidRPr="005071A1" w14:paraId="26698015" w14:textId="77777777" w:rsidTr="009B7AF5">
        <w:tc>
          <w:tcPr>
            <w:tcW w:w="3260" w:type="dxa"/>
            <w:shd w:val="clear" w:color="auto" w:fill="auto"/>
          </w:tcPr>
          <w:p w14:paraId="6A455F4F" w14:textId="77777777" w:rsidR="00B33542" w:rsidRPr="005071A1" w:rsidRDefault="00B33542" w:rsidP="009B7AF5">
            <w:pPr>
              <w:pStyle w:val="Tabletext"/>
            </w:pPr>
            <w:r w:rsidRPr="005071A1">
              <w:t>29</w:t>
            </w:r>
          </w:p>
        </w:tc>
        <w:tc>
          <w:tcPr>
            <w:tcW w:w="2552" w:type="dxa"/>
            <w:shd w:val="clear" w:color="auto" w:fill="auto"/>
          </w:tcPr>
          <w:p w14:paraId="02663770" w14:textId="77777777" w:rsidR="00B33542" w:rsidRPr="005071A1" w:rsidRDefault="00B33542" w:rsidP="009B7AF5">
            <w:pPr>
              <w:pStyle w:val="Tabletext"/>
            </w:pPr>
            <w:r w:rsidRPr="005071A1">
              <w:t>0.05</w:t>
            </w:r>
          </w:p>
        </w:tc>
      </w:tr>
      <w:tr w:rsidR="00B33542" w:rsidRPr="005071A1" w14:paraId="36DF1FD9" w14:textId="77777777" w:rsidTr="009B7AF5">
        <w:tc>
          <w:tcPr>
            <w:tcW w:w="3260" w:type="dxa"/>
            <w:shd w:val="clear" w:color="auto" w:fill="auto"/>
          </w:tcPr>
          <w:p w14:paraId="3863688B" w14:textId="77777777" w:rsidR="00B33542" w:rsidRPr="005071A1" w:rsidRDefault="00B33542" w:rsidP="009B7AF5">
            <w:pPr>
              <w:pStyle w:val="Tabletext"/>
            </w:pPr>
            <w:r w:rsidRPr="005071A1">
              <w:t>30</w:t>
            </w:r>
          </w:p>
        </w:tc>
        <w:tc>
          <w:tcPr>
            <w:tcW w:w="2552" w:type="dxa"/>
            <w:shd w:val="clear" w:color="auto" w:fill="auto"/>
          </w:tcPr>
          <w:p w14:paraId="58AE6ED7" w14:textId="77777777" w:rsidR="00B33542" w:rsidRPr="005071A1" w:rsidRDefault="00B33542" w:rsidP="009B7AF5">
            <w:pPr>
              <w:pStyle w:val="Tabletext"/>
            </w:pPr>
            <w:r w:rsidRPr="005071A1">
              <w:t>0.06</w:t>
            </w:r>
          </w:p>
        </w:tc>
      </w:tr>
      <w:tr w:rsidR="00B33542" w:rsidRPr="005071A1" w14:paraId="274B6403" w14:textId="77777777" w:rsidTr="009B7AF5">
        <w:tc>
          <w:tcPr>
            <w:tcW w:w="3260" w:type="dxa"/>
            <w:shd w:val="clear" w:color="auto" w:fill="auto"/>
          </w:tcPr>
          <w:p w14:paraId="28D59755" w14:textId="77777777" w:rsidR="00B33542" w:rsidRPr="005071A1" w:rsidRDefault="00B33542" w:rsidP="009B7AF5">
            <w:pPr>
              <w:pStyle w:val="Tabletext"/>
            </w:pPr>
            <w:r w:rsidRPr="005071A1">
              <w:t>31</w:t>
            </w:r>
          </w:p>
        </w:tc>
        <w:tc>
          <w:tcPr>
            <w:tcW w:w="2552" w:type="dxa"/>
            <w:shd w:val="clear" w:color="auto" w:fill="auto"/>
          </w:tcPr>
          <w:p w14:paraId="251B6701" w14:textId="77777777" w:rsidR="00B33542" w:rsidRPr="005071A1" w:rsidRDefault="00B33542" w:rsidP="009B7AF5">
            <w:pPr>
              <w:pStyle w:val="Tabletext"/>
            </w:pPr>
            <w:r w:rsidRPr="005071A1">
              <w:t>0.06</w:t>
            </w:r>
          </w:p>
        </w:tc>
      </w:tr>
      <w:tr w:rsidR="00B33542" w:rsidRPr="005071A1" w14:paraId="15A4E027" w14:textId="77777777" w:rsidTr="009B7AF5">
        <w:tc>
          <w:tcPr>
            <w:tcW w:w="3260" w:type="dxa"/>
            <w:shd w:val="clear" w:color="auto" w:fill="auto"/>
          </w:tcPr>
          <w:p w14:paraId="124887FB" w14:textId="77777777" w:rsidR="00B33542" w:rsidRPr="005071A1" w:rsidRDefault="00B33542" w:rsidP="009B7AF5">
            <w:pPr>
              <w:pStyle w:val="Tabletext"/>
            </w:pPr>
            <w:r w:rsidRPr="005071A1">
              <w:t>32</w:t>
            </w:r>
          </w:p>
        </w:tc>
        <w:tc>
          <w:tcPr>
            <w:tcW w:w="2552" w:type="dxa"/>
            <w:shd w:val="clear" w:color="auto" w:fill="auto"/>
          </w:tcPr>
          <w:p w14:paraId="03956734" w14:textId="77777777" w:rsidR="00B33542" w:rsidRPr="005071A1" w:rsidRDefault="00B33542" w:rsidP="009B7AF5">
            <w:pPr>
              <w:pStyle w:val="Tabletext"/>
            </w:pPr>
            <w:r w:rsidRPr="005071A1">
              <w:t>0.06</w:t>
            </w:r>
          </w:p>
        </w:tc>
      </w:tr>
      <w:tr w:rsidR="00B33542" w:rsidRPr="005071A1" w14:paraId="4386B1A5" w14:textId="77777777" w:rsidTr="009B7AF5">
        <w:tc>
          <w:tcPr>
            <w:tcW w:w="3260" w:type="dxa"/>
            <w:shd w:val="clear" w:color="auto" w:fill="auto"/>
          </w:tcPr>
          <w:p w14:paraId="7137FCBA" w14:textId="77777777" w:rsidR="00B33542" w:rsidRPr="005071A1" w:rsidRDefault="00B33542" w:rsidP="009B7AF5">
            <w:pPr>
              <w:pStyle w:val="Tabletext"/>
            </w:pPr>
            <w:r w:rsidRPr="005071A1">
              <w:t>33</w:t>
            </w:r>
          </w:p>
        </w:tc>
        <w:tc>
          <w:tcPr>
            <w:tcW w:w="2552" w:type="dxa"/>
            <w:shd w:val="clear" w:color="auto" w:fill="auto"/>
          </w:tcPr>
          <w:p w14:paraId="0BE74D21" w14:textId="77777777" w:rsidR="00B33542" w:rsidRPr="005071A1" w:rsidRDefault="00B33542" w:rsidP="009B7AF5">
            <w:pPr>
              <w:pStyle w:val="Tabletext"/>
            </w:pPr>
            <w:r w:rsidRPr="005071A1">
              <w:t>0.07</w:t>
            </w:r>
          </w:p>
        </w:tc>
      </w:tr>
      <w:tr w:rsidR="00B33542" w:rsidRPr="005071A1" w14:paraId="50007FD5" w14:textId="77777777" w:rsidTr="009B7AF5">
        <w:tc>
          <w:tcPr>
            <w:tcW w:w="3260" w:type="dxa"/>
            <w:shd w:val="clear" w:color="auto" w:fill="auto"/>
          </w:tcPr>
          <w:p w14:paraId="2159EBCC" w14:textId="77777777" w:rsidR="00B33542" w:rsidRPr="005071A1" w:rsidRDefault="00B33542" w:rsidP="009B7AF5">
            <w:pPr>
              <w:pStyle w:val="Tabletext"/>
            </w:pPr>
            <w:r w:rsidRPr="005071A1">
              <w:t>34</w:t>
            </w:r>
          </w:p>
        </w:tc>
        <w:tc>
          <w:tcPr>
            <w:tcW w:w="2552" w:type="dxa"/>
            <w:shd w:val="clear" w:color="auto" w:fill="auto"/>
          </w:tcPr>
          <w:p w14:paraId="11B7B752" w14:textId="77777777" w:rsidR="00B33542" w:rsidRPr="005071A1" w:rsidRDefault="00B33542" w:rsidP="009B7AF5">
            <w:pPr>
              <w:pStyle w:val="Tabletext"/>
            </w:pPr>
            <w:r w:rsidRPr="005071A1">
              <w:t>0.06</w:t>
            </w:r>
          </w:p>
        </w:tc>
      </w:tr>
      <w:tr w:rsidR="00B33542" w:rsidRPr="005071A1" w14:paraId="614C5968" w14:textId="77777777" w:rsidTr="009B7AF5">
        <w:tc>
          <w:tcPr>
            <w:tcW w:w="3260" w:type="dxa"/>
            <w:shd w:val="clear" w:color="auto" w:fill="auto"/>
          </w:tcPr>
          <w:p w14:paraId="3E34ED50" w14:textId="77777777" w:rsidR="00B33542" w:rsidRPr="005071A1" w:rsidRDefault="00B33542" w:rsidP="009B7AF5">
            <w:pPr>
              <w:pStyle w:val="Tabletext"/>
            </w:pPr>
            <w:r w:rsidRPr="005071A1">
              <w:t>35</w:t>
            </w:r>
          </w:p>
        </w:tc>
        <w:tc>
          <w:tcPr>
            <w:tcW w:w="2552" w:type="dxa"/>
            <w:shd w:val="clear" w:color="auto" w:fill="auto"/>
          </w:tcPr>
          <w:p w14:paraId="0F80F53A" w14:textId="77777777" w:rsidR="00B33542" w:rsidRPr="005071A1" w:rsidRDefault="00B33542" w:rsidP="009B7AF5">
            <w:pPr>
              <w:pStyle w:val="Tabletext"/>
            </w:pPr>
            <w:r w:rsidRPr="005071A1">
              <w:t>0.06</w:t>
            </w:r>
          </w:p>
        </w:tc>
      </w:tr>
      <w:tr w:rsidR="00B33542" w:rsidRPr="005071A1" w14:paraId="1819D67D" w14:textId="77777777" w:rsidTr="009B7AF5">
        <w:tc>
          <w:tcPr>
            <w:tcW w:w="3260" w:type="dxa"/>
            <w:shd w:val="clear" w:color="auto" w:fill="auto"/>
          </w:tcPr>
          <w:p w14:paraId="490ED27B" w14:textId="77777777" w:rsidR="00B33542" w:rsidRPr="005071A1" w:rsidRDefault="00B33542" w:rsidP="009B7AF5">
            <w:pPr>
              <w:pStyle w:val="Tabletext"/>
            </w:pPr>
            <w:r w:rsidRPr="005071A1">
              <w:t>36</w:t>
            </w:r>
          </w:p>
        </w:tc>
        <w:tc>
          <w:tcPr>
            <w:tcW w:w="2552" w:type="dxa"/>
            <w:shd w:val="clear" w:color="auto" w:fill="auto"/>
          </w:tcPr>
          <w:p w14:paraId="58ADA182" w14:textId="77777777" w:rsidR="00B33542" w:rsidRPr="005071A1" w:rsidRDefault="00B33542" w:rsidP="009B7AF5">
            <w:pPr>
              <w:pStyle w:val="Tabletext"/>
            </w:pPr>
            <w:r w:rsidRPr="005071A1">
              <w:t>0.07</w:t>
            </w:r>
          </w:p>
        </w:tc>
      </w:tr>
      <w:tr w:rsidR="00B33542" w:rsidRPr="005071A1" w14:paraId="2D6519E6" w14:textId="77777777" w:rsidTr="009B7AF5">
        <w:tc>
          <w:tcPr>
            <w:tcW w:w="3260" w:type="dxa"/>
            <w:shd w:val="clear" w:color="auto" w:fill="auto"/>
          </w:tcPr>
          <w:p w14:paraId="32464038" w14:textId="77777777" w:rsidR="00B33542" w:rsidRPr="005071A1" w:rsidRDefault="00B33542" w:rsidP="009B7AF5">
            <w:pPr>
              <w:pStyle w:val="Tabletext"/>
            </w:pPr>
            <w:r w:rsidRPr="005071A1">
              <w:t>37</w:t>
            </w:r>
          </w:p>
        </w:tc>
        <w:tc>
          <w:tcPr>
            <w:tcW w:w="2552" w:type="dxa"/>
            <w:shd w:val="clear" w:color="auto" w:fill="auto"/>
          </w:tcPr>
          <w:p w14:paraId="4C1A70C5" w14:textId="77777777" w:rsidR="00B33542" w:rsidRPr="005071A1" w:rsidRDefault="00B33542" w:rsidP="009B7AF5">
            <w:pPr>
              <w:pStyle w:val="Tabletext"/>
            </w:pPr>
            <w:r w:rsidRPr="005071A1">
              <w:t>0.07</w:t>
            </w:r>
          </w:p>
        </w:tc>
      </w:tr>
      <w:tr w:rsidR="00B33542" w:rsidRPr="005071A1" w14:paraId="0DA3A506" w14:textId="77777777" w:rsidTr="009B7AF5">
        <w:tc>
          <w:tcPr>
            <w:tcW w:w="3260" w:type="dxa"/>
            <w:shd w:val="clear" w:color="auto" w:fill="auto"/>
          </w:tcPr>
          <w:p w14:paraId="1A9F485A" w14:textId="77777777" w:rsidR="00B33542" w:rsidRPr="005071A1" w:rsidRDefault="00B33542" w:rsidP="009B7AF5">
            <w:pPr>
              <w:pStyle w:val="Tabletext"/>
            </w:pPr>
            <w:r w:rsidRPr="005071A1">
              <w:t>38</w:t>
            </w:r>
          </w:p>
        </w:tc>
        <w:tc>
          <w:tcPr>
            <w:tcW w:w="2552" w:type="dxa"/>
            <w:shd w:val="clear" w:color="auto" w:fill="auto"/>
          </w:tcPr>
          <w:p w14:paraId="6BA75638" w14:textId="77777777" w:rsidR="00B33542" w:rsidRPr="005071A1" w:rsidRDefault="00B33542" w:rsidP="009B7AF5">
            <w:pPr>
              <w:pStyle w:val="Tabletext"/>
            </w:pPr>
            <w:r w:rsidRPr="005071A1">
              <w:t>0.07</w:t>
            </w:r>
          </w:p>
        </w:tc>
      </w:tr>
      <w:tr w:rsidR="00B33542" w:rsidRPr="005071A1" w14:paraId="67971F06" w14:textId="77777777" w:rsidTr="009B7AF5">
        <w:tc>
          <w:tcPr>
            <w:tcW w:w="3260" w:type="dxa"/>
            <w:shd w:val="clear" w:color="auto" w:fill="auto"/>
          </w:tcPr>
          <w:p w14:paraId="59FE8243" w14:textId="77777777" w:rsidR="00B33542" w:rsidRPr="005071A1" w:rsidRDefault="00B33542" w:rsidP="009B7AF5">
            <w:pPr>
              <w:pStyle w:val="Tabletext"/>
            </w:pPr>
            <w:r w:rsidRPr="005071A1">
              <w:t>39</w:t>
            </w:r>
          </w:p>
        </w:tc>
        <w:tc>
          <w:tcPr>
            <w:tcW w:w="2552" w:type="dxa"/>
            <w:shd w:val="clear" w:color="auto" w:fill="auto"/>
          </w:tcPr>
          <w:p w14:paraId="13D82F31" w14:textId="77777777" w:rsidR="00B33542" w:rsidRPr="005071A1" w:rsidRDefault="00B33542" w:rsidP="009B7AF5">
            <w:pPr>
              <w:pStyle w:val="Tabletext"/>
            </w:pPr>
            <w:r w:rsidRPr="005071A1">
              <w:t>0.07</w:t>
            </w:r>
          </w:p>
        </w:tc>
      </w:tr>
      <w:tr w:rsidR="00B33542" w:rsidRPr="005071A1" w14:paraId="55486D03" w14:textId="77777777" w:rsidTr="009B7AF5">
        <w:tc>
          <w:tcPr>
            <w:tcW w:w="3260" w:type="dxa"/>
            <w:shd w:val="clear" w:color="auto" w:fill="auto"/>
          </w:tcPr>
          <w:p w14:paraId="2B8E1A2C" w14:textId="77777777" w:rsidR="00B33542" w:rsidRPr="005071A1" w:rsidRDefault="00B33542" w:rsidP="009B7AF5">
            <w:pPr>
              <w:pStyle w:val="Tabletext"/>
            </w:pPr>
            <w:r w:rsidRPr="005071A1">
              <w:t>40</w:t>
            </w:r>
          </w:p>
        </w:tc>
        <w:tc>
          <w:tcPr>
            <w:tcW w:w="2552" w:type="dxa"/>
            <w:shd w:val="clear" w:color="auto" w:fill="auto"/>
          </w:tcPr>
          <w:p w14:paraId="058EE088" w14:textId="77777777" w:rsidR="00B33542" w:rsidRPr="005071A1" w:rsidRDefault="00B33542" w:rsidP="009B7AF5">
            <w:pPr>
              <w:pStyle w:val="Tabletext"/>
            </w:pPr>
            <w:r w:rsidRPr="005071A1">
              <w:t>0.08</w:t>
            </w:r>
          </w:p>
        </w:tc>
      </w:tr>
      <w:tr w:rsidR="00B33542" w:rsidRPr="005071A1" w14:paraId="2FE12EBA" w14:textId="77777777" w:rsidTr="009B7AF5">
        <w:tc>
          <w:tcPr>
            <w:tcW w:w="3260" w:type="dxa"/>
            <w:shd w:val="clear" w:color="auto" w:fill="auto"/>
          </w:tcPr>
          <w:p w14:paraId="568B015A" w14:textId="77777777" w:rsidR="00B33542" w:rsidRPr="005071A1" w:rsidRDefault="00B33542" w:rsidP="009B7AF5">
            <w:pPr>
              <w:pStyle w:val="Tabletext"/>
            </w:pPr>
            <w:r w:rsidRPr="005071A1">
              <w:t>41</w:t>
            </w:r>
          </w:p>
        </w:tc>
        <w:tc>
          <w:tcPr>
            <w:tcW w:w="2552" w:type="dxa"/>
            <w:shd w:val="clear" w:color="auto" w:fill="auto"/>
          </w:tcPr>
          <w:p w14:paraId="2DBFBDCD" w14:textId="77777777" w:rsidR="00B33542" w:rsidRPr="005071A1" w:rsidRDefault="00B33542" w:rsidP="009B7AF5">
            <w:pPr>
              <w:pStyle w:val="Tabletext"/>
            </w:pPr>
            <w:r w:rsidRPr="005071A1">
              <w:t>0.08</w:t>
            </w:r>
          </w:p>
        </w:tc>
      </w:tr>
      <w:tr w:rsidR="00B33542" w:rsidRPr="005071A1" w14:paraId="34C5422C" w14:textId="77777777" w:rsidTr="009B7AF5">
        <w:tc>
          <w:tcPr>
            <w:tcW w:w="3260" w:type="dxa"/>
            <w:shd w:val="clear" w:color="auto" w:fill="auto"/>
          </w:tcPr>
          <w:p w14:paraId="6CCA5375" w14:textId="77777777" w:rsidR="00B33542" w:rsidRPr="005071A1" w:rsidRDefault="00B33542" w:rsidP="009B7AF5">
            <w:pPr>
              <w:pStyle w:val="Tabletext"/>
            </w:pPr>
            <w:r w:rsidRPr="005071A1">
              <w:t>42</w:t>
            </w:r>
          </w:p>
        </w:tc>
        <w:tc>
          <w:tcPr>
            <w:tcW w:w="2552" w:type="dxa"/>
            <w:shd w:val="clear" w:color="auto" w:fill="auto"/>
          </w:tcPr>
          <w:p w14:paraId="28F0B10F" w14:textId="77777777" w:rsidR="00B33542" w:rsidRPr="005071A1" w:rsidRDefault="00B33542" w:rsidP="009B7AF5">
            <w:pPr>
              <w:pStyle w:val="Tabletext"/>
            </w:pPr>
            <w:r w:rsidRPr="005071A1">
              <w:t>0.08</w:t>
            </w:r>
          </w:p>
        </w:tc>
      </w:tr>
      <w:tr w:rsidR="00B33542" w:rsidRPr="005071A1" w14:paraId="27410950" w14:textId="77777777" w:rsidTr="009B7AF5">
        <w:tc>
          <w:tcPr>
            <w:tcW w:w="3260" w:type="dxa"/>
            <w:shd w:val="clear" w:color="auto" w:fill="auto"/>
          </w:tcPr>
          <w:p w14:paraId="0E8874E5" w14:textId="77777777" w:rsidR="00B33542" w:rsidRPr="005071A1" w:rsidRDefault="00B33542" w:rsidP="009B7AF5">
            <w:pPr>
              <w:pStyle w:val="Tabletext"/>
            </w:pPr>
            <w:r w:rsidRPr="005071A1">
              <w:t>43</w:t>
            </w:r>
          </w:p>
        </w:tc>
        <w:tc>
          <w:tcPr>
            <w:tcW w:w="2552" w:type="dxa"/>
            <w:shd w:val="clear" w:color="auto" w:fill="auto"/>
          </w:tcPr>
          <w:p w14:paraId="23F91FAE" w14:textId="77777777" w:rsidR="00B33542" w:rsidRPr="005071A1" w:rsidRDefault="00B33542" w:rsidP="009B7AF5">
            <w:pPr>
              <w:pStyle w:val="Tabletext"/>
            </w:pPr>
            <w:r w:rsidRPr="005071A1">
              <w:t>0.08</w:t>
            </w:r>
          </w:p>
        </w:tc>
      </w:tr>
      <w:tr w:rsidR="00B33542" w:rsidRPr="005071A1" w14:paraId="15965B07" w14:textId="77777777" w:rsidTr="009B7AF5">
        <w:tc>
          <w:tcPr>
            <w:tcW w:w="3260" w:type="dxa"/>
            <w:shd w:val="clear" w:color="auto" w:fill="auto"/>
          </w:tcPr>
          <w:p w14:paraId="050F1743" w14:textId="77777777" w:rsidR="00B33542" w:rsidRPr="005071A1" w:rsidRDefault="00B33542" w:rsidP="009B7AF5">
            <w:pPr>
              <w:pStyle w:val="Tabletext"/>
            </w:pPr>
            <w:r w:rsidRPr="005071A1">
              <w:t>44</w:t>
            </w:r>
          </w:p>
        </w:tc>
        <w:tc>
          <w:tcPr>
            <w:tcW w:w="2552" w:type="dxa"/>
            <w:shd w:val="clear" w:color="auto" w:fill="auto"/>
          </w:tcPr>
          <w:p w14:paraId="2EFC069C" w14:textId="77777777" w:rsidR="00B33542" w:rsidRPr="005071A1" w:rsidRDefault="00B33542" w:rsidP="009B7AF5">
            <w:pPr>
              <w:pStyle w:val="Tabletext"/>
            </w:pPr>
            <w:r w:rsidRPr="005071A1">
              <w:t>0.08</w:t>
            </w:r>
          </w:p>
        </w:tc>
      </w:tr>
      <w:tr w:rsidR="00B33542" w:rsidRPr="005071A1" w14:paraId="3A1439A9" w14:textId="77777777" w:rsidTr="009B7AF5">
        <w:tc>
          <w:tcPr>
            <w:tcW w:w="3260" w:type="dxa"/>
            <w:shd w:val="clear" w:color="auto" w:fill="auto"/>
          </w:tcPr>
          <w:p w14:paraId="442ED28A" w14:textId="77777777" w:rsidR="00B33542" w:rsidRPr="005071A1" w:rsidRDefault="00B33542" w:rsidP="009B7AF5">
            <w:pPr>
              <w:pStyle w:val="Tabletext"/>
            </w:pPr>
            <w:r w:rsidRPr="005071A1">
              <w:t>45</w:t>
            </w:r>
          </w:p>
        </w:tc>
        <w:tc>
          <w:tcPr>
            <w:tcW w:w="2552" w:type="dxa"/>
            <w:shd w:val="clear" w:color="auto" w:fill="auto"/>
          </w:tcPr>
          <w:p w14:paraId="534FDE69" w14:textId="77777777" w:rsidR="00B33542" w:rsidRPr="005071A1" w:rsidRDefault="00B33542" w:rsidP="009B7AF5">
            <w:pPr>
              <w:pStyle w:val="Tabletext"/>
            </w:pPr>
            <w:r w:rsidRPr="005071A1">
              <w:t>0.09</w:t>
            </w:r>
          </w:p>
        </w:tc>
      </w:tr>
      <w:tr w:rsidR="00B33542" w:rsidRPr="005071A1" w14:paraId="21E5913D" w14:textId="77777777" w:rsidTr="009B7AF5">
        <w:tc>
          <w:tcPr>
            <w:tcW w:w="3260" w:type="dxa"/>
            <w:shd w:val="clear" w:color="auto" w:fill="auto"/>
          </w:tcPr>
          <w:p w14:paraId="34F4E83B" w14:textId="77777777" w:rsidR="00B33542" w:rsidRPr="005071A1" w:rsidRDefault="00B33542" w:rsidP="009B7AF5">
            <w:pPr>
              <w:pStyle w:val="Tabletext"/>
            </w:pPr>
            <w:r w:rsidRPr="005071A1">
              <w:t>46</w:t>
            </w:r>
          </w:p>
        </w:tc>
        <w:tc>
          <w:tcPr>
            <w:tcW w:w="2552" w:type="dxa"/>
            <w:shd w:val="clear" w:color="auto" w:fill="auto"/>
          </w:tcPr>
          <w:p w14:paraId="327DDF20" w14:textId="77777777" w:rsidR="00B33542" w:rsidRPr="005071A1" w:rsidRDefault="00B33542" w:rsidP="009B7AF5">
            <w:pPr>
              <w:pStyle w:val="Tabletext"/>
            </w:pPr>
            <w:r w:rsidRPr="005071A1">
              <w:t>0.09</w:t>
            </w:r>
          </w:p>
        </w:tc>
      </w:tr>
      <w:tr w:rsidR="00B33542" w:rsidRPr="005071A1" w14:paraId="5AF25F24" w14:textId="77777777" w:rsidTr="009B7AF5">
        <w:tc>
          <w:tcPr>
            <w:tcW w:w="3260" w:type="dxa"/>
            <w:shd w:val="clear" w:color="auto" w:fill="auto"/>
          </w:tcPr>
          <w:p w14:paraId="7F0196FD" w14:textId="77777777" w:rsidR="00B33542" w:rsidRPr="005071A1" w:rsidRDefault="00B33542" w:rsidP="009B7AF5">
            <w:pPr>
              <w:pStyle w:val="Tabletext"/>
            </w:pPr>
            <w:r w:rsidRPr="005071A1">
              <w:t>47</w:t>
            </w:r>
          </w:p>
        </w:tc>
        <w:tc>
          <w:tcPr>
            <w:tcW w:w="2552" w:type="dxa"/>
            <w:shd w:val="clear" w:color="auto" w:fill="auto"/>
          </w:tcPr>
          <w:p w14:paraId="7B0A7333" w14:textId="77777777" w:rsidR="00B33542" w:rsidRPr="005071A1" w:rsidRDefault="00B33542" w:rsidP="009B7AF5">
            <w:pPr>
              <w:pStyle w:val="Tabletext"/>
            </w:pPr>
            <w:r w:rsidRPr="005071A1">
              <w:t>0.10</w:t>
            </w:r>
          </w:p>
        </w:tc>
      </w:tr>
      <w:tr w:rsidR="00B33542" w:rsidRPr="005071A1" w14:paraId="54663614" w14:textId="77777777" w:rsidTr="009B7AF5">
        <w:tc>
          <w:tcPr>
            <w:tcW w:w="3260" w:type="dxa"/>
            <w:shd w:val="clear" w:color="auto" w:fill="auto"/>
          </w:tcPr>
          <w:p w14:paraId="1F38CC69" w14:textId="77777777" w:rsidR="00B33542" w:rsidRPr="005071A1" w:rsidRDefault="00B33542" w:rsidP="009B7AF5">
            <w:pPr>
              <w:pStyle w:val="Tabletext"/>
            </w:pPr>
            <w:r w:rsidRPr="005071A1">
              <w:t>48</w:t>
            </w:r>
          </w:p>
        </w:tc>
        <w:tc>
          <w:tcPr>
            <w:tcW w:w="2552" w:type="dxa"/>
            <w:shd w:val="clear" w:color="auto" w:fill="auto"/>
          </w:tcPr>
          <w:p w14:paraId="610693F0" w14:textId="77777777" w:rsidR="00B33542" w:rsidRPr="005071A1" w:rsidRDefault="00B33542" w:rsidP="009B7AF5">
            <w:pPr>
              <w:pStyle w:val="Tabletext"/>
            </w:pPr>
            <w:r w:rsidRPr="005071A1">
              <w:t>0.12</w:t>
            </w:r>
          </w:p>
        </w:tc>
      </w:tr>
      <w:tr w:rsidR="00B33542" w:rsidRPr="005071A1" w14:paraId="03F6A68B" w14:textId="77777777" w:rsidTr="009B7AF5">
        <w:tc>
          <w:tcPr>
            <w:tcW w:w="3260" w:type="dxa"/>
            <w:shd w:val="clear" w:color="auto" w:fill="auto"/>
          </w:tcPr>
          <w:p w14:paraId="70357993" w14:textId="77777777" w:rsidR="00B33542" w:rsidRPr="005071A1" w:rsidRDefault="00B33542" w:rsidP="009B7AF5">
            <w:pPr>
              <w:pStyle w:val="Tabletext"/>
            </w:pPr>
            <w:r w:rsidRPr="005071A1">
              <w:t>49</w:t>
            </w:r>
          </w:p>
        </w:tc>
        <w:tc>
          <w:tcPr>
            <w:tcW w:w="2552" w:type="dxa"/>
            <w:shd w:val="clear" w:color="auto" w:fill="auto"/>
          </w:tcPr>
          <w:p w14:paraId="4E85F436" w14:textId="77777777" w:rsidR="00B33542" w:rsidRPr="005071A1" w:rsidRDefault="00B33542" w:rsidP="009B7AF5">
            <w:pPr>
              <w:pStyle w:val="Tabletext"/>
            </w:pPr>
            <w:r w:rsidRPr="005071A1">
              <w:t>0.12</w:t>
            </w:r>
          </w:p>
        </w:tc>
      </w:tr>
      <w:tr w:rsidR="00B33542" w:rsidRPr="005071A1" w14:paraId="2A27FD1E" w14:textId="77777777" w:rsidTr="009B7AF5">
        <w:tc>
          <w:tcPr>
            <w:tcW w:w="3260" w:type="dxa"/>
            <w:shd w:val="clear" w:color="auto" w:fill="auto"/>
          </w:tcPr>
          <w:p w14:paraId="285FDDB1" w14:textId="77777777" w:rsidR="00B33542" w:rsidRPr="005071A1" w:rsidRDefault="00B33542" w:rsidP="009B7AF5">
            <w:pPr>
              <w:pStyle w:val="Tabletext"/>
            </w:pPr>
            <w:r w:rsidRPr="005071A1">
              <w:t>50</w:t>
            </w:r>
          </w:p>
        </w:tc>
        <w:tc>
          <w:tcPr>
            <w:tcW w:w="2552" w:type="dxa"/>
            <w:shd w:val="clear" w:color="auto" w:fill="auto"/>
          </w:tcPr>
          <w:p w14:paraId="00C895D0" w14:textId="77777777" w:rsidR="00B33542" w:rsidRPr="005071A1" w:rsidRDefault="00B33542" w:rsidP="009B7AF5">
            <w:pPr>
              <w:pStyle w:val="Tabletext"/>
            </w:pPr>
            <w:r w:rsidRPr="005071A1">
              <w:t>0.14</w:t>
            </w:r>
          </w:p>
        </w:tc>
      </w:tr>
      <w:tr w:rsidR="00B33542" w:rsidRPr="005071A1" w14:paraId="6A540FFF" w14:textId="77777777" w:rsidTr="009B7AF5">
        <w:tc>
          <w:tcPr>
            <w:tcW w:w="3260" w:type="dxa"/>
            <w:shd w:val="clear" w:color="auto" w:fill="auto"/>
          </w:tcPr>
          <w:p w14:paraId="5B263659" w14:textId="77777777" w:rsidR="00B33542" w:rsidRPr="005071A1" w:rsidRDefault="00B33542" w:rsidP="009B7AF5">
            <w:pPr>
              <w:pStyle w:val="Tabletext"/>
            </w:pPr>
            <w:r w:rsidRPr="005071A1">
              <w:t>51</w:t>
            </w:r>
          </w:p>
        </w:tc>
        <w:tc>
          <w:tcPr>
            <w:tcW w:w="2552" w:type="dxa"/>
            <w:shd w:val="clear" w:color="auto" w:fill="auto"/>
          </w:tcPr>
          <w:p w14:paraId="63FFE07D" w14:textId="77777777" w:rsidR="00B33542" w:rsidRPr="005071A1" w:rsidRDefault="00B33542" w:rsidP="009B7AF5">
            <w:pPr>
              <w:pStyle w:val="Tabletext"/>
            </w:pPr>
            <w:r w:rsidRPr="005071A1">
              <w:t>0.15</w:t>
            </w:r>
          </w:p>
        </w:tc>
      </w:tr>
      <w:tr w:rsidR="00B33542" w:rsidRPr="005071A1" w14:paraId="3E96DE3D" w14:textId="77777777" w:rsidTr="009B7AF5">
        <w:tc>
          <w:tcPr>
            <w:tcW w:w="3260" w:type="dxa"/>
            <w:shd w:val="clear" w:color="auto" w:fill="auto"/>
          </w:tcPr>
          <w:p w14:paraId="35F69BC1" w14:textId="77777777" w:rsidR="00B33542" w:rsidRPr="005071A1" w:rsidRDefault="00B33542" w:rsidP="009B7AF5">
            <w:pPr>
              <w:pStyle w:val="Tabletext"/>
            </w:pPr>
            <w:r w:rsidRPr="005071A1">
              <w:t>52</w:t>
            </w:r>
          </w:p>
        </w:tc>
        <w:tc>
          <w:tcPr>
            <w:tcW w:w="2552" w:type="dxa"/>
            <w:shd w:val="clear" w:color="auto" w:fill="auto"/>
          </w:tcPr>
          <w:p w14:paraId="50C20717" w14:textId="77777777" w:rsidR="00B33542" w:rsidRPr="005071A1" w:rsidRDefault="00B33542" w:rsidP="009B7AF5">
            <w:pPr>
              <w:pStyle w:val="Tabletext"/>
            </w:pPr>
            <w:r w:rsidRPr="005071A1">
              <w:t>0.18</w:t>
            </w:r>
          </w:p>
        </w:tc>
      </w:tr>
      <w:tr w:rsidR="00B33542" w:rsidRPr="005071A1" w14:paraId="5379F2A3" w14:textId="77777777" w:rsidTr="009B7AF5">
        <w:tc>
          <w:tcPr>
            <w:tcW w:w="3260" w:type="dxa"/>
            <w:shd w:val="clear" w:color="auto" w:fill="auto"/>
          </w:tcPr>
          <w:p w14:paraId="3CD89EAE" w14:textId="77777777" w:rsidR="00B33542" w:rsidRPr="005071A1" w:rsidRDefault="00B33542" w:rsidP="009B7AF5">
            <w:pPr>
              <w:pStyle w:val="Tabletext"/>
            </w:pPr>
            <w:r w:rsidRPr="005071A1">
              <w:t>53</w:t>
            </w:r>
          </w:p>
        </w:tc>
        <w:tc>
          <w:tcPr>
            <w:tcW w:w="2552" w:type="dxa"/>
            <w:shd w:val="clear" w:color="auto" w:fill="auto"/>
          </w:tcPr>
          <w:p w14:paraId="5D4C4EDA" w14:textId="77777777" w:rsidR="00B33542" w:rsidRPr="005071A1" w:rsidRDefault="00B33542" w:rsidP="009B7AF5">
            <w:pPr>
              <w:pStyle w:val="Tabletext"/>
            </w:pPr>
            <w:r w:rsidRPr="005071A1">
              <w:t>0.20</w:t>
            </w:r>
          </w:p>
        </w:tc>
      </w:tr>
      <w:tr w:rsidR="00B33542" w:rsidRPr="005071A1" w14:paraId="2DFF3AA6" w14:textId="77777777" w:rsidTr="009B7AF5">
        <w:tc>
          <w:tcPr>
            <w:tcW w:w="3260" w:type="dxa"/>
            <w:shd w:val="clear" w:color="auto" w:fill="auto"/>
          </w:tcPr>
          <w:p w14:paraId="085E3135" w14:textId="77777777" w:rsidR="00B33542" w:rsidRPr="005071A1" w:rsidRDefault="00B33542" w:rsidP="009B7AF5">
            <w:pPr>
              <w:pStyle w:val="Tabletext"/>
            </w:pPr>
            <w:r w:rsidRPr="005071A1">
              <w:t>54</w:t>
            </w:r>
          </w:p>
        </w:tc>
        <w:tc>
          <w:tcPr>
            <w:tcW w:w="2552" w:type="dxa"/>
            <w:shd w:val="clear" w:color="auto" w:fill="auto"/>
          </w:tcPr>
          <w:p w14:paraId="20927780" w14:textId="77777777" w:rsidR="00B33542" w:rsidRPr="005071A1" w:rsidRDefault="00B33542" w:rsidP="009B7AF5">
            <w:pPr>
              <w:pStyle w:val="Tabletext"/>
            </w:pPr>
            <w:r w:rsidRPr="005071A1">
              <w:t>0.23</w:t>
            </w:r>
          </w:p>
        </w:tc>
      </w:tr>
      <w:tr w:rsidR="00B33542" w:rsidRPr="005071A1" w14:paraId="3EE62CC7" w14:textId="77777777" w:rsidTr="009B7AF5">
        <w:tc>
          <w:tcPr>
            <w:tcW w:w="3260" w:type="dxa"/>
            <w:shd w:val="clear" w:color="auto" w:fill="auto"/>
          </w:tcPr>
          <w:p w14:paraId="3379C148" w14:textId="77777777" w:rsidR="00B33542" w:rsidRPr="005071A1" w:rsidRDefault="00B33542" w:rsidP="009B7AF5">
            <w:pPr>
              <w:pStyle w:val="Tabletext"/>
            </w:pPr>
            <w:r w:rsidRPr="005071A1">
              <w:t>55</w:t>
            </w:r>
          </w:p>
        </w:tc>
        <w:tc>
          <w:tcPr>
            <w:tcW w:w="2552" w:type="dxa"/>
            <w:shd w:val="clear" w:color="auto" w:fill="auto"/>
          </w:tcPr>
          <w:p w14:paraId="60F8ABDD" w14:textId="77777777" w:rsidR="00B33542" w:rsidRPr="005071A1" w:rsidRDefault="00B33542" w:rsidP="009B7AF5">
            <w:pPr>
              <w:pStyle w:val="Tabletext"/>
            </w:pPr>
            <w:r w:rsidRPr="005071A1">
              <w:t>0.28</w:t>
            </w:r>
          </w:p>
        </w:tc>
      </w:tr>
      <w:tr w:rsidR="00B33542" w:rsidRPr="005071A1" w14:paraId="1B4339D4" w14:textId="77777777" w:rsidTr="009B7AF5">
        <w:tc>
          <w:tcPr>
            <w:tcW w:w="3260" w:type="dxa"/>
            <w:shd w:val="clear" w:color="auto" w:fill="auto"/>
          </w:tcPr>
          <w:p w14:paraId="1F50B2ED" w14:textId="77777777" w:rsidR="00B33542" w:rsidRPr="005071A1" w:rsidRDefault="00B33542" w:rsidP="009B7AF5">
            <w:pPr>
              <w:pStyle w:val="Tabletext"/>
            </w:pPr>
            <w:r w:rsidRPr="005071A1">
              <w:t>56</w:t>
            </w:r>
          </w:p>
        </w:tc>
        <w:tc>
          <w:tcPr>
            <w:tcW w:w="2552" w:type="dxa"/>
            <w:shd w:val="clear" w:color="auto" w:fill="auto"/>
          </w:tcPr>
          <w:p w14:paraId="75ECDF66" w14:textId="77777777" w:rsidR="00B33542" w:rsidRPr="005071A1" w:rsidRDefault="00B33542" w:rsidP="009B7AF5">
            <w:pPr>
              <w:pStyle w:val="Tabletext"/>
            </w:pPr>
            <w:r w:rsidRPr="005071A1">
              <w:t>0.33</w:t>
            </w:r>
          </w:p>
        </w:tc>
      </w:tr>
      <w:tr w:rsidR="00B33542" w:rsidRPr="005071A1" w14:paraId="2768A0E7" w14:textId="77777777" w:rsidTr="009B7AF5">
        <w:tc>
          <w:tcPr>
            <w:tcW w:w="3260" w:type="dxa"/>
            <w:shd w:val="clear" w:color="auto" w:fill="auto"/>
          </w:tcPr>
          <w:p w14:paraId="7D0E3189" w14:textId="77777777" w:rsidR="00B33542" w:rsidRPr="005071A1" w:rsidRDefault="00B33542" w:rsidP="009B7AF5">
            <w:pPr>
              <w:pStyle w:val="Tabletext"/>
            </w:pPr>
            <w:r w:rsidRPr="005071A1">
              <w:t>57</w:t>
            </w:r>
          </w:p>
        </w:tc>
        <w:tc>
          <w:tcPr>
            <w:tcW w:w="2552" w:type="dxa"/>
            <w:shd w:val="clear" w:color="auto" w:fill="auto"/>
          </w:tcPr>
          <w:p w14:paraId="248F4577" w14:textId="77777777" w:rsidR="00B33542" w:rsidRPr="005071A1" w:rsidRDefault="00B33542" w:rsidP="009B7AF5">
            <w:pPr>
              <w:pStyle w:val="Tabletext"/>
            </w:pPr>
            <w:r w:rsidRPr="005071A1">
              <w:t>0.45</w:t>
            </w:r>
          </w:p>
        </w:tc>
      </w:tr>
      <w:tr w:rsidR="00B33542" w:rsidRPr="005071A1" w14:paraId="3C1AB7AD" w14:textId="77777777" w:rsidTr="009B7AF5">
        <w:tc>
          <w:tcPr>
            <w:tcW w:w="3260" w:type="dxa"/>
            <w:shd w:val="clear" w:color="auto" w:fill="auto"/>
          </w:tcPr>
          <w:p w14:paraId="73F17A02" w14:textId="77777777" w:rsidR="00B33542" w:rsidRPr="005071A1" w:rsidRDefault="00B33542" w:rsidP="009B7AF5">
            <w:pPr>
              <w:pStyle w:val="Tabletext"/>
            </w:pPr>
            <w:r w:rsidRPr="005071A1">
              <w:t>58</w:t>
            </w:r>
          </w:p>
        </w:tc>
        <w:tc>
          <w:tcPr>
            <w:tcW w:w="2552" w:type="dxa"/>
            <w:shd w:val="clear" w:color="auto" w:fill="auto"/>
          </w:tcPr>
          <w:p w14:paraId="11E2927E" w14:textId="77777777" w:rsidR="00B33542" w:rsidRPr="005071A1" w:rsidRDefault="00B33542" w:rsidP="009B7AF5">
            <w:pPr>
              <w:pStyle w:val="Tabletext"/>
            </w:pPr>
            <w:r w:rsidRPr="005071A1">
              <w:t>0.65</w:t>
            </w:r>
          </w:p>
        </w:tc>
      </w:tr>
      <w:tr w:rsidR="00B33542" w:rsidRPr="005071A1" w14:paraId="440A79F4" w14:textId="77777777" w:rsidTr="009B7AF5">
        <w:tc>
          <w:tcPr>
            <w:tcW w:w="3260" w:type="dxa"/>
            <w:tcBorders>
              <w:bottom w:val="single" w:sz="4" w:space="0" w:color="auto"/>
            </w:tcBorders>
            <w:shd w:val="clear" w:color="auto" w:fill="auto"/>
          </w:tcPr>
          <w:p w14:paraId="680541C2" w14:textId="77777777" w:rsidR="00B33542" w:rsidRPr="005071A1" w:rsidRDefault="00B33542" w:rsidP="009B7AF5">
            <w:pPr>
              <w:pStyle w:val="Tabletext"/>
            </w:pPr>
            <w:r w:rsidRPr="005071A1">
              <w:t>59</w:t>
            </w:r>
          </w:p>
        </w:tc>
        <w:tc>
          <w:tcPr>
            <w:tcW w:w="2552" w:type="dxa"/>
            <w:tcBorders>
              <w:bottom w:val="single" w:sz="4" w:space="0" w:color="auto"/>
            </w:tcBorders>
            <w:shd w:val="clear" w:color="auto" w:fill="auto"/>
          </w:tcPr>
          <w:p w14:paraId="2CB8AE7B" w14:textId="77777777" w:rsidR="00B33542" w:rsidRPr="005071A1" w:rsidRDefault="00B33542" w:rsidP="009B7AF5">
            <w:pPr>
              <w:pStyle w:val="Tabletext"/>
            </w:pPr>
            <w:r w:rsidRPr="005071A1">
              <w:t>1.27</w:t>
            </w:r>
          </w:p>
        </w:tc>
      </w:tr>
      <w:tr w:rsidR="00B33542" w:rsidRPr="005071A1" w14:paraId="247D47DA" w14:textId="77777777" w:rsidTr="009B7AF5">
        <w:tc>
          <w:tcPr>
            <w:tcW w:w="3260" w:type="dxa"/>
            <w:tcBorders>
              <w:bottom w:val="single" w:sz="12" w:space="0" w:color="auto"/>
            </w:tcBorders>
            <w:shd w:val="clear" w:color="auto" w:fill="auto"/>
          </w:tcPr>
          <w:p w14:paraId="60F5543D" w14:textId="77777777" w:rsidR="00B33542" w:rsidRPr="005071A1" w:rsidRDefault="00B33542" w:rsidP="009B7AF5">
            <w:pPr>
              <w:pStyle w:val="Tabletext"/>
            </w:pPr>
            <w:r w:rsidRPr="005071A1">
              <w:t>60</w:t>
            </w:r>
          </w:p>
        </w:tc>
        <w:tc>
          <w:tcPr>
            <w:tcW w:w="2552" w:type="dxa"/>
            <w:tcBorders>
              <w:bottom w:val="single" w:sz="12" w:space="0" w:color="auto"/>
            </w:tcBorders>
            <w:shd w:val="clear" w:color="auto" w:fill="auto"/>
          </w:tcPr>
          <w:p w14:paraId="3EAD96C1" w14:textId="77777777" w:rsidR="00B33542" w:rsidRPr="005071A1" w:rsidRDefault="00B33542" w:rsidP="009B7AF5">
            <w:pPr>
              <w:pStyle w:val="Tabletext"/>
            </w:pPr>
            <w:r w:rsidRPr="005071A1">
              <w:t>1.13</w:t>
            </w:r>
          </w:p>
        </w:tc>
      </w:tr>
    </w:tbl>
    <w:p w14:paraId="753A3296" w14:textId="77777777" w:rsidR="00B33542" w:rsidRPr="005071A1" w:rsidRDefault="00B33542" w:rsidP="00674A0D">
      <w:pPr>
        <w:pStyle w:val="ActHead5"/>
        <w:pageBreakBefore/>
      </w:pPr>
      <w:bookmarkStart w:id="328" w:name="_Toc185577709"/>
      <w:r w:rsidRPr="005071A1">
        <w:t>Table XVII</w:t>
      </w:r>
      <w:bookmarkEnd w:id="328"/>
    </w:p>
    <w:p w14:paraId="54B38DC4" w14:textId="77777777" w:rsidR="00B33542" w:rsidRPr="005071A1" w:rsidRDefault="00B33542" w:rsidP="00B33542">
      <w:pPr>
        <w:spacing w:before="120"/>
      </w:pPr>
      <w:r w:rsidRPr="005071A1">
        <w:t>Reduction in fortnightly rates of contribution payable on or after 1st July, 1962, by male contributors for units of pension to which section</w:t>
      </w:r>
      <w:r w:rsidR="008B2950" w:rsidRPr="005071A1">
        <w:t> </w:t>
      </w:r>
      <w:r w:rsidRPr="005071A1">
        <w:t>23(3)(a) applies, based on the age next birthday of the contributor when the obligation to contribute for those units came into existence</w:t>
      </w:r>
    </w:p>
    <w:p w14:paraId="075279FD" w14:textId="77777777" w:rsidR="009B7AF5" w:rsidRPr="005071A1" w:rsidRDefault="009B7AF5" w:rsidP="009B7AF5">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35"/>
        <w:gridCol w:w="1276"/>
        <w:gridCol w:w="1701"/>
      </w:tblGrid>
      <w:tr w:rsidR="00B33542" w:rsidRPr="005071A1" w14:paraId="448C4350" w14:textId="77777777" w:rsidTr="009B7AF5">
        <w:trPr>
          <w:tblHeader/>
        </w:trPr>
        <w:tc>
          <w:tcPr>
            <w:tcW w:w="2835" w:type="dxa"/>
            <w:tcBorders>
              <w:top w:val="single" w:sz="12" w:space="0" w:color="auto"/>
              <w:bottom w:val="single" w:sz="6" w:space="0" w:color="auto"/>
            </w:tcBorders>
            <w:shd w:val="clear" w:color="auto" w:fill="auto"/>
          </w:tcPr>
          <w:p w14:paraId="021E93F7" w14:textId="77777777" w:rsidR="00B33542" w:rsidRPr="005071A1" w:rsidRDefault="00B33542" w:rsidP="009B7AF5">
            <w:pPr>
              <w:pStyle w:val="TableHeading"/>
            </w:pPr>
            <w:r w:rsidRPr="005071A1">
              <w:t>Column 1</w:t>
            </w:r>
          </w:p>
        </w:tc>
        <w:tc>
          <w:tcPr>
            <w:tcW w:w="2977" w:type="dxa"/>
            <w:gridSpan w:val="2"/>
            <w:tcBorders>
              <w:top w:val="single" w:sz="12" w:space="0" w:color="auto"/>
              <w:bottom w:val="single" w:sz="6" w:space="0" w:color="auto"/>
            </w:tcBorders>
            <w:shd w:val="clear" w:color="auto" w:fill="auto"/>
          </w:tcPr>
          <w:p w14:paraId="6A1F0EEB" w14:textId="77777777" w:rsidR="00B33542" w:rsidRPr="005071A1" w:rsidRDefault="00B33542" w:rsidP="009B7AF5">
            <w:pPr>
              <w:pStyle w:val="TableHeading"/>
            </w:pPr>
            <w:r w:rsidRPr="005071A1">
              <w:t>Column 2</w:t>
            </w:r>
          </w:p>
        </w:tc>
      </w:tr>
      <w:tr w:rsidR="00B33542" w:rsidRPr="005071A1" w14:paraId="1848A821" w14:textId="77777777" w:rsidTr="00CF0C39">
        <w:trPr>
          <w:tblHeader/>
        </w:trPr>
        <w:tc>
          <w:tcPr>
            <w:tcW w:w="2835" w:type="dxa"/>
            <w:tcBorders>
              <w:top w:val="single" w:sz="6" w:space="0" w:color="auto"/>
              <w:bottom w:val="nil"/>
            </w:tcBorders>
            <w:shd w:val="clear" w:color="auto" w:fill="auto"/>
          </w:tcPr>
          <w:p w14:paraId="53FF1ACB" w14:textId="77777777" w:rsidR="00B33542" w:rsidRPr="005071A1" w:rsidRDefault="00B33542" w:rsidP="00AD02FE">
            <w:pPr>
              <w:pStyle w:val="TableHeading"/>
              <w:spacing w:before="40" w:after="40" w:line="180" w:lineRule="atLeast"/>
              <w:rPr>
                <w:sz w:val="16"/>
                <w:szCs w:val="16"/>
              </w:rPr>
            </w:pPr>
          </w:p>
        </w:tc>
        <w:tc>
          <w:tcPr>
            <w:tcW w:w="2977" w:type="dxa"/>
            <w:gridSpan w:val="2"/>
            <w:tcBorders>
              <w:top w:val="single" w:sz="6" w:space="0" w:color="auto"/>
              <w:bottom w:val="single" w:sz="6" w:space="0" w:color="auto"/>
            </w:tcBorders>
            <w:shd w:val="clear" w:color="auto" w:fill="auto"/>
          </w:tcPr>
          <w:p w14:paraId="7CB3C991" w14:textId="77777777" w:rsidR="00B33542" w:rsidRPr="005071A1" w:rsidRDefault="00B33542" w:rsidP="00AD02FE">
            <w:pPr>
              <w:pStyle w:val="TableHeading"/>
              <w:spacing w:before="40" w:after="40" w:line="180" w:lineRule="atLeast"/>
              <w:rPr>
                <w:sz w:val="16"/>
                <w:szCs w:val="16"/>
              </w:rPr>
            </w:pPr>
            <w:r w:rsidRPr="005071A1">
              <w:rPr>
                <w:sz w:val="16"/>
                <w:szCs w:val="16"/>
              </w:rPr>
              <w:t>Reduction in Contribution for each Additional Unit, based on a Retiring Age of—</w:t>
            </w:r>
          </w:p>
        </w:tc>
      </w:tr>
      <w:tr w:rsidR="00B33542" w:rsidRPr="005071A1" w14:paraId="0EFA6CD4" w14:textId="77777777" w:rsidTr="00CF0C39">
        <w:trPr>
          <w:tblHeader/>
        </w:trPr>
        <w:tc>
          <w:tcPr>
            <w:tcW w:w="2835" w:type="dxa"/>
            <w:tcBorders>
              <w:top w:val="nil"/>
              <w:bottom w:val="single" w:sz="6" w:space="0" w:color="auto"/>
            </w:tcBorders>
            <w:shd w:val="clear" w:color="auto" w:fill="auto"/>
          </w:tcPr>
          <w:p w14:paraId="3666B58F" w14:textId="77777777" w:rsidR="00B33542" w:rsidRPr="005071A1" w:rsidRDefault="00B33542" w:rsidP="00AD02FE">
            <w:pPr>
              <w:pStyle w:val="TableHeading"/>
              <w:spacing w:before="40" w:after="40" w:line="180" w:lineRule="atLeast"/>
              <w:rPr>
                <w:sz w:val="16"/>
                <w:szCs w:val="16"/>
              </w:rPr>
            </w:pPr>
            <w:r w:rsidRPr="005071A1">
              <w:rPr>
                <w:sz w:val="16"/>
                <w:szCs w:val="16"/>
              </w:rPr>
              <w:t>Age next Birthday</w:t>
            </w:r>
          </w:p>
        </w:tc>
        <w:tc>
          <w:tcPr>
            <w:tcW w:w="1276" w:type="dxa"/>
            <w:tcBorders>
              <w:top w:val="single" w:sz="6" w:space="0" w:color="auto"/>
              <w:bottom w:val="single" w:sz="6" w:space="0" w:color="auto"/>
            </w:tcBorders>
            <w:shd w:val="clear" w:color="auto" w:fill="auto"/>
          </w:tcPr>
          <w:p w14:paraId="1D4FF1F0" w14:textId="77777777" w:rsidR="00B33542" w:rsidRPr="005071A1" w:rsidRDefault="00B33542" w:rsidP="00AD02FE">
            <w:pPr>
              <w:pStyle w:val="TableHeading"/>
              <w:spacing w:before="40" w:after="40" w:line="180" w:lineRule="atLeast"/>
              <w:rPr>
                <w:sz w:val="16"/>
                <w:szCs w:val="16"/>
              </w:rPr>
            </w:pPr>
            <w:r w:rsidRPr="005071A1">
              <w:rPr>
                <w:sz w:val="16"/>
                <w:szCs w:val="16"/>
              </w:rPr>
              <w:t>65 years</w:t>
            </w:r>
          </w:p>
        </w:tc>
        <w:tc>
          <w:tcPr>
            <w:tcW w:w="1701" w:type="dxa"/>
            <w:tcBorders>
              <w:top w:val="single" w:sz="6" w:space="0" w:color="auto"/>
              <w:bottom w:val="single" w:sz="6" w:space="0" w:color="auto"/>
            </w:tcBorders>
            <w:shd w:val="clear" w:color="auto" w:fill="auto"/>
          </w:tcPr>
          <w:p w14:paraId="1F014680" w14:textId="77777777" w:rsidR="00B33542" w:rsidRPr="005071A1" w:rsidRDefault="00B33542" w:rsidP="00AD02FE">
            <w:pPr>
              <w:pStyle w:val="TableHeading"/>
              <w:spacing w:before="40" w:after="40" w:line="180" w:lineRule="atLeast"/>
              <w:rPr>
                <w:sz w:val="16"/>
                <w:szCs w:val="16"/>
              </w:rPr>
            </w:pPr>
            <w:r w:rsidRPr="005071A1">
              <w:rPr>
                <w:sz w:val="16"/>
                <w:szCs w:val="16"/>
              </w:rPr>
              <w:t>60 years</w:t>
            </w:r>
          </w:p>
        </w:tc>
      </w:tr>
      <w:tr w:rsidR="00B33542" w:rsidRPr="005071A1" w14:paraId="750114DC" w14:textId="77777777" w:rsidTr="009B7AF5">
        <w:trPr>
          <w:tblHeader/>
        </w:trPr>
        <w:tc>
          <w:tcPr>
            <w:tcW w:w="2835" w:type="dxa"/>
            <w:tcBorders>
              <w:top w:val="single" w:sz="6" w:space="0" w:color="auto"/>
              <w:bottom w:val="single" w:sz="12" w:space="0" w:color="auto"/>
            </w:tcBorders>
            <w:shd w:val="clear" w:color="auto" w:fill="auto"/>
          </w:tcPr>
          <w:p w14:paraId="382DA9B4" w14:textId="77777777" w:rsidR="00B33542" w:rsidRPr="005071A1" w:rsidRDefault="00B33542" w:rsidP="00AD02FE">
            <w:pPr>
              <w:pStyle w:val="TableHeading"/>
            </w:pPr>
          </w:p>
        </w:tc>
        <w:tc>
          <w:tcPr>
            <w:tcW w:w="1276" w:type="dxa"/>
            <w:tcBorders>
              <w:top w:val="single" w:sz="6" w:space="0" w:color="auto"/>
              <w:bottom w:val="single" w:sz="12" w:space="0" w:color="auto"/>
            </w:tcBorders>
            <w:shd w:val="clear" w:color="auto" w:fill="auto"/>
          </w:tcPr>
          <w:p w14:paraId="4AD42A11" w14:textId="77777777" w:rsidR="00B33542" w:rsidRPr="005071A1" w:rsidRDefault="00B33542" w:rsidP="00AD02FE">
            <w:pPr>
              <w:pStyle w:val="TableHeading"/>
            </w:pPr>
            <w:r w:rsidRPr="005071A1">
              <w:t>$</w:t>
            </w:r>
          </w:p>
        </w:tc>
        <w:tc>
          <w:tcPr>
            <w:tcW w:w="1701" w:type="dxa"/>
            <w:tcBorders>
              <w:top w:val="single" w:sz="6" w:space="0" w:color="auto"/>
              <w:bottom w:val="single" w:sz="12" w:space="0" w:color="auto"/>
            </w:tcBorders>
            <w:shd w:val="clear" w:color="auto" w:fill="auto"/>
          </w:tcPr>
          <w:p w14:paraId="485EB98C" w14:textId="77777777" w:rsidR="00B33542" w:rsidRPr="005071A1" w:rsidRDefault="00B33542" w:rsidP="00AD02FE">
            <w:pPr>
              <w:pStyle w:val="TableHeading"/>
            </w:pPr>
            <w:r w:rsidRPr="005071A1">
              <w:t>$</w:t>
            </w:r>
          </w:p>
        </w:tc>
      </w:tr>
      <w:tr w:rsidR="00B33542" w:rsidRPr="005071A1" w14:paraId="32D802B5" w14:textId="77777777" w:rsidTr="009B7AF5">
        <w:tc>
          <w:tcPr>
            <w:tcW w:w="2835" w:type="dxa"/>
            <w:tcBorders>
              <w:top w:val="single" w:sz="12" w:space="0" w:color="auto"/>
            </w:tcBorders>
            <w:shd w:val="clear" w:color="auto" w:fill="auto"/>
          </w:tcPr>
          <w:p w14:paraId="458A366E" w14:textId="77777777" w:rsidR="00B33542" w:rsidRPr="005071A1" w:rsidRDefault="00B33542" w:rsidP="009B7AF5">
            <w:pPr>
              <w:pStyle w:val="Tabletext"/>
            </w:pPr>
            <w:r w:rsidRPr="005071A1">
              <w:t>15</w:t>
            </w:r>
          </w:p>
        </w:tc>
        <w:tc>
          <w:tcPr>
            <w:tcW w:w="1276" w:type="dxa"/>
            <w:tcBorders>
              <w:top w:val="single" w:sz="12" w:space="0" w:color="auto"/>
            </w:tcBorders>
            <w:shd w:val="clear" w:color="auto" w:fill="auto"/>
          </w:tcPr>
          <w:p w14:paraId="6256F333" w14:textId="77777777" w:rsidR="00B33542" w:rsidRPr="005071A1" w:rsidRDefault="00B33542" w:rsidP="009B7AF5">
            <w:pPr>
              <w:pStyle w:val="Tabletext"/>
            </w:pPr>
            <w:r w:rsidRPr="005071A1">
              <w:t>0.03</w:t>
            </w:r>
          </w:p>
        </w:tc>
        <w:tc>
          <w:tcPr>
            <w:tcW w:w="1701" w:type="dxa"/>
            <w:tcBorders>
              <w:top w:val="single" w:sz="12" w:space="0" w:color="auto"/>
            </w:tcBorders>
            <w:shd w:val="clear" w:color="auto" w:fill="auto"/>
          </w:tcPr>
          <w:p w14:paraId="3CBCD22E" w14:textId="77777777" w:rsidR="00B33542" w:rsidRPr="005071A1" w:rsidRDefault="00B33542" w:rsidP="009B7AF5">
            <w:pPr>
              <w:pStyle w:val="Tabletext"/>
            </w:pPr>
            <w:r w:rsidRPr="005071A1">
              <w:t>0.05</w:t>
            </w:r>
          </w:p>
        </w:tc>
      </w:tr>
      <w:tr w:rsidR="00B33542" w:rsidRPr="005071A1" w14:paraId="19426608" w14:textId="77777777" w:rsidTr="009B7AF5">
        <w:tc>
          <w:tcPr>
            <w:tcW w:w="2835" w:type="dxa"/>
            <w:shd w:val="clear" w:color="auto" w:fill="auto"/>
          </w:tcPr>
          <w:p w14:paraId="23ECA4FC" w14:textId="77777777" w:rsidR="00B33542" w:rsidRPr="005071A1" w:rsidRDefault="00B33542" w:rsidP="009B7AF5">
            <w:pPr>
              <w:pStyle w:val="Tabletext"/>
            </w:pPr>
            <w:r w:rsidRPr="005071A1">
              <w:t>16</w:t>
            </w:r>
          </w:p>
        </w:tc>
        <w:tc>
          <w:tcPr>
            <w:tcW w:w="1276" w:type="dxa"/>
            <w:shd w:val="clear" w:color="auto" w:fill="auto"/>
          </w:tcPr>
          <w:p w14:paraId="4882191C" w14:textId="77777777" w:rsidR="00B33542" w:rsidRPr="005071A1" w:rsidRDefault="00B33542" w:rsidP="009B7AF5">
            <w:pPr>
              <w:pStyle w:val="Tabletext"/>
            </w:pPr>
            <w:r w:rsidRPr="005071A1">
              <w:t>0.03</w:t>
            </w:r>
          </w:p>
        </w:tc>
        <w:tc>
          <w:tcPr>
            <w:tcW w:w="1701" w:type="dxa"/>
            <w:shd w:val="clear" w:color="auto" w:fill="auto"/>
          </w:tcPr>
          <w:p w14:paraId="420A1E8A" w14:textId="77777777" w:rsidR="00B33542" w:rsidRPr="005071A1" w:rsidRDefault="00B33542" w:rsidP="009B7AF5">
            <w:pPr>
              <w:pStyle w:val="Tabletext"/>
            </w:pPr>
            <w:r w:rsidRPr="005071A1">
              <w:t>0.04</w:t>
            </w:r>
          </w:p>
        </w:tc>
      </w:tr>
      <w:tr w:rsidR="00B33542" w:rsidRPr="005071A1" w14:paraId="4ED61905" w14:textId="77777777" w:rsidTr="009B7AF5">
        <w:tc>
          <w:tcPr>
            <w:tcW w:w="2835" w:type="dxa"/>
            <w:shd w:val="clear" w:color="auto" w:fill="auto"/>
          </w:tcPr>
          <w:p w14:paraId="235108D7" w14:textId="77777777" w:rsidR="00B33542" w:rsidRPr="005071A1" w:rsidRDefault="00B33542" w:rsidP="009B7AF5">
            <w:pPr>
              <w:pStyle w:val="Tabletext"/>
            </w:pPr>
            <w:r w:rsidRPr="005071A1">
              <w:t>17</w:t>
            </w:r>
          </w:p>
        </w:tc>
        <w:tc>
          <w:tcPr>
            <w:tcW w:w="1276" w:type="dxa"/>
            <w:shd w:val="clear" w:color="auto" w:fill="auto"/>
          </w:tcPr>
          <w:p w14:paraId="76CCE1F7" w14:textId="77777777" w:rsidR="00B33542" w:rsidRPr="005071A1" w:rsidRDefault="00B33542" w:rsidP="009B7AF5">
            <w:pPr>
              <w:pStyle w:val="Tabletext"/>
            </w:pPr>
            <w:r w:rsidRPr="005071A1">
              <w:t>0.03</w:t>
            </w:r>
          </w:p>
        </w:tc>
        <w:tc>
          <w:tcPr>
            <w:tcW w:w="1701" w:type="dxa"/>
            <w:shd w:val="clear" w:color="auto" w:fill="auto"/>
          </w:tcPr>
          <w:p w14:paraId="2D05B3F9" w14:textId="77777777" w:rsidR="00B33542" w:rsidRPr="005071A1" w:rsidRDefault="00B33542" w:rsidP="009B7AF5">
            <w:pPr>
              <w:pStyle w:val="Tabletext"/>
            </w:pPr>
            <w:r w:rsidRPr="005071A1">
              <w:t>0.04</w:t>
            </w:r>
          </w:p>
        </w:tc>
      </w:tr>
      <w:tr w:rsidR="00B33542" w:rsidRPr="005071A1" w14:paraId="36F78E31" w14:textId="77777777" w:rsidTr="009B7AF5">
        <w:tc>
          <w:tcPr>
            <w:tcW w:w="2835" w:type="dxa"/>
            <w:shd w:val="clear" w:color="auto" w:fill="auto"/>
          </w:tcPr>
          <w:p w14:paraId="068AAC30" w14:textId="77777777" w:rsidR="00B33542" w:rsidRPr="005071A1" w:rsidRDefault="00B33542" w:rsidP="009B7AF5">
            <w:pPr>
              <w:pStyle w:val="Tabletext"/>
            </w:pPr>
            <w:r w:rsidRPr="005071A1">
              <w:t>18</w:t>
            </w:r>
          </w:p>
        </w:tc>
        <w:tc>
          <w:tcPr>
            <w:tcW w:w="1276" w:type="dxa"/>
            <w:shd w:val="clear" w:color="auto" w:fill="auto"/>
          </w:tcPr>
          <w:p w14:paraId="10FC58F9" w14:textId="77777777" w:rsidR="00B33542" w:rsidRPr="005071A1" w:rsidRDefault="00B33542" w:rsidP="009B7AF5">
            <w:pPr>
              <w:pStyle w:val="Tabletext"/>
            </w:pPr>
            <w:r w:rsidRPr="005071A1">
              <w:t>0.03</w:t>
            </w:r>
          </w:p>
        </w:tc>
        <w:tc>
          <w:tcPr>
            <w:tcW w:w="1701" w:type="dxa"/>
            <w:shd w:val="clear" w:color="auto" w:fill="auto"/>
          </w:tcPr>
          <w:p w14:paraId="3BEE1064" w14:textId="77777777" w:rsidR="00B33542" w:rsidRPr="005071A1" w:rsidRDefault="00B33542" w:rsidP="009B7AF5">
            <w:pPr>
              <w:pStyle w:val="Tabletext"/>
            </w:pPr>
            <w:r w:rsidRPr="005071A1">
              <w:t>0.04</w:t>
            </w:r>
          </w:p>
        </w:tc>
      </w:tr>
      <w:tr w:rsidR="00B33542" w:rsidRPr="005071A1" w14:paraId="3E310EBA" w14:textId="77777777" w:rsidTr="009B7AF5">
        <w:tc>
          <w:tcPr>
            <w:tcW w:w="2835" w:type="dxa"/>
            <w:shd w:val="clear" w:color="auto" w:fill="auto"/>
          </w:tcPr>
          <w:p w14:paraId="5216BAAD" w14:textId="77777777" w:rsidR="00B33542" w:rsidRPr="005071A1" w:rsidRDefault="00B33542" w:rsidP="009B7AF5">
            <w:pPr>
              <w:pStyle w:val="Tabletext"/>
            </w:pPr>
            <w:r w:rsidRPr="005071A1">
              <w:t>19</w:t>
            </w:r>
          </w:p>
        </w:tc>
        <w:tc>
          <w:tcPr>
            <w:tcW w:w="1276" w:type="dxa"/>
            <w:shd w:val="clear" w:color="auto" w:fill="auto"/>
          </w:tcPr>
          <w:p w14:paraId="4D04669F" w14:textId="77777777" w:rsidR="00B33542" w:rsidRPr="005071A1" w:rsidRDefault="00B33542" w:rsidP="009B7AF5">
            <w:pPr>
              <w:pStyle w:val="Tabletext"/>
            </w:pPr>
            <w:r w:rsidRPr="005071A1">
              <w:t>0.04</w:t>
            </w:r>
          </w:p>
        </w:tc>
        <w:tc>
          <w:tcPr>
            <w:tcW w:w="1701" w:type="dxa"/>
            <w:shd w:val="clear" w:color="auto" w:fill="auto"/>
          </w:tcPr>
          <w:p w14:paraId="3CE1D18E" w14:textId="77777777" w:rsidR="00B33542" w:rsidRPr="005071A1" w:rsidRDefault="00B33542" w:rsidP="009B7AF5">
            <w:pPr>
              <w:pStyle w:val="Tabletext"/>
            </w:pPr>
            <w:r w:rsidRPr="005071A1">
              <w:t>0.04</w:t>
            </w:r>
          </w:p>
        </w:tc>
      </w:tr>
      <w:tr w:rsidR="00B33542" w:rsidRPr="005071A1" w14:paraId="79D52E1B" w14:textId="77777777" w:rsidTr="009B7AF5">
        <w:tc>
          <w:tcPr>
            <w:tcW w:w="2835" w:type="dxa"/>
            <w:shd w:val="clear" w:color="auto" w:fill="auto"/>
          </w:tcPr>
          <w:p w14:paraId="7B0EBCC0" w14:textId="77777777" w:rsidR="00B33542" w:rsidRPr="005071A1" w:rsidRDefault="00B33542" w:rsidP="009B7AF5">
            <w:pPr>
              <w:pStyle w:val="Tabletext"/>
            </w:pPr>
            <w:r w:rsidRPr="005071A1">
              <w:t>20</w:t>
            </w:r>
          </w:p>
        </w:tc>
        <w:tc>
          <w:tcPr>
            <w:tcW w:w="1276" w:type="dxa"/>
            <w:shd w:val="clear" w:color="auto" w:fill="auto"/>
          </w:tcPr>
          <w:p w14:paraId="7F6C0104" w14:textId="77777777" w:rsidR="00B33542" w:rsidRPr="005071A1" w:rsidRDefault="00B33542" w:rsidP="009B7AF5">
            <w:pPr>
              <w:pStyle w:val="Tabletext"/>
            </w:pPr>
            <w:r w:rsidRPr="005071A1">
              <w:t>0.03</w:t>
            </w:r>
          </w:p>
        </w:tc>
        <w:tc>
          <w:tcPr>
            <w:tcW w:w="1701" w:type="dxa"/>
            <w:shd w:val="clear" w:color="auto" w:fill="auto"/>
          </w:tcPr>
          <w:p w14:paraId="6D6FEC9D" w14:textId="77777777" w:rsidR="00B33542" w:rsidRPr="005071A1" w:rsidRDefault="00B33542" w:rsidP="009B7AF5">
            <w:pPr>
              <w:pStyle w:val="Tabletext"/>
            </w:pPr>
            <w:r w:rsidRPr="005071A1">
              <w:t>0.04</w:t>
            </w:r>
          </w:p>
        </w:tc>
      </w:tr>
      <w:tr w:rsidR="00B33542" w:rsidRPr="005071A1" w14:paraId="4803518A" w14:textId="77777777" w:rsidTr="009B7AF5">
        <w:tc>
          <w:tcPr>
            <w:tcW w:w="2835" w:type="dxa"/>
            <w:shd w:val="clear" w:color="auto" w:fill="auto"/>
          </w:tcPr>
          <w:p w14:paraId="0256B162" w14:textId="77777777" w:rsidR="00B33542" w:rsidRPr="005071A1" w:rsidRDefault="00B33542" w:rsidP="009B7AF5">
            <w:pPr>
              <w:pStyle w:val="Tabletext"/>
            </w:pPr>
            <w:r w:rsidRPr="005071A1">
              <w:t>21</w:t>
            </w:r>
          </w:p>
        </w:tc>
        <w:tc>
          <w:tcPr>
            <w:tcW w:w="1276" w:type="dxa"/>
            <w:shd w:val="clear" w:color="auto" w:fill="auto"/>
          </w:tcPr>
          <w:p w14:paraId="52DF9B8C" w14:textId="77777777" w:rsidR="00B33542" w:rsidRPr="005071A1" w:rsidRDefault="00B33542" w:rsidP="009B7AF5">
            <w:pPr>
              <w:pStyle w:val="Tabletext"/>
            </w:pPr>
            <w:r w:rsidRPr="005071A1">
              <w:t>0.02</w:t>
            </w:r>
          </w:p>
        </w:tc>
        <w:tc>
          <w:tcPr>
            <w:tcW w:w="1701" w:type="dxa"/>
            <w:shd w:val="clear" w:color="auto" w:fill="auto"/>
          </w:tcPr>
          <w:p w14:paraId="675F245F" w14:textId="77777777" w:rsidR="00B33542" w:rsidRPr="005071A1" w:rsidRDefault="00B33542" w:rsidP="009B7AF5">
            <w:pPr>
              <w:pStyle w:val="Tabletext"/>
            </w:pPr>
            <w:r w:rsidRPr="005071A1">
              <w:t>0.04</w:t>
            </w:r>
          </w:p>
        </w:tc>
      </w:tr>
      <w:tr w:rsidR="00B33542" w:rsidRPr="005071A1" w14:paraId="23CC1629" w14:textId="77777777" w:rsidTr="009B7AF5">
        <w:tc>
          <w:tcPr>
            <w:tcW w:w="2835" w:type="dxa"/>
            <w:shd w:val="clear" w:color="auto" w:fill="auto"/>
          </w:tcPr>
          <w:p w14:paraId="425BECBB" w14:textId="77777777" w:rsidR="00B33542" w:rsidRPr="005071A1" w:rsidRDefault="00B33542" w:rsidP="009B7AF5">
            <w:pPr>
              <w:pStyle w:val="Tabletext"/>
            </w:pPr>
            <w:r w:rsidRPr="005071A1">
              <w:t>22</w:t>
            </w:r>
          </w:p>
        </w:tc>
        <w:tc>
          <w:tcPr>
            <w:tcW w:w="1276" w:type="dxa"/>
            <w:shd w:val="clear" w:color="auto" w:fill="auto"/>
          </w:tcPr>
          <w:p w14:paraId="5B95945A" w14:textId="77777777" w:rsidR="00B33542" w:rsidRPr="005071A1" w:rsidRDefault="00B33542" w:rsidP="009B7AF5">
            <w:pPr>
              <w:pStyle w:val="Tabletext"/>
            </w:pPr>
            <w:r w:rsidRPr="005071A1">
              <w:t>0.03</w:t>
            </w:r>
          </w:p>
        </w:tc>
        <w:tc>
          <w:tcPr>
            <w:tcW w:w="1701" w:type="dxa"/>
            <w:shd w:val="clear" w:color="auto" w:fill="auto"/>
          </w:tcPr>
          <w:p w14:paraId="14693968" w14:textId="77777777" w:rsidR="00B33542" w:rsidRPr="005071A1" w:rsidRDefault="00B33542" w:rsidP="009B7AF5">
            <w:pPr>
              <w:pStyle w:val="Tabletext"/>
            </w:pPr>
            <w:r w:rsidRPr="005071A1">
              <w:t>0.04</w:t>
            </w:r>
          </w:p>
        </w:tc>
      </w:tr>
      <w:tr w:rsidR="00B33542" w:rsidRPr="005071A1" w14:paraId="48D7CF5D" w14:textId="77777777" w:rsidTr="009B7AF5">
        <w:tc>
          <w:tcPr>
            <w:tcW w:w="2835" w:type="dxa"/>
            <w:shd w:val="clear" w:color="auto" w:fill="auto"/>
          </w:tcPr>
          <w:p w14:paraId="677AF264" w14:textId="77777777" w:rsidR="00B33542" w:rsidRPr="005071A1" w:rsidRDefault="00B33542" w:rsidP="009B7AF5">
            <w:pPr>
              <w:pStyle w:val="Tabletext"/>
            </w:pPr>
            <w:r w:rsidRPr="005071A1">
              <w:t>23</w:t>
            </w:r>
          </w:p>
        </w:tc>
        <w:tc>
          <w:tcPr>
            <w:tcW w:w="1276" w:type="dxa"/>
            <w:shd w:val="clear" w:color="auto" w:fill="auto"/>
          </w:tcPr>
          <w:p w14:paraId="72B1DBD0" w14:textId="77777777" w:rsidR="00B33542" w:rsidRPr="005071A1" w:rsidRDefault="00B33542" w:rsidP="009B7AF5">
            <w:pPr>
              <w:pStyle w:val="Tabletext"/>
            </w:pPr>
            <w:r w:rsidRPr="005071A1">
              <w:t>0.03</w:t>
            </w:r>
          </w:p>
        </w:tc>
        <w:tc>
          <w:tcPr>
            <w:tcW w:w="1701" w:type="dxa"/>
            <w:shd w:val="clear" w:color="auto" w:fill="auto"/>
          </w:tcPr>
          <w:p w14:paraId="2C4AB393" w14:textId="77777777" w:rsidR="00B33542" w:rsidRPr="005071A1" w:rsidRDefault="00B33542" w:rsidP="009B7AF5">
            <w:pPr>
              <w:pStyle w:val="Tabletext"/>
            </w:pPr>
            <w:r w:rsidRPr="005071A1">
              <w:t>0.04</w:t>
            </w:r>
          </w:p>
        </w:tc>
      </w:tr>
      <w:tr w:rsidR="00B33542" w:rsidRPr="005071A1" w14:paraId="55328CCF" w14:textId="77777777" w:rsidTr="009B7AF5">
        <w:tc>
          <w:tcPr>
            <w:tcW w:w="2835" w:type="dxa"/>
            <w:shd w:val="clear" w:color="auto" w:fill="auto"/>
          </w:tcPr>
          <w:p w14:paraId="1A3B0F22" w14:textId="77777777" w:rsidR="00B33542" w:rsidRPr="005071A1" w:rsidRDefault="00B33542" w:rsidP="009B7AF5">
            <w:pPr>
              <w:pStyle w:val="Tabletext"/>
            </w:pPr>
            <w:r w:rsidRPr="005071A1">
              <w:t>24</w:t>
            </w:r>
          </w:p>
        </w:tc>
        <w:tc>
          <w:tcPr>
            <w:tcW w:w="1276" w:type="dxa"/>
            <w:shd w:val="clear" w:color="auto" w:fill="auto"/>
          </w:tcPr>
          <w:p w14:paraId="66C057DA" w14:textId="77777777" w:rsidR="00B33542" w:rsidRPr="005071A1" w:rsidRDefault="00B33542" w:rsidP="009B7AF5">
            <w:pPr>
              <w:pStyle w:val="Tabletext"/>
            </w:pPr>
            <w:r w:rsidRPr="005071A1">
              <w:t>0.03</w:t>
            </w:r>
          </w:p>
        </w:tc>
        <w:tc>
          <w:tcPr>
            <w:tcW w:w="1701" w:type="dxa"/>
            <w:shd w:val="clear" w:color="auto" w:fill="auto"/>
          </w:tcPr>
          <w:p w14:paraId="7BF7317D" w14:textId="77777777" w:rsidR="00B33542" w:rsidRPr="005071A1" w:rsidRDefault="00B33542" w:rsidP="009B7AF5">
            <w:pPr>
              <w:pStyle w:val="Tabletext"/>
            </w:pPr>
            <w:r w:rsidRPr="005071A1">
              <w:t>0.05</w:t>
            </w:r>
          </w:p>
        </w:tc>
      </w:tr>
      <w:tr w:rsidR="00B33542" w:rsidRPr="005071A1" w14:paraId="14286EBE" w14:textId="77777777" w:rsidTr="009B7AF5">
        <w:tc>
          <w:tcPr>
            <w:tcW w:w="2835" w:type="dxa"/>
            <w:shd w:val="clear" w:color="auto" w:fill="auto"/>
          </w:tcPr>
          <w:p w14:paraId="0F50B98B" w14:textId="77777777" w:rsidR="00B33542" w:rsidRPr="005071A1" w:rsidRDefault="00B33542" w:rsidP="009B7AF5">
            <w:pPr>
              <w:pStyle w:val="Tabletext"/>
            </w:pPr>
            <w:r w:rsidRPr="005071A1">
              <w:t>25</w:t>
            </w:r>
          </w:p>
        </w:tc>
        <w:tc>
          <w:tcPr>
            <w:tcW w:w="1276" w:type="dxa"/>
            <w:shd w:val="clear" w:color="auto" w:fill="auto"/>
          </w:tcPr>
          <w:p w14:paraId="26EAC2E5" w14:textId="77777777" w:rsidR="00B33542" w:rsidRPr="005071A1" w:rsidRDefault="00B33542" w:rsidP="009B7AF5">
            <w:pPr>
              <w:pStyle w:val="Tabletext"/>
            </w:pPr>
            <w:r w:rsidRPr="005071A1">
              <w:t>0.03</w:t>
            </w:r>
          </w:p>
        </w:tc>
        <w:tc>
          <w:tcPr>
            <w:tcW w:w="1701" w:type="dxa"/>
            <w:shd w:val="clear" w:color="auto" w:fill="auto"/>
          </w:tcPr>
          <w:p w14:paraId="174383EA" w14:textId="77777777" w:rsidR="00B33542" w:rsidRPr="005071A1" w:rsidRDefault="00B33542" w:rsidP="009B7AF5">
            <w:pPr>
              <w:pStyle w:val="Tabletext"/>
            </w:pPr>
            <w:r w:rsidRPr="005071A1">
              <w:t>0.05</w:t>
            </w:r>
          </w:p>
        </w:tc>
      </w:tr>
      <w:tr w:rsidR="00B33542" w:rsidRPr="005071A1" w14:paraId="4713D881" w14:textId="77777777" w:rsidTr="009B7AF5">
        <w:tc>
          <w:tcPr>
            <w:tcW w:w="2835" w:type="dxa"/>
            <w:shd w:val="clear" w:color="auto" w:fill="auto"/>
          </w:tcPr>
          <w:p w14:paraId="6E2D347B" w14:textId="77777777" w:rsidR="00B33542" w:rsidRPr="005071A1" w:rsidRDefault="00B33542" w:rsidP="009B7AF5">
            <w:pPr>
              <w:pStyle w:val="Tabletext"/>
            </w:pPr>
            <w:r w:rsidRPr="005071A1">
              <w:t>26</w:t>
            </w:r>
          </w:p>
        </w:tc>
        <w:tc>
          <w:tcPr>
            <w:tcW w:w="1276" w:type="dxa"/>
            <w:shd w:val="clear" w:color="auto" w:fill="auto"/>
          </w:tcPr>
          <w:p w14:paraId="57433B22" w14:textId="77777777" w:rsidR="00B33542" w:rsidRPr="005071A1" w:rsidRDefault="00B33542" w:rsidP="009B7AF5">
            <w:pPr>
              <w:pStyle w:val="Tabletext"/>
            </w:pPr>
            <w:r w:rsidRPr="005071A1">
              <w:t>0.03</w:t>
            </w:r>
          </w:p>
        </w:tc>
        <w:tc>
          <w:tcPr>
            <w:tcW w:w="1701" w:type="dxa"/>
            <w:shd w:val="clear" w:color="auto" w:fill="auto"/>
          </w:tcPr>
          <w:p w14:paraId="49406948" w14:textId="77777777" w:rsidR="00B33542" w:rsidRPr="005071A1" w:rsidRDefault="00B33542" w:rsidP="009B7AF5">
            <w:pPr>
              <w:pStyle w:val="Tabletext"/>
            </w:pPr>
            <w:r w:rsidRPr="005071A1">
              <w:t>0.05</w:t>
            </w:r>
          </w:p>
        </w:tc>
      </w:tr>
      <w:tr w:rsidR="00B33542" w:rsidRPr="005071A1" w14:paraId="00C82545" w14:textId="77777777" w:rsidTr="009B7AF5">
        <w:tc>
          <w:tcPr>
            <w:tcW w:w="2835" w:type="dxa"/>
            <w:shd w:val="clear" w:color="auto" w:fill="auto"/>
          </w:tcPr>
          <w:p w14:paraId="5F65B589" w14:textId="77777777" w:rsidR="00B33542" w:rsidRPr="005071A1" w:rsidRDefault="00B33542" w:rsidP="009B7AF5">
            <w:pPr>
              <w:pStyle w:val="Tabletext"/>
            </w:pPr>
            <w:r w:rsidRPr="005071A1">
              <w:t>27</w:t>
            </w:r>
          </w:p>
        </w:tc>
        <w:tc>
          <w:tcPr>
            <w:tcW w:w="1276" w:type="dxa"/>
            <w:shd w:val="clear" w:color="auto" w:fill="auto"/>
          </w:tcPr>
          <w:p w14:paraId="5BF23F74" w14:textId="77777777" w:rsidR="00B33542" w:rsidRPr="005071A1" w:rsidRDefault="00B33542" w:rsidP="009B7AF5">
            <w:pPr>
              <w:pStyle w:val="Tabletext"/>
            </w:pPr>
            <w:r w:rsidRPr="005071A1">
              <w:t>0.04</w:t>
            </w:r>
          </w:p>
        </w:tc>
        <w:tc>
          <w:tcPr>
            <w:tcW w:w="1701" w:type="dxa"/>
            <w:shd w:val="clear" w:color="auto" w:fill="auto"/>
          </w:tcPr>
          <w:p w14:paraId="77793A8D" w14:textId="77777777" w:rsidR="00B33542" w:rsidRPr="005071A1" w:rsidRDefault="00B33542" w:rsidP="009B7AF5">
            <w:pPr>
              <w:pStyle w:val="Tabletext"/>
            </w:pPr>
            <w:r w:rsidRPr="005071A1">
              <w:t>0.06</w:t>
            </w:r>
          </w:p>
        </w:tc>
      </w:tr>
      <w:tr w:rsidR="00B33542" w:rsidRPr="005071A1" w14:paraId="502A0189" w14:textId="77777777" w:rsidTr="009B7AF5">
        <w:tc>
          <w:tcPr>
            <w:tcW w:w="2835" w:type="dxa"/>
            <w:shd w:val="clear" w:color="auto" w:fill="auto"/>
          </w:tcPr>
          <w:p w14:paraId="194A66DD" w14:textId="77777777" w:rsidR="00B33542" w:rsidRPr="005071A1" w:rsidRDefault="00B33542" w:rsidP="009B7AF5">
            <w:pPr>
              <w:pStyle w:val="Tabletext"/>
            </w:pPr>
            <w:r w:rsidRPr="005071A1">
              <w:t>28</w:t>
            </w:r>
          </w:p>
        </w:tc>
        <w:tc>
          <w:tcPr>
            <w:tcW w:w="1276" w:type="dxa"/>
            <w:shd w:val="clear" w:color="auto" w:fill="auto"/>
          </w:tcPr>
          <w:p w14:paraId="5658F8DD" w14:textId="77777777" w:rsidR="00B33542" w:rsidRPr="005071A1" w:rsidRDefault="00B33542" w:rsidP="009B7AF5">
            <w:pPr>
              <w:pStyle w:val="Tabletext"/>
            </w:pPr>
            <w:r w:rsidRPr="005071A1">
              <w:t>0.04</w:t>
            </w:r>
          </w:p>
        </w:tc>
        <w:tc>
          <w:tcPr>
            <w:tcW w:w="1701" w:type="dxa"/>
            <w:shd w:val="clear" w:color="auto" w:fill="auto"/>
          </w:tcPr>
          <w:p w14:paraId="2E500DB1" w14:textId="77777777" w:rsidR="00B33542" w:rsidRPr="005071A1" w:rsidRDefault="00B33542" w:rsidP="009B7AF5">
            <w:pPr>
              <w:pStyle w:val="Tabletext"/>
            </w:pPr>
            <w:r w:rsidRPr="005071A1">
              <w:t>0.05</w:t>
            </w:r>
          </w:p>
        </w:tc>
      </w:tr>
      <w:tr w:rsidR="00B33542" w:rsidRPr="005071A1" w14:paraId="716D0F98" w14:textId="77777777" w:rsidTr="009B7AF5">
        <w:tc>
          <w:tcPr>
            <w:tcW w:w="2835" w:type="dxa"/>
            <w:shd w:val="clear" w:color="auto" w:fill="auto"/>
          </w:tcPr>
          <w:p w14:paraId="7689D47C" w14:textId="77777777" w:rsidR="00B33542" w:rsidRPr="005071A1" w:rsidRDefault="00B33542" w:rsidP="009B7AF5">
            <w:pPr>
              <w:pStyle w:val="Tabletext"/>
            </w:pPr>
            <w:r w:rsidRPr="005071A1">
              <w:t>29</w:t>
            </w:r>
          </w:p>
        </w:tc>
        <w:tc>
          <w:tcPr>
            <w:tcW w:w="1276" w:type="dxa"/>
            <w:shd w:val="clear" w:color="auto" w:fill="auto"/>
          </w:tcPr>
          <w:p w14:paraId="20A99295" w14:textId="77777777" w:rsidR="00B33542" w:rsidRPr="005071A1" w:rsidRDefault="00B33542" w:rsidP="009B7AF5">
            <w:pPr>
              <w:pStyle w:val="Tabletext"/>
            </w:pPr>
            <w:r w:rsidRPr="005071A1">
              <w:t>0.04</w:t>
            </w:r>
          </w:p>
        </w:tc>
        <w:tc>
          <w:tcPr>
            <w:tcW w:w="1701" w:type="dxa"/>
            <w:shd w:val="clear" w:color="auto" w:fill="auto"/>
          </w:tcPr>
          <w:p w14:paraId="24692995" w14:textId="77777777" w:rsidR="00B33542" w:rsidRPr="005071A1" w:rsidRDefault="00B33542" w:rsidP="009B7AF5">
            <w:pPr>
              <w:pStyle w:val="Tabletext"/>
            </w:pPr>
            <w:r w:rsidRPr="005071A1">
              <w:t>0.06</w:t>
            </w:r>
          </w:p>
        </w:tc>
      </w:tr>
      <w:tr w:rsidR="00B33542" w:rsidRPr="005071A1" w14:paraId="7C060152" w14:textId="77777777" w:rsidTr="009B7AF5">
        <w:tc>
          <w:tcPr>
            <w:tcW w:w="2835" w:type="dxa"/>
            <w:shd w:val="clear" w:color="auto" w:fill="auto"/>
          </w:tcPr>
          <w:p w14:paraId="7FFC2B95" w14:textId="77777777" w:rsidR="00B33542" w:rsidRPr="005071A1" w:rsidRDefault="00B33542" w:rsidP="009B7AF5">
            <w:pPr>
              <w:pStyle w:val="Tabletext"/>
            </w:pPr>
            <w:r w:rsidRPr="005071A1">
              <w:t>30</w:t>
            </w:r>
          </w:p>
        </w:tc>
        <w:tc>
          <w:tcPr>
            <w:tcW w:w="1276" w:type="dxa"/>
            <w:shd w:val="clear" w:color="auto" w:fill="auto"/>
          </w:tcPr>
          <w:p w14:paraId="0820EC97" w14:textId="77777777" w:rsidR="00B33542" w:rsidRPr="005071A1" w:rsidRDefault="00B33542" w:rsidP="009B7AF5">
            <w:pPr>
              <w:pStyle w:val="Tabletext"/>
            </w:pPr>
            <w:r w:rsidRPr="005071A1">
              <w:t>0.05</w:t>
            </w:r>
          </w:p>
        </w:tc>
        <w:tc>
          <w:tcPr>
            <w:tcW w:w="1701" w:type="dxa"/>
            <w:shd w:val="clear" w:color="auto" w:fill="auto"/>
          </w:tcPr>
          <w:p w14:paraId="72212143" w14:textId="77777777" w:rsidR="00B33542" w:rsidRPr="005071A1" w:rsidRDefault="00B33542" w:rsidP="009B7AF5">
            <w:pPr>
              <w:pStyle w:val="Tabletext"/>
            </w:pPr>
            <w:r w:rsidRPr="005071A1">
              <w:t>0.06</w:t>
            </w:r>
          </w:p>
        </w:tc>
      </w:tr>
      <w:tr w:rsidR="00B33542" w:rsidRPr="005071A1" w14:paraId="5549FA71" w14:textId="77777777" w:rsidTr="009B7AF5">
        <w:tc>
          <w:tcPr>
            <w:tcW w:w="2835" w:type="dxa"/>
            <w:shd w:val="clear" w:color="auto" w:fill="auto"/>
          </w:tcPr>
          <w:p w14:paraId="0D6D9BE8" w14:textId="77777777" w:rsidR="00B33542" w:rsidRPr="005071A1" w:rsidRDefault="00B33542" w:rsidP="009B7AF5">
            <w:pPr>
              <w:pStyle w:val="Tabletext"/>
            </w:pPr>
            <w:r w:rsidRPr="005071A1">
              <w:t>31</w:t>
            </w:r>
          </w:p>
        </w:tc>
        <w:tc>
          <w:tcPr>
            <w:tcW w:w="1276" w:type="dxa"/>
            <w:shd w:val="clear" w:color="auto" w:fill="auto"/>
          </w:tcPr>
          <w:p w14:paraId="4102C329" w14:textId="77777777" w:rsidR="00B33542" w:rsidRPr="005071A1" w:rsidRDefault="00B33542" w:rsidP="009B7AF5">
            <w:pPr>
              <w:pStyle w:val="Tabletext"/>
            </w:pPr>
            <w:r w:rsidRPr="005071A1">
              <w:t>0.05</w:t>
            </w:r>
          </w:p>
        </w:tc>
        <w:tc>
          <w:tcPr>
            <w:tcW w:w="1701" w:type="dxa"/>
            <w:shd w:val="clear" w:color="auto" w:fill="auto"/>
          </w:tcPr>
          <w:p w14:paraId="2205D85C" w14:textId="77777777" w:rsidR="00B33542" w:rsidRPr="005071A1" w:rsidRDefault="00B33542" w:rsidP="009B7AF5">
            <w:pPr>
              <w:pStyle w:val="Tabletext"/>
            </w:pPr>
            <w:r w:rsidRPr="005071A1">
              <w:t>0.07</w:t>
            </w:r>
          </w:p>
        </w:tc>
      </w:tr>
      <w:tr w:rsidR="00B33542" w:rsidRPr="005071A1" w14:paraId="0D7C09EE" w14:textId="77777777" w:rsidTr="009B7AF5">
        <w:tc>
          <w:tcPr>
            <w:tcW w:w="2835" w:type="dxa"/>
            <w:shd w:val="clear" w:color="auto" w:fill="auto"/>
          </w:tcPr>
          <w:p w14:paraId="1219A3A9" w14:textId="77777777" w:rsidR="00B33542" w:rsidRPr="005071A1" w:rsidRDefault="00B33542" w:rsidP="009B7AF5">
            <w:pPr>
              <w:pStyle w:val="Tabletext"/>
            </w:pPr>
            <w:r w:rsidRPr="005071A1">
              <w:t>32</w:t>
            </w:r>
          </w:p>
        </w:tc>
        <w:tc>
          <w:tcPr>
            <w:tcW w:w="1276" w:type="dxa"/>
            <w:shd w:val="clear" w:color="auto" w:fill="auto"/>
          </w:tcPr>
          <w:p w14:paraId="7CA83F5E" w14:textId="77777777" w:rsidR="00B33542" w:rsidRPr="005071A1" w:rsidRDefault="00B33542" w:rsidP="009B7AF5">
            <w:pPr>
              <w:pStyle w:val="Tabletext"/>
            </w:pPr>
            <w:r w:rsidRPr="005071A1">
              <w:t>0.05</w:t>
            </w:r>
          </w:p>
        </w:tc>
        <w:tc>
          <w:tcPr>
            <w:tcW w:w="1701" w:type="dxa"/>
            <w:shd w:val="clear" w:color="auto" w:fill="auto"/>
          </w:tcPr>
          <w:p w14:paraId="5D93E318" w14:textId="77777777" w:rsidR="00B33542" w:rsidRPr="005071A1" w:rsidRDefault="00B33542" w:rsidP="009B7AF5">
            <w:pPr>
              <w:pStyle w:val="Tabletext"/>
            </w:pPr>
            <w:r w:rsidRPr="005071A1">
              <w:t>0.07</w:t>
            </w:r>
          </w:p>
        </w:tc>
      </w:tr>
      <w:tr w:rsidR="00B33542" w:rsidRPr="005071A1" w14:paraId="0E41F4DA" w14:textId="77777777" w:rsidTr="00D57394">
        <w:tc>
          <w:tcPr>
            <w:tcW w:w="2835" w:type="dxa"/>
            <w:tcBorders>
              <w:bottom w:val="single" w:sz="4" w:space="0" w:color="auto"/>
            </w:tcBorders>
            <w:shd w:val="clear" w:color="auto" w:fill="auto"/>
          </w:tcPr>
          <w:p w14:paraId="6A95ACC0" w14:textId="77777777" w:rsidR="00B33542" w:rsidRPr="005071A1" w:rsidRDefault="00B33542" w:rsidP="009B7AF5">
            <w:pPr>
              <w:pStyle w:val="Tabletext"/>
            </w:pPr>
            <w:r w:rsidRPr="005071A1">
              <w:t>33</w:t>
            </w:r>
          </w:p>
        </w:tc>
        <w:tc>
          <w:tcPr>
            <w:tcW w:w="1276" w:type="dxa"/>
            <w:tcBorders>
              <w:bottom w:val="single" w:sz="4" w:space="0" w:color="auto"/>
            </w:tcBorders>
            <w:shd w:val="clear" w:color="auto" w:fill="auto"/>
          </w:tcPr>
          <w:p w14:paraId="0B1131EC" w14:textId="77777777" w:rsidR="00B33542" w:rsidRPr="005071A1" w:rsidRDefault="00B33542" w:rsidP="009B7AF5">
            <w:pPr>
              <w:pStyle w:val="Tabletext"/>
            </w:pPr>
            <w:r w:rsidRPr="005071A1">
              <w:t>0.05</w:t>
            </w:r>
          </w:p>
        </w:tc>
        <w:tc>
          <w:tcPr>
            <w:tcW w:w="1701" w:type="dxa"/>
            <w:tcBorders>
              <w:bottom w:val="single" w:sz="4" w:space="0" w:color="auto"/>
            </w:tcBorders>
            <w:shd w:val="clear" w:color="auto" w:fill="auto"/>
          </w:tcPr>
          <w:p w14:paraId="2DB4DAFD" w14:textId="77777777" w:rsidR="00B33542" w:rsidRPr="005071A1" w:rsidRDefault="00B33542" w:rsidP="009B7AF5">
            <w:pPr>
              <w:pStyle w:val="Tabletext"/>
            </w:pPr>
            <w:r w:rsidRPr="005071A1">
              <w:t>0.06</w:t>
            </w:r>
          </w:p>
        </w:tc>
      </w:tr>
      <w:tr w:rsidR="00B33542" w:rsidRPr="005071A1" w14:paraId="16841806" w14:textId="77777777" w:rsidTr="00D57394">
        <w:tc>
          <w:tcPr>
            <w:tcW w:w="2835" w:type="dxa"/>
            <w:tcBorders>
              <w:bottom w:val="single" w:sz="4" w:space="0" w:color="auto"/>
            </w:tcBorders>
            <w:shd w:val="clear" w:color="auto" w:fill="auto"/>
          </w:tcPr>
          <w:p w14:paraId="135B19FA" w14:textId="77777777" w:rsidR="00B33542" w:rsidRPr="005071A1" w:rsidRDefault="00B33542" w:rsidP="009B7AF5">
            <w:pPr>
              <w:pStyle w:val="Tabletext"/>
            </w:pPr>
            <w:r w:rsidRPr="005071A1">
              <w:t>34</w:t>
            </w:r>
          </w:p>
        </w:tc>
        <w:tc>
          <w:tcPr>
            <w:tcW w:w="1276" w:type="dxa"/>
            <w:tcBorders>
              <w:bottom w:val="single" w:sz="4" w:space="0" w:color="auto"/>
            </w:tcBorders>
            <w:shd w:val="clear" w:color="auto" w:fill="auto"/>
          </w:tcPr>
          <w:p w14:paraId="290049F0" w14:textId="77777777" w:rsidR="00B33542" w:rsidRPr="005071A1" w:rsidRDefault="00B33542" w:rsidP="009B7AF5">
            <w:pPr>
              <w:pStyle w:val="Tabletext"/>
            </w:pPr>
            <w:r w:rsidRPr="005071A1">
              <w:t>0.05</w:t>
            </w:r>
          </w:p>
        </w:tc>
        <w:tc>
          <w:tcPr>
            <w:tcW w:w="1701" w:type="dxa"/>
            <w:tcBorders>
              <w:bottom w:val="single" w:sz="4" w:space="0" w:color="auto"/>
            </w:tcBorders>
            <w:shd w:val="clear" w:color="auto" w:fill="auto"/>
          </w:tcPr>
          <w:p w14:paraId="0B2145EC" w14:textId="77777777" w:rsidR="00B33542" w:rsidRPr="005071A1" w:rsidRDefault="00B33542" w:rsidP="009B7AF5">
            <w:pPr>
              <w:pStyle w:val="Tabletext"/>
            </w:pPr>
            <w:r w:rsidRPr="005071A1">
              <w:t>0.06</w:t>
            </w:r>
          </w:p>
        </w:tc>
      </w:tr>
      <w:tr w:rsidR="00B33542" w:rsidRPr="005071A1" w14:paraId="18458C9A" w14:textId="77777777" w:rsidTr="00640BB6">
        <w:tc>
          <w:tcPr>
            <w:tcW w:w="2835" w:type="dxa"/>
            <w:tcBorders>
              <w:top w:val="single" w:sz="4" w:space="0" w:color="auto"/>
              <w:bottom w:val="single" w:sz="4" w:space="0" w:color="auto"/>
            </w:tcBorders>
            <w:shd w:val="clear" w:color="auto" w:fill="auto"/>
          </w:tcPr>
          <w:p w14:paraId="649A54E0" w14:textId="77777777" w:rsidR="00B33542" w:rsidRPr="005071A1" w:rsidRDefault="00B33542" w:rsidP="009B7AF5">
            <w:pPr>
              <w:pStyle w:val="Tabletext"/>
            </w:pPr>
            <w:r w:rsidRPr="005071A1">
              <w:t>35</w:t>
            </w:r>
          </w:p>
        </w:tc>
        <w:tc>
          <w:tcPr>
            <w:tcW w:w="1276" w:type="dxa"/>
            <w:tcBorders>
              <w:top w:val="single" w:sz="4" w:space="0" w:color="auto"/>
              <w:bottom w:val="single" w:sz="4" w:space="0" w:color="auto"/>
            </w:tcBorders>
            <w:shd w:val="clear" w:color="auto" w:fill="auto"/>
          </w:tcPr>
          <w:p w14:paraId="0FB70625" w14:textId="77777777" w:rsidR="00B33542" w:rsidRPr="005071A1" w:rsidRDefault="00B33542" w:rsidP="009B7AF5">
            <w:pPr>
              <w:pStyle w:val="Tabletext"/>
            </w:pPr>
            <w:r w:rsidRPr="005071A1">
              <w:t>0.05</w:t>
            </w:r>
          </w:p>
        </w:tc>
        <w:tc>
          <w:tcPr>
            <w:tcW w:w="1701" w:type="dxa"/>
            <w:tcBorders>
              <w:top w:val="single" w:sz="4" w:space="0" w:color="auto"/>
              <w:bottom w:val="single" w:sz="4" w:space="0" w:color="auto"/>
            </w:tcBorders>
            <w:shd w:val="clear" w:color="auto" w:fill="auto"/>
          </w:tcPr>
          <w:p w14:paraId="7B737B13" w14:textId="77777777" w:rsidR="00B33542" w:rsidRPr="005071A1" w:rsidRDefault="00B33542" w:rsidP="009B7AF5">
            <w:pPr>
              <w:pStyle w:val="Tabletext"/>
            </w:pPr>
            <w:r w:rsidRPr="005071A1">
              <w:t>0.07</w:t>
            </w:r>
          </w:p>
        </w:tc>
      </w:tr>
      <w:tr w:rsidR="00B33542" w:rsidRPr="005071A1" w14:paraId="14BA1416" w14:textId="77777777" w:rsidTr="00640BB6">
        <w:tc>
          <w:tcPr>
            <w:tcW w:w="2835" w:type="dxa"/>
            <w:tcBorders>
              <w:bottom w:val="single" w:sz="4" w:space="0" w:color="auto"/>
            </w:tcBorders>
            <w:shd w:val="clear" w:color="auto" w:fill="auto"/>
          </w:tcPr>
          <w:p w14:paraId="3F2FBDCC" w14:textId="77777777" w:rsidR="00B33542" w:rsidRPr="005071A1" w:rsidRDefault="00B33542" w:rsidP="009B7AF5">
            <w:pPr>
              <w:pStyle w:val="Tabletext"/>
            </w:pPr>
            <w:r w:rsidRPr="005071A1">
              <w:t>36</w:t>
            </w:r>
          </w:p>
        </w:tc>
        <w:tc>
          <w:tcPr>
            <w:tcW w:w="1276" w:type="dxa"/>
            <w:tcBorders>
              <w:bottom w:val="single" w:sz="4" w:space="0" w:color="auto"/>
            </w:tcBorders>
            <w:shd w:val="clear" w:color="auto" w:fill="auto"/>
          </w:tcPr>
          <w:p w14:paraId="25910A63" w14:textId="77777777" w:rsidR="00B33542" w:rsidRPr="005071A1" w:rsidRDefault="00B33542" w:rsidP="009B7AF5">
            <w:pPr>
              <w:pStyle w:val="Tabletext"/>
            </w:pPr>
            <w:r w:rsidRPr="005071A1">
              <w:t>0.05</w:t>
            </w:r>
          </w:p>
        </w:tc>
        <w:tc>
          <w:tcPr>
            <w:tcW w:w="1701" w:type="dxa"/>
            <w:tcBorders>
              <w:bottom w:val="single" w:sz="4" w:space="0" w:color="auto"/>
            </w:tcBorders>
            <w:shd w:val="clear" w:color="auto" w:fill="auto"/>
          </w:tcPr>
          <w:p w14:paraId="4848322F" w14:textId="77777777" w:rsidR="00B33542" w:rsidRPr="005071A1" w:rsidRDefault="00B33542" w:rsidP="009B7AF5">
            <w:pPr>
              <w:pStyle w:val="Tabletext"/>
            </w:pPr>
            <w:r w:rsidRPr="005071A1">
              <w:t>0.07</w:t>
            </w:r>
          </w:p>
        </w:tc>
      </w:tr>
      <w:tr w:rsidR="00B33542" w:rsidRPr="005071A1" w14:paraId="73D4AE32" w14:textId="77777777" w:rsidTr="00640BB6">
        <w:tc>
          <w:tcPr>
            <w:tcW w:w="2835" w:type="dxa"/>
            <w:tcBorders>
              <w:top w:val="single" w:sz="4" w:space="0" w:color="auto"/>
            </w:tcBorders>
            <w:shd w:val="clear" w:color="auto" w:fill="auto"/>
          </w:tcPr>
          <w:p w14:paraId="41A14FC2" w14:textId="77777777" w:rsidR="00B33542" w:rsidRPr="005071A1" w:rsidRDefault="00B33542" w:rsidP="009B7AF5">
            <w:pPr>
              <w:pStyle w:val="Tabletext"/>
            </w:pPr>
            <w:r w:rsidRPr="005071A1">
              <w:t>37</w:t>
            </w:r>
          </w:p>
        </w:tc>
        <w:tc>
          <w:tcPr>
            <w:tcW w:w="1276" w:type="dxa"/>
            <w:tcBorders>
              <w:top w:val="single" w:sz="4" w:space="0" w:color="auto"/>
            </w:tcBorders>
            <w:shd w:val="clear" w:color="auto" w:fill="auto"/>
          </w:tcPr>
          <w:p w14:paraId="647D8F0E" w14:textId="77777777" w:rsidR="00B33542" w:rsidRPr="005071A1" w:rsidRDefault="00B33542" w:rsidP="009B7AF5">
            <w:pPr>
              <w:pStyle w:val="Tabletext"/>
            </w:pPr>
            <w:r w:rsidRPr="005071A1">
              <w:t>0.06</w:t>
            </w:r>
          </w:p>
        </w:tc>
        <w:tc>
          <w:tcPr>
            <w:tcW w:w="1701" w:type="dxa"/>
            <w:tcBorders>
              <w:top w:val="single" w:sz="4" w:space="0" w:color="auto"/>
            </w:tcBorders>
            <w:shd w:val="clear" w:color="auto" w:fill="auto"/>
          </w:tcPr>
          <w:p w14:paraId="3FE5F429" w14:textId="77777777" w:rsidR="00B33542" w:rsidRPr="005071A1" w:rsidRDefault="00B33542" w:rsidP="009B7AF5">
            <w:pPr>
              <w:pStyle w:val="Tabletext"/>
            </w:pPr>
            <w:r w:rsidRPr="005071A1">
              <w:t>0.08</w:t>
            </w:r>
          </w:p>
        </w:tc>
      </w:tr>
      <w:tr w:rsidR="00B33542" w:rsidRPr="005071A1" w14:paraId="784DEF87" w14:textId="77777777" w:rsidTr="009B7AF5">
        <w:tc>
          <w:tcPr>
            <w:tcW w:w="2835" w:type="dxa"/>
            <w:shd w:val="clear" w:color="auto" w:fill="auto"/>
          </w:tcPr>
          <w:p w14:paraId="412BA42F" w14:textId="77777777" w:rsidR="00B33542" w:rsidRPr="005071A1" w:rsidRDefault="00B33542" w:rsidP="009B7AF5">
            <w:pPr>
              <w:pStyle w:val="Tabletext"/>
            </w:pPr>
            <w:r w:rsidRPr="005071A1">
              <w:t>38</w:t>
            </w:r>
          </w:p>
        </w:tc>
        <w:tc>
          <w:tcPr>
            <w:tcW w:w="1276" w:type="dxa"/>
            <w:shd w:val="clear" w:color="auto" w:fill="auto"/>
          </w:tcPr>
          <w:p w14:paraId="424667D4" w14:textId="77777777" w:rsidR="00B33542" w:rsidRPr="005071A1" w:rsidRDefault="00B33542" w:rsidP="009B7AF5">
            <w:pPr>
              <w:pStyle w:val="Tabletext"/>
            </w:pPr>
            <w:r w:rsidRPr="005071A1">
              <w:t>0.06</w:t>
            </w:r>
          </w:p>
        </w:tc>
        <w:tc>
          <w:tcPr>
            <w:tcW w:w="1701" w:type="dxa"/>
            <w:shd w:val="clear" w:color="auto" w:fill="auto"/>
          </w:tcPr>
          <w:p w14:paraId="220A182B" w14:textId="77777777" w:rsidR="00B33542" w:rsidRPr="005071A1" w:rsidRDefault="00B33542" w:rsidP="009B7AF5">
            <w:pPr>
              <w:pStyle w:val="Tabletext"/>
            </w:pPr>
            <w:r w:rsidRPr="005071A1">
              <w:t>0.08</w:t>
            </w:r>
          </w:p>
        </w:tc>
      </w:tr>
      <w:tr w:rsidR="00B33542" w:rsidRPr="005071A1" w14:paraId="1209D3E2" w14:textId="77777777" w:rsidTr="009B7AF5">
        <w:tc>
          <w:tcPr>
            <w:tcW w:w="2835" w:type="dxa"/>
            <w:shd w:val="clear" w:color="auto" w:fill="auto"/>
          </w:tcPr>
          <w:p w14:paraId="60EAF9F0" w14:textId="77777777" w:rsidR="00B33542" w:rsidRPr="005071A1" w:rsidRDefault="00B33542" w:rsidP="009B7AF5">
            <w:pPr>
              <w:pStyle w:val="Tabletext"/>
            </w:pPr>
            <w:r w:rsidRPr="005071A1">
              <w:t>39</w:t>
            </w:r>
          </w:p>
        </w:tc>
        <w:tc>
          <w:tcPr>
            <w:tcW w:w="1276" w:type="dxa"/>
            <w:shd w:val="clear" w:color="auto" w:fill="auto"/>
          </w:tcPr>
          <w:p w14:paraId="31835B9B" w14:textId="77777777" w:rsidR="00B33542" w:rsidRPr="005071A1" w:rsidRDefault="00B33542" w:rsidP="009B7AF5">
            <w:pPr>
              <w:pStyle w:val="Tabletext"/>
            </w:pPr>
            <w:r w:rsidRPr="005071A1">
              <w:t>0.06</w:t>
            </w:r>
          </w:p>
        </w:tc>
        <w:tc>
          <w:tcPr>
            <w:tcW w:w="1701" w:type="dxa"/>
            <w:shd w:val="clear" w:color="auto" w:fill="auto"/>
          </w:tcPr>
          <w:p w14:paraId="175E26F9" w14:textId="77777777" w:rsidR="00B33542" w:rsidRPr="005071A1" w:rsidRDefault="00B33542" w:rsidP="009B7AF5">
            <w:pPr>
              <w:pStyle w:val="Tabletext"/>
            </w:pPr>
            <w:r w:rsidRPr="005071A1">
              <w:t>0.08</w:t>
            </w:r>
          </w:p>
        </w:tc>
      </w:tr>
      <w:tr w:rsidR="00B33542" w:rsidRPr="005071A1" w14:paraId="1785BB6A" w14:textId="77777777" w:rsidTr="009B7AF5">
        <w:tc>
          <w:tcPr>
            <w:tcW w:w="2835" w:type="dxa"/>
            <w:shd w:val="clear" w:color="auto" w:fill="auto"/>
          </w:tcPr>
          <w:p w14:paraId="1E124C23" w14:textId="77777777" w:rsidR="00B33542" w:rsidRPr="005071A1" w:rsidRDefault="00B33542" w:rsidP="009B7AF5">
            <w:pPr>
              <w:pStyle w:val="Tabletext"/>
            </w:pPr>
            <w:r w:rsidRPr="005071A1">
              <w:t>40</w:t>
            </w:r>
          </w:p>
        </w:tc>
        <w:tc>
          <w:tcPr>
            <w:tcW w:w="1276" w:type="dxa"/>
            <w:shd w:val="clear" w:color="auto" w:fill="auto"/>
          </w:tcPr>
          <w:p w14:paraId="3EFF95AF" w14:textId="77777777" w:rsidR="00B33542" w:rsidRPr="005071A1" w:rsidRDefault="00B33542" w:rsidP="009B7AF5">
            <w:pPr>
              <w:pStyle w:val="Tabletext"/>
            </w:pPr>
            <w:r w:rsidRPr="005071A1">
              <w:t>0.07</w:t>
            </w:r>
          </w:p>
        </w:tc>
        <w:tc>
          <w:tcPr>
            <w:tcW w:w="1701" w:type="dxa"/>
            <w:shd w:val="clear" w:color="auto" w:fill="auto"/>
          </w:tcPr>
          <w:p w14:paraId="6E1E328A" w14:textId="77777777" w:rsidR="00B33542" w:rsidRPr="005071A1" w:rsidRDefault="00B33542" w:rsidP="009B7AF5">
            <w:pPr>
              <w:pStyle w:val="Tabletext"/>
            </w:pPr>
            <w:r w:rsidRPr="005071A1">
              <w:t>0.08</w:t>
            </w:r>
          </w:p>
        </w:tc>
      </w:tr>
      <w:tr w:rsidR="00B33542" w:rsidRPr="005071A1" w14:paraId="792C264A" w14:textId="77777777" w:rsidTr="009B7AF5">
        <w:tc>
          <w:tcPr>
            <w:tcW w:w="2835" w:type="dxa"/>
            <w:shd w:val="clear" w:color="auto" w:fill="auto"/>
          </w:tcPr>
          <w:p w14:paraId="00739EEA" w14:textId="77777777" w:rsidR="00B33542" w:rsidRPr="005071A1" w:rsidRDefault="00B33542" w:rsidP="009B7AF5">
            <w:pPr>
              <w:pStyle w:val="Tabletext"/>
            </w:pPr>
            <w:r w:rsidRPr="005071A1">
              <w:t>41</w:t>
            </w:r>
          </w:p>
        </w:tc>
        <w:tc>
          <w:tcPr>
            <w:tcW w:w="1276" w:type="dxa"/>
            <w:shd w:val="clear" w:color="auto" w:fill="auto"/>
          </w:tcPr>
          <w:p w14:paraId="6EA41C78" w14:textId="77777777" w:rsidR="00B33542" w:rsidRPr="005071A1" w:rsidRDefault="00B33542" w:rsidP="009B7AF5">
            <w:pPr>
              <w:pStyle w:val="Tabletext"/>
            </w:pPr>
            <w:r w:rsidRPr="005071A1">
              <w:t>0.06</w:t>
            </w:r>
          </w:p>
        </w:tc>
        <w:tc>
          <w:tcPr>
            <w:tcW w:w="1701" w:type="dxa"/>
            <w:shd w:val="clear" w:color="auto" w:fill="auto"/>
          </w:tcPr>
          <w:p w14:paraId="28E520E8" w14:textId="77777777" w:rsidR="00B33542" w:rsidRPr="005071A1" w:rsidRDefault="00B33542" w:rsidP="009B7AF5">
            <w:pPr>
              <w:pStyle w:val="Tabletext"/>
            </w:pPr>
            <w:r w:rsidRPr="005071A1">
              <w:t>0.08</w:t>
            </w:r>
          </w:p>
        </w:tc>
      </w:tr>
      <w:tr w:rsidR="00B33542" w:rsidRPr="005071A1" w14:paraId="5A05F7AA" w14:textId="77777777" w:rsidTr="009B7AF5">
        <w:tc>
          <w:tcPr>
            <w:tcW w:w="2835" w:type="dxa"/>
            <w:shd w:val="clear" w:color="auto" w:fill="auto"/>
          </w:tcPr>
          <w:p w14:paraId="2DC5E610" w14:textId="77777777" w:rsidR="00B33542" w:rsidRPr="005071A1" w:rsidRDefault="00B33542" w:rsidP="009B7AF5">
            <w:pPr>
              <w:pStyle w:val="Tabletext"/>
            </w:pPr>
            <w:r w:rsidRPr="005071A1">
              <w:t>42</w:t>
            </w:r>
          </w:p>
        </w:tc>
        <w:tc>
          <w:tcPr>
            <w:tcW w:w="1276" w:type="dxa"/>
            <w:shd w:val="clear" w:color="auto" w:fill="auto"/>
          </w:tcPr>
          <w:p w14:paraId="1C17ACFC" w14:textId="77777777" w:rsidR="00B33542" w:rsidRPr="005071A1" w:rsidRDefault="00B33542" w:rsidP="009B7AF5">
            <w:pPr>
              <w:pStyle w:val="Tabletext"/>
            </w:pPr>
            <w:r w:rsidRPr="005071A1">
              <w:t>0.06</w:t>
            </w:r>
          </w:p>
        </w:tc>
        <w:tc>
          <w:tcPr>
            <w:tcW w:w="1701" w:type="dxa"/>
            <w:shd w:val="clear" w:color="auto" w:fill="auto"/>
          </w:tcPr>
          <w:p w14:paraId="535409BA" w14:textId="77777777" w:rsidR="00B33542" w:rsidRPr="005071A1" w:rsidRDefault="00B33542" w:rsidP="009B7AF5">
            <w:pPr>
              <w:pStyle w:val="Tabletext"/>
            </w:pPr>
            <w:r w:rsidRPr="005071A1">
              <w:t>0.08</w:t>
            </w:r>
          </w:p>
        </w:tc>
      </w:tr>
      <w:tr w:rsidR="00B33542" w:rsidRPr="005071A1" w14:paraId="0DA98A37" w14:textId="77777777" w:rsidTr="009B7AF5">
        <w:tc>
          <w:tcPr>
            <w:tcW w:w="2835" w:type="dxa"/>
            <w:shd w:val="clear" w:color="auto" w:fill="auto"/>
          </w:tcPr>
          <w:p w14:paraId="31FB1F75" w14:textId="77777777" w:rsidR="00B33542" w:rsidRPr="005071A1" w:rsidRDefault="00B33542" w:rsidP="009B7AF5">
            <w:pPr>
              <w:pStyle w:val="Tabletext"/>
            </w:pPr>
            <w:r w:rsidRPr="005071A1">
              <w:t>43</w:t>
            </w:r>
          </w:p>
        </w:tc>
        <w:tc>
          <w:tcPr>
            <w:tcW w:w="1276" w:type="dxa"/>
            <w:shd w:val="clear" w:color="auto" w:fill="auto"/>
          </w:tcPr>
          <w:p w14:paraId="09F29829" w14:textId="77777777" w:rsidR="00B33542" w:rsidRPr="005071A1" w:rsidRDefault="00B33542" w:rsidP="009B7AF5">
            <w:pPr>
              <w:pStyle w:val="Tabletext"/>
            </w:pPr>
            <w:r w:rsidRPr="005071A1">
              <w:t>0.06</w:t>
            </w:r>
          </w:p>
        </w:tc>
        <w:tc>
          <w:tcPr>
            <w:tcW w:w="1701" w:type="dxa"/>
            <w:shd w:val="clear" w:color="auto" w:fill="auto"/>
          </w:tcPr>
          <w:p w14:paraId="3AC40967" w14:textId="77777777" w:rsidR="00B33542" w:rsidRPr="005071A1" w:rsidRDefault="00B33542" w:rsidP="009B7AF5">
            <w:pPr>
              <w:pStyle w:val="Tabletext"/>
            </w:pPr>
            <w:r w:rsidRPr="005071A1">
              <w:t>0.09</w:t>
            </w:r>
          </w:p>
        </w:tc>
      </w:tr>
      <w:tr w:rsidR="00B33542" w:rsidRPr="005071A1" w14:paraId="335092A8" w14:textId="77777777" w:rsidTr="009B7AF5">
        <w:tc>
          <w:tcPr>
            <w:tcW w:w="2835" w:type="dxa"/>
            <w:shd w:val="clear" w:color="auto" w:fill="auto"/>
          </w:tcPr>
          <w:p w14:paraId="3C2812A2" w14:textId="77777777" w:rsidR="00B33542" w:rsidRPr="005071A1" w:rsidRDefault="00B33542" w:rsidP="009B7AF5">
            <w:pPr>
              <w:pStyle w:val="Tabletext"/>
            </w:pPr>
            <w:r w:rsidRPr="005071A1">
              <w:t>44</w:t>
            </w:r>
          </w:p>
        </w:tc>
        <w:tc>
          <w:tcPr>
            <w:tcW w:w="1276" w:type="dxa"/>
            <w:shd w:val="clear" w:color="auto" w:fill="auto"/>
          </w:tcPr>
          <w:p w14:paraId="685FA299" w14:textId="77777777" w:rsidR="00B33542" w:rsidRPr="005071A1" w:rsidRDefault="00B33542" w:rsidP="009B7AF5">
            <w:pPr>
              <w:pStyle w:val="Tabletext"/>
            </w:pPr>
            <w:r w:rsidRPr="005071A1">
              <w:t>0.07</w:t>
            </w:r>
          </w:p>
        </w:tc>
        <w:tc>
          <w:tcPr>
            <w:tcW w:w="1701" w:type="dxa"/>
            <w:shd w:val="clear" w:color="auto" w:fill="auto"/>
          </w:tcPr>
          <w:p w14:paraId="37EDA7F1" w14:textId="77777777" w:rsidR="00B33542" w:rsidRPr="005071A1" w:rsidRDefault="00B33542" w:rsidP="009B7AF5">
            <w:pPr>
              <w:pStyle w:val="Tabletext"/>
            </w:pPr>
            <w:r w:rsidRPr="005071A1">
              <w:t>0.10</w:t>
            </w:r>
          </w:p>
        </w:tc>
      </w:tr>
      <w:tr w:rsidR="00B33542" w:rsidRPr="005071A1" w14:paraId="650E72D9" w14:textId="77777777" w:rsidTr="009B7AF5">
        <w:tc>
          <w:tcPr>
            <w:tcW w:w="2835" w:type="dxa"/>
            <w:shd w:val="clear" w:color="auto" w:fill="auto"/>
          </w:tcPr>
          <w:p w14:paraId="35170329" w14:textId="77777777" w:rsidR="00B33542" w:rsidRPr="005071A1" w:rsidRDefault="00B33542" w:rsidP="009B7AF5">
            <w:pPr>
              <w:pStyle w:val="Tabletext"/>
            </w:pPr>
            <w:r w:rsidRPr="005071A1">
              <w:t>45</w:t>
            </w:r>
          </w:p>
        </w:tc>
        <w:tc>
          <w:tcPr>
            <w:tcW w:w="1276" w:type="dxa"/>
            <w:shd w:val="clear" w:color="auto" w:fill="auto"/>
          </w:tcPr>
          <w:p w14:paraId="4EE10459" w14:textId="77777777" w:rsidR="00B33542" w:rsidRPr="005071A1" w:rsidRDefault="00B33542" w:rsidP="009B7AF5">
            <w:pPr>
              <w:pStyle w:val="Tabletext"/>
            </w:pPr>
            <w:r w:rsidRPr="005071A1">
              <w:t>0.08</w:t>
            </w:r>
          </w:p>
        </w:tc>
        <w:tc>
          <w:tcPr>
            <w:tcW w:w="1701" w:type="dxa"/>
            <w:shd w:val="clear" w:color="auto" w:fill="auto"/>
          </w:tcPr>
          <w:p w14:paraId="2970BCF9" w14:textId="77777777" w:rsidR="00B33542" w:rsidRPr="005071A1" w:rsidRDefault="00B33542" w:rsidP="009B7AF5">
            <w:pPr>
              <w:pStyle w:val="Tabletext"/>
            </w:pPr>
            <w:r w:rsidRPr="005071A1">
              <w:t>0.10</w:t>
            </w:r>
          </w:p>
        </w:tc>
      </w:tr>
      <w:tr w:rsidR="00B33542" w:rsidRPr="005071A1" w14:paraId="5157A3A4" w14:textId="77777777" w:rsidTr="009B7AF5">
        <w:tc>
          <w:tcPr>
            <w:tcW w:w="2835" w:type="dxa"/>
            <w:shd w:val="clear" w:color="auto" w:fill="auto"/>
          </w:tcPr>
          <w:p w14:paraId="7658D93A" w14:textId="77777777" w:rsidR="00B33542" w:rsidRPr="005071A1" w:rsidRDefault="00B33542" w:rsidP="009B7AF5">
            <w:pPr>
              <w:pStyle w:val="Tabletext"/>
            </w:pPr>
            <w:r w:rsidRPr="005071A1">
              <w:t>46</w:t>
            </w:r>
          </w:p>
        </w:tc>
        <w:tc>
          <w:tcPr>
            <w:tcW w:w="1276" w:type="dxa"/>
            <w:shd w:val="clear" w:color="auto" w:fill="auto"/>
          </w:tcPr>
          <w:p w14:paraId="49928393" w14:textId="77777777" w:rsidR="00B33542" w:rsidRPr="005071A1" w:rsidRDefault="00B33542" w:rsidP="009B7AF5">
            <w:pPr>
              <w:pStyle w:val="Tabletext"/>
            </w:pPr>
            <w:r w:rsidRPr="005071A1">
              <w:t>0.08</w:t>
            </w:r>
          </w:p>
        </w:tc>
        <w:tc>
          <w:tcPr>
            <w:tcW w:w="1701" w:type="dxa"/>
            <w:shd w:val="clear" w:color="auto" w:fill="auto"/>
          </w:tcPr>
          <w:p w14:paraId="14CE81D6" w14:textId="77777777" w:rsidR="00B33542" w:rsidRPr="005071A1" w:rsidRDefault="00B33542" w:rsidP="009B7AF5">
            <w:pPr>
              <w:pStyle w:val="Tabletext"/>
            </w:pPr>
            <w:r w:rsidRPr="005071A1">
              <w:t>0.11</w:t>
            </w:r>
          </w:p>
        </w:tc>
      </w:tr>
      <w:tr w:rsidR="00B33542" w:rsidRPr="005071A1" w14:paraId="6C14426D" w14:textId="77777777" w:rsidTr="009B7AF5">
        <w:tc>
          <w:tcPr>
            <w:tcW w:w="2835" w:type="dxa"/>
            <w:shd w:val="clear" w:color="auto" w:fill="auto"/>
          </w:tcPr>
          <w:p w14:paraId="2A2DAD8F" w14:textId="77777777" w:rsidR="00B33542" w:rsidRPr="005071A1" w:rsidRDefault="00B33542" w:rsidP="009B7AF5">
            <w:pPr>
              <w:pStyle w:val="Tabletext"/>
            </w:pPr>
            <w:r w:rsidRPr="005071A1">
              <w:t>47</w:t>
            </w:r>
          </w:p>
        </w:tc>
        <w:tc>
          <w:tcPr>
            <w:tcW w:w="1276" w:type="dxa"/>
            <w:shd w:val="clear" w:color="auto" w:fill="auto"/>
          </w:tcPr>
          <w:p w14:paraId="35681EC4" w14:textId="77777777" w:rsidR="00B33542" w:rsidRPr="005071A1" w:rsidRDefault="00B33542" w:rsidP="009B7AF5">
            <w:pPr>
              <w:pStyle w:val="Tabletext"/>
            </w:pPr>
            <w:r w:rsidRPr="005071A1">
              <w:t>0.08</w:t>
            </w:r>
          </w:p>
        </w:tc>
        <w:tc>
          <w:tcPr>
            <w:tcW w:w="1701" w:type="dxa"/>
            <w:shd w:val="clear" w:color="auto" w:fill="auto"/>
          </w:tcPr>
          <w:p w14:paraId="76711A8B" w14:textId="77777777" w:rsidR="00B33542" w:rsidRPr="005071A1" w:rsidRDefault="00B33542" w:rsidP="009B7AF5">
            <w:pPr>
              <w:pStyle w:val="Tabletext"/>
            </w:pPr>
            <w:r w:rsidRPr="005071A1">
              <w:t>0.12</w:t>
            </w:r>
          </w:p>
        </w:tc>
      </w:tr>
      <w:tr w:rsidR="00B33542" w:rsidRPr="005071A1" w14:paraId="78432218" w14:textId="77777777" w:rsidTr="009B7AF5">
        <w:tc>
          <w:tcPr>
            <w:tcW w:w="2835" w:type="dxa"/>
            <w:shd w:val="clear" w:color="auto" w:fill="auto"/>
          </w:tcPr>
          <w:p w14:paraId="60453A38" w14:textId="77777777" w:rsidR="00B33542" w:rsidRPr="005071A1" w:rsidRDefault="00B33542" w:rsidP="009B7AF5">
            <w:pPr>
              <w:pStyle w:val="Tabletext"/>
            </w:pPr>
            <w:r w:rsidRPr="005071A1">
              <w:t>48</w:t>
            </w:r>
          </w:p>
        </w:tc>
        <w:tc>
          <w:tcPr>
            <w:tcW w:w="1276" w:type="dxa"/>
            <w:shd w:val="clear" w:color="auto" w:fill="auto"/>
          </w:tcPr>
          <w:p w14:paraId="5AD76277" w14:textId="77777777" w:rsidR="00B33542" w:rsidRPr="005071A1" w:rsidRDefault="00B33542" w:rsidP="009B7AF5">
            <w:pPr>
              <w:pStyle w:val="Tabletext"/>
            </w:pPr>
            <w:r w:rsidRPr="005071A1">
              <w:t>0.08</w:t>
            </w:r>
          </w:p>
        </w:tc>
        <w:tc>
          <w:tcPr>
            <w:tcW w:w="1701" w:type="dxa"/>
            <w:shd w:val="clear" w:color="auto" w:fill="auto"/>
          </w:tcPr>
          <w:p w14:paraId="13E94D32" w14:textId="77777777" w:rsidR="00B33542" w:rsidRPr="005071A1" w:rsidRDefault="00B33542" w:rsidP="009B7AF5">
            <w:pPr>
              <w:pStyle w:val="Tabletext"/>
            </w:pPr>
            <w:r w:rsidRPr="005071A1">
              <w:t>0.12</w:t>
            </w:r>
          </w:p>
        </w:tc>
      </w:tr>
      <w:tr w:rsidR="00B33542" w:rsidRPr="005071A1" w14:paraId="68323285" w14:textId="77777777" w:rsidTr="009B7AF5">
        <w:tc>
          <w:tcPr>
            <w:tcW w:w="2835" w:type="dxa"/>
            <w:shd w:val="clear" w:color="auto" w:fill="auto"/>
          </w:tcPr>
          <w:p w14:paraId="427FF5FE" w14:textId="77777777" w:rsidR="00B33542" w:rsidRPr="005071A1" w:rsidRDefault="00B33542" w:rsidP="009B7AF5">
            <w:pPr>
              <w:pStyle w:val="Tabletext"/>
            </w:pPr>
            <w:r w:rsidRPr="005071A1">
              <w:t>49</w:t>
            </w:r>
          </w:p>
        </w:tc>
        <w:tc>
          <w:tcPr>
            <w:tcW w:w="1276" w:type="dxa"/>
            <w:shd w:val="clear" w:color="auto" w:fill="auto"/>
          </w:tcPr>
          <w:p w14:paraId="420CF41B" w14:textId="77777777" w:rsidR="00B33542" w:rsidRPr="005071A1" w:rsidRDefault="00B33542" w:rsidP="009B7AF5">
            <w:pPr>
              <w:pStyle w:val="Tabletext"/>
            </w:pPr>
            <w:r w:rsidRPr="005071A1">
              <w:t>0.08</w:t>
            </w:r>
          </w:p>
        </w:tc>
        <w:tc>
          <w:tcPr>
            <w:tcW w:w="1701" w:type="dxa"/>
            <w:shd w:val="clear" w:color="auto" w:fill="auto"/>
          </w:tcPr>
          <w:p w14:paraId="05FD79B1" w14:textId="77777777" w:rsidR="00B33542" w:rsidRPr="005071A1" w:rsidRDefault="00B33542" w:rsidP="009B7AF5">
            <w:pPr>
              <w:pStyle w:val="Tabletext"/>
            </w:pPr>
            <w:r w:rsidRPr="005071A1">
              <w:t>0.14</w:t>
            </w:r>
          </w:p>
        </w:tc>
      </w:tr>
      <w:tr w:rsidR="00B33542" w:rsidRPr="005071A1" w14:paraId="11E8A09E" w14:textId="77777777" w:rsidTr="009B7AF5">
        <w:tc>
          <w:tcPr>
            <w:tcW w:w="2835" w:type="dxa"/>
            <w:shd w:val="clear" w:color="auto" w:fill="auto"/>
          </w:tcPr>
          <w:p w14:paraId="68C9137F" w14:textId="77777777" w:rsidR="00B33542" w:rsidRPr="005071A1" w:rsidRDefault="00B33542" w:rsidP="009B7AF5">
            <w:pPr>
              <w:pStyle w:val="Tabletext"/>
            </w:pPr>
            <w:r w:rsidRPr="005071A1">
              <w:t>50</w:t>
            </w:r>
          </w:p>
        </w:tc>
        <w:tc>
          <w:tcPr>
            <w:tcW w:w="1276" w:type="dxa"/>
            <w:shd w:val="clear" w:color="auto" w:fill="auto"/>
          </w:tcPr>
          <w:p w14:paraId="04FDE0A8" w14:textId="77777777" w:rsidR="00B33542" w:rsidRPr="005071A1" w:rsidRDefault="00B33542" w:rsidP="009B7AF5">
            <w:pPr>
              <w:pStyle w:val="Tabletext"/>
            </w:pPr>
            <w:r w:rsidRPr="005071A1">
              <w:t>0.09</w:t>
            </w:r>
          </w:p>
        </w:tc>
        <w:tc>
          <w:tcPr>
            <w:tcW w:w="1701" w:type="dxa"/>
            <w:shd w:val="clear" w:color="auto" w:fill="auto"/>
          </w:tcPr>
          <w:p w14:paraId="1AA047A1" w14:textId="77777777" w:rsidR="00B33542" w:rsidRPr="005071A1" w:rsidRDefault="00B33542" w:rsidP="009B7AF5">
            <w:pPr>
              <w:pStyle w:val="Tabletext"/>
            </w:pPr>
            <w:r w:rsidRPr="005071A1">
              <w:t>0.16</w:t>
            </w:r>
          </w:p>
        </w:tc>
      </w:tr>
      <w:tr w:rsidR="00B33542" w:rsidRPr="005071A1" w14:paraId="6B65F977" w14:textId="77777777" w:rsidTr="009B7AF5">
        <w:tc>
          <w:tcPr>
            <w:tcW w:w="2835" w:type="dxa"/>
            <w:shd w:val="clear" w:color="auto" w:fill="auto"/>
          </w:tcPr>
          <w:p w14:paraId="2466788F" w14:textId="77777777" w:rsidR="00B33542" w:rsidRPr="005071A1" w:rsidRDefault="00B33542" w:rsidP="009B7AF5">
            <w:pPr>
              <w:pStyle w:val="Tabletext"/>
            </w:pPr>
            <w:r w:rsidRPr="005071A1">
              <w:t>51</w:t>
            </w:r>
          </w:p>
        </w:tc>
        <w:tc>
          <w:tcPr>
            <w:tcW w:w="1276" w:type="dxa"/>
            <w:shd w:val="clear" w:color="auto" w:fill="auto"/>
          </w:tcPr>
          <w:p w14:paraId="0A2BD168" w14:textId="77777777" w:rsidR="00B33542" w:rsidRPr="005071A1" w:rsidRDefault="00B33542" w:rsidP="009B7AF5">
            <w:pPr>
              <w:pStyle w:val="Tabletext"/>
            </w:pPr>
            <w:r w:rsidRPr="005071A1">
              <w:t>0.10</w:t>
            </w:r>
          </w:p>
        </w:tc>
        <w:tc>
          <w:tcPr>
            <w:tcW w:w="1701" w:type="dxa"/>
            <w:shd w:val="clear" w:color="auto" w:fill="auto"/>
          </w:tcPr>
          <w:p w14:paraId="4E0D32E2" w14:textId="77777777" w:rsidR="00B33542" w:rsidRPr="005071A1" w:rsidRDefault="00B33542" w:rsidP="009B7AF5">
            <w:pPr>
              <w:pStyle w:val="Tabletext"/>
            </w:pPr>
            <w:r w:rsidRPr="005071A1">
              <w:t>0.18</w:t>
            </w:r>
          </w:p>
        </w:tc>
      </w:tr>
      <w:tr w:rsidR="00B33542" w:rsidRPr="005071A1" w14:paraId="3C51E577" w14:textId="77777777" w:rsidTr="009B7AF5">
        <w:tc>
          <w:tcPr>
            <w:tcW w:w="2835" w:type="dxa"/>
            <w:shd w:val="clear" w:color="auto" w:fill="auto"/>
          </w:tcPr>
          <w:p w14:paraId="4220439D" w14:textId="77777777" w:rsidR="00B33542" w:rsidRPr="005071A1" w:rsidRDefault="00B33542" w:rsidP="009B7AF5">
            <w:pPr>
              <w:pStyle w:val="Tabletext"/>
            </w:pPr>
            <w:r w:rsidRPr="005071A1">
              <w:t>52</w:t>
            </w:r>
          </w:p>
        </w:tc>
        <w:tc>
          <w:tcPr>
            <w:tcW w:w="1276" w:type="dxa"/>
            <w:shd w:val="clear" w:color="auto" w:fill="auto"/>
          </w:tcPr>
          <w:p w14:paraId="6ACEC1C3" w14:textId="77777777" w:rsidR="00B33542" w:rsidRPr="005071A1" w:rsidRDefault="00B33542" w:rsidP="009B7AF5">
            <w:pPr>
              <w:pStyle w:val="Tabletext"/>
            </w:pPr>
            <w:r w:rsidRPr="005071A1">
              <w:t>0.10</w:t>
            </w:r>
          </w:p>
        </w:tc>
        <w:tc>
          <w:tcPr>
            <w:tcW w:w="1701" w:type="dxa"/>
            <w:shd w:val="clear" w:color="auto" w:fill="auto"/>
          </w:tcPr>
          <w:p w14:paraId="18EC4CFB" w14:textId="77777777" w:rsidR="00B33542" w:rsidRPr="005071A1" w:rsidRDefault="00B33542" w:rsidP="009B7AF5">
            <w:pPr>
              <w:pStyle w:val="Tabletext"/>
            </w:pPr>
            <w:r w:rsidRPr="005071A1">
              <w:t>0.20</w:t>
            </w:r>
          </w:p>
        </w:tc>
      </w:tr>
      <w:tr w:rsidR="00B33542" w:rsidRPr="005071A1" w14:paraId="1ABDC040" w14:textId="77777777" w:rsidTr="009B7AF5">
        <w:tc>
          <w:tcPr>
            <w:tcW w:w="2835" w:type="dxa"/>
            <w:shd w:val="clear" w:color="auto" w:fill="auto"/>
          </w:tcPr>
          <w:p w14:paraId="2CDCED7C" w14:textId="77777777" w:rsidR="00B33542" w:rsidRPr="005071A1" w:rsidRDefault="00B33542" w:rsidP="009B7AF5">
            <w:pPr>
              <w:pStyle w:val="Tabletext"/>
            </w:pPr>
            <w:r w:rsidRPr="005071A1">
              <w:t>53</w:t>
            </w:r>
          </w:p>
        </w:tc>
        <w:tc>
          <w:tcPr>
            <w:tcW w:w="1276" w:type="dxa"/>
            <w:shd w:val="clear" w:color="auto" w:fill="auto"/>
          </w:tcPr>
          <w:p w14:paraId="328F6D10" w14:textId="77777777" w:rsidR="00B33542" w:rsidRPr="005071A1" w:rsidRDefault="00B33542" w:rsidP="009B7AF5">
            <w:pPr>
              <w:pStyle w:val="Tabletext"/>
            </w:pPr>
            <w:r w:rsidRPr="005071A1">
              <w:t>0.12</w:t>
            </w:r>
          </w:p>
        </w:tc>
        <w:tc>
          <w:tcPr>
            <w:tcW w:w="1701" w:type="dxa"/>
            <w:shd w:val="clear" w:color="auto" w:fill="auto"/>
          </w:tcPr>
          <w:p w14:paraId="4357CF6F" w14:textId="77777777" w:rsidR="00B33542" w:rsidRPr="005071A1" w:rsidRDefault="00B33542" w:rsidP="009B7AF5">
            <w:pPr>
              <w:pStyle w:val="Tabletext"/>
            </w:pPr>
            <w:r w:rsidRPr="005071A1">
              <w:t>0.23</w:t>
            </w:r>
          </w:p>
        </w:tc>
      </w:tr>
      <w:tr w:rsidR="00B33542" w:rsidRPr="005071A1" w14:paraId="182CE5FE" w14:textId="77777777" w:rsidTr="009B7AF5">
        <w:tc>
          <w:tcPr>
            <w:tcW w:w="2835" w:type="dxa"/>
            <w:shd w:val="clear" w:color="auto" w:fill="auto"/>
          </w:tcPr>
          <w:p w14:paraId="7C851271" w14:textId="77777777" w:rsidR="00B33542" w:rsidRPr="005071A1" w:rsidRDefault="00B33542" w:rsidP="009B7AF5">
            <w:pPr>
              <w:pStyle w:val="Tabletext"/>
            </w:pPr>
            <w:r w:rsidRPr="005071A1">
              <w:t>54</w:t>
            </w:r>
          </w:p>
        </w:tc>
        <w:tc>
          <w:tcPr>
            <w:tcW w:w="1276" w:type="dxa"/>
            <w:shd w:val="clear" w:color="auto" w:fill="auto"/>
          </w:tcPr>
          <w:p w14:paraId="182165ED" w14:textId="77777777" w:rsidR="00B33542" w:rsidRPr="005071A1" w:rsidRDefault="00B33542" w:rsidP="009B7AF5">
            <w:pPr>
              <w:pStyle w:val="Tabletext"/>
            </w:pPr>
            <w:r w:rsidRPr="005071A1">
              <w:t>0.12</w:t>
            </w:r>
          </w:p>
        </w:tc>
        <w:tc>
          <w:tcPr>
            <w:tcW w:w="1701" w:type="dxa"/>
            <w:shd w:val="clear" w:color="auto" w:fill="auto"/>
          </w:tcPr>
          <w:p w14:paraId="544FE5BA" w14:textId="77777777" w:rsidR="00B33542" w:rsidRPr="005071A1" w:rsidRDefault="00B33542" w:rsidP="009B7AF5">
            <w:pPr>
              <w:pStyle w:val="Tabletext"/>
            </w:pPr>
            <w:r w:rsidRPr="005071A1">
              <w:t>0.28</w:t>
            </w:r>
          </w:p>
        </w:tc>
      </w:tr>
      <w:tr w:rsidR="00B33542" w:rsidRPr="005071A1" w14:paraId="41DE4AA7" w14:textId="77777777" w:rsidTr="009B7AF5">
        <w:tc>
          <w:tcPr>
            <w:tcW w:w="2835" w:type="dxa"/>
            <w:shd w:val="clear" w:color="auto" w:fill="auto"/>
          </w:tcPr>
          <w:p w14:paraId="0D7FF773" w14:textId="77777777" w:rsidR="00B33542" w:rsidRPr="005071A1" w:rsidRDefault="00B33542" w:rsidP="009B7AF5">
            <w:pPr>
              <w:pStyle w:val="Tabletext"/>
            </w:pPr>
            <w:r w:rsidRPr="005071A1">
              <w:t>55</w:t>
            </w:r>
          </w:p>
        </w:tc>
        <w:tc>
          <w:tcPr>
            <w:tcW w:w="1276" w:type="dxa"/>
            <w:shd w:val="clear" w:color="auto" w:fill="auto"/>
          </w:tcPr>
          <w:p w14:paraId="0144B6C5" w14:textId="77777777" w:rsidR="00B33542" w:rsidRPr="005071A1" w:rsidRDefault="00B33542" w:rsidP="009B7AF5">
            <w:pPr>
              <w:pStyle w:val="Tabletext"/>
            </w:pPr>
            <w:r w:rsidRPr="005071A1">
              <w:t>0.13</w:t>
            </w:r>
          </w:p>
        </w:tc>
        <w:tc>
          <w:tcPr>
            <w:tcW w:w="1701" w:type="dxa"/>
            <w:shd w:val="clear" w:color="auto" w:fill="auto"/>
          </w:tcPr>
          <w:p w14:paraId="44245BB0" w14:textId="77777777" w:rsidR="00B33542" w:rsidRPr="005071A1" w:rsidRDefault="00B33542" w:rsidP="009B7AF5">
            <w:pPr>
              <w:pStyle w:val="Tabletext"/>
            </w:pPr>
            <w:r w:rsidRPr="005071A1">
              <w:t>0.32</w:t>
            </w:r>
          </w:p>
        </w:tc>
      </w:tr>
      <w:tr w:rsidR="00B33542" w:rsidRPr="005071A1" w14:paraId="18C6C16A" w14:textId="77777777" w:rsidTr="009B7AF5">
        <w:tc>
          <w:tcPr>
            <w:tcW w:w="2835" w:type="dxa"/>
            <w:shd w:val="clear" w:color="auto" w:fill="auto"/>
          </w:tcPr>
          <w:p w14:paraId="07E2B433" w14:textId="77777777" w:rsidR="00B33542" w:rsidRPr="005071A1" w:rsidRDefault="00B33542" w:rsidP="009B7AF5">
            <w:pPr>
              <w:pStyle w:val="Tabletext"/>
            </w:pPr>
            <w:r w:rsidRPr="005071A1">
              <w:t>56</w:t>
            </w:r>
          </w:p>
        </w:tc>
        <w:tc>
          <w:tcPr>
            <w:tcW w:w="1276" w:type="dxa"/>
            <w:shd w:val="clear" w:color="auto" w:fill="auto"/>
          </w:tcPr>
          <w:p w14:paraId="1F27BF9A" w14:textId="77777777" w:rsidR="00B33542" w:rsidRPr="005071A1" w:rsidRDefault="00B33542" w:rsidP="009B7AF5">
            <w:pPr>
              <w:pStyle w:val="Tabletext"/>
            </w:pPr>
            <w:r w:rsidRPr="005071A1">
              <w:t>0.16</w:t>
            </w:r>
          </w:p>
        </w:tc>
        <w:tc>
          <w:tcPr>
            <w:tcW w:w="1701" w:type="dxa"/>
            <w:shd w:val="clear" w:color="auto" w:fill="auto"/>
          </w:tcPr>
          <w:p w14:paraId="52EE3DD4" w14:textId="77777777" w:rsidR="00B33542" w:rsidRPr="005071A1" w:rsidRDefault="00B33542" w:rsidP="009B7AF5">
            <w:pPr>
              <w:pStyle w:val="Tabletext"/>
            </w:pPr>
            <w:r w:rsidRPr="005071A1">
              <w:t>0.40</w:t>
            </w:r>
          </w:p>
        </w:tc>
      </w:tr>
      <w:tr w:rsidR="00B33542" w:rsidRPr="005071A1" w14:paraId="0BDE3BC3" w14:textId="77777777" w:rsidTr="009B7AF5">
        <w:tc>
          <w:tcPr>
            <w:tcW w:w="2835" w:type="dxa"/>
            <w:shd w:val="clear" w:color="auto" w:fill="auto"/>
          </w:tcPr>
          <w:p w14:paraId="1BF6B95B" w14:textId="77777777" w:rsidR="00B33542" w:rsidRPr="005071A1" w:rsidRDefault="00B33542" w:rsidP="009B7AF5">
            <w:pPr>
              <w:pStyle w:val="Tabletext"/>
            </w:pPr>
            <w:r w:rsidRPr="005071A1">
              <w:t>57</w:t>
            </w:r>
          </w:p>
        </w:tc>
        <w:tc>
          <w:tcPr>
            <w:tcW w:w="1276" w:type="dxa"/>
            <w:shd w:val="clear" w:color="auto" w:fill="auto"/>
          </w:tcPr>
          <w:p w14:paraId="63319439" w14:textId="77777777" w:rsidR="00B33542" w:rsidRPr="005071A1" w:rsidRDefault="00B33542" w:rsidP="009B7AF5">
            <w:pPr>
              <w:pStyle w:val="Tabletext"/>
            </w:pPr>
            <w:r w:rsidRPr="005071A1">
              <w:t>0.18</w:t>
            </w:r>
          </w:p>
        </w:tc>
        <w:tc>
          <w:tcPr>
            <w:tcW w:w="1701" w:type="dxa"/>
            <w:shd w:val="clear" w:color="auto" w:fill="auto"/>
          </w:tcPr>
          <w:p w14:paraId="00104972" w14:textId="77777777" w:rsidR="00B33542" w:rsidRPr="005071A1" w:rsidRDefault="00B33542" w:rsidP="009B7AF5">
            <w:pPr>
              <w:pStyle w:val="Tabletext"/>
            </w:pPr>
            <w:r w:rsidRPr="005071A1">
              <w:t>0.52</w:t>
            </w:r>
          </w:p>
        </w:tc>
      </w:tr>
      <w:tr w:rsidR="00B33542" w:rsidRPr="005071A1" w14:paraId="0E3D3527" w14:textId="77777777" w:rsidTr="009B7AF5">
        <w:tc>
          <w:tcPr>
            <w:tcW w:w="2835" w:type="dxa"/>
            <w:shd w:val="clear" w:color="auto" w:fill="auto"/>
          </w:tcPr>
          <w:p w14:paraId="67A754CC" w14:textId="77777777" w:rsidR="00B33542" w:rsidRPr="005071A1" w:rsidRDefault="00B33542" w:rsidP="009B7AF5">
            <w:pPr>
              <w:pStyle w:val="Tabletext"/>
            </w:pPr>
            <w:r w:rsidRPr="005071A1">
              <w:t>58</w:t>
            </w:r>
          </w:p>
        </w:tc>
        <w:tc>
          <w:tcPr>
            <w:tcW w:w="1276" w:type="dxa"/>
            <w:shd w:val="clear" w:color="auto" w:fill="auto"/>
          </w:tcPr>
          <w:p w14:paraId="196CFD02" w14:textId="77777777" w:rsidR="00B33542" w:rsidRPr="005071A1" w:rsidRDefault="00B33542" w:rsidP="009B7AF5">
            <w:pPr>
              <w:pStyle w:val="Tabletext"/>
            </w:pPr>
            <w:r w:rsidRPr="005071A1">
              <w:t>0.19</w:t>
            </w:r>
          </w:p>
        </w:tc>
        <w:tc>
          <w:tcPr>
            <w:tcW w:w="1701" w:type="dxa"/>
            <w:shd w:val="clear" w:color="auto" w:fill="auto"/>
          </w:tcPr>
          <w:p w14:paraId="0532F066" w14:textId="77777777" w:rsidR="00B33542" w:rsidRPr="005071A1" w:rsidRDefault="00B33542" w:rsidP="009B7AF5">
            <w:pPr>
              <w:pStyle w:val="Tabletext"/>
            </w:pPr>
            <w:r w:rsidRPr="005071A1">
              <w:t>0.78</w:t>
            </w:r>
          </w:p>
        </w:tc>
      </w:tr>
      <w:tr w:rsidR="00B33542" w:rsidRPr="005071A1" w14:paraId="6C712129" w14:textId="77777777" w:rsidTr="009B7AF5">
        <w:tc>
          <w:tcPr>
            <w:tcW w:w="2835" w:type="dxa"/>
            <w:shd w:val="clear" w:color="auto" w:fill="auto"/>
          </w:tcPr>
          <w:p w14:paraId="5D2CC034" w14:textId="77777777" w:rsidR="00B33542" w:rsidRPr="005071A1" w:rsidRDefault="00B33542" w:rsidP="009B7AF5">
            <w:pPr>
              <w:pStyle w:val="Tabletext"/>
            </w:pPr>
            <w:r w:rsidRPr="005071A1">
              <w:t>59</w:t>
            </w:r>
          </w:p>
        </w:tc>
        <w:tc>
          <w:tcPr>
            <w:tcW w:w="1276" w:type="dxa"/>
            <w:shd w:val="clear" w:color="auto" w:fill="auto"/>
          </w:tcPr>
          <w:p w14:paraId="18D67D16" w14:textId="77777777" w:rsidR="00B33542" w:rsidRPr="005071A1" w:rsidRDefault="00B33542" w:rsidP="009B7AF5">
            <w:pPr>
              <w:pStyle w:val="Tabletext"/>
            </w:pPr>
            <w:r w:rsidRPr="005071A1">
              <w:t>0.23</w:t>
            </w:r>
          </w:p>
        </w:tc>
        <w:tc>
          <w:tcPr>
            <w:tcW w:w="1701" w:type="dxa"/>
            <w:shd w:val="clear" w:color="auto" w:fill="auto"/>
          </w:tcPr>
          <w:p w14:paraId="77896192" w14:textId="77777777" w:rsidR="00B33542" w:rsidRPr="005071A1" w:rsidRDefault="00B33542" w:rsidP="009B7AF5">
            <w:pPr>
              <w:pStyle w:val="Tabletext"/>
            </w:pPr>
            <w:r w:rsidRPr="005071A1">
              <w:t>1.54</w:t>
            </w:r>
          </w:p>
        </w:tc>
      </w:tr>
      <w:tr w:rsidR="00B33542" w:rsidRPr="005071A1" w14:paraId="59F8CB00" w14:textId="77777777" w:rsidTr="00D57394">
        <w:tc>
          <w:tcPr>
            <w:tcW w:w="2835" w:type="dxa"/>
            <w:tcBorders>
              <w:bottom w:val="single" w:sz="4" w:space="0" w:color="auto"/>
            </w:tcBorders>
            <w:shd w:val="clear" w:color="auto" w:fill="auto"/>
          </w:tcPr>
          <w:p w14:paraId="4B121D4D" w14:textId="77777777" w:rsidR="00B33542" w:rsidRPr="005071A1" w:rsidRDefault="00B33542" w:rsidP="009B7AF5">
            <w:pPr>
              <w:pStyle w:val="Tabletext"/>
            </w:pPr>
            <w:r w:rsidRPr="005071A1">
              <w:t>60</w:t>
            </w:r>
          </w:p>
        </w:tc>
        <w:tc>
          <w:tcPr>
            <w:tcW w:w="1276" w:type="dxa"/>
            <w:tcBorders>
              <w:bottom w:val="single" w:sz="4" w:space="0" w:color="auto"/>
            </w:tcBorders>
            <w:shd w:val="clear" w:color="auto" w:fill="auto"/>
          </w:tcPr>
          <w:p w14:paraId="10FAF31C" w14:textId="77777777" w:rsidR="00B33542" w:rsidRPr="005071A1" w:rsidRDefault="00B33542" w:rsidP="009B7AF5">
            <w:pPr>
              <w:pStyle w:val="Tabletext"/>
            </w:pPr>
            <w:r w:rsidRPr="005071A1">
              <w:t>0.28</w:t>
            </w:r>
          </w:p>
        </w:tc>
        <w:tc>
          <w:tcPr>
            <w:tcW w:w="1701" w:type="dxa"/>
            <w:tcBorders>
              <w:bottom w:val="single" w:sz="4" w:space="0" w:color="auto"/>
            </w:tcBorders>
            <w:shd w:val="clear" w:color="auto" w:fill="auto"/>
          </w:tcPr>
          <w:p w14:paraId="064D2E60" w14:textId="77777777" w:rsidR="00B33542" w:rsidRPr="005071A1" w:rsidRDefault="00B33542" w:rsidP="009B7AF5">
            <w:pPr>
              <w:pStyle w:val="Tabletext"/>
            </w:pPr>
            <w:r w:rsidRPr="005071A1">
              <w:t>1.41</w:t>
            </w:r>
          </w:p>
        </w:tc>
      </w:tr>
      <w:tr w:rsidR="00B33542" w:rsidRPr="005071A1" w14:paraId="5F9C3588" w14:textId="77777777" w:rsidTr="00D57394">
        <w:tc>
          <w:tcPr>
            <w:tcW w:w="2835" w:type="dxa"/>
            <w:tcBorders>
              <w:bottom w:val="single" w:sz="4" w:space="0" w:color="auto"/>
            </w:tcBorders>
            <w:shd w:val="clear" w:color="auto" w:fill="auto"/>
          </w:tcPr>
          <w:p w14:paraId="3890ACB2" w14:textId="77777777" w:rsidR="00B33542" w:rsidRPr="005071A1" w:rsidRDefault="00B33542" w:rsidP="009B7AF5">
            <w:pPr>
              <w:pStyle w:val="Tabletext"/>
            </w:pPr>
            <w:r w:rsidRPr="005071A1">
              <w:t>61</w:t>
            </w:r>
          </w:p>
        </w:tc>
        <w:tc>
          <w:tcPr>
            <w:tcW w:w="1276" w:type="dxa"/>
            <w:tcBorders>
              <w:bottom w:val="single" w:sz="4" w:space="0" w:color="auto"/>
            </w:tcBorders>
            <w:shd w:val="clear" w:color="auto" w:fill="auto"/>
          </w:tcPr>
          <w:p w14:paraId="213DFF82" w14:textId="77777777" w:rsidR="00B33542" w:rsidRPr="005071A1" w:rsidRDefault="00B33542" w:rsidP="009B7AF5">
            <w:pPr>
              <w:pStyle w:val="Tabletext"/>
            </w:pPr>
            <w:r w:rsidRPr="005071A1">
              <w:t>0.33</w:t>
            </w:r>
          </w:p>
        </w:tc>
        <w:tc>
          <w:tcPr>
            <w:tcW w:w="1701" w:type="dxa"/>
            <w:tcBorders>
              <w:bottom w:val="single" w:sz="4" w:space="0" w:color="auto"/>
            </w:tcBorders>
            <w:shd w:val="clear" w:color="auto" w:fill="auto"/>
          </w:tcPr>
          <w:p w14:paraId="627FE5B5" w14:textId="77777777" w:rsidR="00B33542" w:rsidRPr="005071A1" w:rsidRDefault="00B33542" w:rsidP="009B7AF5">
            <w:pPr>
              <w:pStyle w:val="Tabletext"/>
            </w:pPr>
          </w:p>
        </w:tc>
      </w:tr>
      <w:tr w:rsidR="00B33542" w:rsidRPr="005071A1" w14:paraId="2AB110AB" w14:textId="77777777" w:rsidTr="00D57394">
        <w:tc>
          <w:tcPr>
            <w:tcW w:w="2835" w:type="dxa"/>
            <w:tcBorders>
              <w:top w:val="single" w:sz="4" w:space="0" w:color="auto"/>
            </w:tcBorders>
            <w:shd w:val="clear" w:color="auto" w:fill="auto"/>
          </w:tcPr>
          <w:p w14:paraId="06BE8803" w14:textId="77777777" w:rsidR="00B33542" w:rsidRPr="005071A1" w:rsidRDefault="00B33542" w:rsidP="009B7AF5">
            <w:pPr>
              <w:pStyle w:val="Tabletext"/>
            </w:pPr>
            <w:r w:rsidRPr="005071A1">
              <w:t>62</w:t>
            </w:r>
          </w:p>
        </w:tc>
        <w:tc>
          <w:tcPr>
            <w:tcW w:w="1276" w:type="dxa"/>
            <w:tcBorders>
              <w:top w:val="single" w:sz="4" w:space="0" w:color="auto"/>
            </w:tcBorders>
            <w:shd w:val="clear" w:color="auto" w:fill="auto"/>
          </w:tcPr>
          <w:p w14:paraId="56749A41" w14:textId="77777777" w:rsidR="00B33542" w:rsidRPr="005071A1" w:rsidRDefault="00B33542" w:rsidP="009B7AF5">
            <w:pPr>
              <w:pStyle w:val="Tabletext"/>
            </w:pPr>
            <w:r w:rsidRPr="005071A1">
              <w:t>0.44</w:t>
            </w:r>
          </w:p>
        </w:tc>
        <w:tc>
          <w:tcPr>
            <w:tcW w:w="1701" w:type="dxa"/>
            <w:tcBorders>
              <w:top w:val="single" w:sz="4" w:space="0" w:color="auto"/>
            </w:tcBorders>
            <w:shd w:val="clear" w:color="auto" w:fill="auto"/>
          </w:tcPr>
          <w:p w14:paraId="524E8E2C" w14:textId="77777777" w:rsidR="00B33542" w:rsidRPr="005071A1" w:rsidRDefault="00B33542" w:rsidP="009B7AF5">
            <w:pPr>
              <w:pStyle w:val="Tabletext"/>
            </w:pPr>
          </w:p>
        </w:tc>
      </w:tr>
      <w:tr w:rsidR="00B33542" w:rsidRPr="005071A1" w14:paraId="6F04DC80" w14:textId="77777777" w:rsidTr="00640BB6">
        <w:tc>
          <w:tcPr>
            <w:tcW w:w="2835" w:type="dxa"/>
            <w:tcBorders>
              <w:bottom w:val="single" w:sz="4" w:space="0" w:color="auto"/>
            </w:tcBorders>
            <w:shd w:val="clear" w:color="auto" w:fill="auto"/>
          </w:tcPr>
          <w:p w14:paraId="65D92C10" w14:textId="77777777" w:rsidR="00B33542" w:rsidRPr="005071A1" w:rsidRDefault="00B33542" w:rsidP="009B7AF5">
            <w:pPr>
              <w:pStyle w:val="Tabletext"/>
            </w:pPr>
            <w:r w:rsidRPr="005071A1">
              <w:t>63</w:t>
            </w:r>
          </w:p>
        </w:tc>
        <w:tc>
          <w:tcPr>
            <w:tcW w:w="1276" w:type="dxa"/>
            <w:tcBorders>
              <w:bottom w:val="single" w:sz="4" w:space="0" w:color="auto"/>
            </w:tcBorders>
            <w:shd w:val="clear" w:color="auto" w:fill="auto"/>
          </w:tcPr>
          <w:p w14:paraId="577C47A4" w14:textId="77777777" w:rsidR="00B33542" w:rsidRPr="005071A1" w:rsidRDefault="00B33542" w:rsidP="009B7AF5">
            <w:pPr>
              <w:pStyle w:val="Tabletext"/>
            </w:pPr>
            <w:r w:rsidRPr="005071A1">
              <w:t>0.66</w:t>
            </w:r>
          </w:p>
        </w:tc>
        <w:tc>
          <w:tcPr>
            <w:tcW w:w="1701" w:type="dxa"/>
            <w:tcBorders>
              <w:bottom w:val="single" w:sz="4" w:space="0" w:color="auto"/>
            </w:tcBorders>
            <w:shd w:val="clear" w:color="auto" w:fill="auto"/>
          </w:tcPr>
          <w:p w14:paraId="55D532A6" w14:textId="77777777" w:rsidR="00B33542" w:rsidRPr="005071A1" w:rsidRDefault="00B33542" w:rsidP="009B7AF5">
            <w:pPr>
              <w:pStyle w:val="Tabletext"/>
            </w:pPr>
          </w:p>
        </w:tc>
      </w:tr>
      <w:tr w:rsidR="00B33542" w:rsidRPr="005071A1" w14:paraId="2627A445" w14:textId="77777777" w:rsidTr="009B7AF5">
        <w:tc>
          <w:tcPr>
            <w:tcW w:w="2835" w:type="dxa"/>
            <w:tcBorders>
              <w:bottom w:val="single" w:sz="4" w:space="0" w:color="auto"/>
            </w:tcBorders>
            <w:shd w:val="clear" w:color="auto" w:fill="auto"/>
          </w:tcPr>
          <w:p w14:paraId="288BFE4E" w14:textId="77777777" w:rsidR="00B33542" w:rsidRPr="005071A1" w:rsidRDefault="00B33542" w:rsidP="009B7AF5">
            <w:pPr>
              <w:pStyle w:val="Tabletext"/>
            </w:pPr>
            <w:r w:rsidRPr="005071A1">
              <w:t>64</w:t>
            </w:r>
          </w:p>
        </w:tc>
        <w:tc>
          <w:tcPr>
            <w:tcW w:w="1276" w:type="dxa"/>
            <w:tcBorders>
              <w:bottom w:val="single" w:sz="4" w:space="0" w:color="auto"/>
            </w:tcBorders>
            <w:shd w:val="clear" w:color="auto" w:fill="auto"/>
          </w:tcPr>
          <w:p w14:paraId="1DA7CE14" w14:textId="77777777" w:rsidR="00B33542" w:rsidRPr="005071A1" w:rsidRDefault="00B33542" w:rsidP="009B7AF5">
            <w:pPr>
              <w:pStyle w:val="Tabletext"/>
            </w:pPr>
            <w:r w:rsidRPr="005071A1">
              <w:t>1.33</w:t>
            </w:r>
          </w:p>
        </w:tc>
        <w:tc>
          <w:tcPr>
            <w:tcW w:w="1701" w:type="dxa"/>
            <w:tcBorders>
              <w:bottom w:val="single" w:sz="4" w:space="0" w:color="auto"/>
            </w:tcBorders>
            <w:shd w:val="clear" w:color="auto" w:fill="auto"/>
          </w:tcPr>
          <w:p w14:paraId="4999A3A4" w14:textId="77777777" w:rsidR="00B33542" w:rsidRPr="005071A1" w:rsidRDefault="00B33542" w:rsidP="009B7AF5">
            <w:pPr>
              <w:pStyle w:val="Tabletext"/>
            </w:pPr>
          </w:p>
        </w:tc>
      </w:tr>
      <w:tr w:rsidR="00B33542" w:rsidRPr="005071A1" w14:paraId="7776E876" w14:textId="77777777" w:rsidTr="009B7AF5">
        <w:tc>
          <w:tcPr>
            <w:tcW w:w="2835" w:type="dxa"/>
            <w:tcBorders>
              <w:bottom w:val="single" w:sz="12" w:space="0" w:color="auto"/>
            </w:tcBorders>
            <w:shd w:val="clear" w:color="auto" w:fill="auto"/>
          </w:tcPr>
          <w:p w14:paraId="59D5AECD" w14:textId="77777777" w:rsidR="00B33542" w:rsidRPr="005071A1" w:rsidRDefault="00B33542" w:rsidP="009B7AF5">
            <w:pPr>
              <w:pStyle w:val="Tabletext"/>
            </w:pPr>
            <w:r w:rsidRPr="005071A1">
              <w:t>65</w:t>
            </w:r>
          </w:p>
        </w:tc>
        <w:tc>
          <w:tcPr>
            <w:tcW w:w="1276" w:type="dxa"/>
            <w:tcBorders>
              <w:bottom w:val="single" w:sz="12" w:space="0" w:color="auto"/>
            </w:tcBorders>
            <w:shd w:val="clear" w:color="auto" w:fill="auto"/>
          </w:tcPr>
          <w:p w14:paraId="759FD01A" w14:textId="77777777" w:rsidR="00B33542" w:rsidRPr="005071A1" w:rsidRDefault="00B33542" w:rsidP="009B7AF5">
            <w:pPr>
              <w:pStyle w:val="Tabletext"/>
            </w:pPr>
            <w:r w:rsidRPr="005071A1">
              <w:t>1.13</w:t>
            </w:r>
          </w:p>
        </w:tc>
        <w:tc>
          <w:tcPr>
            <w:tcW w:w="1701" w:type="dxa"/>
            <w:tcBorders>
              <w:bottom w:val="single" w:sz="12" w:space="0" w:color="auto"/>
            </w:tcBorders>
            <w:shd w:val="clear" w:color="auto" w:fill="auto"/>
          </w:tcPr>
          <w:p w14:paraId="0EFF694A" w14:textId="77777777" w:rsidR="00B33542" w:rsidRPr="005071A1" w:rsidRDefault="00B33542" w:rsidP="009B7AF5">
            <w:pPr>
              <w:pStyle w:val="Tabletext"/>
            </w:pPr>
          </w:p>
        </w:tc>
      </w:tr>
    </w:tbl>
    <w:p w14:paraId="27C0F9FE" w14:textId="77777777" w:rsidR="00B33542" w:rsidRPr="005071A1" w:rsidRDefault="00B33542" w:rsidP="002477D1">
      <w:pPr>
        <w:pStyle w:val="ActHead1"/>
        <w:pageBreakBefore/>
      </w:pPr>
      <w:bookmarkStart w:id="329" w:name="_Toc185577710"/>
      <w:r w:rsidRPr="004510F0">
        <w:rPr>
          <w:rStyle w:val="CharChapNo"/>
        </w:rPr>
        <w:t>Seventh Schedule</w:t>
      </w:r>
      <w:r w:rsidRPr="005071A1">
        <w:t>—</w:t>
      </w:r>
      <w:r w:rsidRPr="004510F0">
        <w:rPr>
          <w:rStyle w:val="CharChapText"/>
        </w:rPr>
        <w:t>Factors applicable under section</w:t>
      </w:r>
      <w:r w:rsidR="008B2950" w:rsidRPr="004510F0">
        <w:rPr>
          <w:rStyle w:val="CharChapText"/>
        </w:rPr>
        <w:t> </w:t>
      </w:r>
      <w:r w:rsidRPr="004510F0">
        <w:rPr>
          <w:rStyle w:val="CharChapText"/>
        </w:rPr>
        <w:t>44</w:t>
      </w:r>
      <w:bookmarkEnd w:id="329"/>
    </w:p>
    <w:p w14:paraId="31435A51" w14:textId="77777777" w:rsidR="00B33542" w:rsidRPr="005071A1" w:rsidRDefault="00B33542" w:rsidP="00B33542">
      <w:pPr>
        <w:pStyle w:val="notemargin"/>
      </w:pPr>
      <w:r w:rsidRPr="005071A1">
        <w:t>Section</w:t>
      </w:r>
      <w:r w:rsidR="008B2950" w:rsidRPr="005071A1">
        <w:t> </w:t>
      </w:r>
      <w:r w:rsidRPr="005071A1">
        <w:t>44</w:t>
      </w:r>
    </w:p>
    <w:p w14:paraId="7FECB57B" w14:textId="77777777" w:rsidR="00674A0D" w:rsidRPr="005071A1" w:rsidRDefault="00674A0D" w:rsidP="00674A0D">
      <w:pPr>
        <w:pStyle w:val="Header"/>
        <w:tabs>
          <w:tab w:val="clear" w:pos="4150"/>
          <w:tab w:val="clear" w:pos="8307"/>
        </w:tabs>
      </w:pPr>
      <w:bookmarkStart w:id="330" w:name="f_Check_Lines_below"/>
      <w:bookmarkEnd w:id="330"/>
      <w:r w:rsidRPr="004510F0">
        <w:rPr>
          <w:rStyle w:val="CharPartNo"/>
        </w:rPr>
        <w:t xml:space="preserve"> </w:t>
      </w:r>
      <w:r w:rsidRPr="004510F0">
        <w:rPr>
          <w:rStyle w:val="CharPartText"/>
        </w:rPr>
        <w:t xml:space="preserve"> </w:t>
      </w:r>
    </w:p>
    <w:p w14:paraId="36FB2AA4" w14:textId="77777777" w:rsidR="00B33542" w:rsidRPr="005071A1" w:rsidRDefault="00B33542" w:rsidP="00B33542">
      <w:pPr>
        <w:pStyle w:val="ActHead5"/>
      </w:pPr>
      <w:bookmarkStart w:id="331" w:name="_Toc185577711"/>
      <w:r w:rsidRPr="005071A1">
        <w:t>Table I</w:t>
      </w:r>
      <w:bookmarkEnd w:id="331"/>
    </w:p>
    <w:p w14:paraId="5C9FB243" w14:textId="77777777" w:rsidR="00B33542" w:rsidRPr="005071A1" w:rsidRDefault="00B33542" w:rsidP="00B33542">
      <w:pPr>
        <w:spacing w:before="120"/>
      </w:pPr>
      <w:r w:rsidRPr="005071A1">
        <w:t>Maximum age for retirement of 60 years</w:t>
      </w:r>
    </w:p>
    <w:p w14:paraId="7586A8A0"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02"/>
        <w:gridCol w:w="2409"/>
        <w:gridCol w:w="1418"/>
      </w:tblGrid>
      <w:tr w:rsidR="00B33542" w:rsidRPr="005071A1" w14:paraId="7532478C" w14:textId="77777777" w:rsidTr="009B7AF5">
        <w:trPr>
          <w:tblHeader/>
        </w:trPr>
        <w:tc>
          <w:tcPr>
            <w:tcW w:w="2802" w:type="dxa"/>
            <w:tcBorders>
              <w:top w:val="single" w:sz="12" w:space="0" w:color="auto"/>
              <w:bottom w:val="single" w:sz="6" w:space="0" w:color="auto"/>
            </w:tcBorders>
            <w:shd w:val="clear" w:color="auto" w:fill="auto"/>
          </w:tcPr>
          <w:p w14:paraId="49FFFEBB" w14:textId="77777777" w:rsidR="00B33542" w:rsidRPr="005071A1" w:rsidRDefault="00B33542" w:rsidP="009B7AF5">
            <w:pPr>
              <w:pStyle w:val="TableHeading"/>
            </w:pPr>
            <w:r w:rsidRPr="005071A1">
              <w:t>Column 1</w:t>
            </w:r>
          </w:p>
        </w:tc>
        <w:tc>
          <w:tcPr>
            <w:tcW w:w="2409" w:type="dxa"/>
            <w:tcBorders>
              <w:top w:val="single" w:sz="12" w:space="0" w:color="auto"/>
              <w:bottom w:val="single" w:sz="6" w:space="0" w:color="auto"/>
            </w:tcBorders>
            <w:shd w:val="clear" w:color="auto" w:fill="auto"/>
          </w:tcPr>
          <w:p w14:paraId="7CDC2877" w14:textId="77777777" w:rsidR="00B33542" w:rsidRPr="005071A1" w:rsidRDefault="00B33542" w:rsidP="009B7AF5">
            <w:pPr>
              <w:pStyle w:val="TableHeading"/>
            </w:pPr>
            <w:r w:rsidRPr="005071A1">
              <w:t>Column 2</w:t>
            </w:r>
          </w:p>
        </w:tc>
        <w:tc>
          <w:tcPr>
            <w:tcW w:w="1418" w:type="dxa"/>
            <w:tcBorders>
              <w:top w:val="single" w:sz="12" w:space="0" w:color="auto"/>
              <w:bottom w:val="single" w:sz="6" w:space="0" w:color="auto"/>
            </w:tcBorders>
            <w:shd w:val="clear" w:color="auto" w:fill="auto"/>
          </w:tcPr>
          <w:p w14:paraId="250969F3" w14:textId="77777777" w:rsidR="00B33542" w:rsidRPr="005071A1" w:rsidRDefault="00B33542" w:rsidP="009B7AF5">
            <w:pPr>
              <w:pStyle w:val="TableHeading"/>
            </w:pPr>
            <w:r w:rsidRPr="005071A1">
              <w:t>Column 3</w:t>
            </w:r>
          </w:p>
        </w:tc>
      </w:tr>
      <w:tr w:rsidR="00B33542" w:rsidRPr="005071A1" w14:paraId="5C9B20A9" w14:textId="77777777" w:rsidTr="009B7AF5">
        <w:trPr>
          <w:tblHeader/>
        </w:trPr>
        <w:tc>
          <w:tcPr>
            <w:tcW w:w="2802" w:type="dxa"/>
            <w:tcBorders>
              <w:top w:val="single" w:sz="6" w:space="0" w:color="auto"/>
              <w:bottom w:val="single" w:sz="12" w:space="0" w:color="auto"/>
            </w:tcBorders>
            <w:shd w:val="clear" w:color="auto" w:fill="auto"/>
          </w:tcPr>
          <w:p w14:paraId="24EFAF83" w14:textId="77777777" w:rsidR="00B33542" w:rsidRPr="005071A1" w:rsidRDefault="00B33542" w:rsidP="00AD02FE">
            <w:pPr>
              <w:pStyle w:val="TableHeading"/>
            </w:pPr>
            <w:r w:rsidRPr="005071A1">
              <w:t>Age on retirement</w:t>
            </w:r>
          </w:p>
        </w:tc>
        <w:tc>
          <w:tcPr>
            <w:tcW w:w="2409" w:type="dxa"/>
            <w:tcBorders>
              <w:top w:val="single" w:sz="6" w:space="0" w:color="auto"/>
              <w:bottom w:val="single" w:sz="12" w:space="0" w:color="auto"/>
            </w:tcBorders>
            <w:shd w:val="clear" w:color="auto" w:fill="auto"/>
          </w:tcPr>
          <w:p w14:paraId="1A2CEC90" w14:textId="77777777" w:rsidR="00B33542" w:rsidRPr="005071A1" w:rsidRDefault="00B33542" w:rsidP="00AD02FE">
            <w:pPr>
              <w:pStyle w:val="TableHeading"/>
            </w:pPr>
            <w:r w:rsidRPr="005071A1">
              <w:t>Factor</w:t>
            </w:r>
          </w:p>
        </w:tc>
        <w:tc>
          <w:tcPr>
            <w:tcW w:w="1418" w:type="dxa"/>
            <w:tcBorders>
              <w:top w:val="single" w:sz="6" w:space="0" w:color="auto"/>
              <w:bottom w:val="single" w:sz="12" w:space="0" w:color="auto"/>
            </w:tcBorders>
            <w:shd w:val="clear" w:color="auto" w:fill="auto"/>
          </w:tcPr>
          <w:p w14:paraId="487C1E16" w14:textId="77777777" w:rsidR="00B33542" w:rsidRPr="005071A1" w:rsidRDefault="00B33542" w:rsidP="00AD02FE">
            <w:pPr>
              <w:pStyle w:val="TableHeading"/>
            </w:pPr>
            <w:r w:rsidRPr="005071A1">
              <w:t>Factor</w:t>
            </w:r>
          </w:p>
        </w:tc>
      </w:tr>
      <w:tr w:rsidR="00B33542" w:rsidRPr="005071A1" w14:paraId="2C758B2D" w14:textId="77777777" w:rsidTr="009B7AF5">
        <w:tc>
          <w:tcPr>
            <w:tcW w:w="2802" w:type="dxa"/>
            <w:tcBorders>
              <w:top w:val="single" w:sz="12" w:space="0" w:color="auto"/>
            </w:tcBorders>
            <w:shd w:val="clear" w:color="auto" w:fill="auto"/>
          </w:tcPr>
          <w:p w14:paraId="4640D819" w14:textId="77777777" w:rsidR="00B33542" w:rsidRPr="005071A1" w:rsidRDefault="00B33542" w:rsidP="009B7AF5">
            <w:pPr>
              <w:pStyle w:val="Tabletext"/>
            </w:pPr>
            <w:r w:rsidRPr="005071A1">
              <w:t>60</w:t>
            </w:r>
          </w:p>
        </w:tc>
        <w:tc>
          <w:tcPr>
            <w:tcW w:w="2409" w:type="dxa"/>
            <w:tcBorders>
              <w:top w:val="single" w:sz="12" w:space="0" w:color="auto"/>
            </w:tcBorders>
            <w:shd w:val="clear" w:color="auto" w:fill="auto"/>
          </w:tcPr>
          <w:p w14:paraId="40AF15B7" w14:textId="77777777" w:rsidR="00B33542" w:rsidRPr="005071A1" w:rsidRDefault="00B33542" w:rsidP="009B7AF5">
            <w:pPr>
              <w:pStyle w:val="Tabletext"/>
            </w:pPr>
            <w:r w:rsidRPr="005071A1">
              <w:t>..</w:t>
            </w:r>
          </w:p>
        </w:tc>
        <w:tc>
          <w:tcPr>
            <w:tcW w:w="1418" w:type="dxa"/>
            <w:tcBorders>
              <w:top w:val="single" w:sz="12" w:space="0" w:color="auto"/>
            </w:tcBorders>
            <w:shd w:val="clear" w:color="auto" w:fill="auto"/>
          </w:tcPr>
          <w:p w14:paraId="17E0F722" w14:textId="77777777" w:rsidR="00B33542" w:rsidRPr="005071A1" w:rsidRDefault="00B33542" w:rsidP="009B7AF5">
            <w:pPr>
              <w:pStyle w:val="Tabletext"/>
            </w:pPr>
            <w:r w:rsidRPr="005071A1">
              <w:t>.006</w:t>
            </w:r>
          </w:p>
        </w:tc>
      </w:tr>
      <w:tr w:rsidR="00B33542" w:rsidRPr="005071A1" w14:paraId="5A77792D" w14:textId="77777777" w:rsidTr="009B7AF5">
        <w:tc>
          <w:tcPr>
            <w:tcW w:w="2802" w:type="dxa"/>
            <w:shd w:val="clear" w:color="auto" w:fill="auto"/>
          </w:tcPr>
          <w:p w14:paraId="3468FD30" w14:textId="77777777" w:rsidR="00B33542" w:rsidRPr="005071A1" w:rsidRDefault="00B33542" w:rsidP="009B7AF5">
            <w:pPr>
              <w:pStyle w:val="Tabletext"/>
            </w:pPr>
            <w:r w:rsidRPr="005071A1">
              <w:t>61</w:t>
            </w:r>
          </w:p>
        </w:tc>
        <w:tc>
          <w:tcPr>
            <w:tcW w:w="2409" w:type="dxa"/>
            <w:shd w:val="clear" w:color="auto" w:fill="auto"/>
          </w:tcPr>
          <w:p w14:paraId="3AC5EAFC" w14:textId="77777777" w:rsidR="00B33542" w:rsidRPr="005071A1" w:rsidRDefault="00B33542" w:rsidP="009B7AF5">
            <w:pPr>
              <w:pStyle w:val="Tabletext"/>
            </w:pPr>
            <w:r w:rsidRPr="005071A1">
              <w:t>.072</w:t>
            </w:r>
          </w:p>
        </w:tc>
        <w:tc>
          <w:tcPr>
            <w:tcW w:w="1418" w:type="dxa"/>
            <w:shd w:val="clear" w:color="auto" w:fill="auto"/>
          </w:tcPr>
          <w:p w14:paraId="55D4A980" w14:textId="77777777" w:rsidR="00B33542" w:rsidRPr="005071A1" w:rsidRDefault="00B33542" w:rsidP="009B7AF5">
            <w:pPr>
              <w:pStyle w:val="Tabletext"/>
            </w:pPr>
            <w:r w:rsidRPr="005071A1">
              <w:t>.006</w:t>
            </w:r>
          </w:p>
        </w:tc>
      </w:tr>
      <w:tr w:rsidR="00B33542" w:rsidRPr="005071A1" w14:paraId="1E778007" w14:textId="77777777" w:rsidTr="009B7AF5">
        <w:tc>
          <w:tcPr>
            <w:tcW w:w="2802" w:type="dxa"/>
            <w:shd w:val="clear" w:color="auto" w:fill="auto"/>
          </w:tcPr>
          <w:p w14:paraId="34709FD8" w14:textId="77777777" w:rsidR="00B33542" w:rsidRPr="005071A1" w:rsidRDefault="00B33542" w:rsidP="009B7AF5">
            <w:pPr>
              <w:pStyle w:val="Tabletext"/>
            </w:pPr>
            <w:r w:rsidRPr="005071A1">
              <w:t>62</w:t>
            </w:r>
          </w:p>
        </w:tc>
        <w:tc>
          <w:tcPr>
            <w:tcW w:w="2409" w:type="dxa"/>
            <w:shd w:val="clear" w:color="auto" w:fill="auto"/>
          </w:tcPr>
          <w:p w14:paraId="5FB0FBE8" w14:textId="77777777" w:rsidR="00B33542" w:rsidRPr="005071A1" w:rsidRDefault="00B33542" w:rsidP="009B7AF5">
            <w:pPr>
              <w:pStyle w:val="Tabletext"/>
            </w:pPr>
            <w:r w:rsidRPr="005071A1">
              <w:t>.144</w:t>
            </w:r>
          </w:p>
        </w:tc>
        <w:tc>
          <w:tcPr>
            <w:tcW w:w="1418" w:type="dxa"/>
            <w:shd w:val="clear" w:color="auto" w:fill="auto"/>
          </w:tcPr>
          <w:p w14:paraId="23BCD657" w14:textId="77777777" w:rsidR="00B33542" w:rsidRPr="005071A1" w:rsidRDefault="00B33542" w:rsidP="009B7AF5">
            <w:pPr>
              <w:pStyle w:val="Tabletext"/>
            </w:pPr>
            <w:r w:rsidRPr="005071A1">
              <w:t>.007</w:t>
            </w:r>
          </w:p>
        </w:tc>
      </w:tr>
      <w:tr w:rsidR="00B33542" w:rsidRPr="005071A1" w14:paraId="2CFCC433" w14:textId="77777777" w:rsidTr="009B7AF5">
        <w:tc>
          <w:tcPr>
            <w:tcW w:w="2802" w:type="dxa"/>
            <w:shd w:val="clear" w:color="auto" w:fill="auto"/>
          </w:tcPr>
          <w:p w14:paraId="69775DC3" w14:textId="77777777" w:rsidR="00B33542" w:rsidRPr="005071A1" w:rsidRDefault="00B33542" w:rsidP="009B7AF5">
            <w:pPr>
              <w:pStyle w:val="Tabletext"/>
            </w:pPr>
            <w:r w:rsidRPr="005071A1">
              <w:t>63</w:t>
            </w:r>
          </w:p>
        </w:tc>
        <w:tc>
          <w:tcPr>
            <w:tcW w:w="2409" w:type="dxa"/>
            <w:shd w:val="clear" w:color="auto" w:fill="auto"/>
          </w:tcPr>
          <w:p w14:paraId="2354FE26" w14:textId="77777777" w:rsidR="00B33542" w:rsidRPr="005071A1" w:rsidRDefault="00B33542" w:rsidP="009B7AF5">
            <w:pPr>
              <w:pStyle w:val="Tabletext"/>
            </w:pPr>
            <w:r w:rsidRPr="005071A1">
              <w:t>.228</w:t>
            </w:r>
          </w:p>
        </w:tc>
        <w:tc>
          <w:tcPr>
            <w:tcW w:w="1418" w:type="dxa"/>
            <w:shd w:val="clear" w:color="auto" w:fill="auto"/>
          </w:tcPr>
          <w:p w14:paraId="0EA6B865" w14:textId="77777777" w:rsidR="00B33542" w:rsidRPr="005071A1" w:rsidRDefault="00B33542" w:rsidP="009B7AF5">
            <w:pPr>
              <w:pStyle w:val="Tabletext"/>
            </w:pPr>
            <w:r w:rsidRPr="005071A1">
              <w:t>.007</w:t>
            </w:r>
          </w:p>
        </w:tc>
      </w:tr>
      <w:tr w:rsidR="00B33542" w:rsidRPr="005071A1" w14:paraId="044C032A" w14:textId="77777777" w:rsidTr="009B7AF5">
        <w:tc>
          <w:tcPr>
            <w:tcW w:w="2802" w:type="dxa"/>
            <w:shd w:val="clear" w:color="auto" w:fill="auto"/>
          </w:tcPr>
          <w:p w14:paraId="77FF9345" w14:textId="77777777" w:rsidR="00B33542" w:rsidRPr="005071A1" w:rsidRDefault="00B33542" w:rsidP="009B7AF5">
            <w:pPr>
              <w:pStyle w:val="Tabletext"/>
            </w:pPr>
            <w:r w:rsidRPr="005071A1">
              <w:t>64</w:t>
            </w:r>
          </w:p>
        </w:tc>
        <w:tc>
          <w:tcPr>
            <w:tcW w:w="2409" w:type="dxa"/>
            <w:shd w:val="clear" w:color="auto" w:fill="auto"/>
          </w:tcPr>
          <w:p w14:paraId="22C1A77E" w14:textId="77777777" w:rsidR="00B33542" w:rsidRPr="005071A1" w:rsidRDefault="00B33542" w:rsidP="009B7AF5">
            <w:pPr>
              <w:pStyle w:val="Tabletext"/>
            </w:pPr>
            <w:r w:rsidRPr="005071A1">
              <w:t>.312</w:t>
            </w:r>
          </w:p>
        </w:tc>
        <w:tc>
          <w:tcPr>
            <w:tcW w:w="1418" w:type="dxa"/>
            <w:shd w:val="clear" w:color="auto" w:fill="auto"/>
          </w:tcPr>
          <w:p w14:paraId="7A435620" w14:textId="77777777" w:rsidR="00B33542" w:rsidRPr="005071A1" w:rsidRDefault="00B33542" w:rsidP="009B7AF5">
            <w:pPr>
              <w:pStyle w:val="Tabletext"/>
            </w:pPr>
            <w:r w:rsidRPr="005071A1">
              <w:t>.008</w:t>
            </w:r>
          </w:p>
        </w:tc>
      </w:tr>
      <w:tr w:rsidR="00B33542" w:rsidRPr="005071A1" w14:paraId="77902127" w14:textId="77777777" w:rsidTr="009B7AF5">
        <w:tc>
          <w:tcPr>
            <w:tcW w:w="2802" w:type="dxa"/>
            <w:shd w:val="clear" w:color="auto" w:fill="auto"/>
          </w:tcPr>
          <w:p w14:paraId="73220758" w14:textId="77777777" w:rsidR="00B33542" w:rsidRPr="005071A1" w:rsidRDefault="00B33542" w:rsidP="009B7AF5">
            <w:pPr>
              <w:pStyle w:val="Tabletext"/>
            </w:pPr>
            <w:r w:rsidRPr="005071A1">
              <w:t>65</w:t>
            </w:r>
          </w:p>
        </w:tc>
        <w:tc>
          <w:tcPr>
            <w:tcW w:w="2409" w:type="dxa"/>
            <w:shd w:val="clear" w:color="auto" w:fill="auto"/>
          </w:tcPr>
          <w:p w14:paraId="7B80B7CC" w14:textId="77777777" w:rsidR="00B33542" w:rsidRPr="005071A1" w:rsidRDefault="00B33542" w:rsidP="009B7AF5">
            <w:pPr>
              <w:pStyle w:val="Tabletext"/>
            </w:pPr>
            <w:r w:rsidRPr="005071A1">
              <w:t>.408</w:t>
            </w:r>
          </w:p>
        </w:tc>
        <w:tc>
          <w:tcPr>
            <w:tcW w:w="1418" w:type="dxa"/>
            <w:shd w:val="clear" w:color="auto" w:fill="auto"/>
          </w:tcPr>
          <w:p w14:paraId="1417FEA1" w14:textId="77777777" w:rsidR="00B33542" w:rsidRPr="005071A1" w:rsidRDefault="00B33542" w:rsidP="009B7AF5">
            <w:pPr>
              <w:pStyle w:val="Tabletext"/>
            </w:pPr>
            <w:r w:rsidRPr="005071A1">
              <w:t>.008</w:t>
            </w:r>
          </w:p>
        </w:tc>
      </w:tr>
      <w:tr w:rsidR="00B33542" w:rsidRPr="005071A1" w14:paraId="72AC596C" w14:textId="77777777" w:rsidTr="009B7AF5">
        <w:tc>
          <w:tcPr>
            <w:tcW w:w="2802" w:type="dxa"/>
            <w:shd w:val="clear" w:color="auto" w:fill="auto"/>
          </w:tcPr>
          <w:p w14:paraId="6F54DDFC" w14:textId="77777777" w:rsidR="00B33542" w:rsidRPr="005071A1" w:rsidRDefault="00B33542" w:rsidP="009B7AF5">
            <w:pPr>
              <w:pStyle w:val="Tabletext"/>
            </w:pPr>
            <w:r w:rsidRPr="005071A1">
              <w:t>66</w:t>
            </w:r>
          </w:p>
        </w:tc>
        <w:tc>
          <w:tcPr>
            <w:tcW w:w="2409" w:type="dxa"/>
            <w:shd w:val="clear" w:color="auto" w:fill="auto"/>
          </w:tcPr>
          <w:p w14:paraId="25D50076" w14:textId="77777777" w:rsidR="00B33542" w:rsidRPr="005071A1" w:rsidRDefault="00B33542" w:rsidP="009B7AF5">
            <w:pPr>
              <w:pStyle w:val="Tabletext"/>
            </w:pPr>
            <w:r w:rsidRPr="005071A1">
              <w:t>.504</w:t>
            </w:r>
          </w:p>
        </w:tc>
        <w:tc>
          <w:tcPr>
            <w:tcW w:w="1418" w:type="dxa"/>
            <w:shd w:val="clear" w:color="auto" w:fill="auto"/>
          </w:tcPr>
          <w:p w14:paraId="777F88B4" w14:textId="77777777" w:rsidR="00B33542" w:rsidRPr="005071A1" w:rsidRDefault="00B33542" w:rsidP="009B7AF5">
            <w:pPr>
              <w:pStyle w:val="Tabletext"/>
            </w:pPr>
            <w:r w:rsidRPr="005071A1">
              <w:t>.009</w:t>
            </w:r>
          </w:p>
        </w:tc>
      </w:tr>
      <w:tr w:rsidR="00B33542" w:rsidRPr="005071A1" w14:paraId="7BB77B04" w14:textId="77777777" w:rsidTr="009B7AF5">
        <w:tc>
          <w:tcPr>
            <w:tcW w:w="2802" w:type="dxa"/>
            <w:shd w:val="clear" w:color="auto" w:fill="auto"/>
          </w:tcPr>
          <w:p w14:paraId="58EF8423" w14:textId="77777777" w:rsidR="00B33542" w:rsidRPr="005071A1" w:rsidRDefault="00B33542" w:rsidP="009B7AF5">
            <w:pPr>
              <w:pStyle w:val="Tabletext"/>
            </w:pPr>
            <w:r w:rsidRPr="005071A1">
              <w:t>67</w:t>
            </w:r>
          </w:p>
        </w:tc>
        <w:tc>
          <w:tcPr>
            <w:tcW w:w="2409" w:type="dxa"/>
            <w:shd w:val="clear" w:color="auto" w:fill="auto"/>
          </w:tcPr>
          <w:p w14:paraId="77AD0EF3" w14:textId="77777777" w:rsidR="00B33542" w:rsidRPr="005071A1" w:rsidRDefault="00B33542" w:rsidP="009B7AF5">
            <w:pPr>
              <w:pStyle w:val="Tabletext"/>
            </w:pPr>
            <w:r w:rsidRPr="005071A1">
              <w:t>.612</w:t>
            </w:r>
          </w:p>
        </w:tc>
        <w:tc>
          <w:tcPr>
            <w:tcW w:w="1418" w:type="dxa"/>
            <w:shd w:val="clear" w:color="auto" w:fill="auto"/>
          </w:tcPr>
          <w:p w14:paraId="4523711F" w14:textId="77777777" w:rsidR="00B33542" w:rsidRPr="005071A1" w:rsidRDefault="00B33542" w:rsidP="009B7AF5">
            <w:pPr>
              <w:pStyle w:val="Tabletext"/>
            </w:pPr>
            <w:r w:rsidRPr="005071A1">
              <w:t>.01</w:t>
            </w:r>
          </w:p>
        </w:tc>
      </w:tr>
      <w:tr w:rsidR="00B33542" w:rsidRPr="005071A1" w14:paraId="70192992" w14:textId="77777777" w:rsidTr="009B7AF5">
        <w:tc>
          <w:tcPr>
            <w:tcW w:w="2802" w:type="dxa"/>
            <w:shd w:val="clear" w:color="auto" w:fill="auto"/>
          </w:tcPr>
          <w:p w14:paraId="48F7309A" w14:textId="77777777" w:rsidR="00B33542" w:rsidRPr="005071A1" w:rsidRDefault="00B33542" w:rsidP="009B7AF5">
            <w:pPr>
              <w:pStyle w:val="Tabletext"/>
            </w:pPr>
            <w:r w:rsidRPr="005071A1">
              <w:t>68</w:t>
            </w:r>
          </w:p>
        </w:tc>
        <w:tc>
          <w:tcPr>
            <w:tcW w:w="2409" w:type="dxa"/>
            <w:shd w:val="clear" w:color="auto" w:fill="auto"/>
          </w:tcPr>
          <w:p w14:paraId="4E10705E" w14:textId="77777777" w:rsidR="00B33542" w:rsidRPr="005071A1" w:rsidRDefault="00B33542" w:rsidP="009B7AF5">
            <w:pPr>
              <w:pStyle w:val="Tabletext"/>
            </w:pPr>
            <w:r w:rsidRPr="005071A1">
              <w:t>.732</w:t>
            </w:r>
          </w:p>
        </w:tc>
        <w:tc>
          <w:tcPr>
            <w:tcW w:w="1418" w:type="dxa"/>
            <w:shd w:val="clear" w:color="auto" w:fill="auto"/>
          </w:tcPr>
          <w:p w14:paraId="67B3999E" w14:textId="77777777" w:rsidR="00B33542" w:rsidRPr="005071A1" w:rsidRDefault="00B33542" w:rsidP="009B7AF5">
            <w:pPr>
              <w:pStyle w:val="Tabletext"/>
            </w:pPr>
            <w:r w:rsidRPr="005071A1">
              <w:t>.011</w:t>
            </w:r>
          </w:p>
        </w:tc>
      </w:tr>
      <w:tr w:rsidR="00B33542" w:rsidRPr="005071A1" w14:paraId="3926A72E" w14:textId="77777777" w:rsidTr="009B7AF5">
        <w:tc>
          <w:tcPr>
            <w:tcW w:w="2802" w:type="dxa"/>
            <w:shd w:val="clear" w:color="auto" w:fill="auto"/>
          </w:tcPr>
          <w:p w14:paraId="105CCAD1" w14:textId="77777777" w:rsidR="00B33542" w:rsidRPr="005071A1" w:rsidRDefault="00B33542" w:rsidP="009B7AF5">
            <w:pPr>
              <w:pStyle w:val="Tabletext"/>
            </w:pPr>
            <w:r w:rsidRPr="005071A1">
              <w:t>69</w:t>
            </w:r>
          </w:p>
        </w:tc>
        <w:tc>
          <w:tcPr>
            <w:tcW w:w="2409" w:type="dxa"/>
            <w:shd w:val="clear" w:color="auto" w:fill="auto"/>
          </w:tcPr>
          <w:p w14:paraId="52DD624E" w14:textId="77777777" w:rsidR="00B33542" w:rsidRPr="005071A1" w:rsidRDefault="00B33542" w:rsidP="009B7AF5">
            <w:pPr>
              <w:pStyle w:val="Tabletext"/>
            </w:pPr>
            <w:r w:rsidRPr="005071A1">
              <w:t>.864</w:t>
            </w:r>
          </w:p>
        </w:tc>
        <w:tc>
          <w:tcPr>
            <w:tcW w:w="1418" w:type="dxa"/>
            <w:shd w:val="clear" w:color="auto" w:fill="auto"/>
          </w:tcPr>
          <w:p w14:paraId="121134E3" w14:textId="77777777" w:rsidR="00B33542" w:rsidRPr="005071A1" w:rsidRDefault="00B33542" w:rsidP="009B7AF5">
            <w:pPr>
              <w:pStyle w:val="Tabletext"/>
            </w:pPr>
            <w:r w:rsidRPr="005071A1">
              <w:t>.012</w:t>
            </w:r>
          </w:p>
        </w:tc>
      </w:tr>
      <w:tr w:rsidR="00B33542" w:rsidRPr="005071A1" w14:paraId="4275C6CD" w14:textId="77777777" w:rsidTr="009B7AF5">
        <w:tc>
          <w:tcPr>
            <w:tcW w:w="2802" w:type="dxa"/>
            <w:shd w:val="clear" w:color="auto" w:fill="auto"/>
          </w:tcPr>
          <w:p w14:paraId="1AE86AD4" w14:textId="77777777" w:rsidR="00B33542" w:rsidRPr="005071A1" w:rsidRDefault="00B33542" w:rsidP="009B7AF5">
            <w:pPr>
              <w:pStyle w:val="Tabletext"/>
            </w:pPr>
            <w:r w:rsidRPr="005071A1">
              <w:t>70</w:t>
            </w:r>
          </w:p>
        </w:tc>
        <w:tc>
          <w:tcPr>
            <w:tcW w:w="2409" w:type="dxa"/>
            <w:shd w:val="clear" w:color="auto" w:fill="auto"/>
          </w:tcPr>
          <w:p w14:paraId="6156F5B2" w14:textId="77777777" w:rsidR="00B33542" w:rsidRPr="005071A1" w:rsidRDefault="00B33542" w:rsidP="009B7AF5">
            <w:pPr>
              <w:pStyle w:val="Tabletext"/>
            </w:pPr>
            <w:r w:rsidRPr="005071A1">
              <w:t>1.008</w:t>
            </w:r>
          </w:p>
        </w:tc>
        <w:tc>
          <w:tcPr>
            <w:tcW w:w="1418" w:type="dxa"/>
            <w:shd w:val="clear" w:color="auto" w:fill="auto"/>
          </w:tcPr>
          <w:p w14:paraId="601C8DB8" w14:textId="77777777" w:rsidR="00B33542" w:rsidRPr="005071A1" w:rsidRDefault="00B33542" w:rsidP="009B7AF5">
            <w:pPr>
              <w:pStyle w:val="Tabletext"/>
            </w:pPr>
            <w:r w:rsidRPr="005071A1">
              <w:t>.013</w:t>
            </w:r>
          </w:p>
        </w:tc>
      </w:tr>
      <w:tr w:rsidR="00B33542" w:rsidRPr="005071A1" w14:paraId="1F1DD4AB" w14:textId="77777777" w:rsidTr="009B7AF5">
        <w:tc>
          <w:tcPr>
            <w:tcW w:w="2802" w:type="dxa"/>
            <w:shd w:val="clear" w:color="auto" w:fill="auto"/>
          </w:tcPr>
          <w:p w14:paraId="3B588316" w14:textId="77777777" w:rsidR="00B33542" w:rsidRPr="005071A1" w:rsidRDefault="00B33542" w:rsidP="009B7AF5">
            <w:pPr>
              <w:pStyle w:val="Tabletext"/>
            </w:pPr>
            <w:r w:rsidRPr="005071A1">
              <w:t>71</w:t>
            </w:r>
          </w:p>
        </w:tc>
        <w:tc>
          <w:tcPr>
            <w:tcW w:w="2409" w:type="dxa"/>
            <w:shd w:val="clear" w:color="auto" w:fill="auto"/>
          </w:tcPr>
          <w:p w14:paraId="4DA9A9F3" w14:textId="77777777" w:rsidR="00B33542" w:rsidRPr="005071A1" w:rsidRDefault="00B33542" w:rsidP="009B7AF5">
            <w:pPr>
              <w:pStyle w:val="Tabletext"/>
            </w:pPr>
            <w:r w:rsidRPr="005071A1">
              <w:t>1.164</w:t>
            </w:r>
          </w:p>
        </w:tc>
        <w:tc>
          <w:tcPr>
            <w:tcW w:w="1418" w:type="dxa"/>
            <w:shd w:val="clear" w:color="auto" w:fill="auto"/>
          </w:tcPr>
          <w:p w14:paraId="00E9A9A5" w14:textId="77777777" w:rsidR="00B33542" w:rsidRPr="005071A1" w:rsidRDefault="00B33542" w:rsidP="009B7AF5">
            <w:pPr>
              <w:pStyle w:val="Tabletext"/>
            </w:pPr>
            <w:r w:rsidRPr="005071A1">
              <w:t>.014</w:t>
            </w:r>
          </w:p>
        </w:tc>
      </w:tr>
      <w:tr w:rsidR="00B33542" w:rsidRPr="005071A1" w14:paraId="78495046" w14:textId="77777777" w:rsidTr="009B7AF5">
        <w:tc>
          <w:tcPr>
            <w:tcW w:w="2802" w:type="dxa"/>
            <w:shd w:val="clear" w:color="auto" w:fill="auto"/>
          </w:tcPr>
          <w:p w14:paraId="567460AA" w14:textId="77777777" w:rsidR="00B33542" w:rsidRPr="005071A1" w:rsidRDefault="00B33542" w:rsidP="009B7AF5">
            <w:pPr>
              <w:pStyle w:val="Tabletext"/>
            </w:pPr>
            <w:r w:rsidRPr="005071A1">
              <w:t>72</w:t>
            </w:r>
          </w:p>
        </w:tc>
        <w:tc>
          <w:tcPr>
            <w:tcW w:w="2409" w:type="dxa"/>
            <w:shd w:val="clear" w:color="auto" w:fill="auto"/>
          </w:tcPr>
          <w:p w14:paraId="49AD361B" w14:textId="77777777" w:rsidR="00B33542" w:rsidRPr="005071A1" w:rsidRDefault="00B33542" w:rsidP="009B7AF5">
            <w:pPr>
              <w:pStyle w:val="Tabletext"/>
            </w:pPr>
            <w:r w:rsidRPr="005071A1">
              <w:t>1.332</w:t>
            </w:r>
          </w:p>
        </w:tc>
        <w:tc>
          <w:tcPr>
            <w:tcW w:w="1418" w:type="dxa"/>
            <w:shd w:val="clear" w:color="auto" w:fill="auto"/>
          </w:tcPr>
          <w:p w14:paraId="150191F6" w14:textId="77777777" w:rsidR="00B33542" w:rsidRPr="005071A1" w:rsidRDefault="00B33542" w:rsidP="009B7AF5">
            <w:pPr>
              <w:pStyle w:val="Tabletext"/>
            </w:pPr>
            <w:r w:rsidRPr="005071A1">
              <w:t>.016</w:t>
            </w:r>
          </w:p>
        </w:tc>
      </w:tr>
      <w:tr w:rsidR="00B33542" w:rsidRPr="005071A1" w14:paraId="1190A8D1" w14:textId="77777777" w:rsidTr="009B7AF5">
        <w:tc>
          <w:tcPr>
            <w:tcW w:w="2802" w:type="dxa"/>
            <w:tcBorders>
              <w:bottom w:val="single" w:sz="4" w:space="0" w:color="auto"/>
            </w:tcBorders>
            <w:shd w:val="clear" w:color="auto" w:fill="auto"/>
          </w:tcPr>
          <w:p w14:paraId="2F997954" w14:textId="77777777" w:rsidR="00B33542" w:rsidRPr="005071A1" w:rsidRDefault="00B33542" w:rsidP="009B7AF5">
            <w:pPr>
              <w:pStyle w:val="Tabletext"/>
            </w:pPr>
            <w:r w:rsidRPr="005071A1">
              <w:t>73</w:t>
            </w:r>
          </w:p>
        </w:tc>
        <w:tc>
          <w:tcPr>
            <w:tcW w:w="2409" w:type="dxa"/>
            <w:tcBorders>
              <w:bottom w:val="single" w:sz="4" w:space="0" w:color="auto"/>
            </w:tcBorders>
            <w:shd w:val="clear" w:color="auto" w:fill="auto"/>
          </w:tcPr>
          <w:p w14:paraId="2DD05492" w14:textId="77777777" w:rsidR="00B33542" w:rsidRPr="005071A1" w:rsidRDefault="00B33542" w:rsidP="009B7AF5">
            <w:pPr>
              <w:pStyle w:val="Tabletext"/>
            </w:pPr>
            <w:r w:rsidRPr="005071A1">
              <w:t>1.524</w:t>
            </w:r>
          </w:p>
        </w:tc>
        <w:tc>
          <w:tcPr>
            <w:tcW w:w="1418" w:type="dxa"/>
            <w:tcBorders>
              <w:bottom w:val="single" w:sz="4" w:space="0" w:color="auto"/>
            </w:tcBorders>
            <w:shd w:val="clear" w:color="auto" w:fill="auto"/>
          </w:tcPr>
          <w:p w14:paraId="2C4942B3" w14:textId="77777777" w:rsidR="00B33542" w:rsidRPr="005071A1" w:rsidRDefault="00B33542" w:rsidP="009B7AF5">
            <w:pPr>
              <w:pStyle w:val="Tabletext"/>
            </w:pPr>
            <w:r w:rsidRPr="005071A1">
              <w:t>.017</w:t>
            </w:r>
          </w:p>
        </w:tc>
      </w:tr>
      <w:tr w:rsidR="00B33542" w:rsidRPr="005071A1" w14:paraId="71A89B7A" w14:textId="77777777" w:rsidTr="009B7AF5">
        <w:tc>
          <w:tcPr>
            <w:tcW w:w="2802" w:type="dxa"/>
            <w:tcBorders>
              <w:bottom w:val="single" w:sz="12" w:space="0" w:color="auto"/>
            </w:tcBorders>
            <w:shd w:val="clear" w:color="auto" w:fill="auto"/>
          </w:tcPr>
          <w:p w14:paraId="75A920F4" w14:textId="77777777" w:rsidR="00B33542" w:rsidRPr="005071A1" w:rsidRDefault="00B33542" w:rsidP="009B7AF5">
            <w:pPr>
              <w:pStyle w:val="Tabletext"/>
            </w:pPr>
            <w:r w:rsidRPr="005071A1">
              <w:t>74</w:t>
            </w:r>
          </w:p>
        </w:tc>
        <w:tc>
          <w:tcPr>
            <w:tcW w:w="2409" w:type="dxa"/>
            <w:tcBorders>
              <w:bottom w:val="single" w:sz="12" w:space="0" w:color="auto"/>
            </w:tcBorders>
            <w:shd w:val="clear" w:color="auto" w:fill="auto"/>
          </w:tcPr>
          <w:p w14:paraId="74623855" w14:textId="77777777" w:rsidR="00B33542" w:rsidRPr="005071A1" w:rsidRDefault="00B33542" w:rsidP="009B7AF5">
            <w:pPr>
              <w:pStyle w:val="Tabletext"/>
            </w:pPr>
            <w:r w:rsidRPr="005071A1">
              <w:t>1.728</w:t>
            </w:r>
          </w:p>
        </w:tc>
        <w:tc>
          <w:tcPr>
            <w:tcW w:w="1418" w:type="dxa"/>
            <w:tcBorders>
              <w:bottom w:val="single" w:sz="12" w:space="0" w:color="auto"/>
            </w:tcBorders>
            <w:shd w:val="clear" w:color="auto" w:fill="auto"/>
          </w:tcPr>
          <w:p w14:paraId="77181348" w14:textId="77777777" w:rsidR="00B33542" w:rsidRPr="005071A1" w:rsidRDefault="00B33542" w:rsidP="009B7AF5">
            <w:pPr>
              <w:pStyle w:val="Tabletext"/>
            </w:pPr>
            <w:r w:rsidRPr="005071A1">
              <w:t>.019</w:t>
            </w:r>
          </w:p>
        </w:tc>
      </w:tr>
    </w:tbl>
    <w:p w14:paraId="6C618DEE" w14:textId="77777777" w:rsidR="00B33542" w:rsidRPr="005071A1" w:rsidRDefault="00B33542" w:rsidP="00674A0D">
      <w:pPr>
        <w:pStyle w:val="ActHead5"/>
        <w:pageBreakBefore/>
      </w:pPr>
      <w:bookmarkStart w:id="332" w:name="_Toc185577712"/>
      <w:r w:rsidRPr="005071A1">
        <w:t>Table II</w:t>
      </w:r>
      <w:bookmarkEnd w:id="332"/>
    </w:p>
    <w:p w14:paraId="758ED1FA" w14:textId="77777777" w:rsidR="00B33542" w:rsidRPr="005071A1" w:rsidRDefault="00B33542" w:rsidP="00B33542">
      <w:pPr>
        <w:spacing w:before="120"/>
      </w:pPr>
      <w:r w:rsidRPr="005071A1">
        <w:t>Maximum age for retirement of 65 years</w:t>
      </w:r>
    </w:p>
    <w:p w14:paraId="031A6108" w14:textId="77777777" w:rsidR="009B7AF5" w:rsidRPr="005071A1" w:rsidRDefault="009B7AF5" w:rsidP="009B7AF5">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02"/>
        <w:gridCol w:w="2409"/>
        <w:gridCol w:w="1418"/>
      </w:tblGrid>
      <w:tr w:rsidR="00B33542" w:rsidRPr="005071A1" w14:paraId="587B8356" w14:textId="77777777" w:rsidTr="009B7AF5">
        <w:trPr>
          <w:tblHeader/>
        </w:trPr>
        <w:tc>
          <w:tcPr>
            <w:tcW w:w="2802" w:type="dxa"/>
            <w:tcBorders>
              <w:top w:val="single" w:sz="12" w:space="0" w:color="auto"/>
              <w:bottom w:val="single" w:sz="6" w:space="0" w:color="auto"/>
            </w:tcBorders>
            <w:shd w:val="clear" w:color="auto" w:fill="auto"/>
          </w:tcPr>
          <w:p w14:paraId="2609111A" w14:textId="77777777" w:rsidR="00B33542" w:rsidRPr="005071A1" w:rsidRDefault="00B33542" w:rsidP="009B7AF5">
            <w:pPr>
              <w:pStyle w:val="TableHeading"/>
            </w:pPr>
            <w:r w:rsidRPr="005071A1">
              <w:t>Column 1</w:t>
            </w:r>
          </w:p>
        </w:tc>
        <w:tc>
          <w:tcPr>
            <w:tcW w:w="2409" w:type="dxa"/>
            <w:tcBorders>
              <w:top w:val="single" w:sz="12" w:space="0" w:color="auto"/>
              <w:bottom w:val="single" w:sz="6" w:space="0" w:color="auto"/>
            </w:tcBorders>
            <w:shd w:val="clear" w:color="auto" w:fill="auto"/>
          </w:tcPr>
          <w:p w14:paraId="44E1D7D5" w14:textId="77777777" w:rsidR="00B33542" w:rsidRPr="005071A1" w:rsidRDefault="00B33542" w:rsidP="009B7AF5">
            <w:pPr>
              <w:pStyle w:val="TableHeading"/>
            </w:pPr>
            <w:r w:rsidRPr="005071A1">
              <w:t>Column 2</w:t>
            </w:r>
          </w:p>
        </w:tc>
        <w:tc>
          <w:tcPr>
            <w:tcW w:w="1418" w:type="dxa"/>
            <w:tcBorders>
              <w:top w:val="single" w:sz="12" w:space="0" w:color="auto"/>
              <w:bottom w:val="single" w:sz="6" w:space="0" w:color="auto"/>
            </w:tcBorders>
            <w:shd w:val="clear" w:color="auto" w:fill="auto"/>
          </w:tcPr>
          <w:p w14:paraId="2721D881" w14:textId="77777777" w:rsidR="00B33542" w:rsidRPr="005071A1" w:rsidRDefault="00B33542" w:rsidP="009B7AF5">
            <w:pPr>
              <w:pStyle w:val="TableHeading"/>
            </w:pPr>
            <w:r w:rsidRPr="005071A1">
              <w:t>Column 3</w:t>
            </w:r>
          </w:p>
        </w:tc>
      </w:tr>
      <w:tr w:rsidR="00B33542" w:rsidRPr="005071A1" w14:paraId="754CBD7B" w14:textId="77777777" w:rsidTr="009B7AF5">
        <w:trPr>
          <w:tblHeader/>
        </w:trPr>
        <w:tc>
          <w:tcPr>
            <w:tcW w:w="2802" w:type="dxa"/>
            <w:tcBorders>
              <w:top w:val="single" w:sz="6" w:space="0" w:color="auto"/>
              <w:bottom w:val="single" w:sz="12" w:space="0" w:color="auto"/>
            </w:tcBorders>
            <w:shd w:val="clear" w:color="auto" w:fill="auto"/>
          </w:tcPr>
          <w:p w14:paraId="156A561B" w14:textId="77777777" w:rsidR="00B33542" w:rsidRPr="005071A1" w:rsidRDefault="00B33542" w:rsidP="00AD02FE">
            <w:pPr>
              <w:pStyle w:val="TableHeading"/>
            </w:pPr>
            <w:r w:rsidRPr="005071A1">
              <w:t>Age on retirement</w:t>
            </w:r>
          </w:p>
        </w:tc>
        <w:tc>
          <w:tcPr>
            <w:tcW w:w="2409" w:type="dxa"/>
            <w:tcBorders>
              <w:top w:val="single" w:sz="6" w:space="0" w:color="auto"/>
              <w:bottom w:val="single" w:sz="12" w:space="0" w:color="auto"/>
            </w:tcBorders>
            <w:shd w:val="clear" w:color="auto" w:fill="auto"/>
          </w:tcPr>
          <w:p w14:paraId="2B7617CF" w14:textId="77777777" w:rsidR="00B33542" w:rsidRPr="005071A1" w:rsidRDefault="00B33542" w:rsidP="00AD02FE">
            <w:pPr>
              <w:pStyle w:val="TableHeading"/>
            </w:pPr>
            <w:r w:rsidRPr="005071A1">
              <w:t>Factor</w:t>
            </w:r>
          </w:p>
        </w:tc>
        <w:tc>
          <w:tcPr>
            <w:tcW w:w="1418" w:type="dxa"/>
            <w:tcBorders>
              <w:top w:val="single" w:sz="6" w:space="0" w:color="auto"/>
              <w:bottom w:val="single" w:sz="12" w:space="0" w:color="auto"/>
            </w:tcBorders>
            <w:shd w:val="clear" w:color="auto" w:fill="auto"/>
          </w:tcPr>
          <w:p w14:paraId="6C7C3D68" w14:textId="77777777" w:rsidR="00B33542" w:rsidRPr="005071A1" w:rsidRDefault="00B33542" w:rsidP="00AD02FE">
            <w:pPr>
              <w:pStyle w:val="TableHeading"/>
            </w:pPr>
            <w:r w:rsidRPr="005071A1">
              <w:t>Factor</w:t>
            </w:r>
          </w:p>
        </w:tc>
      </w:tr>
      <w:tr w:rsidR="00B33542" w:rsidRPr="005071A1" w14:paraId="2F558526" w14:textId="77777777" w:rsidTr="009B7AF5">
        <w:tc>
          <w:tcPr>
            <w:tcW w:w="2802" w:type="dxa"/>
            <w:tcBorders>
              <w:top w:val="single" w:sz="12" w:space="0" w:color="auto"/>
            </w:tcBorders>
            <w:shd w:val="clear" w:color="auto" w:fill="auto"/>
          </w:tcPr>
          <w:p w14:paraId="1C0E1DE2" w14:textId="77777777" w:rsidR="00B33542" w:rsidRPr="005071A1" w:rsidRDefault="00B33542" w:rsidP="009B7AF5">
            <w:pPr>
              <w:pStyle w:val="Tabletext"/>
            </w:pPr>
            <w:r w:rsidRPr="005071A1">
              <w:t>65</w:t>
            </w:r>
          </w:p>
        </w:tc>
        <w:tc>
          <w:tcPr>
            <w:tcW w:w="2409" w:type="dxa"/>
            <w:tcBorders>
              <w:top w:val="single" w:sz="12" w:space="0" w:color="auto"/>
            </w:tcBorders>
            <w:shd w:val="clear" w:color="auto" w:fill="auto"/>
          </w:tcPr>
          <w:p w14:paraId="649D26DD" w14:textId="77777777" w:rsidR="00B33542" w:rsidRPr="005071A1" w:rsidRDefault="00B33542" w:rsidP="009B7AF5">
            <w:pPr>
              <w:pStyle w:val="Tabletext"/>
            </w:pPr>
            <w:r w:rsidRPr="005071A1">
              <w:t>..</w:t>
            </w:r>
          </w:p>
        </w:tc>
        <w:tc>
          <w:tcPr>
            <w:tcW w:w="1418" w:type="dxa"/>
            <w:tcBorders>
              <w:top w:val="single" w:sz="12" w:space="0" w:color="auto"/>
            </w:tcBorders>
            <w:shd w:val="clear" w:color="auto" w:fill="auto"/>
          </w:tcPr>
          <w:p w14:paraId="7BE8DC3A" w14:textId="77777777" w:rsidR="00B33542" w:rsidRPr="005071A1" w:rsidRDefault="00B33542" w:rsidP="009B7AF5">
            <w:pPr>
              <w:pStyle w:val="Tabletext"/>
            </w:pPr>
            <w:r w:rsidRPr="005071A1">
              <w:t>.006</w:t>
            </w:r>
          </w:p>
        </w:tc>
      </w:tr>
      <w:tr w:rsidR="00B33542" w:rsidRPr="005071A1" w14:paraId="403E4A3C" w14:textId="77777777" w:rsidTr="009B7AF5">
        <w:tc>
          <w:tcPr>
            <w:tcW w:w="2802" w:type="dxa"/>
            <w:shd w:val="clear" w:color="auto" w:fill="auto"/>
          </w:tcPr>
          <w:p w14:paraId="7EE1C1D1" w14:textId="77777777" w:rsidR="00B33542" w:rsidRPr="005071A1" w:rsidRDefault="00B33542" w:rsidP="009B7AF5">
            <w:pPr>
              <w:pStyle w:val="Tabletext"/>
            </w:pPr>
            <w:r w:rsidRPr="005071A1">
              <w:t>66</w:t>
            </w:r>
          </w:p>
        </w:tc>
        <w:tc>
          <w:tcPr>
            <w:tcW w:w="2409" w:type="dxa"/>
            <w:shd w:val="clear" w:color="auto" w:fill="auto"/>
          </w:tcPr>
          <w:p w14:paraId="35D565EA" w14:textId="77777777" w:rsidR="00B33542" w:rsidRPr="005071A1" w:rsidRDefault="00B33542" w:rsidP="009B7AF5">
            <w:pPr>
              <w:pStyle w:val="Tabletext"/>
            </w:pPr>
            <w:r w:rsidRPr="005071A1">
              <w:t>.072</w:t>
            </w:r>
          </w:p>
        </w:tc>
        <w:tc>
          <w:tcPr>
            <w:tcW w:w="1418" w:type="dxa"/>
            <w:shd w:val="clear" w:color="auto" w:fill="auto"/>
          </w:tcPr>
          <w:p w14:paraId="56B38691" w14:textId="77777777" w:rsidR="00B33542" w:rsidRPr="005071A1" w:rsidRDefault="00B33542" w:rsidP="009B7AF5">
            <w:pPr>
              <w:pStyle w:val="Tabletext"/>
            </w:pPr>
            <w:r w:rsidRPr="005071A1">
              <w:t>.007</w:t>
            </w:r>
          </w:p>
        </w:tc>
      </w:tr>
      <w:tr w:rsidR="00B33542" w:rsidRPr="005071A1" w14:paraId="3D225F78" w14:textId="77777777" w:rsidTr="009B7AF5">
        <w:tc>
          <w:tcPr>
            <w:tcW w:w="2802" w:type="dxa"/>
            <w:shd w:val="clear" w:color="auto" w:fill="auto"/>
          </w:tcPr>
          <w:p w14:paraId="30B2A64E" w14:textId="77777777" w:rsidR="00B33542" w:rsidRPr="005071A1" w:rsidRDefault="00B33542" w:rsidP="009B7AF5">
            <w:pPr>
              <w:pStyle w:val="Tabletext"/>
            </w:pPr>
            <w:r w:rsidRPr="005071A1">
              <w:t>67</w:t>
            </w:r>
          </w:p>
        </w:tc>
        <w:tc>
          <w:tcPr>
            <w:tcW w:w="2409" w:type="dxa"/>
            <w:shd w:val="clear" w:color="auto" w:fill="auto"/>
          </w:tcPr>
          <w:p w14:paraId="50A2D541" w14:textId="77777777" w:rsidR="00B33542" w:rsidRPr="005071A1" w:rsidRDefault="00B33542" w:rsidP="009B7AF5">
            <w:pPr>
              <w:pStyle w:val="Tabletext"/>
            </w:pPr>
            <w:r w:rsidRPr="005071A1">
              <w:t>.156</w:t>
            </w:r>
          </w:p>
        </w:tc>
        <w:tc>
          <w:tcPr>
            <w:tcW w:w="1418" w:type="dxa"/>
            <w:shd w:val="clear" w:color="auto" w:fill="auto"/>
          </w:tcPr>
          <w:p w14:paraId="11DBED11" w14:textId="77777777" w:rsidR="00B33542" w:rsidRPr="005071A1" w:rsidRDefault="00B33542" w:rsidP="009B7AF5">
            <w:pPr>
              <w:pStyle w:val="Tabletext"/>
            </w:pPr>
            <w:r w:rsidRPr="005071A1">
              <w:t>.007</w:t>
            </w:r>
          </w:p>
        </w:tc>
      </w:tr>
      <w:tr w:rsidR="00B33542" w:rsidRPr="005071A1" w14:paraId="46966E9E" w14:textId="77777777" w:rsidTr="009B7AF5">
        <w:tc>
          <w:tcPr>
            <w:tcW w:w="2802" w:type="dxa"/>
            <w:shd w:val="clear" w:color="auto" w:fill="auto"/>
          </w:tcPr>
          <w:p w14:paraId="6AB56492" w14:textId="77777777" w:rsidR="00B33542" w:rsidRPr="005071A1" w:rsidRDefault="00B33542" w:rsidP="009B7AF5">
            <w:pPr>
              <w:pStyle w:val="Tabletext"/>
            </w:pPr>
            <w:r w:rsidRPr="005071A1">
              <w:t>68</w:t>
            </w:r>
          </w:p>
        </w:tc>
        <w:tc>
          <w:tcPr>
            <w:tcW w:w="2409" w:type="dxa"/>
            <w:shd w:val="clear" w:color="auto" w:fill="auto"/>
          </w:tcPr>
          <w:p w14:paraId="4BE0170B" w14:textId="77777777" w:rsidR="00B33542" w:rsidRPr="005071A1" w:rsidRDefault="00B33542" w:rsidP="009B7AF5">
            <w:pPr>
              <w:pStyle w:val="Tabletext"/>
            </w:pPr>
            <w:r w:rsidRPr="005071A1">
              <w:t>.24</w:t>
            </w:r>
          </w:p>
        </w:tc>
        <w:tc>
          <w:tcPr>
            <w:tcW w:w="1418" w:type="dxa"/>
            <w:shd w:val="clear" w:color="auto" w:fill="auto"/>
          </w:tcPr>
          <w:p w14:paraId="6EE0F150" w14:textId="77777777" w:rsidR="00B33542" w:rsidRPr="005071A1" w:rsidRDefault="00B33542" w:rsidP="009B7AF5">
            <w:pPr>
              <w:pStyle w:val="Tabletext"/>
            </w:pPr>
            <w:r w:rsidRPr="005071A1">
              <w:t>.008</w:t>
            </w:r>
          </w:p>
        </w:tc>
      </w:tr>
      <w:tr w:rsidR="00B33542" w:rsidRPr="005071A1" w14:paraId="161EBD8A" w14:textId="77777777" w:rsidTr="009B7AF5">
        <w:tc>
          <w:tcPr>
            <w:tcW w:w="2802" w:type="dxa"/>
            <w:shd w:val="clear" w:color="auto" w:fill="auto"/>
          </w:tcPr>
          <w:p w14:paraId="141E7440" w14:textId="77777777" w:rsidR="00B33542" w:rsidRPr="005071A1" w:rsidRDefault="00B33542" w:rsidP="009B7AF5">
            <w:pPr>
              <w:pStyle w:val="Tabletext"/>
            </w:pPr>
            <w:r w:rsidRPr="005071A1">
              <w:t>69</w:t>
            </w:r>
          </w:p>
        </w:tc>
        <w:tc>
          <w:tcPr>
            <w:tcW w:w="2409" w:type="dxa"/>
            <w:shd w:val="clear" w:color="auto" w:fill="auto"/>
          </w:tcPr>
          <w:p w14:paraId="6F5E6E59" w14:textId="77777777" w:rsidR="00B33542" w:rsidRPr="005071A1" w:rsidRDefault="00B33542" w:rsidP="009B7AF5">
            <w:pPr>
              <w:pStyle w:val="Tabletext"/>
            </w:pPr>
            <w:r w:rsidRPr="005071A1">
              <w:t>.336</w:t>
            </w:r>
          </w:p>
        </w:tc>
        <w:tc>
          <w:tcPr>
            <w:tcW w:w="1418" w:type="dxa"/>
            <w:shd w:val="clear" w:color="auto" w:fill="auto"/>
          </w:tcPr>
          <w:p w14:paraId="14BC47E4" w14:textId="77777777" w:rsidR="00B33542" w:rsidRPr="005071A1" w:rsidRDefault="00B33542" w:rsidP="009B7AF5">
            <w:pPr>
              <w:pStyle w:val="Tabletext"/>
            </w:pPr>
            <w:r w:rsidRPr="005071A1">
              <w:t>.008</w:t>
            </w:r>
          </w:p>
        </w:tc>
      </w:tr>
      <w:tr w:rsidR="00B33542" w:rsidRPr="005071A1" w14:paraId="23DE0F29" w14:textId="77777777" w:rsidTr="009B7AF5">
        <w:tc>
          <w:tcPr>
            <w:tcW w:w="2802" w:type="dxa"/>
            <w:shd w:val="clear" w:color="auto" w:fill="auto"/>
          </w:tcPr>
          <w:p w14:paraId="345A0417" w14:textId="77777777" w:rsidR="00B33542" w:rsidRPr="005071A1" w:rsidRDefault="00B33542" w:rsidP="009B7AF5">
            <w:pPr>
              <w:pStyle w:val="Tabletext"/>
            </w:pPr>
            <w:r w:rsidRPr="005071A1">
              <w:t>70</w:t>
            </w:r>
          </w:p>
        </w:tc>
        <w:tc>
          <w:tcPr>
            <w:tcW w:w="2409" w:type="dxa"/>
            <w:shd w:val="clear" w:color="auto" w:fill="auto"/>
          </w:tcPr>
          <w:p w14:paraId="7C5BBF97" w14:textId="77777777" w:rsidR="00B33542" w:rsidRPr="005071A1" w:rsidRDefault="00B33542" w:rsidP="009B7AF5">
            <w:pPr>
              <w:pStyle w:val="Tabletext"/>
            </w:pPr>
            <w:r w:rsidRPr="005071A1">
              <w:t>.432</w:t>
            </w:r>
          </w:p>
        </w:tc>
        <w:tc>
          <w:tcPr>
            <w:tcW w:w="1418" w:type="dxa"/>
            <w:shd w:val="clear" w:color="auto" w:fill="auto"/>
          </w:tcPr>
          <w:p w14:paraId="66D210DE" w14:textId="77777777" w:rsidR="00B33542" w:rsidRPr="005071A1" w:rsidRDefault="00B33542" w:rsidP="009B7AF5">
            <w:pPr>
              <w:pStyle w:val="Tabletext"/>
            </w:pPr>
            <w:r w:rsidRPr="005071A1">
              <w:t>.009</w:t>
            </w:r>
          </w:p>
        </w:tc>
      </w:tr>
      <w:tr w:rsidR="00B33542" w:rsidRPr="005071A1" w14:paraId="43871AA1" w14:textId="77777777" w:rsidTr="009B7AF5">
        <w:tc>
          <w:tcPr>
            <w:tcW w:w="2802" w:type="dxa"/>
            <w:shd w:val="clear" w:color="auto" w:fill="auto"/>
          </w:tcPr>
          <w:p w14:paraId="18F84AB3" w14:textId="77777777" w:rsidR="00B33542" w:rsidRPr="005071A1" w:rsidRDefault="00B33542" w:rsidP="009B7AF5">
            <w:pPr>
              <w:pStyle w:val="Tabletext"/>
            </w:pPr>
            <w:r w:rsidRPr="005071A1">
              <w:t>71</w:t>
            </w:r>
          </w:p>
        </w:tc>
        <w:tc>
          <w:tcPr>
            <w:tcW w:w="2409" w:type="dxa"/>
            <w:shd w:val="clear" w:color="auto" w:fill="auto"/>
          </w:tcPr>
          <w:p w14:paraId="08566E5A" w14:textId="77777777" w:rsidR="00B33542" w:rsidRPr="005071A1" w:rsidRDefault="00B33542" w:rsidP="009B7AF5">
            <w:pPr>
              <w:pStyle w:val="Tabletext"/>
            </w:pPr>
            <w:r w:rsidRPr="005071A1">
              <w:t>.54</w:t>
            </w:r>
          </w:p>
        </w:tc>
        <w:tc>
          <w:tcPr>
            <w:tcW w:w="1418" w:type="dxa"/>
            <w:shd w:val="clear" w:color="auto" w:fill="auto"/>
          </w:tcPr>
          <w:p w14:paraId="76D42472" w14:textId="77777777" w:rsidR="00B33542" w:rsidRPr="005071A1" w:rsidRDefault="00B33542" w:rsidP="009B7AF5">
            <w:pPr>
              <w:pStyle w:val="Tabletext"/>
            </w:pPr>
            <w:r w:rsidRPr="005071A1">
              <w:t>.01</w:t>
            </w:r>
          </w:p>
        </w:tc>
      </w:tr>
      <w:tr w:rsidR="00B33542" w:rsidRPr="005071A1" w14:paraId="4BCFE918" w14:textId="77777777" w:rsidTr="009B7AF5">
        <w:tc>
          <w:tcPr>
            <w:tcW w:w="2802" w:type="dxa"/>
            <w:shd w:val="clear" w:color="auto" w:fill="auto"/>
          </w:tcPr>
          <w:p w14:paraId="31157E03" w14:textId="77777777" w:rsidR="00B33542" w:rsidRPr="005071A1" w:rsidRDefault="00B33542" w:rsidP="009B7AF5">
            <w:pPr>
              <w:pStyle w:val="Tabletext"/>
            </w:pPr>
            <w:r w:rsidRPr="005071A1">
              <w:t>72</w:t>
            </w:r>
          </w:p>
        </w:tc>
        <w:tc>
          <w:tcPr>
            <w:tcW w:w="2409" w:type="dxa"/>
            <w:shd w:val="clear" w:color="auto" w:fill="auto"/>
          </w:tcPr>
          <w:p w14:paraId="209005AB" w14:textId="77777777" w:rsidR="00B33542" w:rsidRPr="005071A1" w:rsidRDefault="00B33542" w:rsidP="009B7AF5">
            <w:pPr>
              <w:pStyle w:val="Tabletext"/>
            </w:pPr>
            <w:r w:rsidRPr="005071A1">
              <w:t>.66</w:t>
            </w:r>
          </w:p>
        </w:tc>
        <w:tc>
          <w:tcPr>
            <w:tcW w:w="1418" w:type="dxa"/>
            <w:shd w:val="clear" w:color="auto" w:fill="auto"/>
          </w:tcPr>
          <w:p w14:paraId="50363D06" w14:textId="77777777" w:rsidR="00B33542" w:rsidRPr="005071A1" w:rsidRDefault="00B33542" w:rsidP="009B7AF5">
            <w:pPr>
              <w:pStyle w:val="Tabletext"/>
            </w:pPr>
            <w:r w:rsidRPr="005071A1">
              <w:t>.011</w:t>
            </w:r>
          </w:p>
        </w:tc>
      </w:tr>
      <w:tr w:rsidR="00B33542" w:rsidRPr="005071A1" w14:paraId="4D937D27" w14:textId="77777777" w:rsidTr="009B7AF5">
        <w:tc>
          <w:tcPr>
            <w:tcW w:w="2802" w:type="dxa"/>
            <w:tcBorders>
              <w:bottom w:val="single" w:sz="4" w:space="0" w:color="auto"/>
            </w:tcBorders>
            <w:shd w:val="clear" w:color="auto" w:fill="auto"/>
          </w:tcPr>
          <w:p w14:paraId="022E165D" w14:textId="77777777" w:rsidR="00B33542" w:rsidRPr="005071A1" w:rsidRDefault="00B33542" w:rsidP="009B7AF5">
            <w:pPr>
              <w:pStyle w:val="Tabletext"/>
            </w:pPr>
            <w:r w:rsidRPr="005071A1">
              <w:t>73</w:t>
            </w:r>
          </w:p>
        </w:tc>
        <w:tc>
          <w:tcPr>
            <w:tcW w:w="2409" w:type="dxa"/>
            <w:tcBorders>
              <w:bottom w:val="single" w:sz="4" w:space="0" w:color="auto"/>
            </w:tcBorders>
            <w:shd w:val="clear" w:color="auto" w:fill="auto"/>
          </w:tcPr>
          <w:p w14:paraId="3D1C9CB1" w14:textId="77777777" w:rsidR="00B33542" w:rsidRPr="005071A1" w:rsidRDefault="00B33542" w:rsidP="009B7AF5">
            <w:pPr>
              <w:pStyle w:val="Tabletext"/>
            </w:pPr>
            <w:r w:rsidRPr="005071A1">
              <w:t>.792</w:t>
            </w:r>
          </w:p>
        </w:tc>
        <w:tc>
          <w:tcPr>
            <w:tcW w:w="1418" w:type="dxa"/>
            <w:tcBorders>
              <w:bottom w:val="single" w:sz="4" w:space="0" w:color="auto"/>
            </w:tcBorders>
            <w:shd w:val="clear" w:color="auto" w:fill="auto"/>
          </w:tcPr>
          <w:p w14:paraId="0DB400E8" w14:textId="77777777" w:rsidR="00B33542" w:rsidRPr="005071A1" w:rsidRDefault="00B33542" w:rsidP="009B7AF5">
            <w:pPr>
              <w:pStyle w:val="Tabletext"/>
            </w:pPr>
            <w:r w:rsidRPr="005071A1">
              <w:t>.012</w:t>
            </w:r>
          </w:p>
        </w:tc>
      </w:tr>
      <w:tr w:rsidR="00B33542" w:rsidRPr="005071A1" w14:paraId="3164B4A6" w14:textId="77777777" w:rsidTr="009B7AF5">
        <w:tc>
          <w:tcPr>
            <w:tcW w:w="2802" w:type="dxa"/>
            <w:tcBorders>
              <w:bottom w:val="single" w:sz="12" w:space="0" w:color="auto"/>
            </w:tcBorders>
            <w:shd w:val="clear" w:color="auto" w:fill="auto"/>
          </w:tcPr>
          <w:p w14:paraId="2E3515D7" w14:textId="77777777" w:rsidR="00B33542" w:rsidRPr="005071A1" w:rsidRDefault="00B33542" w:rsidP="009B7AF5">
            <w:pPr>
              <w:pStyle w:val="Tabletext"/>
            </w:pPr>
            <w:r w:rsidRPr="005071A1">
              <w:t>74</w:t>
            </w:r>
          </w:p>
        </w:tc>
        <w:tc>
          <w:tcPr>
            <w:tcW w:w="2409" w:type="dxa"/>
            <w:tcBorders>
              <w:bottom w:val="single" w:sz="12" w:space="0" w:color="auto"/>
            </w:tcBorders>
            <w:shd w:val="clear" w:color="auto" w:fill="auto"/>
          </w:tcPr>
          <w:p w14:paraId="45939652" w14:textId="77777777" w:rsidR="00B33542" w:rsidRPr="005071A1" w:rsidRDefault="00B33542" w:rsidP="009B7AF5">
            <w:pPr>
              <w:pStyle w:val="Tabletext"/>
            </w:pPr>
            <w:r w:rsidRPr="005071A1">
              <w:t>.936</w:t>
            </w:r>
          </w:p>
        </w:tc>
        <w:tc>
          <w:tcPr>
            <w:tcW w:w="1418" w:type="dxa"/>
            <w:tcBorders>
              <w:bottom w:val="single" w:sz="12" w:space="0" w:color="auto"/>
            </w:tcBorders>
            <w:shd w:val="clear" w:color="auto" w:fill="auto"/>
          </w:tcPr>
          <w:p w14:paraId="49FAB0FD" w14:textId="77777777" w:rsidR="00B33542" w:rsidRPr="005071A1" w:rsidRDefault="00B33542" w:rsidP="009B7AF5">
            <w:pPr>
              <w:pStyle w:val="Tabletext"/>
            </w:pPr>
            <w:r w:rsidRPr="005071A1">
              <w:t>.013</w:t>
            </w:r>
          </w:p>
        </w:tc>
      </w:tr>
    </w:tbl>
    <w:p w14:paraId="7F731CDE" w14:textId="77777777" w:rsidR="003D373C" w:rsidRPr="005071A1" w:rsidRDefault="003D373C">
      <w:pPr>
        <w:sectPr w:rsidR="003D373C" w:rsidRPr="005071A1" w:rsidSect="0020596F">
          <w:headerReference w:type="even" r:id="rId33"/>
          <w:headerReference w:type="default" r:id="rId34"/>
          <w:footerReference w:type="even" r:id="rId35"/>
          <w:footerReference w:type="default" r:id="rId36"/>
          <w:headerReference w:type="first" r:id="rId37"/>
          <w:footerReference w:type="first" r:id="rId38"/>
          <w:pgSz w:w="11907" w:h="16839" w:code="9"/>
          <w:pgMar w:top="1871" w:right="2410" w:bottom="4252" w:left="2410" w:header="720" w:footer="3402" w:gutter="0"/>
          <w:cols w:space="720"/>
          <w:docGrid w:linePitch="299"/>
        </w:sectPr>
      </w:pPr>
    </w:p>
    <w:p w14:paraId="7E27654F" w14:textId="77777777" w:rsidR="00FE626B" w:rsidRPr="005071A1" w:rsidRDefault="00FE626B" w:rsidP="00465959">
      <w:pPr>
        <w:pStyle w:val="ENotesHeading1"/>
      </w:pPr>
      <w:bookmarkStart w:id="333" w:name="_Toc185577713"/>
      <w:r w:rsidRPr="005071A1">
        <w:t>Endnotes</w:t>
      </w:r>
      <w:bookmarkEnd w:id="333"/>
    </w:p>
    <w:p w14:paraId="5009DB49" w14:textId="77777777" w:rsidR="00B1494D" w:rsidRPr="00882BA0" w:rsidRDefault="00B1494D" w:rsidP="00882BA0">
      <w:pPr>
        <w:pStyle w:val="ENotesHeading2"/>
      </w:pPr>
      <w:bookmarkStart w:id="334" w:name="_Toc185577714"/>
      <w:r w:rsidRPr="00882BA0">
        <w:t>Endnote 1—About the endnotes</w:t>
      </w:r>
      <w:bookmarkEnd w:id="334"/>
    </w:p>
    <w:p w14:paraId="252E511E" w14:textId="77777777" w:rsidR="00B1494D" w:rsidRDefault="00B1494D" w:rsidP="00D86125">
      <w:pPr>
        <w:spacing w:after="120"/>
      </w:pPr>
      <w:r w:rsidRPr="00BC57F4">
        <w:t xml:space="preserve">The endnotes provide </w:t>
      </w:r>
      <w:r>
        <w:t>information about this compilation and the compiled law.</w:t>
      </w:r>
    </w:p>
    <w:p w14:paraId="7CEABE51" w14:textId="77777777" w:rsidR="00B1494D" w:rsidRPr="00BC57F4" w:rsidRDefault="00B1494D" w:rsidP="00D86125">
      <w:pPr>
        <w:spacing w:after="120"/>
      </w:pPr>
      <w:r w:rsidRPr="00BC57F4">
        <w:t>The followi</w:t>
      </w:r>
      <w:r>
        <w:t>ng endnotes are included in every</w:t>
      </w:r>
      <w:r w:rsidRPr="00BC57F4">
        <w:t xml:space="preserve"> compilation:</w:t>
      </w:r>
    </w:p>
    <w:p w14:paraId="54942222" w14:textId="77777777" w:rsidR="00B1494D" w:rsidRPr="00BC57F4" w:rsidRDefault="00B1494D" w:rsidP="00D86125">
      <w:r w:rsidRPr="00BC57F4">
        <w:t>Endnote 1—About the endnotes</w:t>
      </w:r>
    </w:p>
    <w:p w14:paraId="51EE642B" w14:textId="77777777" w:rsidR="00B1494D" w:rsidRPr="00BC57F4" w:rsidRDefault="00B1494D" w:rsidP="00D86125">
      <w:r w:rsidRPr="00BC57F4">
        <w:t>Endnote 2—Abbreviation key</w:t>
      </w:r>
    </w:p>
    <w:p w14:paraId="41859C17" w14:textId="77777777" w:rsidR="00B1494D" w:rsidRPr="00BC57F4" w:rsidRDefault="00B1494D" w:rsidP="00D86125">
      <w:r w:rsidRPr="00BC57F4">
        <w:t>Endnote 3—Legislation history</w:t>
      </w:r>
    </w:p>
    <w:p w14:paraId="3DC1E95C" w14:textId="77777777" w:rsidR="00B1494D" w:rsidRDefault="00B1494D" w:rsidP="00D86125">
      <w:pPr>
        <w:spacing w:after="120"/>
      </w:pPr>
      <w:r w:rsidRPr="00BC57F4">
        <w:t>Endnote 4—Amendment history</w:t>
      </w:r>
    </w:p>
    <w:p w14:paraId="53224171" w14:textId="77777777" w:rsidR="00B1494D" w:rsidRPr="00BC57F4" w:rsidRDefault="00B1494D" w:rsidP="00D86125">
      <w:r w:rsidRPr="00BC57F4">
        <w:rPr>
          <w:b/>
        </w:rPr>
        <w:t>Abbreviation key—</w:t>
      </w:r>
      <w:r>
        <w:rPr>
          <w:b/>
        </w:rPr>
        <w:t>E</w:t>
      </w:r>
      <w:r w:rsidRPr="00BC57F4">
        <w:rPr>
          <w:b/>
        </w:rPr>
        <w:t>ndnote 2</w:t>
      </w:r>
    </w:p>
    <w:p w14:paraId="64356FC7" w14:textId="77777777" w:rsidR="00B1494D" w:rsidRPr="00BC57F4" w:rsidRDefault="00B1494D" w:rsidP="00D86125">
      <w:pPr>
        <w:spacing w:after="120"/>
      </w:pPr>
      <w:r w:rsidRPr="00BC57F4">
        <w:t xml:space="preserve">The abbreviation key sets out abbreviations </w:t>
      </w:r>
      <w:r>
        <w:t xml:space="preserve">that may be </w:t>
      </w:r>
      <w:r w:rsidRPr="00BC57F4">
        <w:t>used in the endnotes.</w:t>
      </w:r>
    </w:p>
    <w:p w14:paraId="710E1C6D" w14:textId="77777777" w:rsidR="00B1494D" w:rsidRPr="00BC57F4" w:rsidRDefault="00B1494D" w:rsidP="00D86125">
      <w:pPr>
        <w:rPr>
          <w:b/>
        </w:rPr>
      </w:pPr>
      <w:r w:rsidRPr="00BC57F4">
        <w:rPr>
          <w:b/>
        </w:rPr>
        <w:t>Legislation history and amendment history—</w:t>
      </w:r>
      <w:r>
        <w:rPr>
          <w:b/>
        </w:rPr>
        <w:t>E</w:t>
      </w:r>
      <w:r w:rsidRPr="00BC57F4">
        <w:rPr>
          <w:b/>
        </w:rPr>
        <w:t>ndnotes 3 and 4</w:t>
      </w:r>
    </w:p>
    <w:p w14:paraId="45657A75" w14:textId="77777777" w:rsidR="00B1494D" w:rsidRPr="00BC57F4" w:rsidRDefault="00B1494D" w:rsidP="00D86125">
      <w:pPr>
        <w:spacing w:after="120"/>
      </w:pPr>
      <w:r w:rsidRPr="00BC57F4">
        <w:t>Amending laws are annotated in the legislation history and amendment history.</w:t>
      </w:r>
    </w:p>
    <w:p w14:paraId="6117B3E4" w14:textId="77777777" w:rsidR="00B1494D" w:rsidRPr="00BC57F4" w:rsidRDefault="00B1494D"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655D266A" w14:textId="77777777" w:rsidR="00B1494D" w:rsidRDefault="00B1494D"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4197A2A0" w14:textId="77777777" w:rsidR="00B1494D" w:rsidRPr="00FB4AD4" w:rsidRDefault="00B1494D" w:rsidP="00D86125">
      <w:pPr>
        <w:rPr>
          <w:b/>
        </w:rPr>
      </w:pPr>
      <w:r w:rsidRPr="00FB4AD4">
        <w:rPr>
          <w:b/>
        </w:rPr>
        <w:t>Editorial changes</w:t>
      </w:r>
    </w:p>
    <w:p w14:paraId="7146A019" w14:textId="77777777" w:rsidR="00B1494D" w:rsidRDefault="00B1494D"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D78E654" w14:textId="77777777" w:rsidR="00B1494D" w:rsidRDefault="00B1494D" w:rsidP="00D86125">
      <w:pPr>
        <w:spacing w:after="120"/>
      </w:pPr>
      <w:r>
        <w:t>If the compilation includes editorial changes, the endnotes include a brief outline of the changes in general terms. Full details of any changes can be obtained from the Office of Parliamentary Counsel.</w:t>
      </w:r>
    </w:p>
    <w:p w14:paraId="6228F91C" w14:textId="77777777" w:rsidR="00B1494D" w:rsidRPr="00BC57F4" w:rsidRDefault="00B1494D" w:rsidP="00D86125">
      <w:pPr>
        <w:keepNext/>
      </w:pPr>
      <w:r>
        <w:rPr>
          <w:b/>
        </w:rPr>
        <w:t>Misdescribed amendments</w:t>
      </w:r>
    </w:p>
    <w:p w14:paraId="58E983C8" w14:textId="77777777" w:rsidR="00B1494D" w:rsidRDefault="00B1494D"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11717CFB" w14:textId="77777777" w:rsidR="00B1494D" w:rsidRDefault="00B1494D" w:rsidP="00A140E1">
      <w:pPr>
        <w:spacing w:before="120" w:after="240"/>
      </w:pPr>
      <w:r>
        <w:t>If a misdescribed amendment cannot be given effect as intended, the amendment is not incorporated and “(md not incorp)” is added to the amendment history</w:t>
      </w:r>
      <w:r w:rsidRPr="00E466D8">
        <w:t>.</w:t>
      </w:r>
    </w:p>
    <w:p w14:paraId="46591627" w14:textId="3869DB2B" w:rsidR="00FE626B" w:rsidRPr="005071A1" w:rsidRDefault="00FE626B" w:rsidP="00FE626B"/>
    <w:p w14:paraId="62B3A61D" w14:textId="77777777" w:rsidR="00FE626B" w:rsidRPr="00AB0E62" w:rsidRDefault="00FE626B" w:rsidP="00AB0E62">
      <w:pPr>
        <w:pStyle w:val="ENotesHeading2"/>
        <w:pageBreakBefore/>
      </w:pPr>
      <w:bookmarkStart w:id="335" w:name="_Toc185577715"/>
      <w:r w:rsidRPr="00AB0E62">
        <w:t>Endnote 2—Abbreviation key</w:t>
      </w:r>
      <w:bookmarkEnd w:id="335"/>
    </w:p>
    <w:p w14:paraId="20F89F79" w14:textId="77777777" w:rsidR="00FE626B" w:rsidRPr="005071A1" w:rsidRDefault="00FE626B" w:rsidP="00FE626B">
      <w:pPr>
        <w:pStyle w:val="Tabletext"/>
      </w:pPr>
    </w:p>
    <w:tbl>
      <w:tblPr>
        <w:tblW w:w="7939" w:type="dxa"/>
        <w:tblInd w:w="108" w:type="dxa"/>
        <w:tblLayout w:type="fixed"/>
        <w:tblLook w:val="0000" w:firstRow="0" w:lastRow="0" w:firstColumn="0" w:lastColumn="0" w:noHBand="0" w:noVBand="0"/>
      </w:tblPr>
      <w:tblGrid>
        <w:gridCol w:w="4253"/>
        <w:gridCol w:w="3686"/>
      </w:tblGrid>
      <w:tr w:rsidR="00FE626B" w:rsidRPr="005071A1" w14:paraId="4728C1A0" w14:textId="77777777" w:rsidTr="00322DFA">
        <w:tc>
          <w:tcPr>
            <w:tcW w:w="4253" w:type="dxa"/>
            <w:shd w:val="clear" w:color="auto" w:fill="auto"/>
          </w:tcPr>
          <w:p w14:paraId="7D0A9EE0" w14:textId="77777777" w:rsidR="00FE626B" w:rsidRPr="005071A1" w:rsidRDefault="00FE626B" w:rsidP="00322DFA">
            <w:pPr>
              <w:spacing w:before="60"/>
              <w:ind w:left="34"/>
              <w:rPr>
                <w:sz w:val="20"/>
              </w:rPr>
            </w:pPr>
            <w:r w:rsidRPr="005071A1">
              <w:rPr>
                <w:sz w:val="20"/>
              </w:rPr>
              <w:t>ad = added or inserted</w:t>
            </w:r>
          </w:p>
        </w:tc>
        <w:tc>
          <w:tcPr>
            <w:tcW w:w="3686" w:type="dxa"/>
            <w:shd w:val="clear" w:color="auto" w:fill="auto"/>
          </w:tcPr>
          <w:p w14:paraId="1B7DE0E0" w14:textId="77777777" w:rsidR="00FE626B" w:rsidRPr="005071A1" w:rsidRDefault="00FE626B" w:rsidP="00322DFA">
            <w:pPr>
              <w:spacing w:before="60"/>
              <w:ind w:left="34"/>
              <w:rPr>
                <w:sz w:val="20"/>
              </w:rPr>
            </w:pPr>
            <w:r w:rsidRPr="005071A1">
              <w:rPr>
                <w:sz w:val="20"/>
              </w:rPr>
              <w:t>o = order(s)</w:t>
            </w:r>
          </w:p>
        </w:tc>
      </w:tr>
      <w:tr w:rsidR="00FE626B" w:rsidRPr="005071A1" w14:paraId="04E911BA" w14:textId="77777777" w:rsidTr="00322DFA">
        <w:tc>
          <w:tcPr>
            <w:tcW w:w="4253" w:type="dxa"/>
            <w:shd w:val="clear" w:color="auto" w:fill="auto"/>
          </w:tcPr>
          <w:p w14:paraId="0198DF36" w14:textId="77777777" w:rsidR="00FE626B" w:rsidRPr="005071A1" w:rsidRDefault="00FE626B" w:rsidP="00322DFA">
            <w:pPr>
              <w:spacing w:before="60"/>
              <w:ind w:left="34"/>
              <w:rPr>
                <w:sz w:val="20"/>
              </w:rPr>
            </w:pPr>
            <w:r w:rsidRPr="005071A1">
              <w:rPr>
                <w:sz w:val="20"/>
              </w:rPr>
              <w:t>am = amended</w:t>
            </w:r>
          </w:p>
        </w:tc>
        <w:tc>
          <w:tcPr>
            <w:tcW w:w="3686" w:type="dxa"/>
            <w:shd w:val="clear" w:color="auto" w:fill="auto"/>
          </w:tcPr>
          <w:p w14:paraId="60B7C40D" w14:textId="77777777" w:rsidR="00FE626B" w:rsidRPr="005071A1" w:rsidRDefault="00FE626B" w:rsidP="00322DFA">
            <w:pPr>
              <w:spacing w:before="60"/>
              <w:ind w:left="34"/>
              <w:rPr>
                <w:sz w:val="20"/>
              </w:rPr>
            </w:pPr>
            <w:r w:rsidRPr="005071A1">
              <w:rPr>
                <w:sz w:val="20"/>
              </w:rPr>
              <w:t>Ord = Ordinance</w:t>
            </w:r>
          </w:p>
        </w:tc>
      </w:tr>
      <w:tr w:rsidR="00FE626B" w:rsidRPr="005071A1" w14:paraId="0933C632" w14:textId="77777777" w:rsidTr="00322DFA">
        <w:tc>
          <w:tcPr>
            <w:tcW w:w="4253" w:type="dxa"/>
            <w:shd w:val="clear" w:color="auto" w:fill="auto"/>
          </w:tcPr>
          <w:p w14:paraId="7C59B3D4" w14:textId="77777777" w:rsidR="00FE626B" w:rsidRPr="005071A1" w:rsidRDefault="00FE626B" w:rsidP="00322DFA">
            <w:pPr>
              <w:spacing w:before="60"/>
              <w:ind w:left="34"/>
              <w:rPr>
                <w:sz w:val="20"/>
              </w:rPr>
            </w:pPr>
            <w:r w:rsidRPr="005071A1">
              <w:rPr>
                <w:sz w:val="20"/>
              </w:rPr>
              <w:t>amdt = amendment</w:t>
            </w:r>
          </w:p>
        </w:tc>
        <w:tc>
          <w:tcPr>
            <w:tcW w:w="3686" w:type="dxa"/>
            <w:shd w:val="clear" w:color="auto" w:fill="auto"/>
          </w:tcPr>
          <w:p w14:paraId="1854D31D" w14:textId="77777777" w:rsidR="00FE626B" w:rsidRPr="005071A1" w:rsidRDefault="00FE626B" w:rsidP="00322DFA">
            <w:pPr>
              <w:spacing w:before="60"/>
              <w:ind w:left="34"/>
              <w:rPr>
                <w:sz w:val="20"/>
              </w:rPr>
            </w:pPr>
            <w:r w:rsidRPr="005071A1">
              <w:rPr>
                <w:sz w:val="20"/>
              </w:rPr>
              <w:t>orig = original</w:t>
            </w:r>
          </w:p>
        </w:tc>
      </w:tr>
      <w:tr w:rsidR="00FE626B" w:rsidRPr="005071A1" w14:paraId="63D34691" w14:textId="77777777" w:rsidTr="00322DFA">
        <w:tc>
          <w:tcPr>
            <w:tcW w:w="4253" w:type="dxa"/>
            <w:shd w:val="clear" w:color="auto" w:fill="auto"/>
          </w:tcPr>
          <w:p w14:paraId="22472AA8" w14:textId="77777777" w:rsidR="00FE626B" w:rsidRPr="005071A1" w:rsidRDefault="00FE626B" w:rsidP="00322DFA">
            <w:pPr>
              <w:spacing w:before="60"/>
              <w:ind w:left="34"/>
              <w:rPr>
                <w:sz w:val="20"/>
              </w:rPr>
            </w:pPr>
            <w:r w:rsidRPr="005071A1">
              <w:rPr>
                <w:sz w:val="20"/>
              </w:rPr>
              <w:t>c = clause(s)</w:t>
            </w:r>
          </w:p>
        </w:tc>
        <w:tc>
          <w:tcPr>
            <w:tcW w:w="3686" w:type="dxa"/>
            <w:shd w:val="clear" w:color="auto" w:fill="auto"/>
          </w:tcPr>
          <w:p w14:paraId="1F3C353E" w14:textId="77777777" w:rsidR="00FE626B" w:rsidRPr="005071A1" w:rsidRDefault="00FE626B" w:rsidP="00322DFA">
            <w:pPr>
              <w:spacing w:before="60"/>
              <w:ind w:left="34"/>
              <w:rPr>
                <w:sz w:val="20"/>
              </w:rPr>
            </w:pPr>
            <w:r w:rsidRPr="005071A1">
              <w:rPr>
                <w:sz w:val="20"/>
              </w:rPr>
              <w:t>par = paragraph(s)/subparagraph(s)</w:t>
            </w:r>
          </w:p>
        </w:tc>
      </w:tr>
      <w:tr w:rsidR="00FE626B" w:rsidRPr="005071A1" w14:paraId="0CA11B15" w14:textId="77777777" w:rsidTr="00322DFA">
        <w:tc>
          <w:tcPr>
            <w:tcW w:w="4253" w:type="dxa"/>
            <w:shd w:val="clear" w:color="auto" w:fill="auto"/>
          </w:tcPr>
          <w:p w14:paraId="3B47079C" w14:textId="77777777" w:rsidR="00FE626B" w:rsidRPr="005071A1" w:rsidRDefault="00FE626B" w:rsidP="00322DFA">
            <w:pPr>
              <w:spacing w:before="60"/>
              <w:ind w:left="34"/>
              <w:rPr>
                <w:sz w:val="20"/>
              </w:rPr>
            </w:pPr>
            <w:r w:rsidRPr="005071A1">
              <w:rPr>
                <w:sz w:val="20"/>
              </w:rPr>
              <w:t>C[x] = Compilation No. x</w:t>
            </w:r>
          </w:p>
        </w:tc>
        <w:tc>
          <w:tcPr>
            <w:tcW w:w="3686" w:type="dxa"/>
            <w:shd w:val="clear" w:color="auto" w:fill="auto"/>
          </w:tcPr>
          <w:p w14:paraId="2EFBCAD5" w14:textId="77777777" w:rsidR="00FE626B" w:rsidRPr="005071A1" w:rsidRDefault="007C0A71" w:rsidP="007C0A71">
            <w:pPr>
              <w:ind w:left="34" w:firstLine="249"/>
              <w:rPr>
                <w:sz w:val="20"/>
              </w:rPr>
            </w:pPr>
            <w:r w:rsidRPr="005071A1">
              <w:rPr>
                <w:sz w:val="20"/>
              </w:rPr>
              <w:t>/</w:t>
            </w:r>
            <w:r w:rsidR="00FE626B" w:rsidRPr="005071A1">
              <w:rPr>
                <w:sz w:val="20"/>
              </w:rPr>
              <w:t>sub</w:t>
            </w:r>
            <w:r w:rsidR="004510F0">
              <w:rPr>
                <w:sz w:val="20"/>
              </w:rPr>
              <w:noBreakHyphen/>
            </w:r>
            <w:r w:rsidR="00FE626B" w:rsidRPr="005071A1">
              <w:rPr>
                <w:sz w:val="20"/>
              </w:rPr>
              <w:t>subparagraph(s)</w:t>
            </w:r>
          </w:p>
        </w:tc>
      </w:tr>
      <w:tr w:rsidR="00FE626B" w:rsidRPr="005071A1" w14:paraId="58D3FED8" w14:textId="77777777" w:rsidTr="00322DFA">
        <w:tc>
          <w:tcPr>
            <w:tcW w:w="4253" w:type="dxa"/>
            <w:shd w:val="clear" w:color="auto" w:fill="auto"/>
          </w:tcPr>
          <w:p w14:paraId="1B98B5F8" w14:textId="77777777" w:rsidR="00FE626B" w:rsidRPr="005071A1" w:rsidRDefault="00FE626B" w:rsidP="00322DFA">
            <w:pPr>
              <w:spacing w:before="60"/>
              <w:ind w:left="34"/>
              <w:rPr>
                <w:sz w:val="20"/>
              </w:rPr>
            </w:pPr>
            <w:r w:rsidRPr="005071A1">
              <w:rPr>
                <w:sz w:val="20"/>
              </w:rPr>
              <w:t>Ch = Chapter(s)</w:t>
            </w:r>
          </w:p>
        </w:tc>
        <w:tc>
          <w:tcPr>
            <w:tcW w:w="3686" w:type="dxa"/>
            <w:shd w:val="clear" w:color="auto" w:fill="auto"/>
          </w:tcPr>
          <w:p w14:paraId="4C89AD8E" w14:textId="77777777" w:rsidR="00FE626B" w:rsidRPr="005071A1" w:rsidRDefault="00FE626B" w:rsidP="00322DFA">
            <w:pPr>
              <w:spacing w:before="60"/>
              <w:ind w:left="34"/>
              <w:rPr>
                <w:sz w:val="20"/>
              </w:rPr>
            </w:pPr>
            <w:r w:rsidRPr="005071A1">
              <w:rPr>
                <w:sz w:val="20"/>
              </w:rPr>
              <w:t>pres = present</w:t>
            </w:r>
          </w:p>
        </w:tc>
      </w:tr>
      <w:tr w:rsidR="00FE626B" w:rsidRPr="005071A1" w14:paraId="7463C3B0" w14:textId="77777777" w:rsidTr="00322DFA">
        <w:tc>
          <w:tcPr>
            <w:tcW w:w="4253" w:type="dxa"/>
            <w:shd w:val="clear" w:color="auto" w:fill="auto"/>
          </w:tcPr>
          <w:p w14:paraId="57E491A3" w14:textId="77777777" w:rsidR="00FE626B" w:rsidRPr="005071A1" w:rsidRDefault="00FE626B" w:rsidP="00322DFA">
            <w:pPr>
              <w:spacing w:before="60"/>
              <w:ind w:left="34"/>
              <w:rPr>
                <w:sz w:val="20"/>
              </w:rPr>
            </w:pPr>
            <w:r w:rsidRPr="005071A1">
              <w:rPr>
                <w:sz w:val="20"/>
              </w:rPr>
              <w:t>def = definition(s)</w:t>
            </w:r>
          </w:p>
        </w:tc>
        <w:tc>
          <w:tcPr>
            <w:tcW w:w="3686" w:type="dxa"/>
            <w:shd w:val="clear" w:color="auto" w:fill="auto"/>
          </w:tcPr>
          <w:p w14:paraId="76B40D01" w14:textId="77777777" w:rsidR="00FE626B" w:rsidRPr="005071A1" w:rsidRDefault="00FE626B" w:rsidP="00322DFA">
            <w:pPr>
              <w:spacing w:before="60"/>
              <w:ind w:left="34"/>
              <w:rPr>
                <w:sz w:val="20"/>
              </w:rPr>
            </w:pPr>
            <w:r w:rsidRPr="005071A1">
              <w:rPr>
                <w:sz w:val="20"/>
              </w:rPr>
              <w:t>prev = previous</w:t>
            </w:r>
          </w:p>
        </w:tc>
      </w:tr>
      <w:tr w:rsidR="00FE626B" w:rsidRPr="005071A1" w14:paraId="56B19FC3" w14:textId="77777777" w:rsidTr="00322DFA">
        <w:tc>
          <w:tcPr>
            <w:tcW w:w="4253" w:type="dxa"/>
            <w:shd w:val="clear" w:color="auto" w:fill="auto"/>
          </w:tcPr>
          <w:p w14:paraId="32573F88" w14:textId="77777777" w:rsidR="00FE626B" w:rsidRPr="005071A1" w:rsidRDefault="00FE626B" w:rsidP="00322DFA">
            <w:pPr>
              <w:spacing w:before="60"/>
              <w:ind w:left="34"/>
              <w:rPr>
                <w:sz w:val="20"/>
              </w:rPr>
            </w:pPr>
            <w:r w:rsidRPr="005071A1">
              <w:rPr>
                <w:sz w:val="20"/>
              </w:rPr>
              <w:t>Dict = Dictionary</w:t>
            </w:r>
          </w:p>
        </w:tc>
        <w:tc>
          <w:tcPr>
            <w:tcW w:w="3686" w:type="dxa"/>
            <w:shd w:val="clear" w:color="auto" w:fill="auto"/>
          </w:tcPr>
          <w:p w14:paraId="582D2357" w14:textId="77777777" w:rsidR="00FE626B" w:rsidRPr="005071A1" w:rsidRDefault="00FE626B" w:rsidP="00322DFA">
            <w:pPr>
              <w:spacing w:before="60"/>
              <w:ind w:left="34"/>
              <w:rPr>
                <w:sz w:val="20"/>
              </w:rPr>
            </w:pPr>
            <w:r w:rsidRPr="005071A1">
              <w:rPr>
                <w:sz w:val="20"/>
              </w:rPr>
              <w:t>(prev…) = previously</w:t>
            </w:r>
          </w:p>
        </w:tc>
      </w:tr>
      <w:tr w:rsidR="00FE626B" w:rsidRPr="005071A1" w14:paraId="566E8E39" w14:textId="77777777" w:rsidTr="00322DFA">
        <w:tc>
          <w:tcPr>
            <w:tcW w:w="4253" w:type="dxa"/>
            <w:shd w:val="clear" w:color="auto" w:fill="auto"/>
          </w:tcPr>
          <w:p w14:paraId="774AEFE7" w14:textId="77777777" w:rsidR="00FE626B" w:rsidRPr="005071A1" w:rsidRDefault="00FE626B" w:rsidP="00322DFA">
            <w:pPr>
              <w:spacing w:before="60"/>
              <w:ind w:left="34"/>
              <w:rPr>
                <w:sz w:val="20"/>
              </w:rPr>
            </w:pPr>
            <w:r w:rsidRPr="005071A1">
              <w:rPr>
                <w:sz w:val="20"/>
              </w:rPr>
              <w:t>disallowed = disallowed by Parliament</w:t>
            </w:r>
          </w:p>
        </w:tc>
        <w:tc>
          <w:tcPr>
            <w:tcW w:w="3686" w:type="dxa"/>
            <w:shd w:val="clear" w:color="auto" w:fill="auto"/>
          </w:tcPr>
          <w:p w14:paraId="10E2589F" w14:textId="77777777" w:rsidR="00FE626B" w:rsidRPr="005071A1" w:rsidRDefault="00FE626B" w:rsidP="00322DFA">
            <w:pPr>
              <w:spacing w:before="60"/>
              <w:ind w:left="34"/>
              <w:rPr>
                <w:sz w:val="20"/>
              </w:rPr>
            </w:pPr>
            <w:r w:rsidRPr="005071A1">
              <w:rPr>
                <w:sz w:val="20"/>
              </w:rPr>
              <w:t>Pt = Part(s)</w:t>
            </w:r>
          </w:p>
        </w:tc>
      </w:tr>
      <w:tr w:rsidR="00FE626B" w:rsidRPr="005071A1" w14:paraId="28A30859" w14:textId="77777777" w:rsidTr="00322DFA">
        <w:tc>
          <w:tcPr>
            <w:tcW w:w="4253" w:type="dxa"/>
            <w:shd w:val="clear" w:color="auto" w:fill="auto"/>
          </w:tcPr>
          <w:p w14:paraId="6A52FEF7" w14:textId="77777777" w:rsidR="00FE626B" w:rsidRPr="005071A1" w:rsidRDefault="00FE626B" w:rsidP="00322DFA">
            <w:pPr>
              <w:spacing w:before="60"/>
              <w:ind w:left="34"/>
              <w:rPr>
                <w:sz w:val="20"/>
              </w:rPr>
            </w:pPr>
            <w:r w:rsidRPr="005071A1">
              <w:rPr>
                <w:sz w:val="20"/>
              </w:rPr>
              <w:t>Div = Division(s)</w:t>
            </w:r>
          </w:p>
        </w:tc>
        <w:tc>
          <w:tcPr>
            <w:tcW w:w="3686" w:type="dxa"/>
            <w:shd w:val="clear" w:color="auto" w:fill="auto"/>
          </w:tcPr>
          <w:p w14:paraId="0D0C36E8" w14:textId="77777777" w:rsidR="00FE626B" w:rsidRPr="005071A1" w:rsidRDefault="00FE626B" w:rsidP="00322DFA">
            <w:pPr>
              <w:spacing w:before="60"/>
              <w:ind w:left="34"/>
              <w:rPr>
                <w:sz w:val="20"/>
              </w:rPr>
            </w:pPr>
            <w:r w:rsidRPr="005071A1">
              <w:rPr>
                <w:sz w:val="20"/>
              </w:rPr>
              <w:t>r = regulation(s)/rule(s)</w:t>
            </w:r>
          </w:p>
        </w:tc>
      </w:tr>
      <w:tr w:rsidR="00FE626B" w:rsidRPr="005071A1" w14:paraId="42E62418" w14:textId="77777777" w:rsidTr="00322DFA">
        <w:tc>
          <w:tcPr>
            <w:tcW w:w="4253" w:type="dxa"/>
            <w:shd w:val="clear" w:color="auto" w:fill="auto"/>
          </w:tcPr>
          <w:p w14:paraId="1183FC4D" w14:textId="77777777" w:rsidR="00FE626B" w:rsidRPr="005071A1" w:rsidRDefault="00FE626B" w:rsidP="00322DFA">
            <w:pPr>
              <w:spacing w:before="60"/>
              <w:ind w:left="34"/>
              <w:rPr>
                <w:sz w:val="20"/>
              </w:rPr>
            </w:pPr>
            <w:r w:rsidRPr="005071A1">
              <w:rPr>
                <w:sz w:val="20"/>
              </w:rPr>
              <w:t>ed = editorial change</w:t>
            </w:r>
          </w:p>
        </w:tc>
        <w:tc>
          <w:tcPr>
            <w:tcW w:w="3686" w:type="dxa"/>
            <w:shd w:val="clear" w:color="auto" w:fill="auto"/>
          </w:tcPr>
          <w:p w14:paraId="0F72D1C5" w14:textId="77777777" w:rsidR="00FE626B" w:rsidRPr="005071A1" w:rsidRDefault="00FE626B" w:rsidP="00322DFA">
            <w:pPr>
              <w:spacing w:before="60"/>
              <w:ind w:left="34"/>
              <w:rPr>
                <w:sz w:val="20"/>
              </w:rPr>
            </w:pPr>
            <w:r w:rsidRPr="005071A1">
              <w:rPr>
                <w:sz w:val="20"/>
              </w:rPr>
              <w:t>reloc = relocated</w:t>
            </w:r>
          </w:p>
        </w:tc>
      </w:tr>
      <w:tr w:rsidR="00FE626B" w:rsidRPr="005071A1" w14:paraId="7BB56C8A" w14:textId="77777777" w:rsidTr="00322DFA">
        <w:tc>
          <w:tcPr>
            <w:tcW w:w="4253" w:type="dxa"/>
            <w:shd w:val="clear" w:color="auto" w:fill="auto"/>
          </w:tcPr>
          <w:p w14:paraId="12038909" w14:textId="77777777" w:rsidR="00FE626B" w:rsidRPr="005071A1" w:rsidRDefault="00FE626B" w:rsidP="00322DFA">
            <w:pPr>
              <w:spacing w:before="60"/>
              <w:ind w:left="34"/>
              <w:rPr>
                <w:sz w:val="20"/>
              </w:rPr>
            </w:pPr>
            <w:r w:rsidRPr="005071A1">
              <w:rPr>
                <w:sz w:val="20"/>
              </w:rPr>
              <w:t>exp = expires/expired or ceases/ceased to have</w:t>
            </w:r>
          </w:p>
        </w:tc>
        <w:tc>
          <w:tcPr>
            <w:tcW w:w="3686" w:type="dxa"/>
            <w:shd w:val="clear" w:color="auto" w:fill="auto"/>
          </w:tcPr>
          <w:p w14:paraId="2CACC95B" w14:textId="77777777" w:rsidR="00FE626B" w:rsidRPr="005071A1" w:rsidRDefault="00FE626B" w:rsidP="00322DFA">
            <w:pPr>
              <w:spacing w:before="60"/>
              <w:ind w:left="34"/>
              <w:rPr>
                <w:sz w:val="20"/>
              </w:rPr>
            </w:pPr>
            <w:r w:rsidRPr="005071A1">
              <w:rPr>
                <w:sz w:val="20"/>
              </w:rPr>
              <w:t>renum = renumbered</w:t>
            </w:r>
          </w:p>
        </w:tc>
      </w:tr>
      <w:tr w:rsidR="00FE626B" w:rsidRPr="005071A1" w14:paraId="3AD40B40" w14:textId="77777777" w:rsidTr="00322DFA">
        <w:tc>
          <w:tcPr>
            <w:tcW w:w="4253" w:type="dxa"/>
            <w:shd w:val="clear" w:color="auto" w:fill="auto"/>
          </w:tcPr>
          <w:p w14:paraId="7A11EB15" w14:textId="77777777" w:rsidR="00FE626B" w:rsidRPr="005071A1" w:rsidRDefault="007C0A71" w:rsidP="007C0A71">
            <w:pPr>
              <w:ind w:left="34" w:firstLine="249"/>
              <w:rPr>
                <w:sz w:val="20"/>
              </w:rPr>
            </w:pPr>
            <w:r w:rsidRPr="005071A1">
              <w:rPr>
                <w:sz w:val="20"/>
              </w:rPr>
              <w:t>e</w:t>
            </w:r>
            <w:r w:rsidR="00FE626B" w:rsidRPr="005071A1">
              <w:rPr>
                <w:sz w:val="20"/>
              </w:rPr>
              <w:t>ffect</w:t>
            </w:r>
          </w:p>
        </w:tc>
        <w:tc>
          <w:tcPr>
            <w:tcW w:w="3686" w:type="dxa"/>
            <w:shd w:val="clear" w:color="auto" w:fill="auto"/>
          </w:tcPr>
          <w:p w14:paraId="1C7475B3" w14:textId="77777777" w:rsidR="00FE626B" w:rsidRPr="005071A1" w:rsidRDefault="00FE626B" w:rsidP="00322DFA">
            <w:pPr>
              <w:spacing w:before="60"/>
              <w:ind w:left="34"/>
              <w:rPr>
                <w:sz w:val="20"/>
              </w:rPr>
            </w:pPr>
            <w:r w:rsidRPr="005071A1">
              <w:rPr>
                <w:sz w:val="20"/>
              </w:rPr>
              <w:t>rep = repealed</w:t>
            </w:r>
          </w:p>
        </w:tc>
      </w:tr>
      <w:tr w:rsidR="00FE626B" w:rsidRPr="005071A1" w14:paraId="0268D356" w14:textId="77777777" w:rsidTr="00322DFA">
        <w:tc>
          <w:tcPr>
            <w:tcW w:w="4253" w:type="dxa"/>
            <w:shd w:val="clear" w:color="auto" w:fill="auto"/>
          </w:tcPr>
          <w:p w14:paraId="73C06B11" w14:textId="77777777" w:rsidR="00FE626B" w:rsidRPr="005071A1" w:rsidRDefault="00FE626B" w:rsidP="00322DFA">
            <w:pPr>
              <w:spacing w:before="60"/>
              <w:ind w:left="34"/>
              <w:rPr>
                <w:sz w:val="20"/>
              </w:rPr>
            </w:pPr>
            <w:r w:rsidRPr="005071A1">
              <w:rPr>
                <w:sz w:val="20"/>
              </w:rPr>
              <w:t>F = Federal Register of Legislation</w:t>
            </w:r>
          </w:p>
        </w:tc>
        <w:tc>
          <w:tcPr>
            <w:tcW w:w="3686" w:type="dxa"/>
            <w:shd w:val="clear" w:color="auto" w:fill="auto"/>
          </w:tcPr>
          <w:p w14:paraId="37D85CB1" w14:textId="77777777" w:rsidR="00FE626B" w:rsidRPr="005071A1" w:rsidRDefault="00FE626B" w:rsidP="00322DFA">
            <w:pPr>
              <w:spacing w:before="60"/>
              <w:ind w:left="34"/>
              <w:rPr>
                <w:sz w:val="20"/>
              </w:rPr>
            </w:pPr>
            <w:r w:rsidRPr="005071A1">
              <w:rPr>
                <w:sz w:val="20"/>
              </w:rPr>
              <w:t>rs = repealed and substituted</w:t>
            </w:r>
          </w:p>
        </w:tc>
      </w:tr>
      <w:tr w:rsidR="00FE626B" w:rsidRPr="005071A1" w14:paraId="6FFF82C3" w14:textId="77777777" w:rsidTr="00322DFA">
        <w:tc>
          <w:tcPr>
            <w:tcW w:w="4253" w:type="dxa"/>
            <w:shd w:val="clear" w:color="auto" w:fill="auto"/>
          </w:tcPr>
          <w:p w14:paraId="0A804657" w14:textId="77777777" w:rsidR="00FE626B" w:rsidRPr="005071A1" w:rsidRDefault="00FE626B" w:rsidP="00322DFA">
            <w:pPr>
              <w:spacing w:before="60"/>
              <w:ind w:left="34"/>
              <w:rPr>
                <w:sz w:val="20"/>
              </w:rPr>
            </w:pPr>
            <w:r w:rsidRPr="005071A1">
              <w:rPr>
                <w:sz w:val="20"/>
              </w:rPr>
              <w:t>gaz = gazette</w:t>
            </w:r>
          </w:p>
        </w:tc>
        <w:tc>
          <w:tcPr>
            <w:tcW w:w="3686" w:type="dxa"/>
            <w:shd w:val="clear" w:color="auto" w:fill="auto"/>
          </w:tcPr>
          <w:p w14:paraId="76171EA4" w14:textId="77777777" w:rsidR="00FE626B" w:rsidRPr="005071A1" w:rsidRDefault="00FE626B" w:rsidP="00322DFA">
            <w:pPr>
              <w:spacing w:before="60"/>
              <w:ind w:left="34"/>
              <w:rPr>
                <w:sz w:val="20"/>
              </w:rPr>
            </w:pPr>
            <w:r w:rsidRPr="005071A1">
              <w:rPr>
                <w:sz w:val="20"/>
              </w:rPr>
              <w:t>s = section(s)/subsection(s)</w:t>
            </w:r>
          </w:p>
        </w:tc>
      </w:tr>
      <w:tr w:rsidR="00FE626B" w:rsidRPr="005071A1" w14:paraId="5D71CCDD" w14:textId="77777777" w:rsidTr="00322DFA">
        <w:tc>
          <w:tcPr>
            <w:tcW w:w="4253" w:type="dxa"/>
            <w:shd w:val="clear" w:color="auto" w:fill="auto"/>
          </w:tcPr>
          <w:p w14:paraId="384853DF" w14:textId="77777777" w:rsidR="00FE626B" w:rsidRPr="005071A1" w:rsidRDefault="00FE626B" w:rsidP="00322DFA">
            <w:pPr>
              <w:spacing w:before="60"/>
              <w:ind w:left="34"/>
              <w:rPr>
                <w:sz w:val="20"/>
              </w:rPr>
            </w:pPr>
            <w:r w:rsidRPr="005071A1">
              <w:rPr>
                <w:sz w:val="20"/>
              </w:rPr>
              <w:t xml:space="preserve">LA = </w:t>
            </w:r>
            <w:r w:rsidRPr="005071A1">
              <w:rPr>
                <w:i/>
                <w:sz w:val="20"/>
              </w:rPr>
              <w:t>Legislation Act 2003</w:t>
            </w:r>
          </w:p>
        </w:tc>
        <w:tc>
          <w:tcPr>
            <w:tcW w:w="3686" w:type="dxa"/>
            <w:shd w:val="clear" w:color="auto" w:fill="auto"/>
          </w:tcPr>
          <w:p w14:paraId="49C6748B" w14:textId="77777777" w:rsidR="00FE626B" w:rsidRPr="005071A1" w:rsidRDefault="00FE626B" w:rsidP="00322DFA">
            <w:pPr>
              <w:spacing w:before="60"/>
              <w:ind w:left="34"/>
              <w:rPr>
                <w:sz w:val="20"/>
              </w:rPr>
            </w:pPr>
            <w:r w:rsidRPr="005071A1">
              <w:rPr>
                <w:sz w:val="20"/>
              </w:rPr>
              <w:t>Sch = Schedule(s)</w:t>
            </w:r>
          </w:p>
        </w:tc>
      </w:tr>
      <w:tr w:rsidR="00FE626B" w:rsidRPr="005071A1" w14:paraId="09D8A87B" w14:textId="77777777" w:rsidTr="00322DFA">
        <w:tc>
          <w:tcPr>
            <w:tcW w:w="4253" w:type="dxa"/>
            <w:shd w:val="clear" w:color="auto" w:fill="auto"/>
          </w:tcPr>
          <w:p w14:paraId="71CD285A" w14:textId="77777777" w:rsidR="00FE626B" w:rsidRPr="005071A1" w:rsidRDefault="00FE626B" w:rsidP="00322DFA">
            <w:pPr>
              <w:spacing w:before="60"/>
              <w:ind w:left="34"/>
              <w:rPr>
                <w:sz w:val="20"/>
              </w:rPr>
            </w:pPr>
            <w:r w:rsidRPr="005071A1">
              <w:rPr>
                <w:sz w:val="20"/>
              </w:rPr>
              <w:t xml:space="preserve">LIA = </w:t>
            </w:r>
            <w:r w:rsidRPr="005071A1">
              <w:rPr>
                <w:i/>
                <w:sz w:val="20"/>
              </w:rPr>
              <w:t>Legislative Instruments Act 2003</w:t>
            </w:r>
          </w:p>
        </w:tc>
        <w:tc>
          <w:tcPr>
            <w:tcW w:w="3686" w:type="dxa"/>
            <w:shd w:val="clear" w:color="auto" w:fill="auto"/>
          </w:tcPr>
          <w:p w14:paraId="6691FE60" w14:textId="77777777" w:rsidR="00FE626B" w:rsidRPr="005071A1" w:rsidRDefault="00FE626B" w:rsidP="00322DFA">
            <w:pPr>
              <w:spacing w:before="60"/>
              <w:ind w:left="34"/>
              <w:rPr>
                <w:sz w:val="20"/>
              </w:rPr>
            </w:pPr>
            <w:r w:rsidRPr="005071A1">
              <w:rPr>
                <w:sz w:val="20"/>
              </w:rPr>
              <w:t>Sdiv = Subdivision(s)</w:t>
            </w:r>
          </w:p>
        </w:tc>
      </w:tr>
      <w:tr w:rsidR="00FE626B" w:rsidRPr="005071A1" w14:paraId="7C99A75E" w14:textId="77777777" w:rsidTr="00322DFA">
        <w:tc>
          <w:tcPr>
            <w:tcW w:w="4253" w:type="dxa"/>
            <w:shd w:val="clear" w:color="auto" w:fill="auto"/>
          </w:tcPr>
          <w:p w14:paraId="57C436F9" w14:textId="77777777" w:rsidR="00FE626B" w:rsidRPr="005071A1" w:rsidRDefault="00FE626B" w:rsidP="00322DFA">
            <w:pPr>
              <w:spacing w:before="60"/>
              <w:ind w:left="34"/>
              <w:rPr>
                <w:sz w:val="20"/>
              </w:rPr>
            </w:pPr>
            <w:r w:rsidRPr="005071A1">
              <w:rPr>
                <w:sz w:val="20"/>
              </w:rPr>
              <w:t>(md) = misdescribed amendment can be given</w:t>
            </w:r>
          </w:p>
        </w:tc>
        <w:tc>
          <w:tcPr>
            <w:tcW w:w="3686" w:type="dxa"/>
            <w:shd w:val="clear" w:color="auto" w:fill="auto"/>
          </w:tcPr>
          <w:p w14:paraId="1D7DC274" w14:textId="77777777" w:rsidR="00FE626B" w:rsidRPr="005071A1" w:rsidRDefault="00FE626B" w:rsidP="00322DFA">
            <w:pPr>
              <w:spacing w:before="60"/>
              <w:ind w:left="34"/>
              <w:rPr>
                <w:sz w:val="20"/>
              </w:rPr>
            </w:pPr>
            <w:r w:rsidRPr="005071A1">
              <w:rPr>
                <w:sz w:val="20"/>
              </w:rPr>
              <w:t>SLI = Select Legislative Instrument</w:t>
            </w:r>
          </w:p>
        </w:tc>
      </w:tr>
      <w:tr w:rsidR="00FE626B" w:rsidRPr="005071A1" w14:paraId="1A1CA9D6" w14:textId="77777777" w:rsidTr="00322DFA">
        <w:tc>
          <w:tcPr>
            <w:tcW w:w="4253" w:type="dxa"/>
            <w:shd w:val="clear" w:color="auto" w:fill="auto"/>
          </w:tcPr>
          <w:p w14:paraId="2DB6A913" w14:textId="77777777" w:rsidR="00FE626B" w:rsidRPr="005071A1" w:rsidRDefault="007C0A71" w:rsidP="007C0A71">
            <w:pPr>
              <w:ind w:left="34" w:firstLine="249"/>
              <w:rPr>
                <w:sz w:val="20"/>
              </w:rPr>
            </w:pPr>
            <w:r w:rsidRPr="005071A1">
              <w:rPr>
                <w:sz w:val="20"/>
              </w:rPr>
              <w:t>e</w:t>
            </w:r>
            <w:r w:rsidR="00FE626B" w:rsidRPr="005071A1">
              <w:rPr>
                <w:sz w:val="20"/>
              </w:rPr>
              <w:t>ffect</w:t>
            </w:r>
          </w:p>
        </w:tc>
        <w:tc>
          <w:tcPr>
            <w:tcW w:w="3686" w:type="dxa"/>
            <w:shd w:val="clear" w:color="auto" w:fill="auto"/>
          </w:tcPr>
          <w:p w14:paraId="53811558" w14:textId="77777777" w:rsidR="00FE626B" w:rsidRPr="005071A1" w:rsidRDefault="00FE626B" w:rsidP="00322DFA">
            <w:pPr>
              <w:spacing w:before="60"/>
              <w:ind w:left="34"/>
              <w:rPr>
                <w:sz w:val="20"/>
              </w:rPr>
            </w:pPr>
            <w:r w:rsidRPr="005071A1">
              <w:rPr>
                <w:sz w:val="20"/>
              </w:rPr>
              <w:t>SR = Statutory Rules</w:t>
            </w:r>
          </w:p>
        </w:tc>
      </w:tr>
      <w:tr w:rsidR="00FE626B" w:rsidRPr="005071A1" w14:paraId="0FEB3703" w14:textId="77777777" w:rsidTr="00322DFA">
        <w:tc>
          <w:tcPr>
            <w:tcW w:w="4253" w:type="dxa"/>
            <w:shd w:val="clear" w:color="auto" w:fill="auto"/>
          </w:tcPr>
          <w:p w14:paraId="58AC3A8D" w14:textId="77777777" w:rsidR="00FE626B" w:rsidRPr="005071A1" w:rsidRDefault="00FE626B" w:rsidP="00322DFA">
            <w:pPr>
              <w:spacing w:before="60"/>
              <w:ind w:left="34"/>
              <w:rPr>
                <w:sz w:val="20"/>
              </w:rPr>
            </w:pPr>
            <w:r w:rsidRPr="005071A1">
              <w:rPr>
                <w:sz w:val="20"/>
              </w:rPr>
              <w:t>(md not incorp) = misdescribed amendment</w:t>
            </w:r>
          </w:p>
        </w:tc>
        <w:tc>
          <w:tcPr>
            <w:tcW w:w="3686" w:type="dxa"/>
            <w:shd w:val="clear" w:color="auto" w:fill="auto"/>
          </w:tcPr>
          <w:p w14:paraId="624F1BD2" w14:textId="77777777" w:rsidR="00FE626B" w:rsidRPr="005071A1" w:rsidRDefault="00FE626B" w:rsidP="00322DFA">
            <w:pPr>
              <w:spacing w:before="60"/>
              <w:ind w:left="34"/>
              <w:rPr>
                <w:sz w:val="20"/>
              </w:rPr>
            </w:pPr>
            <w:r w:rsidRPr="005071A1">
              <w:rPr>
                <w:sz w:val="20"/>
              </w:rPr>
              <w:t>Sub</w:t>
            </w:r>
            <w:r w:rsidR="004510F0">
              <w:rPr>
                <w:sz w:val="20"/>
              </w:rPr>
              <w:noBreakHyphen/>
            </w:r>
            <w:r w:rsidRPr="005071A1">
              <w:rPr>
                <w:sz w:val="20"/>
              </w:rPr>
              <w:t>Ch = Sub</w:t>
            </w:r>
            <w:r w:rsidR="004510F0">
              <w:rPr>
                <w:sz w:val="20"/>
              </w:rPr>
              <w:noBreakHyphen/>
            </w:r>
            <w:r w:rsidRPr="005071A1">
              <w:rPr>
                <w:sz w:val="20"/>
              </w:rPr>
              <w:t>Chapter(s)</w:t>
            </w:r>
          </w:p>
        </w:tc>
      </w:tr>
      <w:tr w:rsidR="00FE626B" w:rsidRPr="005071A1" w14:paraId="74E52473" w14:textId="77777777" w:rsidTr="00322DFA">
        <w:tc>
          <w:tcPr>
            <w:tcW w:w="4253" w:type="dxa"/>
            <w:shd w:val="clear" w:color="auto" w:fill="auto"/>
          </w:tcPr>
          <w:p w14:paraId="4DAA1AE5" w14:textId="77777777" w:rsidR="00FE626B" w:rsidRPr="005071A1" w:rsidRDefault="007C0A71" w:rsidP="007C0A71">
            <w:pPr>
              <w:ind w:left="34" w:firstLine="249"/>
              <w:rPr>
                <w:sz w:val="20"/>
              </w:rPr>
            </w:pPr>
            <w:r w:rsidRPr="005071A1">
              <w:rPr>
                <w:sz w:val="20"/>
              </w:rPr>
              <w:t>c</w:t>
            </w:r>
            <w:r w:rsidR="00FE626B" w:rsidRPr="005071A1">
              <w:rPr>
                <w:sz w:val="20"/>
              </w:rPr>
              <w:t>annot be given effect</w:t>
            </w:r>
          </w:p>
        </w:tc>
        <w:tc>
          <w:tcPr>
            <w:tcW w:w="3686" w:type="dxa"/>
            <w:shd w:val="clear" w:color="auto" w:fill="auto"/>
          </w:tcPr>
          <w:p w14:paraId="11D6B4DC" w14:textId="77777777" w:rsidR="00FE626B" w:rsidRPr="005071A1" w:rsidRDefault="00FE626B" w:rsidP="00322DFA">
            <w:pPr>
              <w:spacing w:before="60"/>
              <w:ind w:left="34"/>
              <w:rPr>
                <w:sz w:val="20"/>
              </w:rPr>
            </w:pPr>
            <w:r w:rsidRPr="005071A1">
              <w:rPr>
                <w:sz w:val="20"/>
              </w:rPr>
              <w:t>SubPt = Subpart(s)</w:t>
            </w:r>
          </w:p>
        </w:tc>
      </w:tr>
      <w:tr w:rsidR="00FE626B" w:rsidRPr="005071A1" w14:paraId="2A872171" w14:textId="77777777" w:rsidTr="00322DFA">
        <w:tc>
          <w:tcPr>
            <w:tcW w:w="4253" w:type="dxa"/>
            <w:shd w:val="clear" w:color="auto" w:fill="auto"/>
          </w:tcPr>
          <w:p w14:paraId="15B44964" w14:textId="77777777" w:rsidR="00FE626B" w:rsidRPr="005071A1" w:rsidRDefault="00FE626B" w:rsidP="00322DFA">
            <w:pPr>
              <w:spacing w:before="60"/>
              <w:ind w:left="34"/>
              <w:rPr>
                <w:sz w:val="20"/>
              </w:rPr>
            </w:pPr>
            <w:r w:rsidRPr="005071A1">
              <w:rPr>
                <w:sz w:val="20"/>
              </w:rPr>
              <w:t>mod = modified/modification</w:t>
            </w:r>
          </w:p>
        </w:tc>
        <w:tc>
          <w:tcPr>
            <w:tcW w:w="3686" w:type="dxa"/>
            <w:shd w:val="clear" w:color="auto" w:fill="auto"/>
          </w:tcPr>
          <w:p w14:paraId="40702D50" w14:textId="77777777" w:rsidR="00FE626B" w:rsidRPr="005071A1" w:rsidRDefault="00FE626B" w:rsidP="00322DFA">
            <w:pPr>
              <w:spacing w:before="60"/>
              <w:ind w:left="34"/>
              <w:rPr>
                <w:sz w:val="20"/>
              </w:rPr>
            </w:pPr>
            <w:r w:rsidRPr="005071A1">
              <w:rPr>
                <w:sz w:val="20"/>
                <w:u w:val="single"/>
              </w:rPr>
              <w:t>underlining</w:t>
            </w:r>
            <w:r w:rsidRPr="005071A1">
              <w:rPr>
                <w:sz w:val="20"/>
              </w:rPr>
              <w:t xml:space="preserve"> = whole or part not</w:t>
            </w:r>
          </w:p>
        </w:tc>
      </w:tr>
      <w:tr w:rsidR="00FE626B" w:rsidRPr="005071A1" w14:paraId="1B1A2BFB" w14:textId="77777777" w:rsidTr="00322DFA">
        <w:tc>
          <w:tcPr>
            <w:tcW w:w="4253" w:type="dxa"/>
            <w:shd w:val="clear" w:color="auto" w:fill="auto"/>
          </w:tcPr>
          <w:p w14:paraId="1D1ABB8D" w14:textId="77777777" w:rsidR="00FE626B" w:rsidRPr="005071A1" w:rsidRDefault="00FE626B" w:rsidP="00322DFA">
            <w:pPr>
              <w:spacing w:before="60"/>
              <w:ind w:left="34"/>
              <w:rPr>
                <w:sz w:val="20"/>
              </w:rPr>
            </w:pPr>
            <w:r w:rsidRPr="005071A1">
              <w:rPr>
                <w:sz w:val="20"/>
              </w:rPr>
              <w:t>No. = Number(s)</w:t>
            </w:r>
          </w:p>
        </w:tc>
        <w:tc>
          <w:tcPr>
            <w:tcW w:w="3686" w:type="dxa"/>
            <w:shd w:val="clear" w:color="auto" w:fill="auto"/>
          </w:tcPr>
          <w:p w14:paraId="2599DF59" w14:textId="77777777" w:rsidR="00FE626B" w:rsidRPr="005071A1" w:rsidRDefault="007C0A71" w:rsidP="007C0A71">
            <w:pPr>
              <w:ind w:left="34" w:firstLine="249"/>
              <w:rPr>
                <w:sz w:val="20"/>
              </w:rPr>
            </w:pPr>
            <w:r w:rsidRPr="005071A1">
              <w:rPr>
                <w:sz w:val="20"/>
              </w:rPr>
              <w:t>c</w:t>
            </w:r>
            <w:r w:rsidR="00FE626B" w:rsidRPr="005071A1">
              <w:rPr>
                <w:sz w:val="20"/>
              </w:rPr>
              <w:t>ommenced or to be commenced</w:t>
            </w:r>
          </w:p>
        </w:tc>
      </w:tr>
    </w:tbl>
    <w:p w14:paraId="5615FD12" w14:textId="77777777" w:rsidR="006B6CE6" w:rsidRPr="005071A1" w:rsidRDefault="006B6CE6" w:rsidP="008C3244">
      <w:pPr>
        <w:pStyle w:val="Tabletext"/>
      </w:pPr>
    </w:p>
    <w:p w14:paraId="249A80EB" w14:textId="77777777" w:rsidR="00C33734" w:rsidRPr="00AB0E62" w:rsidRDefault="00C33734" w:rsidP="00AB0E62">
      <w:pPr>
        <w:pStyle w:val="ENotesHeading2"/>
        <w:pageBreakBefore/>
      </w:pPr>
      <w:bookmarkStart w:id="336" w:name="_Toc185577716"/>
      <w:r w:rsidRPr="00AB0E62">
        <w:t>Endnote 3—Legislation history</w:t>
      </w:r>
      <w:bookmarkEnd w:id="336"/>
    </w:p>
    <w:p w14:paraId="565087FE" w14:textId="77777777" w:rsidR="009B7AF5" w:rsidRPr="005071A1" w:rsidRDefault="009B7AF5" w:rsidP="00022B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9B7AF5" w:rsidRPr="005071A1" w14:paraId="54092D69" w14:textId="77777777" w:rsidTr="00D57394">
        <w:trPr>
          <w:cantSplit/>
          <w:tblHeader/>
        </w:trPr>
        <w:tc>
          <w:tcPr>
            <w:tcW w:w="1838" w:type="dxa"/>
            <w:tcBorders>
              <w:top w:val="single" w:sz="12" w:space="0" w:color="auto"/>
              <w:bottom w:val="single" w:sz="12" w:space="0" w:color="auto"/>
            </w:tcBorders>
            <w:shd w:val="clear" w:color="auto" w:fill="auto"/>
          </w:tcPr>
          <w:p w14:paraId="6A7E0632" w14:textId="77777777" w:rsidR="009B7AF5" w:rsidRPr="005071A1" w:rsidRDefault="009B7AF5" w:rsidP="00022B83">
            <w:pPr>
              <w:pStyle w:val="ENoteTableHeading"/>
            </w:pPr>
            <w:r w:rsidRPr="005071A1">
              <w:t>Act</w:t>
            </w:r>
          </w:p>
        </w:tc>
        <w:tc>
          <w:tcPr>
            <w:tcW w:w="992" w:type="dxa"/>
            <w:tcBorders>
              <w:top w:val="single" w:sz="12" w:space="0" w:color="auto"/>
              <w:bottom w:val="single" w:sz="12" w:space="0" w:color="auto"/>
            </w:tcBorders>
            <w:shd w:val="clear" w:color="auto" w:fill="auto"/>
          </w:tcPr>
          <w:p w14:paraId="7FC08DB8" w14:textId="77777777" w:rsidR="009B7AF5" w:rsidRPr="005071A1" w:rsidRDefault="009B7AF5" w:rsidP="00022B83">
            <w:pPr>
              <w:pStyle w:val="ENoteTableHeading"/>
            </w:pPr>
            <w:r w:rsidRPr="005071A1">
              <w:t>Number and year</w:t>
            </w:r>
          </w:p>
        </w:tc>
        <w:tc>
          <w:tcPr>
            <w:tcW w:w="993" w:type="dxa"/>
            <w:tcBorders>
              <w:top w:val="single" w:sz="12" w:space="0" w:color="auto"/>
              <w:bottom w:val="single" w:sz="12" w:space="0" w:color="auto"/>
            </w:tcBorders>
            <w:shd w:val="clear" w:color="auto" w:fill="auto"/>
          </w:tcPr>
          <w:p w14:paraId="1909B8B8" w14:textId="77777777" w:rsidR="009B7AF5" w:rsidRPr="005071A1" w:rsidRDefault="00077064" w:rsidP="00022B83">
            <w:pPr>
              <w:pStyle w:val="ENoteTableHeading"/>
            </w:pPr>
            <w:r w:rsidRPr="005071A1">
              <w:t>Assent</w:t>
            </w:r>
          </w:p>
        </w:tc>
        <w:tc>
          <w:tcPr>
            <w:tcW w:w="1845" w:type="dxa"/>
            <w:tcBorders>
              <w:top w:val="single" w:sz="12" w:space="0" w:color="auto"/>
              <w:bottom w:val="single" w:sz="12" w:space="0" w:color="auto"/>
            </w:tcBorders>
            <w:shd w:val="clear" w:color="auto" w:fill="auto"/>
          </w:tcPr>
          <w:p w14:paraId="25001B79" w14:textId="77777777" w:rsidR="009B7AF5" w:rsidRPr="005071A1" w:rsidRDefault="00201A97" w:rsidP="00022B83">
            <w:pPr>
              <w:pStyle w:val="ENoteTableHeading"/>
            </w:pPr>
            <w:r w:rsidRPr="005071A1">
              <w:t>Commencement</w:t>
            </w:r>
          </w:p>
        </w:tc>
        <w:tc>
          <w:tcPr>
            <w:tcW w:w="1417" w:type="dxa"/>
            <w:tcBorders>
              <w:top w:val="single" w:sz="12" w:space="0" w:color="auto"/>
              <w:bottom w:val="single" w:sz="12" w:space="0" w:color="auto"/>
            </w:tcBorders>
            <w:shd w:val="clear" w:color="auto" w:fill="auto"/>
          </w:tcPr>
          <w:p w14:paraId="102AC661" w14:textId="77777777" w:rsidR="009B7AF5" w:rsidRPr="005071A1" w:rsidRDefault="009B7AF5" w:rsidP="00022B83">
            <w:pPr>
              <w:pStyle w:val="ENoteTableHeading"/>
            </w:pPr>
            <w:r w:rsidRPr="005071A1">
              <w:t>Application, saving and transitional provisions</w:t>
            </w:r>
          </w:p>
        </w:tc>
      </w:tr>
      <w:tr w:rsidR="009B7AF5" w:rsidRPr="005071A1" w14:paraId="2AB739E2" w14:textId="77777777" w:rsidTr="00322DFA">
        <w:trPr>
          <w:cantSplit/>
        </w:trPr>
        <w:tc>
          <w:tcPr>
            <w:tcW w:w="1838" w:type="dxa"/>
            <w:tcBorders>
              <w:top w:val="single" w:sz="12" w:space="0" w:color="auto"/>
              <w:bottom w:val="single" w:sz="4" w:space="0" w:color="auto"/>
            </w:tcBorders>
            <w:shd w:val="clear" w:color="auto" w:fill="auto"/>
          </w:tcPr>
          <w:p w14:paraId="7F1FFB7E" w14:textId="77777777" w:rsidR="009B7AF5" w:rsidRPr="005071A1" w:rsidRDefault="009B7AF5" w:rsidP="009B7AF5">
            <w:pPr>
              <w:pStyle w:val="ENoteTableText"/>
            </w:pPr>
            <w:r w:rsidRPr="005071A1">
              <w:t>Superannuation Act 1922</w:t>
            </w:r>
          </w:p>
        </w:tc>
        <w:tc>
          <w:tcPr>
            <w:tcW w:w="992" w:type="dxa"/>
            <w:tcBorders>
              <w:top w:val="single" w:sz="12" w:space="0" w:color="auto"/>
              <w:bottom w:val="single" w:sz="4" w:space="0" w:color="auto"/>
            </w:tcBorders>
            <w:shd w:val="clear" w:color="auto" w:fill="auto"/>
          </w:tcPr>
          <w:p w14:paraId="090015A0" w14:textId="77777777" w:rsidR="009B7AF5" w:rsidRPr="005071A1" w:rsidRDefault="009B7AF5" w:rsidP="009B7AF5">
            <w:pPr>
              <w:pStyle w:val="ENoteTableText"/>
            </w:pPr>
            <w:r w:rsidRPr="005071A1">
              <w:t>33, 1922</w:t>
            </w:r>
          </w:p>
        </w:tc>
        <w:tc>
          <w:tcPr>
            <w:tcW w:w="993" w:type="dxa"/>
            <w:tcBorders>
              <w:top w:val="single" w:sz="12" w:space="0" w:color="auto"/>
              <w:bottom w:val="single" w:sz="4" w:space="0" w:color="auto"/>
            </w:tcBorders>
            <w:shd w:val="clear" w:color="auto" w:fill="auto"/>
          </w:tcPr>
          <w:p w14:paraId="634A508C" w14:textId="77777777" w:rsidR="009B7AF5" w:rsidRPr="005071A1" w:rsidRDefault="009B7AF5" w:rsidP="009B7AF5">
            <w:pPr>
              <w:pStyle w:val="ENoteTableText"/>
            </w:pPr>
            <w:smartTag w:uri="urn:schemas-microsoft-com:office:smarttags" w:element="date">
              <w:smartTagPr>
                <w:attr w:name="Month" w:val="10"/>
                <w:attr w:name="Day" w:val="18"/>
                <w:attr w:name="Year" w:val="1922"/>
              </w:smartTagPr>
              <w:r w:rsidRPr="005071A1">
                <w:t>18 Oct 1922</w:t>
              </w:r>
            </w:smartTag>
          </w:p>
        </w:tc>
        <w:tc>
          <w:tcPr>
            <w:tcW w:w="1845" w:type="dxa"/>
            <w:tcBorders>
              <w:top w:val="single" w:sz="12" w:space="0" w:color="auto"/>
              <w:bottom w:val="single" w:sz="4" w:space="0" w:color="auto"/>
            </w:tcBorders>
            <w:shd w:val="clear" w:color="auto" w:fill="auto"/>
          </w:tcPr>
          <w:p w14:paraId="3500F841" w14:textId="77777777" w:rsidR="009B7AF5" w:rsidRPr="005071A1" w:rsidRDefault="009B7AF5" w:rsidP="009B7AF5">
            <w:pPr>
              <w:pStyle w:val="ENoteTableText"/>
            </w:pPr>
            <w:smartTag w:uri="urn:schemas-microsoft-com:office:smarttags" w:element="date">
              <w:smartTagPr>
                <w:attr w:name="Month" w:val="11"/>
                <w:attr w:name="Day" w:val="20"/>
                <w:attr w:name="Year" w:val="1922"/>
              </w:smartTagPr>
              <w:r w:rsidRPr="005071A1">
                <w:t>20 Nov 1922</w:t>
              </w:r>
            </w:smartTag>
            <w:r w:rsidRPr="005071A1">
              <w:t xml:space="preserve"> (</w:t>
            </w:r>
            <w:r w:rsidRPr="005071A1">
              <w:rPr>
                <w:i/>
              </w:rPr>
              <w:t xml:space="preserve">see Gazette </w:t>
            </w:r>
            <w:r w:rsidRPr="005071A1">
              <w:t>1922, p. 2067)</w:t>
            </w:r>
          </w:p>
        </w:tc>
        <w:tc>
          <w:tcPr>
            <w:tcW w:w="1417" w:type="dxa"/>
            <w:tcBorders>
              <w:top w:val="single" w:sz="12" w:space="0" w:color="auto"/>
              <w:bottom w:val="single" w:sz="4" w:space="0" w:color="auto"/>
            </w:tcBorders>
            <w:shd w:val="clear" w:color="auto" w:fill="auto"/>
          </w:tcPr>
          <w:p w14:paraId="0140B6F3" w14:textId="77777777" w:rsidR="009B7AF5" w:rsidRPr="005071A1" w:rsidRDefault="009B7AF5" w:rsidP="009B7AF5">
            <w:pPr>
              <w:pStyle w:val="ENoteTableText"/>
            </w:pPr>
          </w:p>
        </w:tc>
      </w:tr>
      <w:tr w:rsidR="009B7AF5" w:rsidRPr="005071A1" w14:paraId="424DE545" w14:textId="77777777" w:rsidTr="00322DFA">
        <w:trPr>
          <w:cantSplit/>
        </w:trPr>
        <w:tc>
          <w:tcPr>
            <w:tcW w:w="1838" w:type="dxa"/>
            <w:tcBorders>
              <w:top w:val="single" w:sz="4" w:space="0" w:color="auto"/>
              <w:bottom w:val="single" w:sz="4" w:space="0" w:color="auto"/>
            </w:tcBorders>
            <w:shd w:val="clear" w:color="auto" w:fill="auto"/>
          </w:tcPr>
          <w:p w14:paraId="52345005" w14:textId="77777777" w:rsidR="009B7AF5" w:rsidRPr="005071A1" w:rsidRDefault="009B7AF5" w:rsidP="009B7AF5">
            <w:pPr>
              <w:pStyle w:val="ENoteTableText"/>
            </w:pPr>
            <w:r w:rsidRPr="005071A1">
              <w:t>Superannuation Act 1924</w:t>
            </w:r>
          </w:p>
        </w:tc>
        <w:tc>
          <w:tcPr>
            <w:tcW w:w="992" w:type="dxa"/>
            <w:tcBorders>
              <w:top w:val="single" w:sz="4" w:space="0" w:color="auto"/>
              <w:bottom w:val="single" w:sz="4" w:space="0" w:color="auto"/>
            </w:tcBorders>
            <w:shd w:val="clear" w:color="auto" w:fill="auto"/>
          </w:tcPr>
          <w:p w14:paraId="3BEEA8A5" w14:textId="77777777" w:rsidR="009B7AF5" w:rsidRPr="005071A1" w:rsidRDefault="009B7AF5" w:rsidP="009B7AF5">
            <w:pPr>
              <w:pStyle w:val="ENoteTableText"/>
            </w:pPr>
            <w:r w:rsidRPr="005071A1">
              <w:t>45, 1924</w:t>
            </w:r>
          </w:p>
        </w:tc>
        <w:tc>
          <w:tcPr>
            <w:tcW w:w="993" w:type="dxa"/>
            <w:tcBorders>
              <w:top w:val="single" w:sz="4" w:space="0" w:color="auto"/>
              <w:bottom w:val="single" w:sz="4" w:space="0" w:color="auto"/>
            </w:tcBorders>
            <w:shd w:val="clear" w:color="auto" w:fill="auto"/>
          </w:tcPr>
          <w:p w14:paraId="4DC89569" w14:textId="77777777" w:rsidR="009B7AF5" w:rsidRPr="005071A1" w:rsidRDefault="009B7AF5" w:rsidP="009B7AF5">
            <w:pPr>
              <w:pStyle w:val="ENoteTableText"/>
            </w:pPr>
            <w:smartTag w:uri="urn:schemas-microsoft-com:office:smarttags" w:element="date">
              <w:smartTagPr>
                <w:attr w:name="Month" w:val="10"/>
                <w:attr w:name="Day" w:val="20"/>
                <w:attr w:name="Year" w:val="1924"/>
              </w:smartTagPr>
              <w:r w:rsidRPr="005071A1">
                <w:t>20 Oct 1924</w:t>
              </w:r>
            </w:smartTag>
          </w:p>
        </w:tc>
        <w:tc>
          <w:tcPr>
            <w:tcW w:w="1845" w:type="dxa"/>
            <w:tcBorders>
              <w:top w:val="single" w:sz="4" w:space="0" w:color="auto"/>
              <w:bottom w:val="single" w:sz="4" w:space="0" w:color="auto"/>
            </w:tcBorders>
            <w:shd w:val="clear" w:color="auto" w:fill="auto"/>
          </w:tcPr>
          <w:p w14:paraId="2318C453" w14:textId="77777777" w:rsidR="009B7AF5" w:rsidRPr="005071A1" w:rsidRDefault="002477D1" w:rsidP="009B7AF5">
            <w:pPr>
              <w:pStyle w:val="ENoteTableText"/>
            </w:pPr>
            <w:r w:rsidRPr="005071A1">
              <w:t>ss.</w:t>
            </w:r>
            <w:r w:rsidR="008B2950" w:rsidRPr="005071A1">
              <w:t> </w:t>
            </w:r>
            <w:r w:rsidR="009B7AF5" w:rsidRPr="005071A1">
              <w:t xml:space="preserve">4 and </w:t>
            </w:r>
            <w:smartTag w:uri="urn:schemas-microsoft-com:office:smarttags" w:element="time">
              <w:smartTagPr>
                <w:attr w:name="Hour" w:val="17"/>
                <w:attr w:name="Minute" w:val="20"/>
              </w:smartTagPr>
              <w:r w:rsidR="009B7AF5" w:rsidRPr="005071A1">
                <w:t>17: 20</w:t>
              </w:r>
            </w:smartTag>
            <w:r w:rsidR="009B7AF5" w:rsidRPr="005071A1">
              <w:t xml:space="preserve"> Nov 1922 (</w:t>
            </w:r>
            <w:r w:rsidR="009B7AF5" w:rsidRPr="005071A1">
              <w:rPr>
                <w:i/>
              </w:rPr>
              <w:t xml:space="preserve">see </w:t>
            </w:r>
            <w:r w:rsidR="009B7AF5" w:rsidRPr="005071A1">
              <w:t>ss.</w:t>
            </w:r>
            <w:r w:rsidR="008B2950" w:rsidRPr="005071A1">
              <w:t> </w:t>
            </w:r>
            <w:r w:rsidR="009B7AF5" w:rsidRPr="005071A1">
              <w:t xml:space="preserve">4(2), 17(2) and </w:t>
            </w:r>
            <w:r w:rsidR="009B7AF5" w:rsidRPr="005071A1">
              <w:rPr>
                <w:i/>
              </w:rPr>
              <w:t xml:space="preserve">Gazette </w:t>
            </w:r>
            <w:r w:rsidR="009B7AF5" w:rsidRPr="005071A1">
              <w:t>1922, p. 2067)</w:t>
            </w:r>
            <w:r w:rsidR="009B7AF5" w:rsidRPr="005071A1">
              <w:br/>
            </w:r>
            <w:r w:rsidRPr="005071A1">
              <w:t>s.</w:t>
            </w:r>
            <w:r w:rsidR="009B7AF5" w:rsidRPr="005071A1">
              <w:t xml:space="preserve"> </w:t>
            </w:r>
            <w:smartTag w:uri="urn:schemas-microsoft-com:office:smarttags" w:element="time">
              <w:smartTagPr>
                <w:attr w:name="Hour" w:val="12"/>
                <w:attr w:name="Minute" w:val="18"/>
              </w:smartTagPr>
              <w:r w:rsidR="009B7AF5" w:rsidRPr="005071A1">
                <w:t>12: 18</w:t>
              </w:r>
            </w:smartTag>
            <w:r w:rsidR="009B7AF5" w:rsidRPr="005071A1">
              <w:t xml:space="preserve"> Oct 1922 (</w:t>
            </w:r>
            <w:r w:rsidR="009B7AF5" w:rsidRPr="005071A1">
              <w:rPr>
                <w:i/>
              </w:rPr>
              <w:t xml:space="preserve">see </w:t>
            </w:r>
            <w:r w:rsidR="009B7AF5" w:rsidRPr="005071A1">
              <w:t>s. 12(2))</w:t>
            </w:r>
            <w:r w:rsidR="009B7AF5" w:rsidRPr="005071A1">
              <w:br/>
              <w:t xml:space="preserve">Remainder: </w:t>
            </w:r>
            <w:smartTag w:uri="urn:schemas-microsoft-com:office:smarttags" w:element="date">
              <w:smartTagPr>
                <w:attr w:name="Month" w:val="10"/>
                <w:attr w:name="Day" w:val="23"/>
                <w:attr w:name="Year" w:val="1924"/>
              </w:smartTagPr>
              <w:r w:rsidR="009B7AF5" w:rsidRPr="005071A1">
                <w:t>23 Oct 1924</w:t>
              </w:r>
            </w:smartTag>
            <w:r w:rsidR="009B7AF5" w:rsidRPr="005071A1">
              <w:t xml:space="preserve"> (</w:t>
            </w:r>
            <w:r w:rsidR="009B7AF5" w:rsidRPr="005071A1">
              <w:rPr>
                <w:i/>
              </w:rPr>
              <w:t xml:space="preserve">see Gazette </w:t>
            </w:r>
            <w:r w:rsidR="009B7AF5" w:rsidRPr="005071A1">
              <w:t>1924, p. 2043)</w:t>
            </w:r>
          </w:p>
        </w:tc>
        <w:tc>
          <w:tcPr>
            <w:tcW w:w="1417" w:type="dxa"/>
            <w:tcBorders>
              <w:top w:val="single" w:sz="4" w:space="0" w:color="auto"/>
              <w:bottom w:val="single" w:sz="4" w:space="0" w:color="auto"/>
            </w:tcBorders>
            <w:shd w:val="clear" w:color="auto" w:fill="auto"/>
          </w:tcPr>
          <w:p w14:paraId="08305C34" w14:textId="77777777" w:rsidR="009B7AF5" w:rsidRPr="005071A1" w:rsidRDefault="002477D1" w:rsidP="009B7AF5">
            <w:pPr>
              <w:pStyle w:val="ENoteTableText"/>
            </w:pPr>
            <w:r w:rsidRPr="005071A1">
              <w:t>s.</w:t>
            </w:r>
            <w:r w:rsidR="009B7AF5" w:rsidRPr="005071A1">
              <w:t xml:space="preserve"> 14(2)</w:t>
            </w:r>
          </w:p>
        </w:tc>
      </w:tr>
      <w:tr w:rsidR="009B7AF5" w:rsidRPr="005071A1" w14:paraId="6D2E40EB" w14:textId="77777777" w:rsidTr="00322DFA">
        <w:trPr>
          <w:cantSplit/>
        </w:trPr>
        <w:tc>
          <w:tcPr>
            <w:tcW w:w="1838" w:type="dxa"/>
            <w:tcBorders>
              <w:top w:val="single" w:sz="4" w:space="0" w:color="auto"/>
              <w:bottom w:val="single" w:sz="4" w:space="0" w:color="auto"/>
            </w:tcBorders>
            <w:shd w:val="clear" w:color="auto" w:fill="auto"/>
          </w:tcPr>
          <w:p w14:paraId="4161729D" w14:textId="77777777" w:rsidR="009B7AF5" w:rsidRPr="005071A1" w:rsidRDefault="009B7AF5" w:rsidP="009B7AF5">
            <w:pPr>
              <w:pStyle w:val="ENoteTableText"/>
            </w:pPr>
            <w:r w:rsidRPr="005071A1">
              <w:t>Superannuation Act 1930</w:t>
            </w:r>
          </w:p>
        </w:tc>
        <w:tc>
          <w:tcPr>
            <w:tcW w:w="992" w:type="dxa"/>
            <w:tcBorders>
              <w:top w:val="single" w:sz="4" w:space="0" w:color="auto"/>
              <w:bottom w:val="single" w:sz="4" w:space="0" w:color="auto"/>
            </w:tcBorders>
            <w:shd w:val="clear" w:color="auto" w:fill="auto"/>
          </w:tcPr>
          <w:p w14:paraId="5276D61D" w14:textId="77777777" w:rsidR="009B7AF5" w:rsidRPr="005071A1" w:rsidRDefault="009B7AF5" w:rsidP="009B7AF5">
            <w:pPr>
              <w:pStyle w:val="ENoteTableText"/>
            </w:pPr>
            <w:r w:rsidRPr="005071A1">
              <w:t>22, 1930</w:t>
            </w:r>
          </w:p>
        </w:tc>
        <w:tc>
          <w:tcPr>
            <w:tcW w:w="993" w:type="dxa"/>
            <w:tcBorders>
              <w:top w:val="single" w:sz="4" w:space="0" w:color="auto"/>
              <w:bottom w:val="single" w:sz="4" w:space="0" w:color="auto"/>
            </w:tcBorders>
            <w:shd w:val="clear" w:color="auto" w:fill="auto"/>
          </w:tcPr>
          <w:p w14:paraId="3400F1A6" w14:textId="77777777" w:rsidR="009B7AF5" w:rsidRPr="005071A1" w:rsidRDefault="009B7AF5" w:rsidP="009B7AF5">
            <w:pPr>
              <w:pStyle w:val="ENoteTableText"/>
            </w:pPr>
            <w:smartTag w:uri="urn:schemas-microsoft-com:office:smarttags" w:element="date">
              <w:smartTagPr>
                <w:attr w:name="Month" w:val="8"/>
                <w:attr w:name="Day" w:val="9"/>
                <w:attr w:name="Year" w:val="1930"/>
              </w:smartTagPr>
              <w:r w:rsidRPr="005071A1">
                <w:t>9 Aug 1930</w:t>
              </w:r>
            </w:smartTag>
          </w:p>
        </w:tc>
        <w:tc>
          <w:tcPr>
            <w:tcW w:w="1845" w:type="dxa"/>
            <w:tcBorders>
              <w:top w:val="single" w:sz="4" w:space="0" w:color="auto"/>
              <w:bottom w:val="single" w:sz="4" w:space="0" w:color="auto"/>
            </w:tcBorders>
            <w:shd w:val="clear" w:color="auto" w:fill="auto"/>
          </w:tcPr>
          <w:p w14:paraId="2343425A" w14:textId="77777777" w:rsidR="009B7AF5" w:rsidRPr="005071A1" w:rsidRDefault="002477D1" w:rsidP="009B7AF5">
            <w:pPr>
              <w:pStyle w:val="ENoteTableText"/>
            </w:pPr>
            <w:r w:rsidRPr="005071A1">
              <w:t>ss.</w:t>
            </w:r>
            <w:r w:rsidR="008B2950" w:rsidRPr="005071A1">
              <w:t> </w:t>
            </w:r>
            <w:r w:rsidR="009B7AF5" w:rsidRPr="005071A1">
              <w:t xml:space="preserve">8 and </w:t>
            </w:r>
            <w:smartTag w:uri="urn:schemas-microsoft-com:office:smarttags" w:element="time">
              <w:smartTagPr>
                <w:attr w:name="Hour" w:val="10"/>
                <w:attr w:name="Minute" w:val="20"/>
              </w:smartTagPr>
              <w:r w:rsidR="009B7AF5" w:rsidRPr="005071A1">
                <w:t>10: 20</w:t>
              </w:r>
            </w:smartTag>
            <w:r w:rsidR="009B7AF5" w:rsidRPr="005071A1">
              <w:t> Nov 1922 (</w:t>
            </w:r>
            <w:r w:rsidR="009B7AF5" w:rsidRPr="005071A1">
              <w:rPr>
                <w:i/>
              </w:rPr>
              <w:t xml:space="preserve">see </w:t>
            </w:r>
            <w:r w:rsidR="009B7AF5" w:rsidRPr="005071A1">
              <w:t>ss.</w:t>
            </w:r>
            <w:r w:rsidR="008B2950" w:rsidRPr="005071A1">
              <w:t> </w:t>
            </w:r>
            <w:r w:rsidR="009B7AF5" w:rsidRPr="005071A1">
              <w:t xml:space="preserve">8(2), 10(2) and </w:t>
            </w:r>
            <w:r w:rsidR="009B7AF5" w:rsidRPr="005071A1">
              <w:rPr>
                <w:i/>
              </w:rPr>
              <w:t xml:space="preserve">Gazette </w:t>
            </w:r>
            <w:r w:rsidR="009B7AF5" w:rsidRPr="005071A1">
              <w:t>1922, p. 2067)</w:t>
            </w:r>
            <w:r w:rsidR="009B7AF5" w:rsidRPr="005071A1">
              <w:br/>
            </w:r>
            <w:r w:rsidRPr="005071A1">
              <w:t>ss.</w:t>
            </w:r>
            <w:r w:rsidR="008B2950" w:rsidRPr="005071A1">
              <w:t> </w:t>
            </w:r>
            <w:r w:rsidR="009B7AF5" w:rsidRPr="005071A1">
              <w:t>11–13 and 17: 1</w:t>
            </w:r>
            <w:r w:rsidR="008B2950" w:rsidRPr="005071A1">
              <w:t> </w:t>
            </w:r>
            <w:r w:rsidR="009B7AF5" w:rsidRPr="005071A1">
              <w:t>July 1927</w:t>
            </w:r>
            <w:r w:rsidR="009B7AF5" w:rsidRPr="005071A1">
              <w:br/>
              <w:t>Remainder: Royal Assent</w:t>
            </w:r>
          </w:p>
        </w:tc>
        <w:tc>
          <w:tcPr>
            <w:tcW w:w="1417" w:type="dxa"/>
            <w:tcBorders>
              <w:top w:val="single" w:sz="4" w:space="0" w:color="auto"/>
              <w:bottom w:val="single" w:sz="4" w:space="0" w:color="auto"/>
            </w:tcBorders>
            <w:shd w:val="clear" w:color="auto" w:fill="auto"/>
          </w:tcPr>
          <w:p w14:paraId="66553063" w14:textId="77777777" w:rsidR="009B7AF5" w:rsidRPr="005071A1" w:rsidRDefault="002477D1" w:rsidP="009B7AF5">
            <w:pPr>
              <w:pStyle w:val="ENoteTableText"/>
            </w:pPr>
            <w:r w:rsidRPr="005071A1">
              <w:t>s.</w:t>
            </w:r>
            <w:r w:rsidR="009B7AF5" w:rsidRPr="005071A1">
              <w:t xml:space="preserve"> 14(2)</w:t>
            </w:r>
          </w:p>
        </w:tc>
      </w:tr>
      <w:tr w:rsidR="009B7AF5" w:rsidRPr="005071A1" w14:paraId="7F0547A1" w14:textId="77777777" w:rsidTr="00322DFA">
        <w:trPr>
          <w:cantSplit/>
        </w:trPr>
        <w:tc>
          <w:tcPr>
            <w:tcW w:w="1838" w:type="dxa"/>
            <w:tcBorders>
              <w:top w:val="single" w:sz="4" w:space="0" w:color="auto"/>
              <w:bottom w:val="nil"/>
            </w:tcBorders>
            <w:shd w:val="clear" w:color="auto" w:fill="auto"/>
          </w:tcPr>
          <w:p w14:paraId="227D7A59" w14:textId="77777777" w:rsidR="009B7AF5" w:rsidRPr="005071A1" w:rsidRDefault="00BE0B5A" w:rsidP="009B7AF5">
            <w:pPr>
              <w:pStyle w:val="ENoteTableText"/>
            </w:pPr>
            <w:r w:rsidRPr="005071A1">
              <w:t>Financial Emergency Act 1931</w:t>
            </w:r>
          </w:p>
        </w:tc>
        <w:tc>
          <w:tcPr>
            <w:tcW w:w="992" w:type="dxa"/>
            <w:tcBorders>
              <w:top w:val="single" w:sz="4" w:space="0" w:color="auto"/>
              <w:bottom w:val="nil"/>
            </w:tcBorders>
            <w:shd w:val="clear" w:color="auto" w:fill="auto"/>
          </w:tcPr>
          <w:p w14:paraId="42CB6F4A" w14:textId="77777777" w:rsidR="009B7AF5" w:rsidRPr="005071A1" w:rsidRDefault="009B7AF5" w:rsidP="009B7AF5">
            <w:pPr>
              <w:pStyle w:val="ENoteTableText"/>
            </w:pPr>
            <w:r w:rsidRPr="005071A1">
              <w:t>10, 1931</w:t>
            </w:r>
          </w:p>
        </w:tc>
        <w:tc>
          <w:tcPr>
            <w:tcW w:w="993" w:type="dxa"/>
            <w:tcBorders>
              <w:top w:val="single" w:sz="4" w:space="0" w:color="auto"/>
              <w:bottom w:val="nil"/>
            </w:tcBorders>
            <w:shd w:val="clear" w:color="auto" w:fill="auto"/>
          </w:tcPr>
          <w:p w14:paraId="11794440" w14:textId="77777777" w:rsidR="009B7AF5" w:rsidRPr="005071A1" w:rsidRDefault="009B7AF5" w:rsidP="009B7AF5">
            <w:pPr>
              <w:pStyle w:val="ENoteTableText"/>
            </w:pPr>
            <w:r w:rsidRPr="005071A1">
              <w:t>17</w:t>
            </w:r>
            <w:r w:rsidR="008B2950" w:rsidRPr="005071A1">
              <w:t> </w:t>
            </w:r>
            <w:r w:rsidRPr="005071A1">
              <w:t>July 1931</w:t>
            </w:r>
          </w:p>
        </w:tc>
        <w:tc>
          <w:tcPr>
            <w:tcW w:w="1845" w:type="dxa"/>
            <w:tcBorders>
              <w:top w:val="single" w:sz="4" w:space="0" w:color="auto"/>
              <w:bottom w:val="nil"/>
            </w:tcBorders>
            <w:shd w:val="clear" w:color="auto" w:fill="auto"/>
          </w:tcPr>
          <w:p w14:paraId="743C00F9" w14:textId="77777777" w:rsidR="009B7AF5" w:rsidRPr="005071A1" w:rsidRDefault="009B7AF5" w:rsidP="009B7AF5">
            <w:pPr>
              <w:pStyle w:val="ENoteTableText"/>
            </w:pPr>
            <w:r w:rsidRPr="005071A1">
              <w:t>Part I (ss.</w:t>
            </w:r>
            <w:r w:rsidR="008B2950" w:rsidRPr="005071A1">
              <w:t> </w:t>
            </w:r>
            <w:r w:rsidRPr="005071A1">
              <w:t>1–4): Royal Assent</w:t>
            </w:r>
            <w:r w:rsidRPr="005071A1">
              <w:br/>
              <w:t>Remainder: 20</w:t>
            </w:r>
            <w:r w:rsidR="008B2950" w:rsidRPr="005071A1">
              <w:t> </w:t>
            </w:r>
            <w:r w:rsidRPr="005071A1">
              <w:t>July 1931 (</w:t>
            </w:r>
            <w:r w:rsidRPr="005071A1">
              <w:rPr>
                <w:i/>
              </w:rPr>
              <w:t xml:space="preserve">see Gazette </w:t>
            </w:r>
            <w:r w:rsidRPr="005071A1">
              <w:t>1931, p. 1195)</w:t>
            </w:r>
          </w:p>
        </w:tc>
        <w:tc>
          <w:tcPr>
            <w:tcW w:w="1417" w:type="dxa"/>
            <w:tcBorders>
              <w:top w:val="single" w:sz="4" w:space="0" w:color="auto"/>
              <w:bottom w:val="nil"/>
            </w:tcBorders>
            <w:shd w:val="clear" w:color="auto" w:fill="auto"/>
          </w:tcPr>
          <w:p w14:paraId="3CFE335D" w14:textId="77777777" w:rsidR="009B7AF5" w:rsidRPr="005071A1" w:rsidRDefault="002477D1" w:rsidP="009B7AF5">
            <w:pPr>
              <w:pStyle w:val="ENoteTableText"/>
            </w:pPr>
            <w:r w:rsidRPr="005071A1">
              <w:t>ss.</w:t>
            </w:r>
            <w:r w:rsidR="008B2950" w:rsidRPr="005071A1">
              <w:t> </w:t>
            </w:r>
            <w:r w:rsidR="009B7AF5" w:rsidRPr="005071A1">
              <w:t>24 and 26</w:t>
            </w:r>
          </w:p>
        </w:tc>
      </w:tr>
      <w:tr w:rsidR="0025700D" w:rsidRPr="005071A1" w14:paraId="23818413" w14:textId="77777777" w:rsidTr="00322DFA">
        <w:trPr>
          <w:cantSplit/>
        </w:trPr>
        <w:tc>
          <w:tcPr>
            <w:tcW w:w="1838" w:type="dxa"/>
            <w:tcBorders>
              <w:top w:val="nil"/>
              <w:bottom w:val="nil"/>
            </w:tcBorders>
            <w:shd w:val="clear" w:color="auto" w:fill="auto"/>
          </w:tcPr>
          <w:p w14:paraId="0899EB52" w14:textId="77777777" w:rsidR="0025700D" w:rsidRPr="005071A1" w:rsidRDefault="0025700D" w:rsidP="0025700D">
            <w:pPr>
              <w:pStyle w:val="ENoteTTIndentHeading"/>
            </w:pPr>
            <w:r w:rsidRPr="005071A1">
              <w:t>as repealed by</w:t>
            </w:r>
          </w:p>
        </w:tc>
        <w:tc>
          <w:tcPr>
            <w:tcW w:w="992" w:type="dxa"/>
            <w:tcBorders>
              <w:top w:val="nil"/>
              <w:bottom w:val="nil"/>
            </w:tcBorders>
            <w:shd w:val="clear" w:color="auto" w:fill="auto"/>
          </w:tcPr>
          <w:p w14:paraId="13E557C6" w14:textId="77777777" w:rsidR="0025700D" w:rsidRPr="005071A1" w:rsidRDefault="0025700D" w:rsidP="009B7AF5">
            <w:pPr>
              <w:pStyle w:val="ENoteTableText"/>
            </w:pPr>
          </w:p>
        </w:tc>
        <w:tc>
          <w:tcPr>
            <w:tcW w:w="993" w:type="dxa"/>
            <w:tcBorders>
              <w:top w:val="nil"/>
              <w:bottom w:val="nil"/>
            </w:tcBorders>
            <w:shd w:val="clear" w:color="auto" w:fill="auto"/>
          </w:tcPr>
          <w:p w14:paraId="6064F622" w14:textId="77777777" w:rsidR="0025700D" w:rsidRPr="005071A1" w:rsidRDefault="0025700D" w:rsidP="009B7AF5">
            <w:pPr>
              <w:pStyle w:val="ENoteTableText"/>
            </w:pPr>
          </w:p>
        </w:tc>
        <w:tc>
          <w:tcPr>
            <w:tcW w:w="1845" w:type="dxa"/>
            <w:tcBorders>
              <w:top w:val="nil"/>
              <w:bottom w:val="nil"/>
            </w:tcBorders>
            <w:shd w:val="clear" w:color="auto" w:fill="auto"/>
          </w:tcPr>
          <w:p w14:paraId="1C4360D4" w14:textId="77777777" w:rsidR="0025700D" w:rsidRPr="005071A1" w:rsidRDefault="0025700D" w:rsidP="009B7AF5">
            <w:pPr>
              <w:pStyle w:val="ENoteTableText"/>
            </w:pPr>
          </w:p>
        </w:tc>
        <w:tc>
          <w:tcPr>
            <w:tcW w:w="1417" w:type="dxa"/>
            <w:tcBorders>
              <w:top w:val="nil"/>
              <w:bottom w:val="nil"/>
            </w:tcBorders>
            <w:shd w:val="clear" w:color="auto" w:fill="auto"/>
          </w:tcPr>
          <w:p w14:paraId="5FE65CC3" w14:textId="77777777" w:rsidR="0025700D" w:rsidRPr="005071A1" w:rsidRDefault="0025700D" w:rsidP="009B7AF5">
            <w:pPr>
              <w:pStyle w:val="ENoteTableText"/>
            </w:pPr>
          </w:p>
        </w:tc>
      </w:tr>
      <w:tr w:rsidR="0025700D" w:rsidRPr="005071A1" w14:paraId="70A1D25B" w14:textId="77777777" w:rsidTr="00322DFA">
        <w:trPr>
          <w:cantSplit/>
        </w:trPr>
        <w:tc>
          <w:tcPr>
            <w:tcW w:w="1838" w:type="dxa"/>
            <w:tcBorders>
              <w:top w:val="nil"/>
              <w:bottom w:val="single" w:sz="4" w:space="0" w:color="auto"/>
            </w:tcBorders>
            <w:shd w:val="clear" w:color="auto" w:fill="auto"/>
          </w:tcPr>
          <w:p w14:paraId="3AB4A192" w14:textId="77777777" w:rsidR="0025700D" w:rsidRPr="005071A1" w:rsidRDefault="00BE0B5A" w:rsidP="00BE0B5A">
            <w:pPr>
              <w:pStyle w:val="ENoteTTi"/>
            </w:pPr>
            <w:r w:rsidRPr="005071A1">
              <w:t>Statute Law Revision Act 1950</w:t>
            </w:r>
          </w:p>
        </w:tc>
        <w:tc>
          <w:tcPr>
            <w:tcW w:w="992" w:type="dxa"/>
            <w:tcBorders>
              <w:top w:val="nil"/>
              <w:bottom w:val="single" w:sz="4" w:space="0" w:color="auto"/>
            </w:tcBorders>
            <w:shd w:val="clear" w:color="auto" w:fill="auto"/>
          </w:tcPr>
          <w:p w14:paraId="3EA7419F" w14:textId="77777777" w:rsidR="0025700D" w:rsidRPr="005071A1" w:rsidRDefault="00BE0B5A" w:rsidP="009B7AF5">
            <w:pPr>
              <w:pStyle w:val="ENoteTableText"/>
            </w:pPr>
            <w:r w:rsidRPr="005071A1">
              <w:t>80, 1950</w:t>
            </w:r>
          </w:p>
        </w:tc>
        <w:tc>
          <w:tcPr>
            <w:tcW w:w="993" w:type="dxa"/>
            <w:tcBorders>
              <w:top w:val="nil"/>
              <w:bottom w:val="single" w:sz="4" w:space="0" w:color="auto"/>
            </w:tcBorders>
            <w:shd w:val="clear" w:color="auto" w:fill="auto"/>
          </w:tcPr>
          <w:p w14:paraId="318D3399" w14:textId="77777777" w:rsidR="0025700D" w:rsidRPr="005071A1" w:rsidRDefault="00BE0B5A" w:rsidP="009B7AF5">
            <w:pPr>
              <w:pStyle w:val="ENoteTableText"/>
            </w:pPr>
            <w:r w:rsidRPr="005071A1">
              <w:t>16 Dec 1950</w:t>
            </w:r>
          </w:p>
        </w:tc>
        <w:tc>
          <w:tcPr>
            <w:tcW w:w="1845" w:type="dxa"/>
            <w:tcBorders>
              <w:top w:val="nil"/>
              <w:bottom w:val="single" w:sz="4" w:space="0" w:color="auto"/>
            </w:tcBorders>
            <w:shd w:val="clear" w:color="auto" w:fill="auto"/>
          </w:tcPr>
          <w:p w14:paraId="11014F53" w14:textId="77777777" w:rsidR="0025700D" w:rsidRPr="005071A1" w:rsidRDefault="00BE0B5A" w:rsidP="009B7AF5">
            <w:pPr>
              <w:pStyle w:val="ENoteTableText"/>
            </w:pPr>
            <w:r w:rsidRPr="005071A1">
              <w:t>s 12(1) and (2): 31 Dec 1950 (s 2)</w:t>
            </w:r>
          </w:p>
        </w:tc>
        <w:tc>
          <w:tcPr>
            <w:tcW w:w="1417" w:type="dxa"/>
            <w:tcBorders>
              <w:top w:val="nil"/>
              <w:bottom w:val="single" w:sz="4" w:space="0" w:color="auto"/>
            </w:tcBorders>
            <w:shd w:val="clear" w:color="auto" w:fill="auto"/>
          </w:tcPr>
          <w:p w14:paraId="7A4CD55A" w14:textId="77777777" w:rsidR="0025700D" w:rsidRPr="005071A1" w:rsidRDefault="00BE0B5A" w:rsidP="009B7AF5">
            <w:pPr>
              <w:pStyle w:val="ENoteTableText"/>
            </w:pPr>
            <w:r w:rsidRPr="005071A1">
              <w:t>s 12(2)</w:t>
            </w:r>
          </w:p>
        </w:tc>
      </w:tr>
      <w:tr w:rsidR="009B7AF5" w:rsidRPr="005071A1" w14:paraId="04F61633" w14:textId="77777777" w:rsidTr="00322DFA">
        <w:trPr>
          <w:cantSplit/>
        </w:trPr>
        <w:tc>
          <w:tcPr>
            <w:tcW w:w="1838" w:type="dxa"/>
            <w:tcBorders>
              <w:top w:val="single" w:sz="4" w:space="0" w:color="auto"/>
              <w:bottom w:val="single" w:sz="4" w:space="0" w:color="auto"/>
            </w:tcBorders>
            <w:shd w:val="clear" w:color="auto" w:fill="auto"/>
          </w:tcPr>
          <w:p w14:paraId="0B0FE639" w14:textId="77777777" w:rsidR="009B7AF5" w:rsidRPr="005071A1" w:rsidRDefault="009B7AF5" w:rsidP="009B7AF5">
            <w:pPr>
              <w:pStyle w:val="ENoteTableText"/>
            </w:pPr>
            <w:r w:rsidRPr="005071A1">
              <w:t>Statute Law Revision Act 1934</w:t>
            </w:r>
          </w:p>
        </w:tc>
        <w:tc>
          <w:tcPr>
            <w:tcW w:w="992" w:type="dxa"/>
            <w:tcBorders>
              <w:top w:val="single" w:sz="4" w:space="0" w:color="auto"/>
              <w:bottom w:val="single" w:sz="4" w:space="0" w:color="auto"/>
            </w:tcBorders>
            <w:shd w:val="clear" w:color="auto" w:fill="auto"/>
          </w:tcPr>
          <w:p w14:paraId="7BFFC13D" w14:textId="77777777" w:rsidR="009B7AF5" w:rsidRPr="005071A1" w:rsidRDefault="009B7AF5" w:rsidP="009B7AF5">
            <w:pPr>
              <w:pStyle w:val="ENoteTableText"/>
            </w:pPr>
            <w:r w:rsidRPr="005071A1">
              <w:t>45, 1934</w:t>
            </w:r>
          </w:p>
        </w:tc>
        <w:tc>
          <w:tcPr>
            <w:tcW w:w="993" w:type="dxa"/>
            <w:tcBorders>
              <w:top w:val="single" w:sz="4" w:space="0" w:color="auto"/>
              <w:bottom w:val="single" w:sz="4" w:space="0" w:color="auto"/>
            </w:tcBorders>
            <w:shd w:val="clear" w:color="auto" w:fill="auto"/>
          </w:tcPr>
          <w:p w14:paraId="1DA54BA1" w14:textId="77777777" w:rsidR="009B7AF5" w:rsidRPr="005071A1" w:rsidRDefault="009B7AF5" w:rsidP="009B7AF5">
            <w:pPr>
              <w:pStyle w:val="ENoteTableText"/>
            </w:pPr>
            <w:smartTag w:uri="urn:schemas-microsoft-com:office:smarttags" w:element="date">
              <w:smartTagPr>
                <w:attr w:name="Month" w:val="8"/>
                <w:attr w:name="Day" w:val="6"/>
                <w:attr w:name="Year" w:val="1934"/>
              </w:smartTagPr>
              <w:r w:rsidRPr="005071A1">
                <w:t>6 Aug 1934</w:t>
              </w:r>
            </w:smartTag>
          </w:p>
        </w:tc>
        <w:tc>
          <w:tcPr>
            <w:tcW w:w="1845" w:type="dxa"/>
            <w:tcBorders>
              <w:top w:val="single" w:sz="4" w:space="0" w:color="auto"/>
              <w:bottom w:val="single" w:sz="4" w:space="0" w:color="auto"/>
            </w:tcBorders>
            <w:shd w:val="clear" w:color="auto" w:fill="auto"/>
          </w:tcPr>
          <w:p w14:paraId="69532CBD" w14:textId="77777777" w:rsidR="009B7AF5" w:rsidRPr="005071A1" w:rsidRDefault="009B7AF5" w:rsidP="009B7AF5">
            <w:pPr>
              <w:pStyle w:val="ENoteTableText"/>
            </w:pPr>
            <w:smartTag w:uri="urn:schemas-microsoft-com:office:smarttags" w:element="date">
              <w:smartTagPr>
                <w:attr w:name="Month" w:val="8"/>
                <w:attr w:name="Day" w:val="6"/>
                <w:attr w:name="Year" w:val="1934"/>
              </w:smartTagPr>
              <w:r w:rsidRPr="005071A1">
                <w:t>6 Aug 1934</w:t>
              </w:r>
            </w:smartTag>
          </w:p>
        </w:tc>
        <w:tc>
          <w:tcPr>
            <w:tcW w:w="1417" w:type="dxa"/>
            <w:tcBorders>
              <w:top w:val="single" w:sz="4" w:space="0" w:color="auto"/>
              <w:bottom w:val="single" w:sz="4" w:space="0" w:color="auto"/>
            </w:tcBorders>
            <w:shd w:val="clear" w:color="auto" w:fill="auto"/>
          </w:tcPr>
          <w:p w14:paraId="36E832EA" w14:textId="77777777" w:rsidR="009B7AF5" w:rsidRPr="005071A1" w:rsidRDefault="009B7AF5" w:rsidP="009B7AF5">
            <w:pPr>
              <w:pStyle w:val="ENoteTableText"/>
            </w:pPr>
            <w:r w:rsidRPr="005071A1">
              <w:t>—</w:t>
            </w:r>
          </w:p>
        </w:tc>
      </w:tr>
      <w:tr w:rsidR="009B7AF5" w:rsidRPr="005071A1" w14:paraId="72909E4F" w14:textId="77777777" w:rsidTr="00322DFA">
        <w:trPr>
          <w:cantSplit/>
        </w:trPr>
        <w:tc>
          <w:tcPr>
            <w:tcW w:w="1838" w:type="dxa"/>
            <w:tcBorders>
              <w:top w:val="single" w:sz="4" w:space="0" w:color="auto"/>
              <w:bottom w:val="single" w:sz="4" w:space="0" w:color="auto"/>
            </w:tcBorders>
            <w:shd w:val="clear" w:color="auto" w:fill="auto"/>
          </w:tcPr>
          <w:p w14:paraId="6FBE582C" w14:textId="77777777" w:rsidR="009B7AF5" w:rsidRPr="005071A1" w:rsidRDefault="009B7AF5" w:rsidP="009B7AF5">
            <w:pPr>
              <w:pStyle w:val="ENoteTableText"/>
            </w:pPr>
            <w:r w:rsidRPr="005071A1">
              <w:t>Superannuation Act 1937</w:t>
            </w:r>
          </w:p>
        </w:tc>
        <w:tc>
          <w:tcPr>
            <w:tcW w:w="992" w:type="dxa"/>
            <w:tcBorders>
              <w:top w:val="single" w:sz="4" w:space="0" w:color="auto"/>
              <w:bottom w:val="single" w:sz="4" w:space="0" w:color="auto"/>
            </w:tcBorders>
            <w:shd w:val="clear" w:color="auto" w:fill="auto"/>
          </w:tcPr>
          <w:p w14:paraId="74499248" w14:textId="77777777" w:rsidR="009B7AF5" w:rsidRPr="005071A1" w:rsidRDefault="009B7AF5" w:rsidP="009B7AF5">
            <w:pPr>
              <w:pStyle w:val="ENoteTableText"/>
            </w:pPr>
            <w:r w:rsidRPr="005071A1">
              <w:t>28, 1937</w:t>
            </w:r>
          </w:p>
        </w:tc>
        <w:tc>
          <w:tcPr>
            <w:tcW w:w="993" w:type="dxa"/>
            <w:tcBorders>
              <w:top w:val="single" w:sz="4" w:space="0" w:color="auto"/>
              <w:bottom w:val="single" w:sz="4" w:space="0" w:color="auto"/>
            </w:tcBorders>
            <w:shd w:val="clear" w:color="auto" w:fill="auto"/>
          </w:tcPr>
          <w:p w14:paraId="457DCF90" w14:textId="77777777" w:rsidR="009B7AF5" w:rsidRPr="005071A1" w:rsidRDefault="009B7AF5" w:rsidP="009B7AF5">
            <w:pPr>
              <w:pStyle w:val="ENoteTableText"/>
            </w:pPr>
            <w:smartTag w:uri="urn:schemas-microsoft-com:office:smarttags" w:element="date">
              <w:smartTagPr>
                <w:attr w:name="Month" w:val="9"/>
                <w:attr w:name="Day" w:val="16"/>
                <w:attr w:name="Year" w:val="1937"/>
              </w:smartTagPr>
              <w:r w:rsidRPr="005071A1">
                <w:t>16 Sept 1937</w:t>
              </w:r>
            </w:smartTag>
          </w:p>
        </w:tc>
        <w:tc>
          <w:tcPr>
            <w:tcW w:w="1845" w:type="dxa"/>
            <w:tcBorders>
              <w:top w:val="single" w:sz="4" w:space="0" w:color="auto"/>
              <w:bottom w:val="single" w:sz="4" w:space="0" w:color="auto"/>
            </w:tcBorders>
            <w:shd w:val="clear" w:color="auto" w:fill="auto"/>
          </w:tcPr>
          <w:p w14:paraId="0690A773" w14:textId="77777777" w:rsidR="009B7AF5" w:rsidRPr="005071A1" w:rsidRDefault="009B7AF5" w:rsidP="009B7AF5">
            <w:pPr>
              <w:pStyle w:val="ENoteTableText"/>
            </w:pPr>
            <w:smartTag w:uri="urn:schemas-microsoft-com:office:smarttags" w:element="date">
              <w:smartTagPr>
                <w:attr w:name="Month" w:val="9"/>
                <w:attr w:name="Day" w:val="16"/>
                <w:attr w:name="Year" w:val="1937"/>
              </w:smartTagPr>
              <w:r w:rsidRPr="005071A1">
                <w:t>16 Sept 1937</w:t>
              </w:r>
            </w:smartTag>
          </w:p>
        </w:tc>
        <w:tc>
          <w:tcPr>
            <w:tcW w:w="1417" w:type="dxa"/>
            <w:tcBorders>
              <w:top w:val="single" w:sz="4" w:space="0" w:color="auto"/>
              <w:bottom w:val="single" w:sz="4" w:space="0" w:color="auto"/>
            </w:tcBorders>
            <w:shd w:val="clear" w:color="auto" w:fill="auto"/>
          </w:tcPr>
          <w:p w14:paraId="76749BF9" w14:textId="77777777" w:rsidR="009B7AF5" w:rsidRPr="005071A1" w:rsidRDefault="009B7AF5" w:rsidP="009B7AF5">
            <w:pPr>
              <w:pStyle w:val="ENoteTableText"/>
            </w:pPr>
            <w:r w:rsidRPr="005071A1">
              <w:t>—</w:t>
            </w:r>
          </w:p>
        </w:tc>
      </w:tr>
      <w:tr w:rsidR="009B7AF5" w:rsidRPr="005071A1" w14:paraId="240A8766" w14:textId="77777777" w:rsidTr="00322DFA">
        <w:trPr>
          <w:cantSplit/>
        </w:trPr>
        <w:tc>
          <w:tcPr>
            <w:tcW w:w="1838" w:type="dxa"/>
            <w:tcBorders>
              <w:top w:val="single" w:sz="4" w:space="0" w:color="auto"/>
              <w:bottom w:val="single" w:sz="4" w:space="0" w:color="auto"/>
            </w:tcBorders>
            <w:shd w:val="clear" w:color="auto" w:fill="auto"/>
          </w:tcPr>
          <w:p w14:paraId="31162A78" w14:textId="77777777" w:rsidR="009B7AF5" w:rsidRPr="005071A1" w:rsidRDefault="009B7AF5" w:rsidP="009B7AF5">
            <w:pPr>
              <w:pStyle w:val="ENoteTableText"/>
            </w:pPr>
            <w:r w:rsidRPr="005071A1">
              <w:t>Superannuation Act 1942</w:t>
            </w:r>
          </w:p>
        </w:tc>
        <w:tc>
          <w:tcPr>
            <w:tcW w:w="992" w:type="dxa"/>
            <w:tcBorders>
              <w:top w:val="single" w:sz="4" w:space="0" w:color="auto"/>
              <w:bottom w:val="single" w:sz="4" w:space="0" w:color="auto"/>
            </w:tcBorders>
            <w:shd w:val="clear" w:color="auto" w:fill="auto"/>
          </w:tcPr>
          <w:p w14:paraId="3A681B7B" w14:textId="77777777" w:rsidR="009B7AF5" w:rsidRPr="005071A1" w:rsidRDefault="009B7AF5" w:rsidP="009B7AF5">
            <w:pPr>
              <w:pStyle w:val="ENoteTableText"/>
            </w:pPr>
            <w:r w:rsidRPr="005071A1">
              <w:t>53, 1942</w:t>
            </w:r>
          </w:p>
        </w:tc>
        <w:tc>
          <w:tcPr>
            <w:tcW w:w="993" w:type="dxa"/>
            <w:tcBorders>
              <w:top w:val="single" w:sz="4" w:space="0" w:color="auto"/>
              <w:bottom w:val="single" w:sz="4" w:space="0" w:color="auto"/>
            </w:tcBorders>
            <w:shd w:val="clear" w:color="auto" w:fill="auto"/>
          </w:tcPr>
          <w:p w14:paraId="46F30803" w14:textId="77777777" w:rsidR="009B7AF5" w:rsidRPr="005071A1" w:rsidRDefault="009B7AF5" w:rsidP="009B7AF5">
            <w:pPr>
              <w:pStyle w:val="ENoteTableText"/>
            </w:pPr>
            <w:smartTag w:uri="urn:schemas-microsoft-com:office:smarttags" w:element="date">
              <w:smartTagPr>
                <w:attr w:name="Month" w:val="10"/>
                <w:attr w:name="Day" w:val="6"/>
                <w:attr w:name="Year" w:val="1942"/>
              </w:smartTagPr>
              <w:r w:rsidRPr="005071A1">
                <w:t>6 Oct 1942</w:t>
              </w:r>
            </w:smartTag>
          </w:p>
        </w:tc>
        <w:tc>
          <w:tcPr>
            <w:tcW w:w="1845" w:type="dxa"/>
            <w:tcBorders>
              <w:top w:val="single" w:sz="4" w:space="0" w:color="auto"/>
              <w:bottom w:val="single" w:sz="4" w:space="0" w:color="auto"/>
            </w:tcBorders>
            <w:shd w:val="clear" w:color="auto" w:fill="auto"/>
          </w:tcPr>
          <w:p w14:paraId="74873C1E" w14:textId="77777777" w:rsidR="009B7AF5" w:rsidRPr="005071A1" w:rsidRDefault="002477D1" w:rsidP="009B7AF5">
            <w:pPr>
              <w:pStyle w:val="ENoteTableText"/>
            </w:pPr>
            <w:r w:rsidRPr="005071A1">
              <w:t>s.</w:t>
            </w:r>
            <w:r w:rsidR="009B7AF5" w:rsidRPr="005071A1">
              <w:t xml:space="preserve"> 13: </w:t>
            </w:r>
            <w:smartTag w:uri="urn:schemas-microsoft-com:office:smarttags" w:element="date">
              <w:smartTagPr>
                <w:attr w:name="Month" w:val="11"/>
                <w:attr w:name="Day" w:val="20"/>
                <w:attr w:name="Year" w:val="1922"/>
              </w:smartTagPr>
              <w:r w:rsidR="009B7AF5" w:rsidRPr="005071A1">
                <w:t>20 Nov 1922</w:t>
              </w:r>
            </w:smartTag>
            <w:r w:rsidR="009B7AF5" w:rsidRPr="005071A1">
              <w:br/>
              <w:t xml:space="preserve">Remainder: </w:t>
            </w:r>
            <w:smartTag w:uri="urn:schemas-microsoft-com:office:smarttags" w:element="date">
              <w:smartTagPr>
                <w:attr w:name="Month" w:val="11"/>
                <w:attr w:name="Day" w:val="2"/>
                <w:attr w:name="Year" w:val="1942"/>
              </w:smartTagPr>
              <w:r w:rsidR="009B7AF5" w:rsidRPr="005071A1">
                <w:t>2 Nov 1942</w:t>
              </w:r>
            </w:smartTag>
            <w:r w:rsidR="009B7AF5" w:rsidRPr="005071A1">
              <w:t xml:space="preserve"> (</w:t>
            </w:r>
            <w:r w:rsidR="009B7AF5" w:rsidRPr="005071A1">
              <w:rPr>
                <w:i/>
              </w:rPr>
              <w:t xml:space="preserve">see Gazette </w:t>
            </w:r>
            <w:r w:rsidR="009B7AF5" w:rsidRPr="005071A1">
              <w:t>1942, p. 2569)</w:t>
            </w:r>
          </w:p>
        </w:tc>
        <w:tc>
          <w:tcPr>
            <w:tcW w:w="1417" w:type="dxa"/>
            <w:tcBorders>
              <w:top w:val="single" w:sz="4" w:space="0" w:color="auto"/>
              <w:bottom w:val="single" w:sz="4" w:space="0" w:color="auto"/>
            </w:tcBorders>
            <w:shd w:val="clear" w:color="auto" w:fill="auto"/>
          </w:tcPr>
          <w:p w14:paraId="031A53B9" w14:textId="77777777" w:rsidR="009B7AF5" w:rsidRPr="005071A1" w:rsidRDefault="002477D1" w:rsidP="009B7AF5">
            <w:pPr>
              <w:pStyle w:val="ENoteTableText"/>
            </w:pPr>
            <w:r w:rsidRPr="005071A1">
              <w:t>ss.</w:t>
            </w:r>
            <w:r w:rsidR="008B2950" w:rsidRPr="005071A1">
              <w:t> </w:t>
            </w:r>
            <w:r w:rsidR="009B7AF5" w:rsidRPr="005071A1">
              <w:t>21(2) and 41(2)</w:t>
            </w:r>
          </w:p>
        </w:tc>
      </w:tr>
      <w:tr w:rsidR="009B7AF5" w:rsidRPr="005071A1" w14:paraId="105BD14B" w14:textId="77777777" w:rsidTr="00322DFA">
        <w:trPr>
          <w:cantSplit/>
        </w:trPr>
        <w:tc>
          <w:tcPr>
            <w:tcW w:w="1838" w:type="dxa"/>
            <w:tcBorders>
              <w:top w:val="single" w:sz="4" w:space="0" w:color="auto"/>
              <w:bottom w:val="single" w:sz="4" w:space="0" w:color="auto"/>
            </w:tcBorders>
            <w:shd w:val="clear" w:color="auto" w:fill="auto"/>
          </w:tcPr>
          <w:p w14:paraId="42F90775" w14:textId="77777777" w:rsidR="009B7AF5" w:rsidRPr="005071A1" w:rsidRDefault="009B7AF5" w:rsidP="009B7AF5">
            <w:pPr>
              <w:pStyle w:val="ENoteTableText"/>
            </w:pPr>
            <w:r w:rsidRPr="005071A1">
              <w:t>Superannuation Act 1943</w:t>
            </w:r>
          </w:p>
        </w:tc>
        <w:tc>
          <w:tcPr>
            <w:tcW w:w="992" w:type="dxa"/>
            <w:tcBorders>
              <w:top w:val="single" w:sz="4" w:space="0" w:color="auto"/>
              <w:bottom w:val="single" w:sz="4" w:space="0" w:color="auto"/>
            </w:tcBorders>
            <w:shd w:val="clear" w:color="auto" w:fill="auto"/>
          </w:tcPr>
          <w:p w14:paraId="669FF535" w14:textId="77777777" w:rsidR="009B7AF5" w:rsidRPr="005071A1" w:rsidRDefault="009B7AF5" w:rsidP="009B7AF5">
            <w:pPr>
              <w:pStyle w:val="ENoteTableText"/>
            </w:pPr>
            <w:r w:rsidRPr="005071A1">
              <w:t>18, 1943</w:t>
            </w:r>
          </w:p>
        </w:tc>
        <w:tc>
          <w:tcPr>
            <w:tcW w:w="993" w:type="dxa"/>
            <w:tcBorders>
              <w:top w:val="single" w:sz="4" w:space="0" w:color="auto"/>
              <w:bottom w:val="single" w:sz="4" w:space="0" w:color="auto"/>
            </w:tcBorders>
            <w:shd w:val="clear" w:color="auto" w:fill="auto"/>
          </w:tcPr>
          <w:p w14:paraId="218EED10" w14:textId="77777777" w:rsidR="009B7AF5" w:rsidRPr="005071A1" w:rsidRDefault="009B7AF5" w:rsidP="009B7AF5">
            <w:pPr>
              <w:pStyle w:val="ENoteTableText"/>
            </w:pPr>
            <w:smartTag w:uri="urn:schemas-microsoft-com:office:smarttags" w:element="date">
              <w:smartTagPr>
                <w:attr w:name="Month" w:val="3"/>
                <w:attr w:name="Day" w:val="29"/>
                <w:attr w:name="Year" w:val="1943"/>
              </w:smartTagPr>
              <w:r w:rsidRPr="005071A1">
                <w:t>29 Mar 1943</w:t>
              </w:r>
            </w:smartTag>
          </w:p>
        </w:tc>
        <w:tc>
          <w:tcPr>
            <w:tcW w:w="1845" w:type="dxa"/>
            <w:tcBorders>
              <w:top w:val="single" w:sz="4" w:space="0" w:color="auto"/>
              <w:bottom w:val="single" w:sz="4" w:space="0" w:color="auto"/>
            </w:tcBorders>
            <w:shd w:val="clear" w:color="auto" w:fill="auto"/>
          </w:tcPr>
          <w:p w14:paraId="03294D7E" w14:textId="77777777" w:rsidR="009B7AF5" w:rsidRPr="005071A1" w:rsidRDefault="009B7AF5" w:rsidP="009B7AF5">
            <w:pPr>
              <w:pStyle w:val="ENoteTableText"/>
            </w:pPr>
            <w:smartTag w:uri="urn:schemas-microsoft-com:office:smarttags" w:element="date">
              <w:smartTagPr>
                <w:attr w:name="Month" w:val="3"/>
                <w:attr w:name="Day" w:val="29"/>
                <w:attr w:name="Year" w:val="1943"/>
              </w:smartTagPr>
              <w:r w:rsidRPr="005071A1">
                <w:t>29 Mar 1943</w:t>
              </w:r>
            </w:smartTag>
          </w:p>
        </w:tc>
        <w:tc>
          <w:tcPr>
            <w:tcW w:w="1417" w:type="dxa"/>
            <w:tcBorders>
              <w:top w:val="single" w:sz="4" w:space="0" w:color="auto"/>
              <w:bottom w:val="single" w:sz="4" w:space="0" w:color="auto"/>
            </w:tcBorders>
            <w:shd w:val="clear" w:color="auto" w:fill="auto"/>
          </w:tcPr>
          <w:p w14:paraId="628E839C" w14:textId="77777777" w:rsidR="009B7AF5" w:rsidRPr="005071A1" w:rsidRDefault="009B7AF5" w:rsidP="009B7AF5">
            <w:pPr>
              <w:pStyle w:val="ENoteTableText"/>
            </w:pPr>
            <w:r w:rsidRPr="005071A1">
              <w:t>—</w:t>
            </w:r>
          </w:p>
        </w:tc>
      </w:tr>
      <w:tr w:rsidR="009B7AF5" w:rsidRPr="005071A1" w14:paraId="7D7AC9B8" w14:textId="77777777" w:rsidTr="00322DFA">
        <w:trPr>
          <w:cantSplit/>
        </w:trPr>
        <w:tc>
          <w:tcPr>
            <w:tcW w:w="1838" w:type="dxa"/>
            <w:tcBorders>
              <w:top w:val="single" w:sz="4" w:space="0" w:color="auto"/>
              <w:bottom w:val="single" w:sz="4" w:space="0" w:color="auto"/>
            </w:tcBorders>
            <w:shd w:val="clear" w:color="auto" w:fill="auto"/>
          </w:tcPr>
          <w:p w14:paraId="2D78D7A7" w14:textId="77777777" w:rsidR="009B7AF5" w:rsidRPr="005071A1" w:rsidRDefault="009B7AF5" w:rsidP="009B7AF5">
            <w:pPr>
              <w:pStyle w:val="ENoteTableText"/>
            </w:pPr>
            <w:r w:rsidRPr="005071A1">
              <w:t>Superannuation Act 1945</w:t>
            </w:r>
          </w:p>
        </w:tc>
        <w:tc>
          <w:tcPr>
            <w:tcW w:w="992" w:type="dxa"/>
            <w:tcBorders>
              <w:top w:val="single" w:sz="4" w:space="0" w:color="auto"/>
              <w:bottom w:val="single" w:sz="4" w:space="0" w:color="auto"/>
            </w:tcBorders>
            <w:shd w:val="clear" w:color="auto" w:fill="auto"/>
          </w:tcPr>
          <w:p w14:paraId="0FF5FE5C" w14:textId="77777777" w:rsidR="009B7AF5" w:rsidRPr="005071A1" w:rsidRDefault="009B7AF5" w:rsidP="009B7AF5">
            <w:pPr>
              <w:pStyle w:val="ENoteTableText"/>
            </w:pPr>
            <w:r w:rsidRPr="005071A1">
              <w:t>15, 1945</w:t>
            </w:r>
          </w:p>
        </w:tc>
        <w:tc>
          <w:tcPr>
            <w:tcW w:w="993" w:type="dxa"/>
            <w:tcBorders>
              <w:top w:val="single" w:sz="4" w:space="0" w:color="auto"/>
              <w:bottom w:val="single" w:sz="4" w:space="0" w:color="auto"/>
            </w:tcBorders>
            <w:shd w:val="clear" w:color="auto" w:fill="auto"/>
          </w:tcPr>
          <w:p w14:paraId="6B2BB6FB" w14:textId="77777777" w:rsidR="009B7AF5" w:rsidRPr="005071A1" w:rsidRDefault="009B7AF5" w:rsidP="009B7AF5">
            <w:pPr>
              <w:pStyle w:val="ENoteTableText"/>
            </w:pPr>
            <w:smartTag w:uri="urn:schemas-microsoft-com:office:smarttags" w:element="date">
              <w:smartTagPr>
                <w:attr w:name="Month" w:val="8"/>
                <w:attr w:name="Day" w:val="3"/>
                <w:attr w:name="Year" w:val="1945"/>
              </w:smartTagPr>
              <w:r w:rsidRPr="005071A1">
                <w:t>3 Aug 1945</w:t>
              </w:r>
            </w:smartTag>
          </w:p>
        </w:tc>
        <w:tc>
          <w:tcPr>
            <w:tcW w:w="1845" w:type="dxa"/>
            <w:tcBorders>
              <w:top w:val="single" w:sz="4" w:space="0" w:color="auto"/>
              <w:bottom w:val="single" w:sz="4" w:space="0" w:color="auto"/>
            </w:tcBorders>
            <w:shd w:val="clear" w:color="auto" w:fill="auto"/>
          </w:tcPr>
          <w:p w14:paraId="0717B7CB" w14:textId="77777777" w:rsidR="009B7AF5" w:rsidRPr="005071A1" w:rsidRDefault="009B7AF5" w:rsidP="009B7AF5">
            <w:pPr>
              <w:pStyle w:val="ENoteTableText"/>
            </w:pPr>
            <w:smartTag w:uri="urn:schemas-microsoft-com:office:smarttags" w:element="date">
              <w:smartTagPr>
                <w:attr w:name="Month" w:val="8"/>
                <w:attr w:name="Day" w:val="3"/>
                <w:attr w:name="Year" w:val="1945"/>
              </w:smartTagPr>
              <w:r w:rsidRPr="005071A1">
                <w:t>3 Aug 1945</w:t>
              </w:r>
            </w:smartTag>
          </w:p>
        </w:tc>
        <w:tc>
          <w:tcPr>
            <w:tcW w:w="1417" w:type="dxa"/>
            <w:tcBorders>
              <w:top w:val="single" w:sz="4" w:space="0" w:color="auto"/>
              <w:bottom w:val="single" w:sz="4" w:space="0" w:color="auto"/>
            </w:tcBorders>
            <w:shd w:val="clear" w:color="auto" w:fill="auto"/>
          </w:tcPr>
          <w:p w14:paraId="33F29CEC" w14:textId="77777777" w:rsidR="009B7AF5" w:rsidRPr="005071A1" w:rsidRDefault="009B7AF5" w:rsidP="009B7AF5">
            <w:pPr>
              <w:pStyle w:val="ENoteTableText"/>
            </w:pPr>
            <w:r w:rsidRPr="005071A1">
              <w:t>—</w:t>
            </w:r>
          </w:p>
        </w:tc>
      </w:tr>
      <w:tr w:rsidR="009B7AF5" w:rsidRPr="005071A1" w14:paraId="4CC393AF" w14:textId="77777777" w:rsidTr="00322DFA">
        <w:trPr>
          <w:cantSplit/>
        </w:trPr>
        <w:tc>
          <w:tcPr>
            <w:tcW w:w="1838" w:type="dxa"/>
            <w:tcBorders>
              <w:top w:val="single" w:sz="4" w:space="0" w:color="auto"/>
              <w:bottom w:val="single" w:sz="4" w:space="0" w:color="auto"/>
            </w:tcBorders>
            <w:shd w:val="clear" w:color="auto" w:fill="auto"/>
          </w:tcPr>
          <w:p w14:paraId="6A999CB0" w14:textId="77777777" w:rsidR="009B7AF5" w:rsidRPr="005071A1" w:rsidRDefault="009B7AF5" w:rsidP="009B7AF5">
            <w:pPr>
              <w:pStyle w:val="ENoteTableText"/>
            </w:pPr>
            <w:r w:rsidRPr="005071A1">
              <w:t>Superannuation Act (No.</w:t>
            </w:r>
            <w:r w:rsidR="008B2950" w:rsidRPr="005071A1">
              <w:t> </w:t>
            </w:r>
            <w:r w:rsidRPr="005071A1">
              <w:t>2) 1945</w:t>
            </w:r>
          </w:p>
        </w:tc>
        <w:tc>
          <w:tcPr>
            <w:tcW w:w="992" w:type="dxa"/>
            <w:tcBorders>
              <w:top w:val="single" w:sz="4" w:space="0" w:color="auto"/>
              <w:bottom w:val="single" w:sz="4" w:space="0" w:color="auto"/>
            </w:tcBorders>
            <w:shd w:val="clear" w:color="auto" w:fill="auto"/>
          </w:tcPr>
          <w:p w14:paraId="221D0E17" w14:textId="77777777" w:rsidR="009B7AF5" w:rsidRPr="005071A1" w:rsidRDefault="009B7AF5" w:rsidP="009B7AF5">
            <w:pPr>
              <w:pStyle w:val="ENoteTableText"/>
            </w:pPr>
            <w:r w:rsidRPr="005071A1">
              <w:t>30, 1945</w:t>
            </w:r>
          </w:p>
        </w:tc>
        <w:tc>
          <w:tcPr>
            <w:tcW w:w="993" w:type="dxa"/>
            <w:tcBorders>
              <w:top w:val="single" w:sz="4" w:space="0" w:color="auto"/>
              <w:bottom w:val="single" w:sz="4" w:space="0" w:color="auto"/>
            </w:tcBorders>
            <w:shd w:val="clear" w:color="auto" w:fill="auto"/>
          </w:tcPr>
          <w:p w14:paraId="4FB24F63" w14:textId="77777777" w:rsidR="009B7AF5" w:rsidRPr="005071A1" w:rsidRDefault="009B7AF5" w:rsidP="009B7AF5">
            <w:pPr>
              <w:pStyle w:val="ENoteTableText"/>
            </w:pPr>
            <w:smartTag w:uri="urn:schemas-microsoft-com:office:smarttags" w:element="date">
              <w:smartTagPr>
                <w:attr w:name="Month" w:val="8"/>
                <w:attr w:name="Day" w:val="16"/>
                <w:attr w:name="Year" w:val="1945"/>
              </w:smartTagPr>
              <w:r w:rsidRPr="005071A1">
                <w:t>16 Aug 1945</w:t>
              </w:r>
            </w:smartTag>
          </w:p>
        </w:tc>
        <w:tc>
          <w:tcPr>
            <w:tcW w:w="1845" w:type="dxa"/>
            <w:tcBorders>
              <w:top w:val="single" w:sz="4" w:space="0" w:color="auto"/>
              <w:bottom w:val="single" w:sz="4" w:space="0" w:color="auto"/>
            </w:tcBorders>
            <w:shd w:val="clear" w:color="auto" w:fill="auto"/>
          </w:tcPr>
          <w:p w14:paraId="069C6A4D" w14:textId="77777777" w:rsidR="009B7AF5" w:rsidRPr="005071A1" w:rsidRDefault="009B7AF5" w:rsidP="009B7AF5">
            <w:pPr>
              <w:pStyle w:val="ENoteTableText"/>
            </w:pPr>
            <w:smartTag w:uri="urn:schemas-microsoft-com:office:smarttags" w:element="date">
              <w:smartTagPr>
                <w:attr w:name="Month" w:val="8"/>
                <w:attr w:name="Day" w:val="16"/>
                <w:attr w:name="Year" w:val="1945"/>
              </w:smartTagPr>
              <w:r w:rsidRPr="005071A1">
                <w:t>16 Aug 1945</w:t>
              </w:r>
            </w:smartTag>
          </w:p>
        </w:tc>
        <w:tc>
          <w:tcPr>
            <w:tcW w:w="1417" w:type="dxa"/>
            <w:tcBorders>
              <w:top w:val="single" w:sz="4" w:space="0" w:color="auto"/>
              <w:bottom w:val="single" w:sz="4" w:space="0" w:color="auto"/>
            </w:tcBorders>
            <w:shd w:val="clear" w:color="auto" w:fill="auto"/>
          </w:tcPr>
          <w:p w14:paraId="39A6BD93" w14:textId="77777777" w:rsidR="009B7AF5" w:rsidRPr="005071A1" w:rsidRDefault="009B7AF5" w:rsidP="009B7AF5">
            <w:pPr>
              <w:pStyle w:val="ENoteTableText"/>
            </w:pPr>
            <w:r w:rsidRPr="005071A1">
              <w:t>—</w:t>
            </w:r>
          </w:p>
        </w:tc>
      </w:tr>
      <w:tr w:rsidR="009B7AF5" w:rsidRPr="005071A1" w14:paraId="59AA7BC3" w14:textId="77777777" w:rsidTr="00322DFA">
        <w:trPr>
          <w:cantSplit/>
        </w:trPr>
        <w:tc>
          <w:tcPr>
            <w:tcW w:w="1838" w:type="dxa"/>
            <w:tcBorders>
              <w:top w:val="single" w:sz="4" w:space="0" w:color="auto"/>
              <w:bottom w:val="single" w:sz="4" w:space="0" w:color="auto"/>
            </w:tcBorders>
            <w:shd w:val="clear" w:color="auto" w:fill="auto"/>
          </w:tcPr>
          <w:p w14:paraId="06056DE7" w14:textId="77777777" w:rsidR="009B7AF5" w:rsidRPr="005071A1" w:rsidRDefault="009B7AF5" w:rsidP="009B7AF5">
            <w:pPr>
              <w:pStyle w:val="ENoteTableText"/>
            </w:pPr>
            <w:r w:rsidRPr="005071A1">
              <w:t>Superannuation Act 1946</w:t>
            </w:r>
          </w:p>
        </w:tc>
        <w:tc>
          <w:tcPr>
            <w:tcW w:w="992" w:type="dxa"/>
            <w:tcBorders>
              <w:top w:val="single" w:sz="4" w:space="0" w:color="auto"/>
              <w:bottom w:val="single" w:sz="4" w:space="0" w:color="auto"/>
            </w:tcBorders>
            <w:shd w:val="clear" w:color="auto" w:fill="auto"/>
          </w:tcPr>
          <w:p w14:paraId="1955FBC8" w14:textId="77777777" w:rsidR="009B7AF5" w:rsidRPr="005071A1" w:rsidRDefault="009B7AF5" w:rsidP="009B7AF5">
            <w:pPr>
              <w:pStyle w:val="ENoteTableText"/>
            </w:pPr>
            <w:r w:rsidRPr="005071A1">
              <w:t>2, 1946</w:t>
            </w:r>
          </w:p>
        </w:tc>
        <w:tc>
          <w:tcPr>
            <w:tcW w:w="993" w:type="dxa"/>
            <w:tcBorders>
              <w:top w:val="single" w:sz="4" w:space="0" w:color="auto"/>
              <w:bottom w:val="single" w:sz="4" w:space="0" w:color="auto"/>
            </w:tcBorders>
            <w:shd w:val="clear" w:color="auto" w:fill="auto"/>
          </w:tcPr>
          <w:p w14:paraId="12A8D85D" w14:textId="77777777" w:rsidR="009B7AF5" w:rsidRPr="005071A1" w:rsidRDefault="009B7AF5" w:rsidP="009B7AF5">
            <w:pPr>
              <w:pStyle w:val="ENoteTableText"/>
            </w:pPr>
            <w:smartTag w:uri="urn:schemas-microsoft-com:office:smarttags" w:element="date">
              <w:smartTagPr>
                <w:attr w:name="Month" w:val="4"/>
                <w:attr w:name="Day" w:val="13"/>
                <w:attr w:name="Year" w:val="1946"/>
              </w:smartTagPr>
              <w:r w:rsidRPr="005071A1">
                <w:t>13 Apr 1946</w:t>
              </w:r>
            </w:smartTag>
          </w:p>
        </w:tc>
        <w:tc>
          <w:tcPr>
            <w:tcW w:w="1845" w:type="dxa"/>
            <w:tcBorders>
              <w:top w:val="single" w:sz="4" w:space="0" w:color="auto"/>
              <w:bottom w:val="single" w:sz="4" w:space="0" w:color="auto"/>
            </w:tcBorders>
            <w:shd w:val="clear" w:color="auto" w:fill="auto"/>
          </w:tcPr>
          <w:p w14:paraId="72811DCE" w14:textId="77777777" w:rsidR="009B7AF5" w:rsidRPr="005071A1" w:rsidRDefault="009B7AF5" w:rsidP="009B7AF5">
            <w:pPr>
              <w:pStyle w:val="ENoteTableText"/>
            </w:pPr>
            <w:smartTag w:uri="urn:schemas-microsoft-com:office:smarttags" w:element="date">
              <w:smartTagPr>
                <w:attr w:name="Month" w:val="4"/>
                <w:attr w:name="Day" w:val="13"/>
                <w:attr w:name="Year" w:val="1946"/>
              </w:smartTagPr>
              <w:r w:rsidRPr="005071A1">
                <w:t>13 Apr 1946</w:t>
              </w:r>
            </w:smartTag>
          </w:p>
        </w:tc>
        <w:tc>
          <w:tcPr>
            <w:tcW w:w="1417" w:type="dxa"/>
            <w:tcBorders>
              <w:top w:val="single" w:sz="4" w:space="0" w:color="auto"/>
              <w:bottom w:val="single" w:sz="4" w:space="0" w:color="auto"/>
            </w:tcBorders>
            <w:shd w:val="clear" w:color="auto" w:fill="auto"/>
          </w:tcPr>
          <w:p w14:paraId="5E61669D" w14:textId="77777777" w:rsidR="009B7AF5" w:rsidRPr="005071A1" w:rsidRDefault="009B7AF5" w:rsidP="009B7AF5">
            <w:pPr>
              <w:pStyle w:val="ENoteTableText"/>
            </w:pPr>
            <w:r w:rsidRPr="005071A1">
              <w:t>—</w:t>
            </w:r>
          </w:p>
        </w:tc>
      </w:tr>
      <w:tr w:rsidR="009B7AF5" w:rsidRPr="005071A1" w14:paraId="372B46E4" w14:textId="77777777" w:rsidTr="00322DFA">
        <w:trPr>
          <w:cantSplit/>
        </w:trPr>
        <w:tc>
          <w:tcPr>
            <w:tcW w:w="1838" w:type="dxa"/>
            <w:tcBorders>
              <w:top w:val="single" w:sz="4" w:space="0" w:color="auto"/>
              <w:bottom w:val="single" w:sz="4" w:space="0" w:color="auto"/>
            </w:tcBorders>
            <w:shd w:val="clear" w:color="auto" w:fill="auto"/>
          </w:tcPr>
          <w:p w14:paraId="7C5AC2CD" w14:textId="77777777" w:rsidR="009B7AF5" w:rsidRPr="005071A1" w:rsidRDefault="009B7AF5" w:rsidP="009B7AF5">
            <w:pPr>
              <w:pStyle w:val="ENoteTableText"/>
            </w:pPr>
            <w:r w:rsidRPr="005071A1">
              <w:t>Commonwealth Public Service Act 1947</w:t>
            </w:r>
          </w:p>
        </w:tc>
        <w:tc>
          <w:tcPr>
            <w:tcW w:w="992" w:type="dxa"/>
            <w:tcBorders>
              <w:top w:val="single" w:sz="4" w:space="0" w:color="auto"/>
              <w:bottom w:val="single" w:sz="4" w:space="0" w:color="auto"/>
            </w:tcBorders>
            <w:shd w:val="clear" w:color="auto" w:fill="auto"/>
          </w:tcPr>
          <w:p w14:paraId="40F01FF1" w14:textId="77777777" w:rsidR="009B7AF5" w:rsidRPr="005071A1" w:rsidRDefault="009B7AF5" w:rsidP="009B7AF5">
            <w:pPr>
              <w:pStyle w:val="ENoteTableText"/>
            </w:pPr>
            <w:r w:rsidRPr="005071A1">
              <w:t>1, 1947</w:t>
            </w:r>
          </w:p>
        </w:tc>
        <w:tc>
          <w:tcPr>
            <w:tcW w:w="993" w:type="dxa"/>
            <w:tcBorders>
              <w:top w:val="single" w:sz="4" w:space="0" w:color="auto"/>
              <w:bottom w:val="single" w:sz="4" w:space="0" w:color="auto"/>
            </w:tcBorders>
            <w:shd w:val="clear" w:color="auto" w:fill="auto"/>
          </w:tcPr>
          <w:p w14:paraId="570648ED" w14:textId="77777777" w:rsidR="009B7AF5" w:rsidRPr="005071A1" w:rsidRDefault="009B7AF5" w:rsidP="009B7AF5">
            <w:pPr>
              <w:pStyle w:val="ENoteTableText"/>
            </w:pPr>
            <w:smartTag w:uri="urn:schemas-microsoft-com:office:smarttags" w:element="date">
              <w:smartTagPr>
                <w:attr w:name="Month" w:val="3"/>
                <w:attr w:name="Day" w:val="14"/>
                <w:attr w:name="Year" w:val="1947"/>
              </w:smartTagPr>
              <w:r w:rsidRPr="005071A1">
                <w:t>14 Mar 1947</w:t>
              </w:r>
            </w:smartTag>
          </w:p>
        </w:tc>
        <w:tc>
          <w:tcPr>
            <w:tcW w:w="1845" w:type="dxa"/>
            <w:tcBorders>
              <w:top w:val="single" w:sz="4" w:space="0" w:color="auto"/>
              <w:bottom w:val="single" w:sz="4" w:space="0" w:color="auto"/>
            </w:tcBorders>
            <w:shd w:val="clear" w:color="auto" w:fill="auto"/>
          </w:tcPr>
          <w:p w14:paraId="272886EA" w14:textId="77777777" w:rsidR="009B7AF5" w:rsidRPr="005071A1" w:rsidRDefault="009B7AF5" w:rsidP="009B7AF5">
            <w:pPr>
              <w:pStyle w:val="ENoteTableText"/>
            </w:pPr>
            <w:smartTag w:uri="urn:schemas-microsoft-com:office:smarttags" w:element="date">
              <w:smartTagPr>
                <w:attr w:name="Month" w:val="3"/>
                <w:attr w:name="Day" w:val="14"/>
                <w:attr w:name="Year" w:val="1947"/>
              </w:smartTagPr>
              <w:r w:rsidRPr="005071A1">
                <w:t>14 Mar 1947</w:t>
              </w:r>
            </w:smartTag>
          </w:p>
        </w:tc>
        <w:tc>
          <w:tcPr>
            <w:tcW w:w="1417" w:type="dxa"/>
            <w:tcBorders>
              <w:top w:val="single" w:sz="4" w:space="0" w:color="auto"/>
              <w:bottom w:val="single" w:sz="4" w:space="0" w:color="auto"/>
            </w:tcBorders>
            <w:shd w:val="clear" w:color="auto" w:fill="auto"/>
          </w:tcPr>
          <w:p w14:paraId="58CC782D" w14:textId="77777777" w:rsidR="009B7AF5" w:rsidRPr="005071A1" w:rsidRDefault="002477D1" w:rsidP="009B7AF5">
            <w:pPr>
              <w:pStyle w:val="ENoteTableText"/>
            </w:pPr>
            <w:r w:rsidRPr="005071A1">
              <w:t>s.</w:t>
            </w:r>
            <w:r w:rsidR="009B7AF5" w:rsidRPr="005071A1">
              <w:t xml:space="preserve"> 2(2)</w:t>
            </w:r>
          </w:p>
        </w:tc>
      </w:tr>
      <w:tr w:rsidR="009B7AF5" w:rsidRPr="005071A1" w14:paraId="0AF795A1" w14:textId="77777777" w:rsidTr="00322DFA">
        <w:trPr>
          <w:cantSplit/>
        </w:trPr>
        <w:tc>
          <w:tcPr>
            <w:tcW w:w="1838" w:type="dxa"/>
            <w:tcBorders>
              <w:top w:val="single" w:sz="4" w:space="0" w:color="auto"/>
              <w:bottom w:val="nil"/>
            </w:tcBorders>
            <w:shd w:val="clear" w:color="auto" w:fill="auto"/>
          </w:tcPr>
          <w:p w14:paraId="124B6BED" w14:textId="77777777" w:rsidR="009B7AF5" w:rsidRPr="005071A1" w:rsidRDefault="009B7AF5" w:rsidP="009B7AF5">
            <w:pPr>
              <w:pStyle w:val="ENoteTableText"/>
            </w:pPr>
            <w:r w:rsidRPr="005071A1">
              <w:t>Superannuation Act 1947</w:t>
            </w:r>
          </w:p>
        </w:tc>
        <w:tc>
          <w:tcPr>
            <w:tcW w:w="992" w:type="dxa"/>
            <w:tcBorders>
              <w:top w:val="single" w:sz="4" w:space="0" w:color="auto"/>
              <w:bottom w:val="nil"/>
            </w:tcBorders>
            <w:shd w:val="clear" w:color="auto" w:fill="auto"/>
          </w:tcPr>
          <w:p w14:paraId="7278276E" w14:textId="77777777" w:rsidR="009B7AF5" w:rsidRPr="005071A1" w:rsidRDefault="009B7AF5" w:rsidP="009B7AF5">
            <w:pPr>
              <w:pStyle w:val="ENoteTableText"/>
            </w:pPr>
            <w:r w:rsidRPr="005071A1">
              <w:t>35, 1947</w:t>
            </w:r>
          </w:p>
        </w:tc>
        <w:tc>
          <w:tcPr>
            <w:tcW w:w="993" w:type="dxa"/>
            <w:tcBorders>
              <w:top w:val="single" w:sz="4" w:space="0" w:color="auto"/>
              <w:bottom w:val="nil"/>
            </w:tcBorders>
            <w:shd w:val="clear" w:color="auto" w:fill="auto"/>
          </w:tcPr>
          <w:p w14:paraId="068D99FB" w14:textId="77777777" w:rsidR="009B7AF5" w:rsidRPr="005071A1" w:rsidRDefault="009B7AF5" w:rsidP="009B7AF5">
            <w:pPr>
              <w:pStyle w:val="ENoteTableText"/>
            </w:pPr>
            <w:r w:rsidRPr="005071A1">
              <w:t>12</w:t>
            </w:r>
            <w:r w:rsidR="008B2950" w:rsidRPr="005071A1">
              <w:t> </w:t>
            </w:r>
            <w:r w:rsidRPr="005071A1">
              <w:t>June 1947</w:t>
            </w:r>
          </w:p>
        </w:tc>
        <w:tc>
          <w:tcPr>
            <w:tcW w:w="1845" w:type="dxa"/>
            <w:tcBorders>
              <w:top w:val="single" w:sz="4" w:space="0" w:color="auto"/>
              <w:bottom w:val="nil"/>
            </w:tcBorders>
            <w:shd w:val="clear" w:color="auto" w:fill="auto"/>
          </w:tcPr>
          <w:p w14:paraId="0158DEC5" w14:textId="77777777" w:rsidR="009B7AF5" w:rsidRPr="005071A1" w:rsidRDefault="009B7AF5" w:rsidP="009B7AF5">
            <w:pPr>
              <w:pStyle w:val="ENoteTableText"/>
            </w:pPr>
            <w:r w:rsidRPr="005071A1">
              <w:t>12</w:t>
            </w:r>
            <w:r w:rsidR="008B2950" w:rsidRPr="005071A1">
              <w:t> </w:t>
            </w:r>
            <w:r w:rsidRPr="005071A1">
              <w:t>June 1947</w:t>
            </w:r>
          </w:p>
        </w:tc>
        <w:tc>
          <w:tcPr>
            <w:tcW w:w="1417" w:type="dxa"/>
            <w:tcBorders>
              <w:top w:val="single" w:sz="4" w:space="0" w:color="auto"/>
              <w:bottom w:val="nil"/>
            </w:tcBorders>
            <w:shd w:val="clear" w:color="auto" w:fill="auto"/>
          </w:tcPr>
          <w:p w14:paraId="4966E1F7"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097C9CE4" w14:textId="77777777" w:rsidTr="00322DFA">
        <w:trPr>
          <w:cantSplit/>
        </w:trPr>
        <w:tc>
          <w:tcPr>
            <w:tcW w:w="1838" w:type="dxa"/>
            <w:tcBorders>
              <w:top w:val="nil"/>
              <w:bottom w:val="nil"/>
            </w:tcBorders>
            <w:shd w:val="clear" w:color="auto" w:fill="auto"/>
          </w:tcPr>
          <w:p w14:paraId="5733F8B6"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7FD932EF" w14:textId="77777777" w:rsidR="009B7AF5" w:rsidRPr="005071A1" w:rsidRDefault="009B7AF5" w:rsidP="009B7AF5">
            <w:pPr>
              <w:pStyle w:val="ENoteTableText"/>
            </w:pPr>
          </w:p>
        </w:tc>
        <w:tc>
          <w:tcPr>
            <w:tcW w:w="993" w:type="dxa"/>
            <w:tcBorders>
              <w:top w:val="nil"/>
              <w:bottom w:val="nil"/>
            </w:tcBorders>
            <w:shd w:val="clear" w:color="auto" w:fill="auto"/>
          </w:tcPr>
          <w:p w14:paraId="4A83EC57" w14:textId="77777777" w:rsidR="009B7AF5" w:rsidRPr="005071A1" w:rsidRDefault="009B7AF5" w:rsidP="009B7AF5">
            <w:pPr>
              <w:pStyle w:val="ENoteTableText"/>
            </w:pPr>
          </w:p>
        </w:tc>
        <w:tc>
          <w:tcPr>
            <w:tcW w:w="1845" w:type="dxa"/>
            <w:tcBorders>
              <w:top w:val="nil"/>
              <w:bottom w:val="nil"/>
            </w:tcBorders>
            <w:shd w:val="clear" w:color="auto" w:fill="auto"/>
          </w:tcPr>
          <w:p w14:paraId="420EA6A3" w14:textId="77777777" w:rsidR="009B7AF5" w:rsidRPr="005071A1" w:rsidRDefault="009B7AF5" w:rsidP="009B7AF5">
            <w:pPr>
              <w:pStyle w:val="ENoteTableText"/>
            </w:pPr>
          </w:p>
        </w:tc>
        <w:tc>
          <w:tcPr>
            <w:tcW w:w="1417" w:type="dxa"/>
            <w:tcBorders>
              <w:top w:val="nil"/>
              <w:bottom w:val="nil"/>
            </w:tcBorders>
            <w:shd w:val="clear" w:color="auto" w:fill="auto"/>
          </w:tcPr>
          <w:p w14:paraId="471B9DAC" w14:textId="77777777" w:rsidR="009B7AF5" w:rsidRPr="005071A1" w:rsidRDefault="009B7AF5" w:rsidP="009B7AF5">
            <w:pPr>
              <w:pStyle w:val="ENoteTableText"/>
            </w:pPr>
          </w:p>
        </w:tc>
      </w:tr>
      <w:tr w:rsidR="009B7AF5" w:rsidRPr="005071A1" w14:paraId="2F3D67B6" w14:textId="77777777" w:rsidTr="00322DFA">
        <w:trPr>
          <w:cantSplit/>
        </w:trPr>
        <w:tc>
          <w:tcPr>
            <w:tcW w:w="1838" w:type="dxa"/>
            <w:tcBorders>
              <w:top w:val="nil"/>
              <w:bottom w:val="nil"/>
            </w:tcBorders>
            <w:shd w:val="clear" w:color="auto" w:fill="auto"/>
          </w:tcPr>
          <w:p w14:paraId="0C9B7C4C" w14:textId="77777777" w:rsidR="009B7AF5" w:rsidRPr="005071A1" w:rsidRDefault="009B7AF5" w:rsidP="009B7AF5">
            <w:pPr>
              <w:pStyle w:val="ENoteTTi"/>
            </w:pPr>
            <w:r w:rsidRPr="005071A1">
              <w:t>Superannuation Act 1948</w:t>
            </w:r>
          </w:p>
        </w:tc>
        <w:tc>
          <w:tcPr>
            <w:tcW w:w="992" w:type="dxa"/>
            <w:tcBorders>
              <w:top w:val="nil"/>
              <w:bottom w:val="nil"/>
            </w:tcBorders>
            <w:shd w:val="clear" w:color="auto" w:fill="auto"/>
          </w:tcPr>
          <w:p w14:paraId="43FC1C31" w14:textId="77777777" w:rsidR="009B7AF5" w:rsidRPr="005071A1" w:rsidRDefault="009B7AF5" w:rsidP="009B7AF5">
            <w:pPr>
              <w:pStyle w:val="ENoteTableText"/>
            </w:pPr>
            <w:r w:rsidRPr="005071A1">
              <w:t>19, 1948</w:t>
            </w:r>
          </w:p>
        </w:tc>
        <w:tc>
          <w:tcPr>
            <w:tcW w:w="993" w:type="dxa"/>
            <w:tcBorders>
              <w:top w:val="nil"/>
              <w:bottom w:val="nil"/>
            </w:tcBorders>
            <w:shd w:val="clear" w:color="auto" w:fill="auto"/>
          </w:tcPr>
          <w:p w14:paraId="39D26090" w14:textId="77777777" w:rsidR="009B7AF5" w:rsidRPr="005071A1" w:rsidRDefault="009B7AF5" w:rsidP="009B7AF5">
            <w:pPr>
              <w:pStyle w:val="ENoteTableText"/>
            </w:pPr>
            <w:r w:rsidRPr="005071A1">
              <w:t>18</w:t>
            </w:r>
            <w:r w:rsidR="008B2950" w:rsidRPr="005071A1">
              <w:t> </w:t>
            </w:r>
            <w:r w:rsidRPr="005071A1">
              <w:t>May 1948</w:t>
            </w:r>
          </w:p>
        </w:tc>
        <w:tc>
          <w:tcPr>
            <w:tcW w:w="1845" w:type="dxa"/>
            <w:tcBorders>
              <w:top w:val="nil"/>
              <w:bottom w:val="nil"/>
            </w:tcBorders>
            <w:shd w:val="clear" w:color="auto" w:fill="auto"/>
          </w:tcPr>
          <w:p w14:paraId="56CF4935" w14:textId="77777777" w:rsidR="009B7AF5" w:rsidRPr="005071A1" w:rsidRDefault="009B7AF5" w:rsidP="009B7AF5">
            <w:pPr>
              <w:pStyle w:val="ENoteTableText"/>
            </w:pPr>
            <w:r w:rsidRPr="005071A1">
              <w:t>(</w:t>
            </w:r>
            <w:r w:rsidRPr="005071A1">
              <w:rPr>
                <w:i/>
              </w:rPr>
              <w:t xml:space="preserve">see </w:t>
            </w:r>
            <w:r w:rsidRPr="005071A1">
              <w:t>19, 1948 below)</w:t>
            </w:r>
          </w:p>
        </w:tc>
        <w:tc>
          <w:tcPr>
            <w:tcW w:w="1417" w:type="dxa"/>
            <w:tcBorders>
              <w:top w:val="nil"/>
              <w:bottom w:val="nil"/>
            </w:tcBorders>
            <w:shd w:val="clear" w:color="auto" w:fill="auto"/>
          </w:tcPr>
          <w:p w14:paraId="69384860"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0CF7944C" w14:textId="77777777" w:rsidTr="00322DFA">
        <w:trPr>
          <w:cantSplit/>
        </w:trPr>
        <w:tc>
          <w:tcPr>
            <w:tcW w:w="1838" w:type="dxa"/>
            <w:tcBorders>
              <w:top w:val="nil"/>
              <w:bottom w:val="nil"/>
            </w:tcBorders>
            <w:shd w:val="clear" w:color="auto" w:fill="auto"/>
          </w:tcPr>
          <w:p w14:paraId="61C08CFA" w14:textId="77777777" w:rsidR="009B7AF5" w:rsidRPr="005071A1" w:rsidRDefault="009B7AF5" w:rsidP="009B7AF5">
            <w:pPr>
              <w:pStyle w:val="ENoteTTi"/>
            </w:pPr>
            <w:r w:rsidRPr="005071A1">
              <w:t>Superannuation Act 1950</w:t>
            </w:r>
          </w:p>
        </w:tc>
        <w:tc>
          <w:tcPr>
            <w:tcW w:w="992" w:type="dxa"/>
            <w:tcBorders>
              <w:top w:val="nil"/>
              <w:bottom w:val="nil"/>
            </w:tcBorders>
            <w:shd w:val="clear" w:color="auto" w:fill="auto"/>
          </w:tcPr>
          <w:p w14:paraId="32ED472F" w14:textId="77777777" w:rsidR="009B7AF5" w:rsidRPr="005071A1" w:rsidRDefault="009B7AF5" w:rsidP="009B7AF5">
            <w:pPr>
              <w:pStyle w:val="ENoteTableText"/>
            </w:pPr>
            <w:r w:rsidRPr="005071A1">
              <w:t>76, 1950</w:t>
            </w:r>
          </w:p>
        </w:tc>
        <w:tc>
          <w:tcPr>
            <w:tcW w:w="993" w:type="dxa"/>
            <w:tcBorders>
              <w:top w:val="nil"/>
              <w:bottom w:val="nil"/>
            </w:tcBorders>
            <w:shd w:val="clear" w:color="auto" w:fill="auto"/>
          </w:tcPr>
          <w:p w14:paraId="53D0B349" w14:textId="77777777" w:rsidR="009B7AF5" w:rsidRPr="005071A1" w:rsidRDefault="009B7AF5" w:rsidP="009B7AF5">
            <w:pPr>
              <w:pStyle w:val="ENoteTableText"/>
            </w:pPr>
            <w:smartTag w:uri="urn:schemas-microsoft-com:office:smarttags" w:element="date">
              <w:smartTagPr>
                <w:attr w:name="Month" w:val="12"/>
                <w:attr w:name="Day" w:val="15"/>
                <w:attr w:name="Year" w:val="1950"/>
              </w:smartTagPr>
              <w:r w:rsidRPr="005071A1">
                <w:t>15 Dec 1950</w:t>
              </w:r>
            </w:smartTag>
          </w:p>
        </w:tc>
        <w:tc>
          <w:tcPr>
            <w:tcW w:w="1845" w:type="dxa"/>
            <w:tcBorders>
              <w:top w:val="nil"/>
              <w:bottom w:val="nil"/>
            </w:tcBorders>
            <w:shd w:val="clear" w:color="auto" w:fill="auto"/>
          </w:tcPr>
          <w:p w14:paraId="087ACFDD" w14:textId="77777777" w:rsidR="009B7AF5" w:rsidRPr="005071A1" w:rsidRDefault="009B7AF5" w:rsidP="009B7AF5">
            <w:pPr>
              <w:pStyle w:val="ENoteTableText"/>
            </w:pPr>
            <w:smartTag w:uri="urn:schemas-microsoft-com:office:smarttags" w:element="date">
              <w:smartTagPr>
                <w:attr w:name="Month" w:val="12"/>
                <w:attr w:name="Day" w:val="15"/>
                <w:attr w:name="Year" w:val="1950"/>
              </w:smartTagPr>
              <w:r w:rsidRPr="005071A1">
                <w:t>15 Dec 1950</w:t>
              </w:r>
            </w:smartTag>
          </w:p>
        </w:tc>
        <w:tc>
          <w:tcPr>
            <w:tcW w:w="1417" w:type="dxa"/>
            <w:tcBorders>
              <w:top w:val="nil"/>
              <w:bottom w:val="nil"/>
            </w:tcBorders>
            <w:shd w:val="clear" w:color="auto" w:fill="auto"/>
          </w:tcPr>
          <w:p w14:paraId="6A850AAE" w14:textId="77777777" w:rsidR="009B7AF5" w:rsidRPr="005071A1" w:rsidRDefault="00BE0B5A" w:rsidP="009B7AF5">
            <w:pPr>
              <w:pStyle w:val="ENoteTableText"/>
            </w:pPr>
            <w:r w:rsidRPr="005071A1">
              <w:rPr>
                <w:i/>
              </w:rPr>
              <w:t>(a</w:t>
            </w:r>
            <w:r w:rsidR="009B7AF5" w:rsidRPr="005071A1">
              <w:rPr>
                <w:i/>
              </w:rPr>
              <w:t>)</w:t>
            </w:r>
          </w:p>
        </w:tc>
      </w:tr>
      <w:tr w:rsidR="009B7AF5" w:rsidRPr="005071A1" w14:paraId="4634EF1C" w14:textId="77777777" w:rsidTr="00322DFA">
        <w:trPr>
          <w:cantSplit/>
        </w:trPr>
        <w:tc>
          <w:tcPr>
            <w:tcW w:w="1838" w:type="dxa"/>
            <w:tcBorders>
              <w:top w:val="nil"/>
              <w:bottom w:val="single" w:sz="4" w:space="0" w:color="auto"/>
            </w:tcBorders>
            <w:shd w:val="clear" w:color="auto" w:fill="auto"/>
          </w:tcPr>
          <w:p w14:paraId="1100EE58" w14:textId="77777777" w:rsidR="009B7AF5" w:rsidRPr="005071A1" w:rsidRDefault="009B7AF5" w:rsidP="009B7AF5">
            <w:pPr>
              <w:pStyle w:val="ENoteTTi"/>
            </w:pPr>
            <w:r w:rsidRPr="005071A1">
              <w:t>Superannuation Act (No.</w:t>
            </w:r>
            <w:r w:rsidR="008B2950" w:rsidRPr="005071A1">
              <w:t> </w:t>
            </w:r>
            <w:r w:rsidRPr="005071A1">
              <w:t>2) 1951</w:t>
            </w:r>
          </w:p>
        </w:tc>
        <w:tc>
          <w:tcPr>
            <w:tcW w:w="992" w:type="dxa"/>
            <w:tcBorders>
              <w:top w:val="nil"/>
              <w:bottom w:val="single" w:sz="4" w:space="0" w:color="auto"/>
            </w:tcBorders>
            <w:shd w:val="clear" w:color="auto" w:fill="auto"/>
          </w:tcPr>
          <w:p w14:paraId="6BC46B6D" w14:textId="77777777" w:rsidR="009B7AF5" w:rsidRPr="005071A1" w:rsidRDefault="009B7AF5" w:rsidP="009B7AF5">
            <w:pPr>
              <w:pStyle w:val="ENoteTableText"/>
            </w:pPr>
            <w:r w:rsidRPr="005071A1">
              <w:t>62, 1951</w:t>
            </w:r>
          </w:p>
        </w:tc>
        <w:tc>
          <w:tcPr>
            <w:tcW w:w="993" w:type="dxa"/>
            <w:tcBorders>
              <w:top w:val="nil"/>
              <w:bottom w:val="single" w:sz="4" w:space="0" w:color="auto"/>
            </w:tcBorders>
            <w:shd w:val="clear" w:color="auto" w:fill="auto"/>
          </w:tcPr>
          <w:p w14:paraId="695A1D0C" w14:textId="77777777" w:rsidR="009B7AF5" w:rsidRPr="005071A1" w:rsidRDefault="009B7AF5" w:rsidP="009B7AF5">
            <w:pPr>
              <w:pStyle w:val="ENoteTableText"/>
            </w:pPr>
            <w:smartTag w:uri="urn:schemas-microsoft-com:office:smarttags" w:element="date">
              <w:smartTagPr>
                <w:attr w:name="Month" w:val="12"/>
                <w:attr w:name="Day" w:val="11"/>
                <w:attr w:name="Year" w:val="1951"/>
              </w:smartTagPr>
              <w:r w:rsidRPr="005071A1">
                <w:t>11 Dec 1951</w:t>
              </w:r>
            </w:smartTag>
          </w:p>
        </w:tc>
        <w:tc>
          <w:tcPr>
            <w:tcW w:w="1845" w:type="dxa"/>
            <w:tcBorders>
              <w:top w:val="nil"/>
              <w:bottom w:val="single" w:sz="4" w:space="0" w:color="auto"/>
            </w:tcBorders>
            <w:shd w:val="clear" w:color="auto" w:fill="auto"/>
          </w:tcPr>
          <w:p w14:paraId="4119374A" w14:textId="77777777" w:rsidR="009B7AF5" w:rsidRPr="005071A1" w:rsidRDefault="009B7AF5" w:rsidP="009B7AF5">
            <w:pPr>
              <w:pStyle w:val="ENoteTableText"/>
            </w:pPr>
            <w:smartTag w:uri="urn:schemas-microsoft-com:office:smarttags" w:element="date">
              <w:smartTagPr>
                <w:attr w:name="Month" w:val="12"/>
                <w:attr w:name="Day" w:val="11"/>
                <w:attr w:name="Year" w:val="1951"/>
              </w:smartTagPr>
              <w:r w:rsidRPr="005071A1">
                <w:t>11 Dec 1951</w:t>
              </w:r>
            </w:smartTag>
          </w:p>
        </w:tc>
        <w:tc>
          <w:tcPr>
            <w:tcW w:w="1417" w:type="dxa"/>
            <w:tcBorders>
              <w:top w:val="nil"/>
              <w:bottom w:val="single" w:sz="4" w:space="0" w:color="auto"/>
            </w:tcBorders>
            <w:shd w:val="clear" w:color="auto" w:fill="auto"/>
          </w:tcPr>
          <w:p w14:paraId="7F6AFB3A" w14:textId="77777777" w:rsidR="009B7AF5" w:rsidRPr="005071A1" w:rsidRDefault="002477D1" w:rsidP="009B7AF5">
            <w:pPr>
              <w:pStyle w:val="ENoteTableText"/>
            </w:pPr>
            <w:r w:rsidRPr="005071A1">
              <w:t>s.</w:t>
            </w:r>
            <w:r w:rsidR="009B7AF5" w:rsidRPr="005071A1">
              <w:t xml:space="preserve"> 5</w:t>
            </w:r>
          </w:p>
        </w:tc>
      </w:tr>
      <w:tr w:rsidR="009B7AF5" w:rsidRPr="005071A1" w14:paraId="324D1A76" w14:textId="77777777" w:rsidTr="00322DFA">
        <w:trPr>
          <w:cantSplit/>
        </w:trPr>
        <w:tc>
          <w:tcPr>
            <w:tcW w:w="1838" w:type="dxa"/>
            <w:tcBorders>
              <w:top w:val="single" w:sz="4" w:space="0" w:color="auto"/>
              <w:bottom w:val="nil"/>
            </w:tcBorders>
            <w:shd w:val="clear" w:color="auto" w:fill="auto"/>
          </w:tcPr>
          <w:p w14:paraId="77C5D591" w14:textId="77777777" w:rsidR="009B7AF5" w:rsidRPr="005071A1" w:rsidRDefault="009B7AF5" w:rsidP="009B7AF5">
            <w:pPr>
              <w:pStyle w:val="ENoteTableText"/>
            </w:pPr>
            <w:r w:rsidRPr="005071A1">
              <w:t>Superannuation Act 1948</w:t>
            </w:r>
          </w:p>
        </w:tc>
        <w:tc>
          <w:tcPr>
            <w:tcW w:w="992" w:type="dxa"/>
            <w:tcBorders>
              <w:top w:val="single" w:sz="4" w:space="0" w:color="auto"/>
              <w:bottom w:val="nil"/>
            </w:tcBorders>
            <w:shd w:val="clear" w:color="auto" w:fill="auto"/>
          </w:tcPr>
          <w:p w14:paraId="7B9F180E" w14:textId="77777777" w:rsidR="009B7AF5" w:rsidRPr="005071A1" w:rsidRDefault="009B7AF5" w:rsidP="009B7AF5">
            <w:pPr>
              <w:pStyle w:val="ENoteTableText"/>
            </w:pPr>
            <w:r w:rsidRPr="005071A1">
              <w:t>19, 1948</w:t>
            </w:r>
          </w:p>
        </w:tc>
        <w:tc>
          <w:tcPr>
            <w:tcW w:w="993" w:type="dxa"/>
            <w:tcBorders>
              <w:top w:val="single" w:sz="4" w:space="0" w:color="auto"/>
              <w:bottom w:val="nil"/>
            </w:tcBorders>
            <w:shd w:val="clear" w:color="auto" w:fill="auto"/>
          </w:tcPr>
          <w:p w14:paraId="216ABF02" w14:textId="77777777" w:rsidR="009B7AF5" w:rsidRPr="005071A1" w:rsidRDefault="009B7AF5" w:rsidP="009B7AF5">
            <w:pPr>
              <w:pStyle w:val="ENoteTableText"/>
            </w:pPr>
            <w:r w:rsidRPr="005071A1">
              <w:t>18</w:t>
            </w:r>
            <w:r w:rsidR="008B2950" w:rsidRPr="005071A1">
              <w:t> </w:t>
            </w:r>
            <w:r w:rsidRPr="005071A1">
              <w:t>May 1948</w:t>
            </w:r>
          </w:p>
        </w:tc>
        <w:tc>
          <w:tcPr>
            <w:tcW w:w="1845" w:type="dxa"/>
            <w:tcBorders>
              <w:top w:val="single" w:sz="4" w:space="0" w:color="auto"/>
              <w:bottom w:val="nil"/>
            </w:tcBorders>
            <w:shd w:val="clear" w:color="auto" w:fill="auto"/>
          </w:tcPr>
          <w:p w14:paraId="172E7530" w14:textId="77777777" w:rsidR="009B7AF5" w:rsidRPr="005071A1" w:rsidRDefault="002477D1" w:rsidP="009B7AF5">
            <w:pPr>
              <w:pStyle w:val="ENoteTableText"/>
            </w:pPr>
            <w:r w:rsidRPr="005071A1">
              <w:t>s.</w:t>
            </w:r>
            <w:r w:rsidR="009B7AF5" w:rsidRPr="005071A1">
              <w:t xml:space="preserve"> 11: 12</w:t>
            </w:r>
            <w:r w:rsidR="008B2950" w:rsidRPr="005071A1">
              <w:t> </w:t>
            </w:r>
            <w:r w:rsidR="009B7AF5" w:rsidRPr="005071A1">
              <w:t>June 1947 (</w:t>
            </w:r>
            <w:r w:rsidR="009B7AF5" w:rsidRPr="005071A1">
              <w:rPr>
                <w:i/>
              </w:rPr>
              <w:t xml:space="preserve">see </w:t>
            </w:r>
            <w:r w:rsidR="009B7AF5" w:rsidRPr="005071A1">
              <w:t>s. 11(2))</w:t>
            </w:r>
            <w:r w:rsidR="009B7AF5" w:rsidRPr="005071A1">
              <w:br/>
            </w:r>
            <w:r w:rsidRPr="005071A1">
              <w:t>s.</w:t>
            </w:r>
            <w:r w:rsidR="009B7AF5" w:rsidRPr="005071A1">
              <w:t xml:space="preserve"> 12: </w:t>
            </w:r>
            <w:smartTag w:uri="urn:schemas-microsoft-com:office:smarttags" w:element="date">
              <w:smartTagPr>
                <w:attr w:name="Month" w:val="2"/>
                <w:attr w:name="Day" w:val="1"/>
                <w:attr w:name="Year" w:val="1948"/>
              </w:smartTagPr>
              <w:r w:rsidR="009B7AF5" w:rsidRPr="005071A1">
                <w:t>1 Feb 1948</w:t>
              </w:r>
            </w:smartTag>
            <w:r w:rsidR="009B7AF5" w:rsidRPr="005071A1">
              <w:br/>
              <w:t>Remainder: 2</w:t>
            </w:r>
            <w:r w:rsidR="008B2950" w:rsidRPr="005071A1">
              <w:t> </w:t>
            </w:r>
            <w:r w:rsidR="009B7AF5" w:rsidRPr="005071A1">
              <w:t>July 1948 (</w:t>
            </w:r>
            <w:r w:rsidR="009B7AF5" w:rsidRPr="005071A1">
              <w:rPr>
                <w:i/>
              </w:rPr>
              <w:t xml:space="preserve">see Gazette </w:t>
            </w:r>
            <w:r w:rsidR="009B7AF5" w:rsidRPr="005071A1">
              <w:t>1948, p. 2583)</w:t>
            </w:r>
          </w:p>
        </w:tc>
        <w:tc>
          <w:tcPr>
            <w:tcW w:w="1417" w:type="dxa"/>
            <w:tcBorders>
              <w:top w:val="single" w:sz="4" w:space="0" w:color="auto"/>
              <w:bottom w:val="nil"/>
            </w:tcBorders>
            <w:shd w:val="clear" w:color="auto" w:fill="auto"/>
          </w:tcPr>
          <w:p w14:paraId="6C527486" w14:textId="77777777" w:rsidR="009B7AF5" w:rsidRPr="005071A1" w:rsidRDefault="002477D1" w:rsidP="009B7AF5">
            <w:pPr>
              <w:pStyle w:val="ENoteTableText"/>
            </w:pPr>
            <w:r w:rsidRPr="005071A1">
              <w:t>s.</w:t>
            </w:r>
            <w:r w:rsidR="009B7AF5" w:rsidRPr="005071A1">
              <w:t xml:space="preserve"> 8(2)–(6) (rep. by 76, 1950, s. 14)</w:t>
            </w:r>
          </w:p>
        </w:tc>
      </w:tr>
      <w:tr w:rsidR="009B7AF5" w:rsidRPr="005071A1" w14:paraId="0E7CBA84" w14:textId="77777777" w:rsidTr="00322DFA">
        <w:trPr>
          <w:cantSplit/>
        </w:trPr>
        <w:tc>
          <w:tcPr>
            <w:tcW w:w="1838" w:type="dxa"/>
            <w:tcBorders>
              <w:top w:val="nil"/>
              <w:bottom w:val="nil"/>
            </w:tcBorders>
            <w:shd w:val="clear" w:color="auto" w:fill="auto"/>
          </w:tcPr>
          <w:p w14:paraId="52FCFC5B"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4E6A0094" w14:textId="77777777" w:rsidR="009B7AF5" w:rsidRPr="005071A1" w:rsidRDefault="009B7AF5" w:rsidP="009B7AF5">
            <w:pPr>
              <w:pStyle w:val="ENoteTableText"/>
            </w:pPr>
          </w:p>
        </w:tc>
        <w:tc>
          <w:tcPr>
            <w:tcW w:w="993" w:type="dxa"/>
            <w:tcBorders>
              <w:top w:val="nil"/>
              <w:bottom w:val="nil"/>
            </w:tcBorders>
            <w:shd w:val="clear" w:color="auto" w:fill="auto"/>
          </w:tcPr>
          <w:p w14:paraId="53A51F95" w14:textId="77777777" w:rsidR="009B7AF5" w:rsidRPr="005071A1" w:rsidRDefault="009B7AF5" w:rsidP="009B7AF5">
            <w:pPr>
              <w:pStyle w:val="ENoteTableText"/>
            </w:pPr>
          </w:p>
        </w:tc>
        <w:tc>
          <w:tcPr>
            <w:tcW w:w="1845" w:type="dxa"/>
            <w:tcBorders>
              <w:top w:val="nil"/>
              <w:bottom w:val="nil"/>
            </w:tcBorders>
            <w:shd w:val="clear" w:color="auto" w:fill="auto"/>
          </w:tcPr>
          <w:p w14:paraId="00B96D9A" w14:textId="77777777" w:rsidR="009B7AF5" w:rsidRPr="005071A1" w:rsidRDefault="009B7AF5" w:rsidP="009B7AF5">
            <w:pPr>
              <w:pStyle w:val="ENoteTableText"/>
            </w:pPr>
          </w:p>
        </w:tc>
        <w:tc>
          <w:tcPr>
            <w:tcW w:w="1417" w:type="dxa"/>
            <w:tcBorders>
              <w:top w:val="nil"/>
              <w:bottom w:val="nil"/>
            </w:tcBorders>
            <w:shd w:val="clear" w:color="auto" w:fill="auto"/>
          </w:tcPr>
          <w:p w14:paraId="64AE5195" w14:textId="77777777" w:rsidR="009B7AF5" w:rsidRPr="005071A1" w:rsidRDefault="009B7AF5" w:rsidP="009B7AF5">
            <w:pPr>
              <w:pStyle w:val="ENoteTableText"/>
            </w:pPr>
          </w:p>
        </w:tc>
      </w:tr>
      <w:tr w:rsidR="009B7AF5" w:rsidRPr="005071A1" w14:paraId="24FDA82E" w14:textId="77777777" w:rsidTr="00322DFA">
        <w:trPr>
          <w:cantSplit/>
        </w:trPr>
        <w:tc>
          <w:tcPr>
            <w:tcW w:w="1838" w:type="dxa"/>
            <w:tcBorders>
              <w:top w:val="nil"/>
              <w:bottom w:val="single" w:sz="4" w:space="0" w:color="auto"/>
            </w:tcBorders>
            <w:shd w:val="clear" w:color="auto" w:fill="auto"/>
          </w:tcPr>
          <w:p w14:paraId="620C22C8" w14:textId="77777777" w:rsidR="009B7AF5" w:rsidRPr="005071A1" w:rsidRDefault="009B7AF5" w:rsidP="009B7AF5">
            <w:pPr>
              <w:pStyle w:val="ENoteTTi"/>
            </w:pPr>
            <w:r w:rsidRPr="005071A1">
              <w:t>Superannuation Act 1950</w:t>
            </w:r>
          </w:p>
        </w:tc>
        <w:tc>
          <w:tcPr>
            <w:tcW w:w="992" w:type="dxa"/>
            <w:tcBorders>
              <w:top w:val="nil"/>
              <w:bottom w:val="single" w:sz="4" w:space="0" w:color="auto"/>
            </w:tcBorders>
            <w:shd w:val="clear" w:color="auto" w:fill="auto"/>
          </w:tcPr>
          <w:p w14:paraId="069F41C7" w14:textId="77777777" w:rsidR="009B7AF5" w:rsidRPr="005071A1" w:rsidRDefault="009B7AF5" w:rsidP="009B7AF5">
            <w:pPr>
              <w:pStyle w:val="ENoteTableText"/>
            </w:pPr>
            <w:r w:rsidRPr="005071A1">
              <w:t>76, 1950</w:t>
            </w:r>
          </w:p>
        </w:tc>
        <w:tc>
          <w:tcPr>
            <w:tcW w:w="993" w:type="dxa"/>
            <w:tcBorders>
              <w:top w:val="nil"/>
              <w:bottom w:val="single" w:sz="4" w:space="0" w:color="auto"/>
            </w:tcBorders>
            <w:shd w:val="clear" w:color="auto" w:fill="auto"/>
          </w:tcPr>
          <w:p w14:paraId="26AB3115" w14:textId="77777777" w:rsidR="009B7AF5" w:rsidRPr="005071A1" w:rsidRDefault="009B7AF5" w:rsidP="009B7AF5">
            <w:pPr>
              <w:pStyle w:val="ENoteTableText"/>
            </w:pPr>
            <w:smartTag w:uri="urn:schemas-microsoft-com:office:smarttags" w:element="date">
              <w:smartTagPr>
                <w:attr w:name="Month" w:val="12"/>
                <w:attr w:name="Day" w:val="15"/>
                <w:attr w:name="Year" w:val="1950"/>
              </w:smartTagPr>
              <w:r w:rsidRPr="005071A1">
                <w:t>15 Dec 1950</w:t>
              </w:r>
            </w:smartTag>
          </w:p>
        </w:tc>
        <w:tc>
          <w:tcPr>
            <w:tcW w:w="1845" w:type="dxa"/>
            <w:tcBorders>
              <w:top w:val="nil"/>
              <w:bottom w:val="single" w:sz="4" w:space="0" w:color="auto"/>
            </w:tcBorders>
            <w:shd w:val="clear" w:color="auto" w:fill="auto"/>
          </w:tcPr>
          <w:p w14:paraId="1086B88A" w14:textId="77777777" w:rsidR="009B7AF5" w:rsidRPr="005071A1" w:rsidRDefault="009B7AF5" w:rsidP="009B7AF5">
            <w:pPr>
              <w:pStyle w:val="ENoteTableText"/>
            </w:pPr>
            <w:smartTag w:uri="urn:schemas-microsoft-com:office:smarttags" w:element="date">
              <w:smartTagPr>
                <w:attr w:name="Month" w:val="12"/>
                <w:attr w:name="Day" w:val="15"/>
                <w:attr w:name="Year" w:val="1950"/>
              </w:smartTagPr>
              <w:r w:rsidRPr="005071A1">
                <w:t>15 Dec 1950</w:t>
              </w:r>
            </w:smartTag>
          </w:p>
        </w:tc>
        <w:tc>
          <w:tcPr>
            <w:tcW w:w="1417" w:type="dxa"/>
            <w:tcBorders>
              <w:top w:val="nil"/>
              <w:bottom w:val="single" w:sz="4" w:space="0" w:color="auto"/>
            </w:tcBorders>
            <w:shd w:val="clear" w:color="auto" w:fill="auto"/>
          </w:tcPr>
          <w:p w14:paraId="1B624BAB"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5FFA4DF7" w14:textId="77777777" w:rsidTr="00322DFA">
        <w:trPr>
          <w:cantSplit/>
        </w:trPr>
        <w:tc>
          <w:tcPr>
            <w:tcW w:w="1838" w:type="dxa"/>
            <w:tcBorders>
              <w:top w:val="single" w:sz="4" w:space="0" w:color="auto"/>
              <w:bottom w:val="nil"/>
            </w:tcBorders>
            <w:shd w:val="clear" w:color="auto" w:fill="auto"/>
          </w:tcPr>
          <w:p w14:paraId="3229A402" w14:textId="77777777" w:rsidR="009B7AF5" w:rsidRPr="005071A1" w:rsidRDefault="009B7AF5" w:rsidP="009B7AF5">
            <w:pPr>
              <w:pStyle w:val="ENoteTableText"/>
            </w:pPr>
            <w:r w:rsidRPr="005071A1">
              <w:t>Superannuation Act 1950</w:t>
            </w:r>
          </w:p>
        </w:tc>
        <w:tc>
          <w:tcPr>
            <w:tcW w:w="992" w:type="dxa"/>
            <w:tcBorders>
              <w:top w:val="single" w:sz="4" w:space="0" w:color="auto"/>
              <w:bottom w:val="nil"/>
            </w:tcBorders>
            <w:shd w:val="clear" w:color="auto" w:fill="auto"/>
          </w:tcPr>
          <w:p w14:paraId="0285BC85" w14:textId="77777777" w:rsidR="009B7AF5" w:rsidRPr="005071A1" w:rsidRDefault="009B7AF5" w:rsidP="009B7AF5">
            <w:pPr>
              <w:pStyle w:val="ENoteTableText"/>
            </w:pPr>
            <w:r w:rsidRPr="005071A1">
              <w:t>76, 1950</w:t>
            </w:r>
          </w:p>
        </w:tc>
        <w:tc>
          <w:tcPr>
            <w:tcW w:w="993" w:type="dxa"/>
            <w:tcBorders>
              <w:top w:val="single" w:sz="4" w:space="0" w:color="auto"/>
              <w:bottom w:val="nil"/>
            </w:tcBorders>
            <w:shd w:val="clear" w:color="auto" w:fill="auto"/>
          </w:tcPr>
          <w:p w14:paraId="5F9DDAFC" w14:textId="77777777" w:rsidR="009B7AF5" w:rsidRPr="005071A1" w:rsidRDefault="009B7AF5" w:rsidP="009B7AF5">
            <w:pPr>
              <w:pStyle w:val="ENoteTableText"/>
            </w:pPr>
            <w:smartTag w:uri="urn:schemas-microsoft-com:office:smarttags" w:element="date">
              <w:smartTagPr>
                <w:attr w:name="Month" w:val="12"/>
                <w:attr w:name="Day" w:val="15"/>
                <w:attr w:name="Year" w:val="1950"/>
              </w:smartTagPr>
              <w:r w:rsidRPr="005071A1">
                <w:t>15 Dec 1950</w:t>
              </w:r>
            </w:smartTag>
          </w:p>
        </w:tc>
        <w:tc>
          <w:tcPr>
            <w:tcW w:w="1845" w:type="dxa"/>
            <w:tcBorders>
              <w:top w:val="single" w:sz="4" w:space="0" w:color="auto"/>
              <w:bottom w:val="nil"/>
            </w:tcBorders>
            <w:shd w:val="clear" w:color="auto" w:fill="auto"/>
          </w:tcPr>
          <w:p w14:paraId="45E6D6E2" w14:textId="77777777" w:rsidR="009B7AF5" w:rsidRPr="005071A1" w:rsidRDefault="009B7AF5" w:rsidP="009B7AF5">
            <w:pPr>
              <w:pStyle w:val="ENoteTableText"/>
            </w:pPr>
            <w:smartTag w:uri="urn:schemas-microsoft-com:office:smarttags" w:element="date">
              <w:smartTagPr>
                <w:attr w:name="Month" w:val="12"/>
                <w:attr w:name="Day" w:val="15"/>
                <w:attr w:name="Year" w:val="1950"/>
              </w:smartTagPr>
              <w:r w:rsidRPr="005071A1">
                <w:t>15 Dec 1950</w:t>
              </w:r>
            </w:smartTag>
          </w:p>
        </w:tc>
        <w:tc>
          <w:tcPr>
            <w:tcW w:w="1417" w:type="dxa"/>
            <w:tcBorders>
              <w:top w:val="single" w:sz="4" w:space="0" w:color="auto"/>
              <w:bottom w:val="nil"/>
            </w:tcBorders>
            <w:shd w:val="clear" w:color="auto" w:fill="auto"/>
          </w:tcPr>
          <w:p w14:paraId="43CE64B5" w14:textId="77777777" w:rsidR="009B7AF5" w:rsidRPr="005071A1" w:rsidRDefault="002477D1" w:rsidP="009B7AF5">
            <w:pPr>
              <w:pStyle w:val="ENoteTableText"/>
            </w:pPr>
            <w:r w:rsidRPr="005071A1">
              <w:t>ss.</w:t>
            </w:r>
            <w:r w:rsidR="008B2950" w:rsidRPr="005071A1">
              <w:t> </w:t>
            </w:r>
            <w:r w:rsidR="009B7AF5" w:rsidRPr="005071A1">
              <w:t>13 and 16</w:t>
            </w:r>
            <w:r w:rsidR="009B7AF5" w:rsidRPr="005071A1">
              <w:br/>
            </w:r>
            <w:r w:rsidRPr="005071A1">
              <w:t>s.</w:t>
            </w:r>
            <w:r w:rsidR="009B7AF5" w:rsidRPr="005071A1">
              <w:t xml:space="preserve"> 15 (rep. by 49, 1951, s. 27)</w:t>
            </w:r>
          </w:p>
        </w:tc>
      </w:tr>
      <w:tr w:rsidR="009B7AF5" w:rsidRPr="005071A1" w14:paraId="4367A913" w14:textId="77777777" w:rsidTr="00322DFA">
        <w:trPr>
          <w:cantSplit/>
        </w:trPr>
        <w:tc>
          <w:tcPr>
            <w:tcW w:w="1838" w:type="dxa"/>
            <w:tcBorders>
              <w:top w:val="nil"/>
              <w:bottom w:val="nil"/>
            </w:tcBorders>
            <w:shd w:val="clear" w:color="auto" w:fill="auto"/>
          </w:tcPr>
          <w:p w14:paraId="208DF13F"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006CC2AD" w14:textId="77777777" w:rsidR="009B7AF5" w:rsidRPr="005071A1" w:rsidRDefault="009B7AF5" w:rsidP="009B7AF5">
            <w:pPr>
              <w:pStyle w:val="ENoteTableText"/>
            </w:pPr>
          </w:p>
        </w:tc>
        <w:tc>
          <w:tcPr>
            <w:tcW w:w="993" w:type="dxa"/>
            <w:tcBorders>
              <w:top w:val="nil"/>
              <w:bottom w:val="nil"/>
            </w:tcBorders>
            <w:shd w:val="clear" w:color="auto" w:fill="auto"/>
          </w:tcPr>
          <w:p w14:paraId="67751095" w14:textId="77777777" w:rsidR="009B7AF5" w:rsidRPr="005071A1" w:rsidRDefault="009B7AF5" w:rsidP="009B7AF5">
            <w:pPr>
              <w:pStyle w:val="ENoteTableText"/>
            </w:pPr>
          </w:p>
        </w:tc>
        <w:tc>
          <w:tcPr>
            <w:tcW w:w="1845" w:type="dxa"/>
            <w:tcBorders>
              <w:top w:val="nil"/>
              <w:bottom w:val="nil"/>
            </w:tcBorders>
            <w:shd w:val="clear" w:color="auto" w:fill="auto"/>
          </w:tcPr>
          <w:p w14:paraId="110A04A4" w14:textId="77777777" w:rsidR="009B7AF5" w:rsidRPr="005071A1" w:rsidRDefault="009B7AF5" w:rsidP="009B7AF5">
            <w:pPr>
              <w:pStyle w:val="ENoteTableText"/>
            </w:pPr>
          </w:p>
        </w:tc>
        <w:tc>
          <w:tcPr>
            <w:tcW w:w="1417" w:type="dxa"/>
            <w:tcBorders>
              <w:top w:val="nil"/>
              <w:bottom w:val="nil"/>
            </w:tcBorders>
            <w:shd w:val="clear" w:color="auto" w:fill="auto"/>
          </w:tcPr>
          <w:p w14:paraId="4860C4B8" w14:textId="77777777" w:rsidR="009B7AF5" w:rsidRPr="005071A1" w:rsidRDefault="009B7AF5" w:rsidP="009B7AF5">
            <w:pPr>
              <w:pStyle w:val="ENoteTableText"/>
            </w:pPr>
          </w:p>
        </w:tc>
      </w:tr>
      <w:tr w:rsidR="009B7AF5" w:rsidRPr="005071A1" w14:paraId="3ECB4AD6" w14:textId="77777777" w:rsidTr="00322DFA">
        <w:trPr>
          <w:cantSplit/>
        </w:trPr>
        <w:tc>
          <w:tcPr>
            <w:tcW w:w="1838" w:type="dxa"/>
            <w:tcBorders>
              <w:top w:val="nil"/>
              <w:bottom w:val="single" w:sz="4" w:space="0" w:color="auto"/>
            </w:tcBorders>
            <w:shd w:val="clear" w:color="auto" w:fill="auto"/>
          </w:tcPr>
          <w:p w14:paraId="7ACE1CC2" w14:textId="77777777" w:rsidR="009B7AF5" w:rsidRPr="005071A1" w:rsidRDefault="009B7AF5" w:rsidP="009B7AF5">
            <w:pPr>
              <w:pStyle w:val="ENoteTTi"/>
            </w:pPr>
            <w:r w:rsidRPr="005071A1">
              <w:t>Superannuation Act 1951</w:t>
            </w:r>
          </w:p>
        </w:tc>
        <w:tc>
          <w:tcPr>
            <w:tcW w:w="992" w:type="dxa"/>
            <w:tcBorders>
              <w:top w:val="nil"/>
              <w:bottom w:val="single" w:sz="4" w:space="0" w:color="auto"/>
            </w:tcBorders>
            <w:shd w:val="clear" w:color="auto" w:fill="auto"/>
          </w:tcPr>
          <w:p w14:paraId="50323D08" w14:textId="77777777" w:rsidR="009B7AF5" w:rsidRPr="005071A1" w:rsidRDefault="009B7AF5" w:rsidP="009B7AF5">
            <w:pPr>
              <w:pStyle w:val="ENoteTableText"/>
            </w:pPr>
            <w:r w:rsidRPr="005071A1">
              <w:t>49, 1951</w:t>
            </w:r>
          </w:p>
        </w:tc>
        <w:tc>
          <w:tcPr>
            <w:tcW w:w="993" w:type="dxa"/>
            <w:tcBorders>
              <w:top w:val="nil"/>
              <w:bottom w:val="single" w:sz="4" w:space="0" w:color="auto"/>
            </w:tcBorders>
            <w:shd w:val="clear" w:color="auto" w:fill="auto"/>
          </w:tcPr>
          <w:p w14:paraId="325C2DCE" w14:textId="77777777" w:rsidR="009B7AF5" w:rsidRPr="005071A1" w:rsidRDefault="009B7AF5" w:rsidP="009B7AF5">
            <w:pPr>
              <w:pStyle w:val="ENoteTableText"/>
            </w:pPr>
            <w:smartTag w:uri="urn:schemas-microsoft-com:office:smarttags" w:element="date">
              <w:smartTagPr>
                <w:attr w:name="Month" w:val="12"/>
                <w:attr w:name="Day" w:val="11"/>
                <w:attr w:name="Year" w:val="1951"/>
              </w:smartTagPr>
              <w:r w:rsidRPr="005071A1">
                <w:t>11 Dec 1951</w:t>
              </w:r>
            </w:smartTag>
          </w:p>
        </w:tc>
        <w:tc>
          <w:tcPr>
            <w:tcW w:w="1845" w:type="dxa"/>
            <w:tcBorders>
              <w:top w:val="nil"/>
              <w:bottom w:val="single" w:sz="4" w:space="0" w:color="auto"/>
            </w:tcBorders>
            <w:shd w:val="clear" w:color="auto" w:fill="auto"/>
          </w:tcPr>
          <w:p w14:paraId="1555FFC5" w14:textId="77777777" w:rsidR="009B7AF5" w:rsidRPr="005071A1" w:rsidRDefault="009B7AF5" w:rsidP="009B7AF5">
            <w:pPr>
              <w:pStyle w:val="ENoteTableText"/>
            </w:pPr>
            <w:smartTag w:uri="urn:schemas-microsoft-com:office:smarttags" w:element="date">
              <w:smartTagPr>
                <w:attr w:name="Month" w:val="12"/>
                <w:attr w:name="Day" w:val="11"/>
                <w:attr w:name="Year" w:val="1951"/>
              </w:smartTagPr>
              <w:r w:rsidRPr="005071A1">
                <w:t>11 Dec 1951</w:t>
              </w:r>
            </w:smartTag>
          </w:p>
        </w:tc>
        <w:tc>
          <w:tcPr>
            <w:tcW w:w="1417" w:type="dxa"/>
            <w:tcBorders>
              <w:top w:val="nil"/>
              <w:bottom w:val="single" w:sz="4" w:space="0" w:color="auto"/>
            </w:tcBorders>
            <w:shd w:val="clear" w:color="auto" w:fill="auto"/>
          </w:tcPr>
          <w:p w14:paraId="1F41EA6E"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5180508B" w14:textId="77777777" w:rsidTr="00322DFA">
        <w:trPr>
          <w:cantSplit/>
        </w:trPr>
        <w:tc>
          <w:tcPr>
            <w:tcW w:w="1838" w:type="dxa"/>
            <w:tcBorders>
              <w:top w:val="single" w:sz="4" w:space="0" w:color="auto"/>
              <w:bottom w:val="nil"/>
            </w:tcBorders>
            <w:shd w:val="clear" w:color="auto" w:fill="auto"/>
          </w:tcPr>
          <w:p w14:paraId="1802DB85" w14:textId="77777777" w:rsidR="009B7AF5" w:rsidRPr="005071A1" w:rsidRDefault="009B7AF5" w:rsidP="009B7AF5">
            <w:pPr>
              <w:pStyle w:val="ENoteTableText"/>
            </w:pPr>
            <w:r w:rsidRPr="005071A1">
              <w:t>Superannuation Act 1951</w:t>
            </w:r>
          </w:p>
        </w:tc>
        <w:tc>
          <w:tcPr>
            <w:tcW w:w="992" w:type="dxa"/>
            <w:tcBorders>
              <w:top w:val="single" w:sz="4" w:space="0" w:color="auto"/>
              <w:bottom w:val="nil"/>
            </w:tcBorders>
            <w:shd w:val="clear" w:color="auto" w:fill="auto"/>
          </w:tcPr>
          <w:p w14:paraId="40AC46BF" w14:textId="77777777" w:rsidR="009B7AF5" w:rsidRPr="005071A1" w:rsidRDefault="009B7AF5" w:rsidP="009B7AF5">
            <w:pPr>
              <w:pStyle w:val="ENoteTableText"/>
            </w:pPr>
            <w:r w:rsidRPr="005071A1">
              <w:t>49, 1951</w:t>
            </w:r>
          </w:p>
        </w:tc>
        <w:tc>
          <w:tcPr>
            <w:tcW w:w="993" w:type="dxa"/>
            <w:tcBorders>
              <w:top w:val="single" w:sz="4" w:space="0" w:color="auto"/>
              <w:bottom w:val="nil"/>
            </w:tcBorders>
            <w:shd w:val="clear" w:color="auto" w:fill="auto"/>
          </w:tcPr>
          <w:p w14:paraId="2C22E787" w14:textId="77777777" w:rsidR="009B7AF5" w:rsidRPr="005071A1" w:rsidRDefault="009B7AF5" w:rsidP="009B7AF5">
            <w:pPr>
              <w:pStyle w:val="ENoteTableText"/>
            </w:pPr>
            <w:smartTag w:uri="urn:schemas-microsoft-com:office:smarttags" w:element="date">
              <w:smartTagPr>
                <w:attr w:name="Month" w:val="12"/>
                <w:attr w:name="Day" w:val="11"/>
                <w:attr w:name="Year" w:val="1951"/>
              </w:smartTagPr>
              <w:r w:rsidRPr="005071A1">
                <w:t>11 Dec 1951</w:t>
              </w:r>
            </w:smartTag>
          </w:p>
        </w:tc>
        <w:tc>
          <w:tcPr>
            <w:tcW w:w="1845" w:type="dxa"/>
            <w:tcBorders>
              <w:top w:val="single" w:sz="4" w:space="0" w:color="auto"/>
              <w:bottom w:val="nil"/>
            </w:tcBorders>
            <w:shd w:val="clear" w:color="auto" w:fill="auto"/>
          </w:tcPr>
          <w:p w14:paraId="5218ED39" w14:textId="77777777" w:rsidR="009B7AF5" w:rsidRPr="005071A1" w:rsidRDefault="009B7AF5" w:rsidP="009B7AF5">
            <w:pPr>
              <w:pStyle w:val="ENoteTableText"/>
            </w:pPr>
            <w:smartTag w:uri="urn:schemas-microsoft-com:office:smarttags" w:element="date">
              <w:smartTagPr>
                <w:attr w:name="Month" w:val="12"/>
                <w:attr w:name="Day" w:val="11"/>
                <w:attr w:name="Year" w:val="1951"/>
              </w:smartTagPr>
              <w:r w:rsidRPr="005071A1">
                <w:t>11 Dec 1951</w:t>
              </w:r>
            </w:smartTag>
          </w:p>
        </w:tc>
        <w:tc>
          <w:tcPr>
            <w:tcW w:w="1417" w:type="dxa"/>
            <w:tcBorders>
              <w:top w:val="single" w:sz="4" w:space="0" w:color="auto"/>
              <w:bottom w:val="nil"/>
            </w:tcBorders>
            <w:shd w:val="clear" w:color="auto" w:fill="auto"/>
          </w:tcPr>
          <w:p w14:paraId="215192FA"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48E0DDE6" w14:textId="77777777" w:rsidTr="00322DFA">
        <w:trPr>
          <w:cantSplit/>
        </w:trPr>
        <w:tc>
          <w:tcPr>
            <w:tcW w:w="1838" w:type="dxa"/>
            <w:tcBorders>
              <w:top w:val="nil"/>
              <w:bottom w:val="nil"/>
            </w:tcBorders>
            <w:shd w:val="clear" w:color="auto" w:fill="auto"/>
          </w:tcPr>
          <w:p w14:paraId="429EC887"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607FA953" w14:textId="77777777" w:rsidR="009B7AF5" w:rsidRPr="005071A1" w:rsidRDefault="009B7AF5" w:rsidP="009B7AF5">
            <w:pPr>
              <w:pStyle w:val="ENoteTableText"/>
            </w:pPr>
          </w:p>
        </w:tc>
        <w:tc>
          <w:tcPr>
            <w:tcW w:w="993" w:type="dxa"/>
            <w:tcBorders>
              <w:top w:val="nil"/>
              <w:bottom w:val="nil"/>
            </w:tcBorders>
            <w:shd w:val="clear" w:color="auto" w:fill="auto"/>
          </w:tcPr>
          <w:p w14:paraId="1C8FBD88" w14:textId="77777777" w:rsidR="009B7AF5" w:rsidRPr="005071A1" w:rsidRDefault="009B7AF5" w:rsidP="009B7AF5">
            <w:pPr>
              <w:pStyle w:val="ENoteTableText"/>
            </w:pPr>
          </w:p>
        </w:tc>
        <w:tc>
          <w:tcPr>
            <w:tcW w:w="1845" w:type="dxa"/>
            <w:tcBorders>
              <w:top w:val="nil"/>
              <w:bottom w:val="nil"/>
            </w:tcBorders>
            <w:shd w:val="clear" w:color="auto" w:fill="auto"/>
          </w:tcPr>
          <w:p w14:paraId="5166BEDB" w14:textId="77777777" w:rsidR="009B7AF5" w:rsidRPr="005071A1" w:rsidRDefault="009B7AF5" w:rsidP="009B7AF5">
            <w:pPr>
              <w:pStyle w:val="ENoteTableText"/>
            </w:pPr>
          </w:p>
        </w:tc>
        <w:tc>
          <w:tcPr>
            <w:tcW w:w="1417" w:type="dxa"/>
            <w:tcBorders>
              <w:top w:val="nil"/>
              <w:bottom w:val="nil"/>
            </w:tcBorders>
            <w:shd w:val="clear" w:color="auto" w:fill="auto"/>
          </w:tcPr>
          <w:p w14:paraId="6DB4B717" w14:textId="77777777" w:rsidR="009B7AF5" w:rsidRPr="005071A1" w:rsidRDefault="009B7AF5" w:rsidP="009B7AF5">
            <w:pPr>
              <w:pStyle w:val="ENoteTableText"/>
            </w:pPr>
          </w:p>
        </w:tc>
      </w:tr>
      <w:tr w:rsidR="009B7AF5" w:rsidRPr="005071A1" w14:paraId="058DB127" w14:textId="77777777" w:rsidTr="00322DFA">
        <w:trPr>
          <w:cantSplit/>
        </w:trPr>
        <w:tc>
          <w:tcPr>
            <w:tcW w:w="1838" w:type="dxa"/>
            <w:tcBorders>
              <w:top w:val="nil"/>
              <w:bottom w:val="single" w:sz="4" w:space="0" w:color="auto"/>
            </w:tcBorders>
            <w:shd w:val="clear" w:color="auto" w:fill="auto"/>
          </w:tcPr>
          <w:p w14:paraId="75AD93CC" w14:textId="77777777" w:rsidR="009B7AF5" w:rsidRPr="005071A1" w:rsidRDefault="009B7AF5" w:rsidP="009B7AF5">
            <w:pPr>
              <w:pStyle w:val="ENoteTTi"/>
            </w:pPr>
            <w:r w:rsidRPr="005071A1">
              <w:t>Superannuation Act 1954</w:t>
            </w:r>
          </w:p>
        </w:tc>
        <w:tc>
          <w:tcPr>
            <w:tcW w:w="992" w:type="dxa"/>
            <w:tcBorders>
              <w:top w:val="nil"/>
              <w:bottom w:val="single" w:sz="4" w:space="0" w:color="auto"/>
            </w:tcBorders>
            <w:shd w:val="clear" w:color="auto" w:fill="auto"/>
          </w:tcPr>
          <w:p w14:paraId="1F0BF1BF" w14:textId="77777777" w:rsidR="009B7AF5" w:rsidRPr="005071A1" w:rsidRDefault="009B7AF5" w:rsidP="009B7AF5">
            <w:pPr>
              <w:pStyle w:val="ENoteTableText"/>
            </w:pPr>
            <w:r w:rsidRPr="005071A1">
              <w:t>11, 1954</w:t>
            </w:r>
          </w:p>
        </w:tc>
        <w:tc>
          <w:tcPr>
            <w:tcW w:w="993" w:type="dxa"/>
            <w:tcBorders>
              <w:top w:val="nil"/>
              <w:bottom w:val="single" w:sz="4" w:space="0" w:color="auto"/>
            </w:tcBorders>
            <w:shd w:val="clear" w:color="auto" w:fill="auto"/>
          </w:tcPr>
          <w:p w14:paraId="2845F0F3" w14:textId="77777777" w:rsidR="009B7AF5" w:rsidRPr="005071A1" w:rsidRDefault="009B7AF5" w:rsidP="009B7AF5">
            <w:pPr>
              <w:pStyle w:val="ENoteTableText"/>
            </w:pPr>
            <w:smartTag w:uri="urn:schemas-microsoft-com:office:smarttags" w:element="date">
              <w:smartTagPr>
                <w:attr w:name="Month" w:val="4"/>
                <w:attr w:name="Day" w:val="20"/>
                <w:attr w:name="Year" w:val="1954"/>
              </w:smartTagPr>
              <w:r w:rsidRPr="005071A1">
                <w:t>20 Apr 1954</w:t>
              </w:r>
            </w:smartTag>
          </w:p>
        </w:tc>
        <w:tc>
          <w:tcPr>
            <w:tcW w:w="1845" w:type="dxa"/>
            <w:tcBorders>
              <w:top w:val="nil"/>
              <w:bottom w:val="single" w:sz="4" w:space="0" w:color="auto"/>
            </w:tcBorders>
            <w:shd w:val="clear" w:color="auto" w:fill="auto"/>
          </w:tcPr>
          <w:p w14:paraId="1E395579" w14:textId="77777777" w:rsidR="009B7AF5" w:rsidRPr="005071A1" w:rsidRDefault="009B7AF5" w:rsidP="009B7AF5">
            <w:pPr>
              <w:pStyle w:val="ENoteTableText"/>
            </w:pPr>
            <w:r w:rsidRPr="005071A1">
              <w:t>(</w:t>
            </w:r>
            <w:r w:rsidRPr="005071A1">
              <w:rPr>
                <w:i/>
              </w:rPr>
              <w:t xml:space="preserve">see </w:t>
            </w:r>
            <w:r w:rsidRPr="005071A1">
              <w:t>11, 1954 below)</w:t>
            </w:r>
          </w:p>
        </w:tc>
        <w:tc>
          <w:tcPr>
            <w:tcW w:w="1417" w:type="dxa"/>
            <w:tcBorders>
              <w:top w:val="nil"/>
              <w:bottom w:val="single" w:sz="4" w:space="0" w:color="auto"/>
            </w:tcBorders>
            <w:shd w:val="clear" w:color="auto" w:fill="auto"/>
          </w:tcPr>
          <w:p w14:paraId="1890C978"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7E28F7FA" w14:textId="77777777" w:rsidTr="00322DFA">
        <w:trPr>
          <w:cantSplit/>
        </w:trPr>
        <w:tc>
          <w:tcPr>
            <w:tcW w:w="1838" w:type="dxa"/>
            <w:tcBorders>
              <w:top w:val="single" w:sz="4" w:space="0" w:color="auto"/>
              <w:bottom w:val="single" w:sz="4" w:space="0" w:color="auto"/>
            </w:tcBorders>
            <w:shd w:val="clear" w:color="auto" w:fill="auto"/>
          </w:tcPr>
          <w:p w14:paraId="27D1CD42" w14:textId="77777777" w:rsidR="009B7AF5" w:rsidRPr="005071A1" w:rsidRDefault="009B7AF5" w:rsidP="009B7AF5">
            <w:pPr>
              <w:pStyle w:val="ENoteTableText"/>
            </w:pPr>
            <w:r w:rsidRPr="005071A1">
              <w:t>Superannuation Act (No.</w:t>
            </w:r>
            <w:r w:rsidR="008B2950" w:rsidRPr="005071A1">
              <w:t> </w:t>
            </w:r>
            <w:r w:rsidRPr="005071A1">
              <w:t>2) 1951</w:t>
            </w:r>
          </w:p>
        </w:tc>
        <w:tc>
          <w:tcPr>
            <w:tcW w:w="992" w:type="dxa"/>
            <w:tcBorders>
              <w:top w:val="single" w:sz="4" w:space="0" w:color="auto"/>
              <w:bottom w:val="single" w:sz="4" w:space="0" w:color="auto"/>
            </w:tcBorders>
            <w:shd w:val="clear" w:color="auto" w:fill="auto"/>
          </w:tcPr>
          <w:p w14:paraId="36BC1746" w14:textId="77777777" w:rsidR="009B7AF5" w:rsidRPr="005071A1" w:rsidRDefault="009B7AF5" w:rsidP="009B7AF5">
            <w:pPr>
              <w:pStyle w:val="ENoteTableText"/>
            </w:pPr>
            <w:r w:rsidRPr="005071A1">
              <w:t>62, 1951</w:t>
            </w:r>
          </w:p>
        </w:tc>
        <w:tc>
          <w:tcPr>
            <w:tcW w:w="993" w:type="dxa"/>
            <w:tcBorders>
              <w:top w:val="single" w:sz="4" w:space="0" w:color="auto"/>
              <w:bottom w:val="single" w:sz="4" w:space="0" w:color="auto"/>
            </w:tcBorders>
            <w:shd w:val="clear" w:color="auto" w:fill="auto"/>
          </w:tcPr>
          <w:p w14:paraId="68D5980B" w14:textId="77777777" w:rsidR="009B7AF5" w:rsidRPr="005071A1" w:rsidRDefault="009B7AF5" w:rsidP="009B7AF5">
            <w:pPr>
              <w:pStyle w:val="ENoteTableText"/>
            </w:pPr>
            <w:smartTag w:uri="urn:schemas-microsoft-com:office:smarttags" w:element="date">
              <w:smartTagPr>
                <w:attr w:name="Month" w:val="12"/>
                <w:attr w:name="Day" w:val="11"/>
                <w:attr w:name="Year" w:val="1951"/>
              </w:smartTagPr>
              <w:r w:rsidRPr="005071A1">
                <w:t>11 Dec 1951</w:t>
              </w:r>
            </w:smartTag>
          </w:p>
        </w:tc>
        <w:tc>
          <w:tcPr>
            <w:tcW w:w="1845" w:type="dxa"/>
            <w:tcBorders>
              <w:top w:val="single" w:sz="4" w:space="0" w:color="auto"/>
              <w:bottom w:val="single" w:sz="4" w:space="0" w:color="auto"/>
            </w:tcBorders>
            <w:shd w:val="clear" w:color="auto" w:fill="auto"/>
          </w:tcPr>
          <w:p w14:paraId="6536C000" w14:textId="77777777" w:rsidR="009B7AF5" w:rsidRPr="005071A1" w:rsidRDefault="009B7AF5" w:rsidP="009B7AF5">
            <w:pPr>
              <w:pStyle w:val="ENoteTableText"/>
            </w:pPr>
            <w:smartTag w:uri="urn:schemas-microsoft-com:office:smarttags" w:element="date">
              <w:smartTagPr>
                <w:attr w:name="Month" w:val="12"/>
                <w:attr w:name="Day" w:val="11"/>
                <w:attr w:name="Year" w:val="1951"/>
              </w:smartTagPr>
              <w:r w:rsidRPr="005071A1">
                <w:t>11 Dec 1951</w:t>
              </w:r>
            </w:smartTag>
          </w:p>
        </w:tc>
        <w:tc>
          <w:tcPr>
            <w:tcW w:w="1417" w:type="dxa"/>
            <w:tcBorders>
              <w:top w:val="single" w:sz="4" w:space="0" w:color="auto"/>
              <w:bottom w:val="single" w:sz="4" w:space="0" w:color="auto"/>
            </w:tcBorders>
            <w:shd w:val="clear" w:color="auto" w:fill="auto"/>
          </w:tcPr>
          <w:p w14:paraId="0070B052" w14:textId="77777777" w:rsidR="009B7AF5" w:rsidRPr="005071A1" w:rsidRDefault="002477D1" w:rsidP="009B7AF5">
            <w:pPr>
              <w:pStyle w:val="ENoteTableText"/>
            </w:pPr>
            <w:r w:rsidRPr="005071A1">
              <w:t>s.</w:t>
            </w:r>
            <w:r w:rsidR="009B7AF5" w:rsidRPr="005071A1">
              <w:t xml:space="preserve"> 5</w:t>
            </w:r>
          </w:p>
        </w:tc>
      </w:tr>
      <w:tr w:rsidR="009B7AF5" w:rsidRPr="005071A1" w14:paraId="76E7302A" w14:textId="77777777" w:rsidTr="00322DFA">
        <w:trPr>
          <w:cantSplit/>
        </w:trPr>
        <w:tc>
          <w:tcPr>
            <w:tcW w:w="1838" w:type="dxa"/>
            <w:tcBorders>
              <w:top w:val="single" w:sz="4" w:space="0" w:color="auto"/>
              <w:bottom w:val="single" w:sz="4" w:space="0" w:color="auto"/>
            </w:tcBorders>
            <w:shd w:val="clear" w:color="auto" w:fill="auto"/>
          </w:tcPr>
          <w:p w14:paraId="04BE28E3" w14:textId="77777777" w:rsidR="009B7AF5" w:rsidRPr="005071A1" w:rsidRDefault="009B7AF5" w:rsidP="009B7AF5">
            <w:pPr>
              <w:pStyle w:val="ENoteTableText"/>
            </w:pPr>
            <w:r w:rsidRPr="005071A1">
              <w:t>Superannuation Act 1952</w:t>
            </w:r>
          </w:p>
        </w:tc>
        <w:tc>
          <w:tcPr>
            <w:tcW w:w="992" w:type="dxa"/>
            <w:tcBorders>
              <w:top w:val="single" w:sz="4" w:space="0" w:color="auto"/>
              <w:bottom w:val="single" w:sz="4" w:space="0" w:color="auto"/>
            </w:tcBorders>
            <w:shd w:val="clear" w:color="auto" w:fill="auto"/>
          </w:tcPr>
          <w:p w14:paraId="0E333D3F" w14:textId="77777777" w:rsidR="009B7AF5" w:rsidRPr="005071A1" w:rsidRDefault="009B7AF5" w:rsidP="009B7AF5">
            <w:pPr>
              <w:pStyle w:val="ENoteTableText"/>
            </w:pPr>
            <w:r w:rsidRPr="005071A1">
              <w:t>92, 1952</w:t>
            </w:r>
          </w:p>
        </w:tc>
        <w:tc>
          <w:tcPr>
            <w:tcW w:w="993" w:type="dxa"/>
            <w:tcBorders>
              <w:top w:val="single" w:sz="4" w:space="0" w:color="auto"/>
              <w:bottom w:val="single" w:sz="4" w:space="0" w:color="auto"/>
            </w:tcBorders>
            <w:shd w:val="clear" w:color="auto" w:fill="auto"/>
          </w:tcPr>
          <w:p w14:paraId="5EC156E0" w14:textId="77777777" w:rsidR="009B7AF5" w:rsidRPr="005071A1" w:rsidRDefault="009B7AF5" w:rsidP="009B7AF5">
            <w:pPr>
              <w:pStyle w:val="ENoteTableText"/>
            </w:pPr>
            <w:smartTag w:uri="urn:schemas-microsoft-com:office:smarttags" w:element="date">
              <w:smartTagPr>
                <w:attr w:name="Month" w:val="11"/>
                <w:attr w:name="Day" w:val="18"/>
                <w:attr w:name="Year" w:val="1952"/>
              </w:smartTagPr>
              <w:r w:rsidRPr="005071A1">
                <w:t>18 Nov 1952</w:t>
              </w:r>
            </w:smartTag>
          </w:p>
        </w:tc>
        <w:tc>
          <w:tcPr>
            <w:tcW w:w="1845" w:type="dxa"/>
            <w:tcBorders>
              <w:top w:val="single" w:sz="4" w:space="0" w:color="auto"/>
              <w:bottom w:val="single" w:sz="4" w:space="0" w:color="auto"/>
            </w:tcBorders>
            <w:shd w:val="clear" w:color="auto" w:fill="auto"/>
          </w:tcPr>
          <w:p w14:paraId="3A2ECA09" w14:textId="77777777" w:rsidR="009B7AF5" w:rsidRPr="005071A1" w:rsidRDefault="009B7AF5" w:rsidP="009B7AF5">
            <w:pPr>
              <w:pStyle w:val="ENoteTableText"/>
            </w:pPr>
            <w:smartTag w:uri="urn:schemas-microsoft-com:office:smarttags" w:element="date">
              <w:smartTagPr>
                <w:attr w:name="Month" w:val="11"/>
                <w:attr w:name="Day" w:val="18"/>
                <w:attr w:name="Year" w:val="1952"/>
              </w:smartTagPr>
              <w:r w:rsidRPr="005071A1">
                <w:t>18 Nov 1952</w:t>
              </w:r>
            </w:smartTag>
          </w:p>
        </w:tc>
        <w:tc>
          <w:tcPr>
            <w:tcW w:w="1417" w:type="dxa"/>
            <w:tcBorders>
              <w:top w:val="single" w:sz="4" w:space="0" w:color="auto"/>
              <w:bottom w:val="single" w:sz="4" w:space="0" w:color="auto"/>
            </w:tcBorders>
            <w:shd w:val="clear" w:color="auto" w:fill="auto"/>
          </w:tcPr>
          <w:p w14:paraId="30097C02" w14:textId="77777777" w:rsidR="009B7AF5" w:rsidRPr="005071A1" w:rsidRDefault="002477D1" w:rsidP="009B7AF5">
            <w:pPr>
              <w:pStyle w:val="ENoteTableText"/>
            </w:pPr>
            <w:r w:rsidRPr="005071A1">
              <w:t>s.</w:t>
            </w:r>
            <w:r w:rsidR="009B7AF5" w:rsidRPr="005071A1">
              <w:t xml:space="preserve"> 5(2)</w:t>
            </w:r>
          </w:p>
        </w:tc>
      </w:tr>
      <w:tr w:rsidR="009B7AF5" w:rsidRPr="005071A1" w14:paraId="1D7B7234" w14:textId="77777777" w:rsidTr="00322DFA">
        <w:trPr>
          <w:cantSplit/>
        </w:trPr>
        <w:tc>
          <w:tcPr>
            <w:tcW w:w="1838" w:type="dxa"/>
            <w:tcBorders>
              <w:top w:val="single" w:sz="4" w:space="0" w:color="auto"/>
              <w:bottom w:val="nil"/>
            </w:tcBorders>
            <w:shd w:val="clear" w:color="auto" w:fill="auto"/>
          </w:tcPr>
          <w:p w14:paraId="1E2FBA7D" w14:textId="77777777" w:rsidR="009B7AF5" w:rsidRPr="005071A1" w:rsidRDefault="009B7AF5" w:rsidP="009B7AF5">
            <w:pPr>
              <w:pStyle w:val="ENoteTableText"/>
            </w:pPr>
            <w:r w:rsidRPr="005071A1">
              <w:t>Superannuation Act 1954</w:t>
            </w:r>
          </w:p>
        </w:tc>
        <w:tc>
          <w:tcPr>
            <w:tcW w:w="992" w:type="dxa"/>
            <w:tcBorders>
              <w:top w:val="single" w:sz="4" w:space="0" w:color="auto"/>
              <w:bottom w:val="nil"/>
            </w:tcBorders>
            <w:shd w:val="clear" w:color="auto" w:fill="auto"/>
          </w:tcPr>
          <w:p w14:paraId="2812115F" w14:textId="77777777" w:rsidR="009B7AF5" w:rsidRPr="005071A1" w:rsidRDefault="009B7AF5" w:rsidP="009B7AF5">
            <w:pPr>
              <w:pStyle w:val="ENoteTableText"/>
            </w:pPr>
            <w:r w:rsidRPr="005071A1">
              <w:t>11, 1954</w:t>
            </w:r>
          </w:p>
        </w:tc>
        <w:tc>
          <w:tcPr>
            <w:tcW w:w="993" w:type="dxa"/>
            <w:tcBorders>
              <w:top w:val="single" w:sz="4" w:space="0" w:color="auto"/>
              <w:bottom w:val="nil"/>
            </w:tcBorders>
            <w:shd w:val="clear" w:color="auto" w:fill="auto"/>
          </w:tcPr>
          <w:p w14:paraId="583139AF" w14:textId="77777777" w:rsidR="009B7AF5" w:rsidRPr="005071A1" w:rsidRDefault="009B7AF5" w:rsidP="009B7AF5">
            <w:pPr>
              <w:pStyle w:val="ENoteTableText"/>
            </w:pPr>
            <w:smartTag w:uri="urn:schemas-microsoft-com:office:smarttags" w:element="date">
              <w:smartTagPr>
                <w:attr w:name="Month" w:val="4"/>
                <w:attr w:name="Day" w:val="20"/>
                <w:attr w:name="Year" w:val="1954"/>
              </w:smartTagPr>
              <w:r w:rsidRPr="005071A1">
                <w:t>20 Apr 1954</w:t>
              </w:r>
            </w:smartTag>
          </w:p>
        </w:tc>
        <w:tc>
          <w:tcPr>
            <w:tcW w:w="1845" w:type="dxa"/>
            <w:tcBorders>
              <w:top w:val="single" w:sz="4" w:space="0" w:color="auto"/>
              <w:bottom w:val="nil"/>
            </w:tcBorders>
            <w:shd w:val="clear" w:color="auto" w:fill="auto"/>
          </w:tcPr>
          <w:p w14:paraId="737ED60C" w14:textId="77777777" w:rsidR="009B7AF5" w:rsidRPr="005071A1" w:rsidRDefault="002477D1" w:rsidP="009B7AF5">
            <w:pPr>
              <w:pStyle w:val="ENoteTableText"/>
            </w:pPr>
            <w:r w:rsidRPr="005071A1">
              <w:t>ss.</w:t>
            </w:r>
            <w:r w:rsidR="008B2950" w:rsidRPr="005071A1">
              <w:t> </w:t>
            </w:r>
            <w:r w:rsidR="009B7AF5" w:rsidRPr="005071A1">
              <w:t xml:space="preserve">8–10, 12–15, 19, 20, 22, 23, 28 and 29: </w:t>
            </w:r>
            <w:smartTag w:uri="urn:schemas-microsoft-com:office:smarttags" w:element="date">
              <w:smartTagPr>
                <w:attr w:name="Month" w:val="1"/>
                <w:attr w:name="Day" w:val="1"/>
                <w:attr w:name="Year" w:val="1954"/>
              </w:smartTagPr>
              <w:r w:rsidR="009B7AF5" w:rsidRPr="005071A1">
                <w:t>1 Jan 1954</w:t>
              </w:r>
            </w:smartTag>
            <w:r w:rsidR="009B7AF5" w:rsidRPr="005071A1">
              <w:br/>
            </w:r>
            <w:r w:rsidRPr="005071A1">
              <w:t>s.</w:t>
            </w:r>
            <w:r w:rsidR="009B7AF5" w:rsidRPr="005071A1">
              <w:t xml:space="preserve"> 16: </w:t>
            </w:r>
            <w:smartTag w:uri="urn:schemas-microsoft-com:office:smarttags" w:element="date">
              <w:smartTagPr>
                <w:attr w:name="Month" w:val="10"/>
                <w:attr w:name="Day" w:val="31"/>
                <w:attr w:name="Year" w:val="1953"/>
              </w:smartTagPr>
              <w:r w:rsidR="009B7AF5" w:rsidRPr="005071A1">
                <w:t>31 Oct 1953</w:t>
              </w:r>
            </w:smartTag>
            <w:r w:rsidR="009B7AF5" w:rsidRPr="005071A1">
              <w:br/>
            </w:r>
            <w:r w:rsidRPr="005071A1">
              <w:t>s.</w:t>
            </w:r>
            <w:r w:rsidR="009B7AF5" w:rsidRPr="005071A1">
              <w:t xml:space="preserve"> 21: 30 Mar 1951</w:t>
            </w:r>
            <w:r w:rsidR="009B7AF5" w:rsidRPr="005071A1">
              <w:br/>
              <w:t>Remainder: Royal Assent</w:t>
            </w:r>
          </w:p>
        </w:tc>
        <w:tc>
          <w:tcPr>
            <w:tcW w:w="1417" w:type="dxa"/>
            <w:tcBorders>
              <w:top w:val="single" w:sz="4" w:space="0" w:color="auto"/>
              <w:bottom w:val="nil"/>
            </w:tcBorders>
            <w:shd w:val="clear" w:color="auto" w:fill="auto"/>
          </w:tcPr>
          <w:p w14:paraId="63E684A4"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5EC87E2A" w14:textId="77777777" w:rsidTr="00322DFA">
        <w:trPr>
          <w:cantSplit/>
        </w:trPr>
        <w:tc>
          <w:tcPr>
            <w:tcW w:w="1838" w:type="dxa"/>
            <w:tcBorders>
              <w:top w:val="nil"/>
              <w:bottom w:val="nil"/>
            </w:tcBorders>
            <w:shd w:val="clear" w:color="auto" w:fill="auto"/>
          </w:tcPr>
          <w:p w14:paraId="23D8FA93"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5611B065" w14:textId="77777777" w:rsidR="009B7AF5" w:rsidRPr="005071A1" w:rsidRDefault="009B7AF5" w:rsidP="009B7AF5">
            <w:pPr>
              <w:pStyle w:val="ENoteTableText"/>
            </w:pPr>
          </w:p>
        </w:tc>
        <w:tc>
          <w:tcPr>
            <w:tcW w:w="993" w:type="dxa"/>
            <w:tcBorders>
              <w:top w:val="nil"/>
              <w:bottom w:val="nil"/>
            </w:tcBorders>
            <w:shd w:val="clear" w:color="auto" w:fill="auto"/>
          </w:tcPr>
          <w:p w14:paraId="7FA8E81B" w14:textId="77777777" w:rsidR="009B7AF5" w:rsidRPr="005071A1" w:rsidRDefault="009B7AF5" w:rsidP="009B7AF5">
            <w:pPr>
              <w:pStyle w:val="ENoteTableText"/>
            </w:pPr>
          </w:p>
        </w:tc>
        <w:tc>
          <w:tcPr>
            <w:tcW w:w="1845" w:type="dxa"/>
            <w:tcBorders>
              <w:top w:val="nil"/>
              <w:bottom w:val="nil"/>
            </w:tcBorders>
            <w:shd w:val="clear" w:color="auto" w:fill="auto"/>
          </w:tcPr>
          <w:p w14:paraId="0DDD56B6" w14:textId="77777777" w:rsidR="009B7AF5" w:rsidRPr="005071A1" w:rsidRDefault="009B7AF5" w:rsidP="009B7AF5">
            <w:pPr>
              <w:pStyle w:val="ENoteTableText"/>
            </w:pPr>
          </w:p>
        </w:tc>
        <w:tc>
          <w:tcPr>
            <w:tcW w:w="1417" w:type="dxa"/>
            <w:tcBorders>
              <w:top w:val="nil"/>
              <w:bottom w:val="nil"/>
            </w:tcBorders>
            <w:shd w:val="clear" w:color="auto" w:fill="auto"/>
          </w:tcPr>
          <w:p w14:paraId="7F54442D" w14:textId="77777777" w:rsidR="009B7AF5" w:rsidRPr="005071A1" w:rsidRDefault="009B7AF5" w:rsidP="009B7AF5">
            <w:pPr>
              <w:pStyle w:val="ENoteTableText"/>
            </w:pPr>
          </w:p>
        </w:tc>
      </w:tr>
      <w:tr w:rsidR="009B7AF5" w:rsidRPr="005071A1" w14:paraId="4016A5C6" w14:textId="77777777" w:rsidTr="00322DFA">
        <w:trPr>
          <w:cantSplit/>
        </w:trPr>
        <w:tc>
          <w:tcPr>
            <w:tcW w:w="1838" w:type="dxa"/>
            <w:tcBorders>
              <w:top w:val="nil"/>
              <w:bottom w:val="single" w:sz="4" w:space="0" w:color="auto"/>
            </w:tcBorders>
            <w:shd w:val="clear" w:color="auto" w:fill="auto"/>
          </w:tcPr>
          <w:p w14:paraId="4C9CE900" w14:textId="77777777" w:rsidR="009B7AF5" w:rsidRPr="005071A1" w:rsidRDefault="009B7AF5" w:rsidP="009B7AF5">
            <w:pPr>
              <w:pStyle w:val="ENoteTTi"/>
            </w:pPr>
            <w:r w:rsidRPr="005071A1">
              <w:t>Superannuation Act 1957</w:t>
            </w:r>
          </w:p>
        </w:tc>
        <w:tc>
          <w:tcPr>
            <w:tcW w:w="992" w:type="dxa"/>
            <w:tcBorders>
              <w:top w:val="nil"/>
              <w:bottom w:val="single" w:sz="4" w:space="0" w:color="auto"/>
            </w:tcBorders>
            <w:shd w:val="clear" w:color="auto" w:fill="auto"/>
          </w:tcPr>
          <w:p w14:paraId="3AA37360" w14:textId="77777777" w:rsidR="009B7AF5" w:rsidRPr="005071A1" w:rsidRDefault="009B7AF5" w:rsidP="009B7AF5">
            <w:pPr>
              <w:pStyle w:val="ENoteTableText"/>
            </w:pPr>
            <w:r w:rsidRPr="005071A1">
              <w:t>94, 1957</w:t>
            </w:r>
          </w:p>
        </w:tc>
        <w:tc>
          <w:tcPr>
            <w:tcW w:w="993" w:type="dxa"/>
            <w:tcBorders>
              <w:top w:val="nil"/>
              <w:bottom w:val="single" w:sz="4" w:space="0" w:color="auto"/>
            </w:tcBorders>
            <w:shd w:val="clear" w:color="auto" w:fill="auto"/>
          </w:tcPr>
          <w:p w14:paraId="2B8E0391" w14:textId="77777777" w:rsidR="009B7AF5" w:rsidRPr="005071A1" w:rsidRDefault="009B7AF5" w:rsidP="009B7AF5">
            <w:pPr>
              <w:pStyle w:val="ENoteTableText"/>
            </w:pPr>
            <w:smartTag w:uri="urn:schemas-microsoft-com:office:smarttags" w:element="date">
              <w:smartTagPr>
                <w:attr w:name="Month" w:val="12"/>
                <w:attr w:name="Day" w:val="12"/>
                <w:attr w:name="Year" w:val="1957"/>
              </w:smartTagPr>
              <w:r w:rsidRPr="005071A1">
                <w:t>12 Dec 1957</w:t>
              </w:r>
            </w:smartTag>
          </w:p>
        </w:tc>
        <w:tc>
          <w:tcPr>
            <w:tcW w:w="1845" w:type="dxa"/>
            <w:tcBorders>
              <w:top w:val="nil"/>
              <w:bottom w:val="single" w:sz="4" w:space="0" w:color="auto"/>
            </w:tcBorders>
            <w:shd w:val="clear" w:color="auto" w:fill="auto"/>
          </w:tcPr>
          <w:p w14:paraId="022B956A" w14:textId="77777777" w:rsidR="009B7AF5" w:rsidRPr="005071A1" w:rsidRDefault="009B7AF5" w:rsidP="009B7AF5">
            <w:pPr>
              <w:pStyle w:val="ENoteTableText"/>
            </w:pPr>
            <w:smartTag w:uri="urn:schemas-microsoft-com:office:smarttags" w:element="date">
              <w:smartTagPr>
                <w:attr w:name="Month" w:val="12"/>
                <w:attr w:name="Day" w:val="12"/>
                <w:attr w:name="Year" w:val="1957"/>
              </w:smartTagPr>
              <w:r w:rsidRPr="005071A1">
                <w:t>12 Dec 1957</w:t>
              </w:r>
            </w:smartTag>
          </w:p>
        </w:tc>
        <w:tc>
          <w:tcPr>
            <w:tcW w:w="1417" w:type="dxa"/>
            <w:tcBorders>
              <w:top w:val="nil"/>
              <w:bottom w:val="single" w:sz="4" w:space="0" w:color="auto"/>
            </w:tcBorders>
            <w:shd w:val="clear" w:color="auto" w:fill="auto"/>
          </w:tcPr>
          <w:p w14:paraId="5D0FBEC6"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00B2705D" w14:textId="77777777" w:rsidTr="00322DFA">
        <w:trPr>
          <w:cantSplit/>
        </w:trPr>
        <w:tc>
          <w:tcPr>
            <w:tcW w:w="1838" w:type="dxa"/>
            <w:tcBorders>
              <w:top w:val="single" w:sz="4" w:space="0" w:color="auto"/>
              <w:bottom w:val="single" w:sz="4" w:space="0" w:color="auto"/>
            </w:tcBorders>
            <w:shd w:val="clear" w:color="auto" w:fill="auto"/>
          </w:tcPr>
          <w:p w14:paraId="3FE2605E" w14:textId="77777777" w:rsidR="009B7AF5" w:rsidRPr="005071A1" w:rsidRDefault="009B7AF5" w:rsidP="009B7AF5">
            <w:pPr>
              <w:pStyle w:val="ENoteTableText"/>
            </w:pPr>
            <w:r w:rsidRPr="005071A1">
              <w:t>Superannuation Act 1955</w:t>
            </w:r>
          </w:p>
        </w:tc>
        <w:tc>
          <w:tcPr>
            <w:tcW w:w="992" w:type="dxa"/>
            <w:tcBorders>
              <w:top w:val="single" w:sz="4" w:space="0" w:color="auto"/>
              <w:bottom w:val="single" w:sz="4" w:space="0" w:color="auto"/>
            </w:tcBorders>
            <w:shd w:val="clear" w:color="auto" w:fill="auto"/>
          </w:tcPr>
          <w:p w14:paraId="6A97BBE8" w14:textId="77777777" w:rsidR="009B7AF5" w:rsidRPr="005071A1" w:rsidRDefault="009B7AF5" w:rsidP="009B7AF5">
            <w:pPr>
              <w:pStyle w:val="ENoteTableText"/>
            </w:pPr>
            <w:r w:rsidRPr="005071A1">
              <w:t>27, 1955</w:t>
            </w:r>
          </w:p>
        </w:tc>
        <w:tc>
          <w:tcPr>
            <w:tcW w:w="993" w:type="dxa"/>
            <w:tcBorders>
              <w:top w:val="single" w:sz="4" w:space="0" w:color="auto"/>
              <w:bottom w:val="single" w:sz="4" w:space="0" w:color="auto"/>
            </w:tcBorders>
            <w:shd w:val="clear" w:color="auto" w:fill="auto"/>
          </w:tcPr>
          <w:p w14:paraId="5A10913D" w14:textId="77777777" w:rsidR="009B7AF5" w:rsidRPr="005071A1" w:rsidRDefault="009B7AF5" w:rsidP="009B7AF5">
            <w:pPr>
              <w:pStyle w:val="ENoteTableText"/>
            </w:pPr>
            <w:r w:rsidRPr="005071A1">
              <w:t>15</w:t>
            </w:r>
            <w:r w:rsidR="008B2950" w:rsidRPr="005071A1">
              <w:t> </w:t>
            </w:r>
            <w:r w:rsidRPr="005071A1">
              <w:t>June 1955</w:t>
            </w:r>
          </w:p>
        </w:tc>
        <w:tc>
          <w:tcPr>
            <w:tcW w:w="1845" w:type="dxa"/>
            <w:tcBorders>
              <w:top w:val="single" w:sz="4" w:space="0" w:color="auto"/>
              <w:bottom w:val="single" w:sz="4" w:space="0" w:color="auto"/>
            </w:tcBorders>
            <w:shd w:val="clear" w:color="auto" w:fill="auto"/>
          </w:tcPr>
          <w:p w14:paraId="48A0C8D2" w14:textId="77777777" w:rsidR="009B7AF5" w:rsidRPr="005071A1" w:rsidRDefault="002477D1" w:rsidP="009B7AF5">
            <w:pPr>
              <w:pStyle w:val="ENoteTableText"/>
            </w:pPr>
            <w:r w:rsidRPr="005071A1">
              <w:t>ss.</w:t>
            </w:r>
            <w:r w:rsidR="008B2950" w:rsidRPr="005071A1">
              <w:t> </w:t>
            </w:r>
            <w:r w:rsidR="009B7AF5" w:rsidRPr="005071A1">
              <w:t xml:space="preserve">1, 2, 4–6, 7(a) and 10: </w:t>
            </w:r>
            <w:smartTag w:uri="urn:schemas-microsoft-com:office:smarttags" w:element="date">
              <w:smartTagPr>
                <w:attr w:name="Month" w:val="1"/>
                <w:attr w:name="Day" w:val="19"/>
                <w:attr w:name="Year" w:val="1955"/>
              </w:smartTagPr>
              <w:r w:rsidR="009B7AF5" w:rsidRPr="005071A1">
                <w:t>19 Jan 1955</w:t>
              </w:r>
            </w:smartTag>
            <w:r w:rsidR="009B7AF5" w:rsidRPr="005071A1">
              <w:br/>
              <w:t>Remainder: Royal Assent</w:t>
            </w:r>
          </w:p>
        </w:tc>
        <w:tc>
          <w:tcPr>
            <w:tcW w:w="1417" w:type="dxa"/>
            <w:tcBorders>
              <w:top w:val="single" w:sz="4" w:space="0" w:color="auto"/>
              <w:bottom w:val="single" w:sz="4" w:space="0" w:color="auto"/>
            </w:tcBorders>
            <w:shd w:val="clear" w:color="auto" w:fill="auto"/>
          </w:tcPr>
          <w:p w14:paraId="5B44FD33" w14:textId="77777777" w:rsidR="009B7AF5" w:rsidRPr="005071A1" w:rsidRDefault="002477D1" w:rsidP="009B7AF5">
            <w:pPr>
              <w:pStyle w:val="ENoteTableText"/>
            </w:pPr>
            <w:r w:rsidRPr="005071A1">
              <w:t>s.</w:t>
            </w:r>
            <w:r w:rsidR="009B7AF5" w:rsidRPr="005071A1">
              <w:t xml:space="preserve"> 10</w:t>
            </w:r>
          </w:p>
        </w:tc>
      </w:tr>
      <w:tr w:rsidR="009B7AF5" w:rsidRPr="005071A1" w14:paraId="776781FB" w14:textId="77777777" w:rsidTr="00322DFA">
        <w:trPr>
          <w:cantSplit/>
        </w:trPr>
        <w:tc>
          <w:tcPr>
            <w:tcW w:w="1838" w:type="dxa"/>
            <w:tcBorders>
              <w:top w:val="single" w:sz="4" w:space="0" w:color="auto"/>
              <w:bottom w:val="single" w:sz="4" w:space="0" w:color="auto"/>
            </w:tcBorders>
            <w:shd w:val="clear" w:color="auto" w:fill="auto"/>
          </w:tcPr>
          <w:p w14:paraId="588D434D" w14:textId="77777777" w:rsidR="009B7AF5" w:rsidRPr="005071A1" w:rsidRDefault="009B7AF5" w:rsidP="009B7AF5">
            <w:pPr>
              <w:pStyle w:val="ENoteTableText"/>
            </w:pPr>
            <w:r w:rsidRPr="005071A1">
              <w:t>Superannuation Act 1956</w:t>
            </w:r>
          </w:p>
        </w:tc>
        <w:tc>
          <w:tcPr>
            <w:tcW w:w="992" w:type="dxa"/>
            <w:tcBorders>
              <w:top w:val="single" w:sz="4" w:space="0" w:color="auto"/>
              <w:bottom w:val="single" w:sz="4" w:space="0" w:color="auto"/>
            </w:tcBorders>
            <w:shd w:val="clear" w:color="auto" w:fill="auto"/>
          </w:tcPr>
          <w:p w14:paraId="3E5BBE8F" w14:textId="77777777" w:rsidR="009B7AF5" w:rsidRPr="005071A1" w:rsidRDefault="009B7AF5" w:rsidP="009B7AF5">
            <w:pPr>
              <w:pStyle w:val="ENoteTableText"/>
            </w:pPr>
            <w:r w:rsidRPr="005071A1">
              <w:t>19, 1956</w:t>
            </w:r>
          </w:p>
        </w:tc>
        <w:tc>
          <w:tcPr>
            <w:tcW w:w="993" w:type="dxa"/>
            <w:tcBorders>
              <w:top w:val="single" w:sz="4" w:space="0" w:color="auto"/>
              <w:bottom w:val="single" w:sz="4" w:space="0" w:color="auto"/>
            </w:tcBorders>
            <w:shd w:val="clear" w:color="auto" w:fill="auto"/>
          </w:tcPr>
          <w:p w14:paraId="60AA543B" w14:textId="77777777" w:rsidR="009B7AF5" w:rsidRPr="005071A1" w:rsidRDefault="009B7AF5" w:rsidP="009B7AF5">
            <w:pPr>
              <w:pStyle w:val="ENoteTableText"/>
            </w:pPr>
            <w:r w:rsidRPr="005071A1">
              <w:t>12</w:t>
            </w:r>
            <w:r w:rsidR="008B2950" w:rsidRPr="005071A1">
              <w:t> </w:t>
            </w:r>
            <w:r w:rsidRPr="005071A1">
              <w:t>May 1956</w:t>
            </w:r>
          </w:p>
        </w:tc>
        <w:tc>
          <w:tcPr>
            <w:tcW w:w="1845" w:type="dxa"/>
            <w:tcBorders>
              <w:top w:val="single" w:sz="4" w:space="0" w:color="auto"/>
              <w:bottom w:val="single" w:sz="4" w:space="0" w:color="auto"/>
            </w:tcBorders>
            <w:shd w:val="clear" w:color="auto" w:fill="auto"/>
          </w:tcPr>
          <w:p w14:paraId="016E44F0" w14:textId="77777777" w:rsidR="009B7AF5" w:rsidRPr="005071A1" w:rsidRDefault="009B7AF5" w:rsidP="009B7AF5">
            <w:pPr>
              <w:pStyle w:val="ENoteTableText"/>
            </w:pPr>
            <w:smartTag w:uri="urn:schemas-microsoft-com:office:smarttags" w:element="date">
              <w:smartTagPr>
                <w:attr w:name="Month" w:val="11"/>
                <w:attr w:name="Day" w:val="12"/>
                <w:attr w:name="Year" w:val="1955"/>
              </w:smartTagPr>
              <w:r w:rsidRPr="005071A1">
                <w:t>12 Nov 1955</w:t>
              </w:r>
            </w:smartTag>
          </w:p>
        </w:tc>
        <w:tc>
          <w:tcPr>
            <w:tcW w:w="1417" w:type="dxa"/>
            <w:tcBorders>
              <w:top w:val="single" w:sz="4" w:space="0" w:color="auto"/>
              <w:bottom w:val="single" w:sz="4" w:space="0" w:color="auto"/>
            </w:tcBorders>
            <w:shd w:val="clear" w:color="auto" w:fill="auto"/>
          </w:tcPr>
          <w:p w14:paraId="7E575512" w14:textId="77777777" w:rsidR="009B7AF5" w:rsidRPr="005071A1" w:rsidRDefault="009B7AF5" w:rsidP="009B7AF5">
            <w:pPr>
              <w:pStyle w:val="ENoteTableText"/>
            </w:pPr>
            <w:r w:rsidRPr="005071A1">
              <w:t>—</w:t>
            </w:r>
          </w:p>
        </w:tc>
      </w:tr>
      <w:tr w:rsidR="009B7AF5" w:rsidRPr="005071A1" w14:paraId="48A00828" w14:textId="77777777" w:rsidTr="00322DFA">
        <w:trPr>
          <w:cantSplit/>
        </w:trPr>
        <w:tc>
          <w:tcPr>
            <w:tcW w:w="1838" w:type="dxa"/>
            <w:tcBorders>
              <w:top w:val="single" w:sz="4" w:space="0" w:color="auto"/>
              <w:bottom w:val="single" w:sz="4" w:space="0" w:color="auto"/>
            </w:tcBorders>
            <w:shd w:val="clear" w:color="auto" w:fill="auto"/>
          </w:tcPr>
          <w:p w14:paraId="58F27BE2" w14:textId="77777777" w:rsidR="009B7AF5" w:rsidRPr="005071A1" w:rsidRDefault="009B7AF5" w:rsidP="009B7AF5">
            <w:pPr>
              <w:pStyle w:val="ENoteTableText"/>
            </w:pPr>
            <w:r w:rsidRPr="005071A1">
              <w:t>Superannuation Act (No.</w:t>
            </w:r>
            <w:r w:rsidR="008B2950" w:rsidRPr="005071A1">
              <w:t> </w:t>
            </w:r>
            <w:r w:rsidRPr="005071A1">
              <w:t>2) 1956</w:t>
            </w:r>
          </w:p>
        </w:tc>
        <w:tc>
          <w:tcPr>
            <w:tcW w:w="992" w:type="dxa"/>
            <w:tcBorders>
              <w:top w:val="single" w:sz="4" w:space="0" w:color="auto"/>
              <w:bottom w:val="single" w:sz="4" w:space="0" w:color="auto"/>
            </w:tcBorders>
            <w:shd w:val="clear" w:color="auto" w:fill="auto"/>
          </w:tcPr>
          <w:p w14:paraId="6987771F" w14:textId="77777777" w:rsidR="009B7AF5" w:rsidRPr="005071A1" w:rsidRDefault="009B7AF5" w:rsidP="009B7AF5">
            <w:pPr>
              <w:pStyle w:val="ENoteTableText"/>
            </w:pPr>
            <w:r w:rsidRPr="005071A1">
              <w:t>112, 1956</w:t>
            </w:r>
          </w:p>
        </w:tc>
        <w:tc>
          <w:tcPr>
            <w:tcW w:w="993" w:type="dxa"/>
            <w:tcBorders>
              <w:top w:val="single" w:sz="4" w:space="0" w:color="auto"/>
              <w:bottom w:val="single" w:sz="4" w:space="0" w:color="auto"/>
            </w:tcBorders>
            <w:shd w:val="clear" w:color="auto" w:fill="auto"/>
          </w:tcPr>
          <w:p w14:paraId="0CF1E14B" w14:textId="77777777" w:rsidR="009B7AF5" w:rsidRPr="005071A1" w:rsidRDefault="009B7AF5" w:rsidP="009B7AF5">
            <w:pPr>
              <w:pStyle w:val="ENoteTableText"/>
            </w:pPr>
            <w:smartTag w:uri="urn:schemas-microsoft-com:office:smarttags" w:element="date">
              <w:smartTagPr>
                <w:attr w:name="Month" w:val="11"/>
                <w:attr w:name="Day" w:val="15"/>
                <w:attr w:name="Year" w:val="1956"/>
              </w:smartTagPr>
              <w:r w:rsidRPr="005071A1">
                <w:t>15 Nov 1956</w:t>
              </w:r>
            </w:smartTag>
          </w:p>
        </w:tc>
        <w:tc>
          <w:tcPr>
            <w:tcW w:w="1845" w:type="dxa"/>
            <w:tcBorders>
              <w:top w:val="single" w:sz="4" w:space="0" w:color="auto"/>
              <w:bottom w:val="single" w:sz="4" w:space="0" w:color="auto"/>
            </w:tcBorders>
            <w:shd w:val="clear" w:color="auto" w:fill="auto"/>
          </w:tcPr>
          <w:p w14:paraId="365CA57B" w14:textId="77777777" w:rsidR="009B7AF5" w:rsidRPr="005071A1" w:rsidRDefault="009B7AF5" w:rsidP="009B7AF5">
            <w:pPr>
              <w:pStyle w:val="ENoteTableText"/>
            </w:pPr>
            <w:smartTag w:uri="urn:schemas-microsoft-com:office:smarttags" w:element="date">
              <w:smartTagPr>
                <w:attr w:name="Month" w:val="11"/>
                <w:attr w:name="Day" w:val="15"/>
                <w:attr w:name="Year" w:val="1956"/>
              </w:smartTagPr>
              <w:r w:rsidRPr="005071A1">
                <w:t>15 Nov 1956</w:t>
              </w:r>
            </w:smartTag>
          </w:p>
        </w:tc>
        <w:tc>
          <w:tcPr>
            <w:tcW w:w="1417" w:type="dxa"/>
            <w:tcBorders>
              <w:top w:val="single" w:sz="4" w:space="0" w:color="auto"/>
              <w:bottom w:val="single" w:sz="4" w:space="0" w:color="auto"/>
            </w:tcBorders>
            <w:shd w:val="clear" w:color="auto" w:fill="auto"/>
          </w:tcPr>
          <w:p w14:paraId="1B45321B" w14:textId="77777777" w:rsidR="009B7AF5" w:rsidRPr="005071A1" w:rsidRDefault="002477D1" w:rsidP="009B7AF5">
            <w:pPr>
              <w:pStyle w:val="ENoteTableText"/>
            </w:pPr>
            <w:r w:rsidRPr="005071A1">
              <w:t>ss.</w:t>
            </w:r>
            <w:r w:rsidR="008B2950" w:rsidRPr="005071A1">
              <w:t> </w:t>
            </w:r>
            <w:r w:rsidR="009B7AF5" w:rsidRPr="005071A1">
              <w:t>6(2), 8(2)–(5), 9(2), 10(2), 14(2) and 15(2)</w:t>
            </w:r>
          </w:p>
        </w:tc>
      </w:tr>
      <w:tr w:rsidR="009B7AF5" w:rsidRPr="005071A1" w14:paraId="254E6003" w14:textId="77777777" w:rsidTr="00322DFA">
        <w:trPr>
          <w:cantSplit/>
        </w:trPr>
        <w:tc>
          <w:tcPr>
            <w:tcW w:w="1838" w:type="dxa"/>
            <w:tcBorders>
              <w:top w:val="single" w:sz="4" w:space="0" w:color="auto"/>
              <w:bottom w:val="nil"/>
            </w:tcBorders>
            <w:shd w:val="clear" w:color="auto" w:fill="auto"/>
          </w:tcPr>
          <w:p w14:paraId="3E65B1E9" w14:textId="77777777" w:rsidR="009B7AF5" w:rsidRPr="005071A1" w:rsidRDefault="009B7AF5" w:rsidP="009B7AF5">
            <w:pPr>
              <w:pStyle w:val="ENoteTableText"/>
            </w:pPr>
            <w:r w:rsidRPr="005071A1">
              <w:t>Superannuation Act 1957</w:t>
            </w:r>
          </w:p>
        </w:tc>
        <w:tc>
          <w:tcPr>
            <w:tcW w:w="992" w:type="dxa"/>
            <w:tcBorders>
              <w:top w:val="single" w:sz="4" w:space="0" w:color="auto"/>
              <w:bottom w:val="nil"/>
            </w:tcBorders>
            <w:shd w:val="clear" w:color="auto" w:fill="auto"/>
          </w:tcPr>
          <w:p w14:paraId="5E670724" w14:textId="77777777" w:rsidR="009B7AF5" w:rsidRPr="005071A1" w:rsidRDefault="009B7AF5" w:rsidP="009B7AF5">
            <w:pPr>
              <w:pStyle w:val="ENoteTableText"/>
            </w:pPr>
            <w:r w:rsidRPr="005071A1">
              <w:t>94, 1957</w:t>
            </w:r>
          </w:p>
        </w:tc>
        <w:tc>
          <w:tcPr>
            <w:tcW w:w="993" w:type="dxa"/>
            <w:tcBorders>
              <w:top w:val="single" w:sz="4" w:space="0" w:color="auto"/>
              <w:bottom w:val="nil"/>
            </w:tcBorders>
            <w:shd w:val="clear" w:color="auto" w:fill="auto"/>
          </w:tcPr>
          <w:p w14:paraId="3189E591" w14:textId="77777777" w:rsidR="009B7AF5" w:rsidRPr="005071A1" w:rsidRDefault="009B7AF5" w:rsidP="009B7AF5">
            <w:pPr>
              <w:pStyle w:val="ENoteTableText"/>
            </w:pPr>
            <w:smartTag w:uri="urn:schemas-microsoft-com:office:smarttags" w:element="date">
              <w:smartTagPr>
                <w:attr w:name="Month" w:val="12"/>
                <w:attr w:name="Day" w:val="12"/>
                <w:attr w:name="Year" w:val="1957"/>
              </w:smartTagPr>
              <w:r w:rsidRPr="005071A1">
                <w:t>12 Dec 1957</w:t>
              </w:r>
            </w:smartTag>
          </w:p>
        </w:tc>
        <w:tc>
          <w:tcPr>
            <w:tcW w:w="1845" w:type="dxa"/>
            <w:tcBorders>
              <w:top w:val="single" w:sz="4" w:space="0" w:color="auto"/>
              <w:bottom w:val="nil"/>
            </w:tcBorders>
            <w:shd w:val="clear" w:color="auto" w:fill="auto"/>
          </w:tcPr>
          <w:p w14:paraId="1238BE53" w14:textId="77777777" w:rsidR="009B7AF5" w:rsidRPr="005071A1" w:rsidRDefault="009B7AF5" w:rsidP="009B7AF5">
            <w:pPr>
              <w:pStyle w:val="ENoteTableText"/>
            </w:pPr>
            <w:smartTag w:uri="urn:schemas-microsoft-com:office:smarttags" w:element="date">
              <w:smartTagPr>
                <w:attr w:name="Month" w:val="12"/>
                <w:attr w:name="Day" w:val="12"/>
                <w:attr w:name="Year" w:val="1957"/>
              </w:smartTagPr>
              <w:r w:rsidRPr="005071A1">
                <w:t>12 Dec 1957</w:t>
              </w:r>
            </w:smartTag>
          </w:p>
        </w:tc>
        <w:tc>
          <w:tcPr>
            <w:tcW w:w="1417" w:type="dxa"/>
            <w:tcBorders>
              <w:top w:val="single" w:sz="4" w:space="0" w:color="auto"/>
              <w:bottom w:val="nil"/>
            </w:tcBorders>
            <w:shd w:val="clear" w:color="auto" w:fill="auto"/>
          </w:tcPr>
          <w:p w14:paraId="25EA370B"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4E742FD9" w14:textId="77777777" w:rsidTr="00322DFA">
        <w:trPr>
          <w:cantSplit/>
        </w:trPr>
        <w:tc>
          <w:tcPr>
            <w:tcW w:w="1838" w:type="dxa"/>
            <w:tcBorders>
              <w:top w:val="nil"/>
              <w:bottom w:val="nil"/>
            </w:tcBorders>
            <w:shd w:val="clear" w:color="auto" w:fill="auto"/>
          </w:tcPr>
          <w:p w14:paraId="4AC623B6"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2E54E80B" w14:textId="77777777" w:rsidR="009B7AF5" w:rsidRPr="005071A1" w:rsidRDefault="009B7AF5" w:rsidP="009B7AF5">
            <w:pPr>
              <w:pStyle w:val="ENoteTableText"/>
            </w:pPr>
          </w:p>
        </w:tc>
        <w:tc>
          <w:tcPr>
            <w:tcW w:w="993" w:type="dxa"/>
            <w:tcBorders>
              <w:top w:val="nil"/>
              <w:bottom w:val="nil"/>
            </w:tcBorders>
            <w:shd w:val="clear" w:color="auto" w:fill="auto"/>
          </w:tcPr>
          <w:p w14:paraId="0A56A931" w14:textId="77777777" w:rsidR="009B7AF5" w:rsidRPr="005071A1" w:rsidRDefault="009B7AF5" w:rsidP="009B7AF5">
            <w:pPr>
              <w:pStyle w:val="ENoteTableText"/>
            </w:pPr>
          </w:p>
        </w:tc>
        <w:tc>
          <w:tcPr>
            <w:tcW w:w="1845" w:type="dxa"/>
            <w:tcBorders>
              <w:top w:val="nil"/>
              <w:bottom w:val="nil"/>
            </w:tcBorders>
            <w:shd w:val="clear" w:color="auto" w:fill="auto"/>
          </w:tcPr>
          <w:p w14:paraId="39A5834F" w14:textId="77777777" w:rsidR="009B7AF5" w:rsidRPr="005071A1" w:rsidRDefault="009B7AF5" w:rsidP="009B7AF5">
            <w:pPr>
              <w:pStyle w:val="ENoteTableText"/>
            </w:pPr>
          </w:p>
        </w:tc>
        <w:tc>
          <w:tcPr>
            <w:tcW w:w="1417" w:type="dxa"/>
            <w:tcBorders>
              <w:top w:val="nil"/>
              <w:bottom w:val="nil"/>
            </w:tcBorders>
            <w:shd w:val="clear" w:color="auto" w:fill="auto"/>
          </w:tcPr>
          <w:p w14:paraId="1DAB449E" w14:textId="77777777" w:rsidR="009B7AF5" w:rsidRPr="005071A1" w:rsidRDefault="009B7AF5" w:rsidP="009B7AF5">
            <w:pPr>
              <w:pStyle w:val="ENoteTableText"/>
            </w:pPr>
          </w:p>
        </w:tc>
      </w:tr>
      <w:tr w:rsidR="009B7AF5" w:rsidRPr="005071A1" w14:paraId="13AD49BA" w14:textId="77777777" w:rsidTr="00322DFA">
        <w:trPr>
          <w:cantSplit/>
        </w:trPr>
        <w:tc>
          <w:tcPr>
            <w:tcW w:w="1838" w:type="dxa"/>
            <w:tcBorders>
              <w:top w:val="nil"/>
              <w:bottom w:val="nil"/>
            </w:tcBorders>
            <w:shd w:val="clear" w:color="auto" w:fill="auto"/>
          </w:tcPr>
          <w:p w14:paraId="5A5C787D" w14:textId="77777777" w:rsidR="009B7AF5" w:rsidRPr="005071A1" w:rsidRDefault="009B7AF5" w:rsidP="009B7AF5">
            <w:pPr>
              <w:pStyle w:val="ENoteTTi"/>
            </w:pPr>
            <w:r w:rsidRPr="005071A1">
              <w:t>Superannuation Act 1959</w:t>
            </w:r>
          </w:p>
        </w:tc>
        <w:tc>
          <w:tcPr>
            <w:tcW w:w="992" w:type="dxa"/>
            <w:tcBorders>
              <w:top w:val="nil"/>
              <w:bottom w:val="nil"/>
            </w:tcBorders>
            <w:shd w:val="clear" w:color="auto" w:fill="auto"/>
          </w:tcPr>
          <w:p w14:paraId="28873964" w14:textId="77777777" w:rsidR="009B7AF5" w:rsidRPr="005071A1" w:rsidRDefault="009B7AF5" w:rsidP="009B7AF5">
            <w:pPr>
              <w:pStyle w:val="ENoteTableText"/>
            </w:pPr>
            <w:r w:rsidRPr="005071A1">
              <w:t>102, 1959</w:t>
            </w:r>
          </w:p>
        </w:tc>
        <w:tc>
          <w:tcPr>
            <w:tcW w:w="993" w:type="dxa"/>
            <w:tcBorders>
              <w:top w:val="nil"/>
              <w:bottom w:val="nil"/>
            </w:tcBorders>
            <w:shd w:val="clear" w:color="auto" w:fill="auto"/>
          </w:tcPr>
          <w:p w14:paraId="66B16CF8" w14:textId="77777777" w:rsidR="009B7AF5" w:rsidRPr="005071A1" w:rsidRDefault="009B7AF5" w:rsidP="009B7AF5">
            <w:pPr>
              <w:pStyle w:val="ENoteTableText"/>
            </w:pPr>
            <w:smartTag w:uri="urn:schemas-microsoft-com:office:smarttags" w:element="date">
              <w:smartTagPr>
                <w:attr w:name="Month" w:val="12"/>
                <w:attr w:name="Day" w:val="4"/>
                <w:attr w:name="Year" w:val="1959"/>
              </w:smartTagPr>
              <w:r w:rsidRPr="005071A1">
                <w:t>4 Dec 1959</w:t>
              </w:r>
            </w:smartTag>
          </w:p>
        </w:tc>
        <w:tc>
          <w:tcPr>
            <w:tcW w:w="1845" w:type="dxa"/>
            <w:tcBorders>
              <w:top w:val="nil"/>
              <w:bottom w:val="nil"/>
            </w:tcBorders>
            <w:shd w:val="clear" w:color="auto" w:fill="auto"/>
          </w:tcPr>
          <w:p w14:paraId="3FAE5669" w14:textId="77777777" w:rsidR="009B7AF5" w:rsidRPr="005071A1" w:rsidRDefault="009B7AF5" w:rsidP="009B7AF5">
            <w:pPr>
              <w:pStyle w:val="ENoteTableText"/>
            </w:pPr>
            <w:smartTag w:uri="urn:schemas-microsoft-com:office:smarttags" w:element="date">
              <w:smartTagPr>
                <w:attr w:name="Month" w:val="12"/>
                <w:attr w:name="Day" w:val="14"/>
                <w:attr w:name="Year" w:val="1959"/>
              </w:smartTagPr>
              <w:r w:rsidRPr="005071A1">
                <w:t>14 Dec 1959</w:t>
              </w:r>
            </w:smartTag>
          </w:p>
        </w:tc>
        <w:tc>
          <w:tcPr>
            <w:tcW w:w="1417" w:type="dxa"/>
            <w:tcBorders>
              <w:top w:val="nil"/>
              <w:bottom w:val="nil"/>
            </w:tcBorders>
            <w:shd w:val="clear" w:color="auto" w:fill="auto"/>
          </w:tcPr>
          <w:p w14:paraId="1E35DEB3"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3BD33D49" w14:textId="77777777" w:rsidTr="00322DFA">
        <w:trPr>
          <w:cantSplit/>
        </w:trPr>
        <w:tc>
          <w:tcPr>
            <w:tcW w:w="1838" w:type="dxa"/>
            <w:tcBorders>
              <w:top w:val="nil"/>
              <w:bottom w:val="single" w:sz="4" w:space="0" w:color="auto"/>
            </w:tcBorders>
            <w:shd w:val="clear" w:color="auto" w:fill="auto"/>
          </w:tcPr>
          <w:p w14:paraId="79F23018" w14:textId="77777777" w:rsidR="009B7AF5" w:rsidRPr="005071A1" w:rsidRDefault="009B7AF5" w:rsidP="009B7AF5">
            <w:pPr>
              <w:pStyle w:val="ENoteTTi"/>
            </w:pPr>
            <w:r w:rsidRPr="005071A1">
              <w:t>Superannuation (Pension Increases) Act 1961</w:t>
            </w:r>
          </w:p>
        </w:tc>
        <w:tc>
          <w:tcPr>
            <w:tcW w:w="992" w:type="dxa"/>
            <w:tcBorders>
              <w:top w:val="nil"/>
              <w:bottom w:val="single" w:sz="4" w:space="0" w:color="auto"/>
            </w:tcBorders>
            <w:shd w:val="clear" w:color="auto" w:fill="auto"/>
          </w:tcPr>
          <w:p w14:paraId="5B2C0C84" w14:textId="77777777" w:rsidR="009B7AF5" w:rsidRPr="005071A1" w:rsidRDefault="009B7AF5" w:rsidP="009B7AF5">
            <w:pPr>
              <w:pStyle w:val="ENoteTableText"/>
            </w:pPr>
            <w:r w:rsidRPr="005071A1">
              <w:t>86, 1961</w:t>
            </w:r>
          </w:p>
        </w:tc>
        <w:tc>
          <w:tcPr>
            <w:tcW w:w="993" w:type="dxa"/>
            <w:tcBorders>
              <w:top w:val="nil"/>
              <w:bottom w:val="single" w:sz="4" w:space="0" w:color="auto"/>
            </w:tcBorders>
            <w:shd w:val="clear" w:color="auto" w:fill="auto"/>
          </w:tcPr>
          <w:p w14:paraId="43E91146" w14:textId="77777777" w:rsidR="009B7AF5" w:rsidRPr="005071A1" w:rsidRDefault="009B7AF5" w:rsidP="009B7AF5">
            <w:pPr>
              <w:pStyle w:val="ENoteTableText"/>
            </w:pPr>
            <w:smartTag w:uri="urn:schemas-microsoft-com:office:smarttags" w:element="date">
              <w:smartTagPr>
                <w:attr w:name="Month" w:val="10"/>
                <w:attr w:name="Day" w:val="27"/>
                <w:attr w:name="Year" w:val="1961"/>
              </w:smartTagPr>
              <w:r w:rsidRPr="005071A1">
                <w:t>27 Oct 1961</w:t>
              </w:r>
            </w:smartTag>
          </w:p>
        </w:tc>
        <w:tc>
          <w:tcPr>
            <w:tcW w:w="1845" w:type="dxa"/>
            <w:tcBorders>
              <w:top w:val="nil"/>
              <w:bottom w:val="single" w:sz="4" w:space="0" w:color="auto"/>
            </w:tcBorders>
            <w:shd w:val="clear" w:color="auto" w:fill="auto"/>
          </w:tcPr>
          <w:p w14:paraId="5F4884CB" w14:textId="77777777" w:rsidR="009B7AF5" w:rsidRPr="005071A1" w:rsidRDefault="009B7AF5" w:rsidP="009B7AF5">
            <w:pPr>
              <w:pStyle w:val="ENoteTableText"/>
            </w:pPr>
            <w:r w:rsidRPr="005071A1">
              <w:t>(</w:t>
            </w:r>
            <w:r w:rsidRPr="005071A1">
              <w:rPr>
                <w:i/>
              </w:rPr>
              <w:t xml:space="preserve">see </w:t>
            </w:r>
            <w:r w:rsidRPr="005071A1">
              <w:t>86, 1961 below)</w:t>
            </w:r>
          </w:p>
        </w:tc>
        <w:tc>
          <w:tcPr>
            <w:tcW w:w="1417" w:type="dxa"/>
            <w:tcBorders>
              <w:top w:val="nil"/>
              <w:bottom w:val="single" w:sz="4" w:space="0" w:color="auto"/>
            </w:tcBorders>
            <w:shd w:val="clear" w:color="auto" w:fill="auto"/>
          </w:tcPr>
          <w:p w14:paraId="7C1B3BD4" w14:textId="77777777" w:rsidR="009B7AF5" w:rsidRPr="005071A1" w:rsidRDefault="009B7AF5" w:rsidP="009B7AF5">
            <w:pPr>
              <w:pStyle w:val="ENoteTableText"/>
            </w:pPr>
            <w:r w:rsidRPr="005071A1">
              <w:t>(</w:t>
            </w:r>
            <w:r w:rsidRPr="005071A1">
              <w:rPr>
                <w:i/>
              </w:rPr>
              <w:t xml:space="preserve">see </w:t>
            </w:r>
            <w:r w:rsidRPr="005071A1">
              <w:t>86, 1961 below)</w:t>
            </w:r>
          </w:p>
        </w:tc>
      </w:tr>
      <w:tr w:rsidR="009B7AF5" w:rsidRPr="005071A1" w14:paraId="0BC7747B" w14:textId="77777777" w:rsidTr="00322DFA">
        <w:trPr>
          <w:cantSplit/>
        </w:trPr>
        <w:tc>
          <w:tcPr>
            <w:tcW w:w="1838" w:type="dxa"/>
            <w:tcBorders>
              <w:top w:val="single" w:sz="4" w:space="0" w:color="auto"/>
              <w:bottom w:val="single" w:sz="4" w:space="0" w:color="auto"/>
            </w:tcBorders>
            <w:shd w:val="clear" w:color="auto" w:fill="auto"/>
          </w:tcPr>
          <w:p w14:paraId="31E2EA5E" w14:textId="77777777" w:rsidR="009B7AF5" w:rsidRPr="005071A1" w:rsidRDefault="009B7AF5" w:rsidP="009B7AF5">
            <w:pPr>
              <w:pStyle w:val="ENoteTableText"/>
            </w:pPr>
            <w:r w:rsidRPr="005071A1">
              <w:t>Superannuation Act 1958</w:t>
            </w:r>
          </w:p>
        </w:tc>
        <w:tc>
          <w:tcPr>
            <w:tcW w:w="992" w:type="dxa"/>
            <w:tcBorders>
              <w:top w:val="single" w:sz="4" w:space="0" w:color="auto"/>
              <w:bottom w:val="single" w:sz="4" w:space="0" w:color="auto"/>
            </w:tcBorders>
            <w:shd w:val="clear" w:color="auto" w:fill="auto"/>
          </w:tcPr>
          <w:p w14:paraId="6945F19C" w14:textId="77777777" w:rsidR="009B7AF5" w:rsidRPr="005071A1" w:rsidRDefault="009B7AF5" w:rsidP="009B7AF5">
            <w:pPr>
              <w:pStyle w:val="ENoteTableText"/>
            </w:pPr>
            <w:r w:rsidRPr="005071A1">
              <w:t>45, 1958</w:t>
            </w:r>
          </w:p>
        </w:tc>
        <w:tc>
          <w:tcPr>
            <w:tcW w:w="993" w:type="dxa"/>
            <w:tcBorders>
              <w:top w:val="single" w:sz="4" w:space="0" w:color="auto"/>
              <w:bottom w:val="single" w:sz="4" w:space="0" w:color="auto"/>
            </w:tcBorders>
            <w:shd w:val="clear" w:color="auto" w:fill="auto"/>
          </w:tcPr>
          <w:p w14:paraId="3B52E93B" w14:textId="77777777" w:rsidR="009B7AF5" w:rsidRPr="005071A1" w:rsidRDefault="009B7AF5" w:rsidP="009B7AF5">
            <w:pPr>
              <w:pStyle w:val="ENoteTableText"/>
            </w:pPr>
            <w:smartTag w:uri="urn:schemas-microsoft-com:office:smarttags" w:element="date">
              <w:smartTagPr>
                <w:attr w:name="Month" w:val="9"/>
                <w:attr w:name="Day" w:val="29"/>
                <w:attr w:name="Year" w:val="1958"/>
              </w:smartTagPr>
              <w:r w:rsidRPr="005071A1">
                <w:t>29 Sept 1958</w:t>
              </w:r>
            </w:smartTag>
          </w:p>
        </w:tc>
        <w:tc>
          <w:tcPr>
            <w:tcW w:w="1845" w:type="dxa"/>
            <w:tcBorders>
              <w:top w:val="single" w:sz="4" w:space="0" w:color="auto"/>
              <w:bottom w:val="single" w:sz="4" w:space="0" w:color="auto"/>
            </w:tcBorders>
            <w:shd w:val="clear" w:color="auto" w:fill="auto"/>
          </w:tcPr>
          <w:p w14:paraId="76CA4410" w14:textId="77777777" w:rsidR="009B7AF5" w:rsidRPr="005071A1" w:rsidRDefault="009B7AF5" w:rsidP="009B7AF5">
            <w:pPr>
              <w:pStyle w:val="ENoteTableText"/>
            </w:pPr>
            <w:smartTag w:uri="urn:schemas-microsoft-com:office:smarttags" w:element="date">
              <w:smartTagPr>
                <w:attr w:name="Month" w:val="9"/>
                <w:attr w:name="Day" w:val="29"/>
                <w:attr w:name="Year" w:val="1958"/>
              </w:smartTagPr>
              <w:r w:rsidRPr="005071A1">
                <w:t>29 Sept 1958</w:t>
              </w:r>
            </w:smartTag>
          </w:p>
        </w:tc>
        <w:tc>
          <w:tcPr>
            <w:tcW w:w="1417" w:type="dxa"/>
            <w:tcBorders>
              <w:top w:val="single" w:sz="4" w:space="0" w:color="auto"/>
              <w:bottom w:val="single" w:sz="4" w:space="0" w:color="auto"/>
            </w:tcBorders>
            <w:shd w:val="clear" w:color="auto" w:fill="auto"/>
          </w:tcPr>
          <w:p w14:paraId="48A20C87" w14:textId="77777777" w:rsidR="009B7AF5" w:rsidRPr="005071A1" w:rsidRDefault="002477D1" w:rsidP="009B7AF5">
            <w:pPr>
              <w:pStyle w:val="ENoteTableText"/>
            </w:pPr>
            <w:r w:rsidRPr="005071A1">
              <w:t>s.</w:t>
            </w:r>
            <w:r w:rsidR="009B7AF5" w:rsidRPr="005071A1">
              <w:t xml:space="preserve"> 6</w:t>
            </w:r>
          </w:p>
        </w:tc>
      </w:tr>
      <w:tr w:rsidR="009B7AF5" w:rsidRPr="005071A1" w14:paraId="329F0602" w14:textId="77777777" w:rsidTr="00322DFA">
        <w:trPr>
          <w:cantSplit/>
        </w:trPr>
        <w:tc>
          <w:tcPr>
            <w:tcW w:w="1838" w:type="dxa"/>
            <w:tcBorders>
              <w:top w:val="single" w:sz="4" w:space="0" w:color="auto"/>
              <w:bottom w:val="nil"/>
            </w:tcBorders>
            <w:shd w:val="clear" w:color="auto" w:fill="auto"/>
          </w:tcPr>
          <w:p w14:paraId="7DCC5990" w14:textId="77777777" w:rsidR="009B7AF5" w:rsidRPr="005071A1" w:rsidRDefault="009B7AF5" w:rsidP="009B7AF5">
            <w:pPr>
              <w:pStyle w:val="ENoteTableText"/>
            </w:pPr>
            <w:r w:rsidRPr="005071A1">
              <w:t>Superannuation Act 1959</w:t>
            </w:r>
          </w:p>
        </w:tc>
        <w:tc>
          <w:tcPr>
            <w:tcW w:w="992" w:type="dxa"/>
            <w:tcBorders>
              <w:top w:val="single" w:sz="4" w:space="0" w:color="auto"/>
              <w:bottom w:val="nil"/>
            </w:tcBorders>
            <w:shd w:val="clear" w:color="auto" w:fill="auto"/>
          </w:tcPr>
          <w:p w14:paraId="2394E313" w14:textId="77777777" w:rsidR="009B7AF5" w:rsidRPr="005071A1" w:rsidRDefault="009B7AF5" w:rsidP="009B7AF5">
            <w:pPr>
              <w:pStyle w:val="ENoteTableText"/>
            </w:pPr>
            <w:r w:rsidRPr="005071A1">
              <w:t>102, 1959</w:t>
            </w:r>
          </w:p>
        </w:tc>
        <w:tc>
          <w:tcPr>
            <w:tcW w:w="993" w:type="dxa"/>
            <w:tcBorders>
              <w:top w:val="single" w:sz="4" w:space="0" w:color="auto"/>
              <w:bottom w:val="nil"/>
            </w:tcBorders>
            <w:shd w:val="clear" w:color="auto" w:fill="auto"/>
          </w:tcPr>
          <w:p w14:paraId="21D809D3" w14:textId="77777777" w:rsidR="009B7AF5" w:rsidRPr="005071A1" w:rsidRDefault="009B7AF5" w:rsidP="009B7AF5">
            <w:pPr>
              <w:pStyle w:val="ENoteTableText"/>
            </w:pPr>
            <w:smartTag w:uri="urn:schemas-microsoft-com:office:smarttags" w:element="date">
              <w:smartTagPr>
                <w:attr w:name="Month" w:val="12"/>
                <w:attr w:name="Day" w:val="4"/>
                <w:attr w:name="Year" w:val="1959"/>
              </w:smartTagPr>
              <w:r w:rsidRPr="005071A1">
                <w:t>4 Dec 1959</w:t>
              </w:r>
            </w:smartTag>
          </w:p>
        </w:tc>
        <w:tc>
          <w:tcPr>
            <w:tcW w:w="1845" w:type="dxa"/>
            <w:tcBorders>
              <w:top w:val="single" w:sz="4" w:space="0" w:color="auto"/>
              <w:bottom w:val="nil"/>
            </w:tcBorders>
            <w:shd w:val="clear" w:color="auto" w:fill="auto"/>
          </w:tcPr>
          <w:p w14:paraId="77FDA6C9" w14:textId="77777777" w:rsidR="009B7AF5" w:rsidRPr="005071A1" w:rsidRDefault="009B7AF5" w:rsidP="009B7AF5">
            <w:pPr>
              <w:pStyle w:val="ENoteTableText"/>
            </w:pPr>
            <w:smartTag w:uri="urn:schemas-microsoft-com:office:smarttags" w:element="date">
              <w:smartTagPr>
                <w:attr w:name="Month" w:val="12"/>
                <w:attr w:name="Day" w:val="14"/>
                <w:attr w:name="Year" w:val="1959"/>
              </w:smartTagPr>
              <w:r w:rsidRPr="005071A1">
                <w:t>14 Dec 1959</w:t>
              </w:r>
            </w:smartTag>
          </w:p>
        </w:tc>
        <w:tc>
          <w:tcPr>
            <w:tcW w:w="1417" w:type="dxa"/>
            <w:tcBorders>
              <w:top w:val="single" w:sz="4" w:space="0" w:color="auto"/>
              <w:bottom w:val="nil"/>
            </w:tcBorders>
            <w:shd w:val="clear" w:color="auto" w:fill="auto"/>
          </w:tcPr>
          <w:p w14:paraId="58F463A1" w14:textId="77777777" w:rsidR="009B7AF5" w:rsidRPr="005071A1" w:rsidRDefault="002477D1" w:rsidP="009B7AF5">
            <w:pPr>
              <w:pStyle w:val="ENoteTableText"/>
            </w:pPr>
            <w:r w:rsidRPr="005071A1">
              <w:t>s.</w:t>
            </w:r>
            <w:r w:rsidR="009B7AF5" w:rsidRPr="005071A1">
              <w:t xml:space="preserve"> 2(2)</w:t>
            </w:r>
          </w:p>
        </w:tc>
      </w:tr>
      <w:tr w:rsidR="009B7AF5" w:rsidRPr="005071A1" w14:paraId="47E27C60" w14:textId="77777777" w:rsidTr="00322DFA">
        <w:trPr>
          <w:cantSplit/>
        </w:trPr>
        <w:tc>
          <w:tcPr>
            <w:tcW w:w="1838" w:type="dxa"/>
            <w:tcBorders>
              <w:top w:val="nil"/>
              <w:bottom w:val="nil"/>
            </w:tcBorders>
            <w:shd w:val="clear" w:color="auto" w:fill="auto"/>
          </w:tcPr>
          <w:p w14:paraId="19B6517F"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026135A7" w14:textId="77777777" w:rsidR="009B7AF5" w:rsidRPr="005071A1" w:rsidRDefault="009B7AF5" w:rsidP="009B7AF5">
            <w:pPr>
              <w:pStyle w:val="ENoteTableText"/>
            </w:pPr>
          </w:p>
        </w:tc>
        <w:tc>
          <w:tcPr>
            <w:tcW w:w="993" w:type="dxa"/>
            <w:tcBorders>
              <w:top w:val="nil"/>
              <w:bottom w:val="nil"/>
            </w:tcBorders>
            <w:shd w:val="clear" w:color="auto" w:fill="auto"/>
          </w:tcPr>
          <w:p w14:paraId="66540A34" w14:textId="77777777" w:rsidR="009B7AF5" w:rsidRPr="005071A1" w:rsidRDefault="009B7AF5" w:rsidP="009B7AF5">
            <w:pPr>
              <w:pStyle w:val="ENoteTableText"/>
            </w:pPr>
          </w:p>
        </w:tc>
        <w:tc>
          <w:tcPr>
            <w:tcW w:w="1845" w:type="dxa"/>
            <w:tcBorders>
              <w:top w:val="nil"/>
              <w:bottom w:val="nil"/>
            </w:tcBorders>
            <w:shd w:val="clear" w:color="auto" w:fill="auto"/>
          </w:tcPr>
          <w:p w14:paraId="4118521F" w14:textId="77777777" w:rsidR="009B7AF5" w:rsidRPr="005071A1" w:rsidRDefault="009B7AF5" w:rsidP="009B7AF5">
            <w:pPr>
              <w:pStyle w:val="ENoteTableText"/>
            </w:pPr>
          </w:p>
        </w:tc>
        <w:tc>
          <w:tcPr>
            <w:tcW w:w="1417" w:type="dxa"/>
            <w:tcBorders>
              <w:top w:val="nil"/>
              <w:bottom w:val="nil"/>
            </w:tcBorders>
            <w:shd w:val="clear" w:color="auto" w:fill="auto"/>
          </w:tcPr>
          <w:p w14:paraId="5D1348F3" w14:textId="77777777" w:rsidR="009B7AF5" w:rsidRPr="005071A1" w:rsidRDefault="009B7AF5" w:rsidP="009B7AF5">
            <w:pPr>
              <w:pStyle w:val="ENoteTableText"/>
            </w:pPr>
          </w:p>
        </w:tc>
      </w:tr>
      <w:tr w:rsidR="009B7AF5" w:rsidRPr="005071A1" w14:paraId="10F4D8C5" w14:textId="77777777" w:rsidTr="00322DFA">
        <w:trPr>
          <w:cantSplit/>
        </w:trPr>
        <w:tc>
          <w:tcPr>
            <w:tcW w:w="1838" w:type="dxa"/>
            <w:tcBorders>
              <w:top w:val="nil"/>
              <w:bottom w:val="single" w:sz="4" w:space="0" w:color="auto"/>
            </w:tcBorders>
            <w:shd w:val="clear" w:color="auto" w:fill="auto"/>
          </w:tcPr>
          <w:p w14:paraId="56CA5081" w14:textId="77777777" w:rsidR="009B7AF5" w:rsidRPr="005071A1" w:rsidRDefault="009B7AF5" w:rsidP="009B7AF5">
            <w:pPr>
              <w:pStyle w:val="ENoteTTi"/>
            </w:pPr>
            <w:r w:rsidRPr="005071A1">
              <w:t>Superannuation (Pension Increases) Act 1961</w:t>
            </w:r>
          </w:p>
        </w:tc>
        <w:tc>
          <w:tcPr>
            <w:tcW w:w="992" w:type="dxa"/>
            <w:tcBorders>
              <w:top w:val="nil"/>
              <w:bottom w:val="single" w:sz="4" w:space="0" w:color="auto"/>
            </w:tcBorders>
            <w:shd w:val="clear" w:color="auto" w:fill="auto"/>
          </w:tcPr>
          <w:p w14:paraId="2A7F58B4" w14:textId="77777777" w:rsidR="009B7AF5" w:rsidRPr="005071A1" w:rsidRDefault="009B7AF5" w:rsidP="009B7AF5">
            <w:pPr>
              <w:pStyle w:val="ENoteTableText"/>
            </w:pPr>
            <w:r w:rsidRPr="005071A1">
              <w:t>86, 1961</w:t>
            </w:r>
          </w:p>
        </w:tc>
        <w:tc>
          <w:tcPr>
            <w:tcW w:w="993" w:type="dxa"/>
            <w:tcBorders>
              <w:top w:val="nil"/>
              <w:bottom w:val="single" w:sz="4" w:space="0" w:color="auto"/>
            </w:tcBorders>
            <w:shd w:val="clear" w:color="auto" w:fill="auto"/>
          </w:tcPr>
          <w:p w14:paraId="727AC42F" w14:textId="77777777" w:rsidR="009B7AF5" w:rsidRPr="005071A1" w:rsidRDefault="009B7AF5" w:rsidP="009B7AF5">
            <w:pPr>
              <w:pStyle w:val="ENoteTableText"/>
            </w:pPr>
            <w:smartTag w:uri="urn:schemas-microsoft-com:office:smarttags" w:element="date">
              <w:smartTagPr>
                <w:attr w:name="Month" w:val="10"/>
                <w:attr w:name="Day" w:val="27"/>
                <w:attr w:name="Year" w:val="1961"/>
              </w:smartTagPr>
              <w:r w:rsidRPr="005071A1">
                <w:t>27 Oct 1961</w:t>
              </w:r>
            </w:smartTag>
          </w:p>
        </w:tc>
        <w:tc>
          <w:tcPr>
            <w:tcW w:w="1845" w:type="dxa"/>
            <w:tcBorders>
              <w:top w:val="nil"/>
              <w:bottom w:val="single" w:sz="4" w:space="0" w:color="auto"/>
            </w:tcBorders>
            <w:shd w:val="clear" w:color="auto" w:fill="auto"/>
          </w:tcPr>
          <w:p w14:paraId="6AC53443" w14:textId="77777777" w:rsidR="009B7AF5" w:rsidRPr="005071A1" w:rsidRDefault="009B7AF5" w:rsidP="009B7AF5">
            <w:pPr>
              <w:pStyle w:val="ENoteTableText"/>
            </w:pPr>
            <w:smartTag w:uri="urn:schemas-microsoft-com:office:smarttags" w:element="date">
              <w:smartTagPr>
                <w:attr w:name="Month" w:val="10"/>
                <w:attr w:name="Day" w:val="27"/>
                <w:attr w:name="Year" w:val="1961"/>
              </w:smartTagPr>
              <w:r w:rsidRPr="005071A1">
                <w:t>27 Oct 1961</w:t>
              </w:r>
            </w:smartTag>
          </w:p>
        </w:tc>
        <w:tc>
          <w:tcPr>
            <w:tcW w:w="1417" w:type="dxa"/>
            <w:tcBorders>
              <w:top w:val="nil"/>
              <w:bottom w:val="single" w:sz="4" w:space="0" w:color="auto"/>
            </w:tcBorders>
            <w:shd w:val="clear" w:color="auto" w:fill="auto"/>
          </w:tcPr>
          <w:p w14:paraId="2A72CB7A" w14:textId="77777777" w:rsidR="009B7AF5" w:rsidRPr="005071A1" w:rsidRDefault="002477D1" w:rsidP="002023C1">
            <w:pPr>
              <w:pStyle w:val="ENoteTableText"/>
            </w:pPr>
            <w:r w:rsidRPr="005071A1">
              <w:t>ss.</w:t>
            </w:r>
            <w:r w:rsidR="008B2950" w:rsidRPr="005071A1">
              <w:t> </w:t>
            </w:r>
            <w:r w:rsidR="009B7AF5" w:rsidRPr="005071A1">
              <w:t>5(1)–(4), 6 and 7</w:t>
            </w:r>
          </w:p>
        </w:tc>
      </w:tr>
      <w:tr w:rsidR="009B7AF5" w:rsidRPr="005071A1" w14:paraId="17E743F4" w14:textId="77777777" w:rsidTr="00322DFA">
        <w:trPr>
          <w:cantSplit/>
        </w:trPr>
        <w:tc>
          <w:tcPr>
            <w:tcW w:w="1838" w:type="dxa"/>
            <w:tcBorders>
              <w:top w:val="single" w:sz="4" w:space="0" w:color="auto"/>
              <w:bottom w:val="nil"/>
            </w:tcBorders>
            <w:shd w:val="clear" w:color="auto" w:fill="auto"/>
          </w:tcPr>
          <w:p w14:paraId="1C2CC20E" w14:textId="77777777" w:rsidR="009B7AF5" w:rsidRPr="005071A1" w:rsidRDefault="009B7AF5" w:rsidP="009B7AF5">
            <w:pPr>
              <w:pStyle w:val="ENoteTableText"/>
            </w:pPr>
            <w:r w:rsidRPr="005071A1">
              <w:t>Superannuation Act 1963</w:t>
            </w:r>
          </w:p>
        </w:tc>
        <w:tc>
          <w:tcPr>
            <w:tcW w:w="992" w:type="dxa"/>
            <w:tcBorders>
              <w:top w:val="single" w:sz="4" w:space="0" w:color="auto"/>
              <w:bottom w:val="nil"/>
            </w:tcBorders>
            <w:shd w:val="clear" w:color="auto" w:fill="auto"/>
          </w:tcPr>
          <w:p w14:paraId="7C1D474F" w14:textId="77777777" w:rsidR="009B7AF5" w:rsidRPr="005071A1" w:rsidRDefault="009B7AF5" w:rsidP="009B7AF5">
            <w:pPr>
              <w:pStyle w:val="ENoteTableText"/>
            </w:pPr>
            <w:r w:rsidRPr="005071A1">
              <w:t>102, 1963</w:t>
            </w:r>
          </w:p>
        </w:tc>
        <w:tc>
          <w:tcPr>
            <w:tcW w:w="993" w:type="dxa"/>
            <w:tcBorders>
              <w:top w:val="single" w:sz="4" w:space="0" w:color="auto"/>
              <w:bottom w:val="nil"/>
            </w:tcBorders>
            <w:shd w:val="clear" w:color="auto" w:fill="auto"/>
          </w:tcPr>
          <w:p w14:paraId="0A4592B2" w14:textId="77777777" w:rsidR="009B7AF5" w:rsidRPr="005071A1" w:rsidRDefault="009B7AF5" w:rsidP="009B7AF5">
            <w:pPr>
              <w:pStyle w:val="ENoteTableText"/>
            </w:pPr>
            <w:smartTag w:uri="urn:schemas-microsoft-com:office:smarttags" w:element="date">
              <w:smartTagPr>
                <w:attr w:name="Month" w:val="11"/>
                <w:attr w:name="Day" w:val="1"/>
                <w:attr w:name="Year" w:val="1963"/>
              </w:smartTagPr>
              <w:r w:rsidRPr="005071A1">
                <w:t>1 Nov 1963</w:t>
              </w:r>
            </w:smartTag>
          </w:p>
        </w:tc>
        <w:tc>
          <w:tcPr>
            <w:tcW w:w="1845" w:type="dxa"/>
            <w:tcBorders>
              <w:top w:val="single" w:sz="4" w:space="0" w:color="auto"/>
              <w:bottom w:val="nil"/>
            </w:tcBorders>
            <w:shd w:val="clear" w:color="auto" w:fill="auto"/>
          </w:tcPr>
          <w:p w14:paraId="2A1966D8" w14:textId="77777777" w:rsidR="009B7AF5" w:rsidRPr="005071A1" w:rsidRDefault="009B7AF5" w:rsidP="009B7AF5">
            <w:pPr>
              <w:pStyle w:val="ENoteTableText"/>
            </w:pPr>
            <w:smartTag w:uri="urn:schemas-microsoft-com:office:smarttags" w:element="date">
              <w:smartTagPr>
                <w:attr w:name="Month" w:val="11"/>
                <w:attr w:name="Day" w:val="1"/>
                <w:attr w:name="Year" w:val="1963"/>
              </w:smartTagPr>
              <w:r w:rsidRPr="005071A1">
                <w:t>1 Nov 1963</w:t>
              </w:r>
            </w:smartTag>
          </w:p>
        </w:tc>
        <w:tc>
          <w:tcPr>
            <w:tcW w:w="1417" w:type="dxa"/>
            <w:tcBorders>
              <w:top w:val="single" w:sz="4" w:space="0" w:color="auto"/>
              <w:bottom w:val="nil"/>
            </w:tcBorders>
            <w:shd w:val="clear" w:color="auto" w:fill="auto"/>
          </w:tcPr>
          <w:p w14:paraId="2B8B3E71" w14:textId="77777777" w:rsidR="009B7AF5" w:rsidRPr="005071A1" w:rsidRDefault="009B7AF5" w:rsidP="00BE0B5A">
            <w:pPr>
              <w:pStyle w:val="ENoteTableText"/>
            </w:pPr>
            <w:r w:rsidRPr="005071A1">
              <w:rPr>
                <w:i/>
              </w:rPr>
              <w:t>(</w:t>
            </w:r>
            <w:r w:rsidR="00BE0B5A" w:rsidRPr="005071A1">
              <w:rPr>
                <w:i/>
              </w:rPr>
              <w:t>a</w:t>
            </w:r>
            <w:r w:rsidRPr="005071A1">
              <w:rPr>
                <w:i/>
              </w:rPr>
              <w:t>)</w:t>
            </w:r>
          </w:p>
        </w:tc>
      </w:tr>
      <w:tr w:rsidR="009B7AF5" w:rsidRPr="005071A1" w14:paraId="6C2165F5" w14:textId="77777777" w:rsidTr="00322DFA">
        <w:trPr>
          <w:cantSplit/>
        </w:trPr>
        <w:tc>
          <w:tcPr>
            <w:tcW w:w="1838" w:type="dxa"/>
            <w:tcBorders>
              <w:top w:val="nil"/>
              <w:bottom w:val="nil"/>
            </w:tcBorders>
            <w:shd w:val="clear" w:color="auto" w:fill="auto"/>
          </w:tcPr>
          <w:p w14:paraId="1E26A562"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4BA36DDA" w14:textId="77777777" w:rsidR="009B7AF5" w:rsidRPr="005071A1" w:rsidRDefault="009B7AF5" w:rsidP="009B7AF5">
            <w:pPr>
              <w:pStyle w:val="ENoteTableText"/>
            </w:pPr>
          </w:p>
        </w:tc>
        <w:tc>
          <w:tcPr>
            <w:tcW w:w="993" w:type="dxa"/>
            <w:tcBorders>
              <w:top w:val="nil"/>
              <w:bottom w:val="nil"/>
            </w:tcBorders>
            <w:shd w:val="clear" w:color="auto" w:fill="auto"/>
          </w:tcPr>
          <w:p w14:paraId="57BA2873" w14:textId="77777777" w:rsidR="009B7AF5" w:rsidRPr="005071A1" w:rsidRDefault="009B7AF5" w:rsidP="009B7AF5">
            <w:pPr>
              <w:pStyle w:val="ENoteTableText"/>
            </w:pPr>
          </w:p>
        </w:tc>
        <w:tc>
          <w:tcPr>
            <w:tcW w:w="1845" w:type="dxa"/>
            <w:tcBorders>
              <w:top w:val="nil"/>
              <w:bottom w:val="nil"/>
            </w:tcBorders>
            <w:shd w:val="clear" w:color="auto" w:fill="auto"/>
          </w:tcPr>
          <w:p w14:paraId="1BAE9EF8" w14:textId="77777777" w:rsidR="009B7AF5" w:rsidRPr="005071A1" w:rsidRDefault="009B7AF5" w:rsidP="009B7AF5">
            <w:pPr>
              <w:pStyle w:val="ENoteTableText"/>
            </w:pPr>
          </w:p>
        </w:tc>
        <w:tc>
          <w:tcPr>
            <w:tcW w:w="1417" w:type="dxa"/>
            <w:tcBorders>
              <w:top w:val="nil"/>
              <w:bottom w:val="nil"/>
            </w:tcBorders>
            <w:shd w:val="clear" w:color="auto" w:fill="auto"/>
          </w:tcPr>
          <w:p w14:paraId="151545BF" w14:textId="77777777" w:rsidR="009B7AF5" w:rsidRPr="005071A1" w:rsidRDefault="009B7AF5" w:rsidP="009B7AF5">
            <w:pPr>
              <w:pStyle w:val="ENoteTableText"/>
            </w:pPr>
          </w:p>
        </w:tc>
      </w:tr>
      <w:tr w:rsidR="009B7AF5" w:rsidRPr="005071A1" w14:paraId="5D910BE4" w14:textId="77777777" w:rsidTr="00322DFA">
        <w:trPr>
          <w:cantSplit/>
        </w:trPr>
        <w:tc>
          <w:tcPr>
            <w:tcW w:w="1838" w:type="dxa"/>
            <w:tcBorders>
              <w:top w:val="nil"/>
              <w:bottom w:val="nil"/>
            </w:tcBorders>
            <w:shd w:val="clear" w:color="auto" w:fill="auto"/>
          </w:tcPr>
          <w:p w14:paraId="58516356" w14:textId="77777777" w:rsidR="009B7AF5" w:rsidRPr="005071A1" w:rsidRDefault="009B7AF5" w:rsidP="009B7AF5">
            <w:pPr>
              <w:pStyle w:val="ENoteTTi"/>
            </w:pPr>
            <w:r w:rsidRPr="005071A1">
              <w:t>Superannuation Act (No.</w:t>
            </w:r>
            <w:r w:rsidR="008B2950" w:rsidRPr="005071A1">
              <w:t> </w:t>
            </w:r>
            <w:r w:rsidRPr="005071A1">
              <w:t>2) 1965</w:t>
            </w:r>
          </w:p>
        </w:tc>
        <w:tc>
          <w:tcPr>
            <w:tcW w:w="992" w:type="dxa"/>
            <w:tcBorders>
              <w:top w:val="nil"/>
              <w:bottom w:val="nil"/>
            </w:tcBorders>
            <w:shd w:val="clear" w:color="auto" w:fill="auto"/>
          </w:tcPr>
          <w:p w14:paraId="455CB37B" w14:textId="77777777" w:rsidR="009B7AF5" w:rsidRPr="005071A1" w:rsidRDefault="009B7AF5" w:rsidP="009B7AF5">
            <w:pPr>
              <w:pStyle w:val="ENoteTableText"/>
            </w:pPr>
            <w:r w:rsidRPr="005071A1">
              <w:t>154, 1965</w:t>
            </w:r>
          </w:p>
        </w:tc>
        <w:tc>
          <w:tcPr>
            <w:tcW w:w="993" w:type="dxa"/>
            <w:tcBorders>
              <w:top w:val="nil"/>
              <w:bottom w:val="nil"/>
            </w:tcBorders>
            <w:shd w:val="clear" w:color="auto" w:fill="auto"/>
          </w:tcPr>
          <w:p w14:paraId="105E5C57" w14:textId="77777777" w:rsidR="009B7AF5" w:rsidRPr="005071A1" w:rsidRDefault="009B7AF5" w:rsidP="009B7AF5">
            <w:pPr>
              <w:pStyle w:val="ENoteTableText"/>
            </w:pPr>
            <w:smartTag w:uri="urn:schemas-microsoft-com:office:smarttags" w:element="date">
              <w:smartTagPr>
                <w:attr w:name="Month" w:val="12"/>
                <w:attr w:name="Day" w:val="18"/>
                <w:attr w:name="Year" w:val="1965"/>
              </w:smartTagPr>
              <w:r w:rsidRPr="005071A1">
                <w:t>18 Dec 1965</w:t>
              </w:r>
            </w:smartTag>
          </w:p>
        </w:tc>
        <w:tc>
          <w:tcPr>
            <w:tcW w:w="1845" w:type="dxa"/>
            <w:tcBorders>
              <w:top w:val="nil"/>
              <w:bottom w:val="nil"/>
            </w:tcBorders>
            <w:shd w:val="clear" w:color="auto" w:fill="auto"/>
          </w:tcPr>
          <w:p w14:paraId="0F09233D" w14:textId="77777777" w:rsidR="009B7AF5" w:rsidRPr="005071A1" w:rsidRDefault="009B7AF5" w:rsidP="009B7AF5">
            <w:pPr>
              <w:pStyle w:val="ENoteTableText"/>
            </w:pPr>
            <w:smartTag w:uri="urn:schemas-microsoft-com:office:smarttags" w:element="date">
              <w:smartTagPr>
                <w:attr w:name="Month" w:val="2"/>
                <w:attr w:name="Day" w:val="14"/>
                <w:attr w:name="Year" w:val="1966"/>
              </w:smartTagPr>
              <w:r w:rsidRPr="005071A1">
                <w:t>14 Feb 1966</w:t>
              </w:r>
            </w:smartTag>
          </w:p>
        </w:tc>
        <w:tc>
          <w:tcPr>
            <w:tcW w:w="1417" w:type="dxa"/>
            <w:tcBorders>
              <w:top w:val="nil"/>
              <w:bottom w:val="nil"/>
            </w:tcBorders>
            <w:shd w:val="clear" w:color="auto" w:fill="auto"/>
          </w:tcPr>
          <w:p w14:paraId="6C99A663" w14:textId="77777777" w:rsidR="009B7AF5" w:rsidRPr="005071A1" w:rsidRDefault="002477D1" w:rsidP="009B7AF5">
            <w:pPr>
              <w:pStyle w:val="ENoteTableText"/>
            </w:pPr>
            <w:r w:rsidRPr="005071A1">
              <w:t>ss.</w:t>
            </w:r>
            <w:r w:rsidR="008B2950" w:rsidRPr="005071A1">
              <w:t> </w:t>
            </w:r>
            <w:r w:rsidR="009B7AF5" w:rsidRPr="005071A1">
              <w:t>6–10</w:t>
            </w:r>
          </w:p>
        </w:tc>
      </w:tr>
      <w:tr w:rsidR="009B7AF5" w:rsidRPr="005071A1" w14:paraId="4CDC914F" w14:textId="77777777" w:rsidTr="00322DFA">
        <w:trPr>
          <w:cantSplit/>
        </w:trPr>
        <w:tc>
          <w:tcPr>
            <w:tcW w:w="1838" w:type="dxa"/>
            <w:tcBorders>
              <w:top w:val="nil"/>
              <w:bottom w:val="single" w:sz="4" w:space="0" w:color="auto"/>
            </w:tcBorders>
            <w:shd w:val="clear" w:color="auto" w:fill="auto"/>
          </w:tcPr>
          <w:p w14:paraId="20820146" w14:textId="77777777" w:rsidR="009B7AF5" w:rsidRPr="005071A1" w:rsidRDefault="009B7AF5" w:rsidP="009B7AF5">
            <w:pPr>
              <w:pStyle w:val="ENoteTTi"/>
            </w:pPr>
            <w:r w:rsidRPr="005071A1">
              <w:t>Superannuation (Pension Increases) Act 1967</w:t>
            </w:r>
          </w:p>
        </w:tc>
        <w:tc>
          <w:tcPr>
            <w:tcW w:w="992" w:type="dxa"/>
            <w:tcBorders>
              <w:top w:val="nil"/>
              <w:bottom w:val="single" w:sz="4" w:space="0" w:color="auto"/>
            </w:tcBorders>
            <w:shd w:val="clear" w:color="auto" w:fill="auto"/>
          </w:tcPr>
          <w:p w14:paraId="36778CEF" w14:textId="77777777" w:rsidR="009B7AF5" w:rsidRPr="005071A1" w:rsidRDefault="009B7AF5" w:rsidP="009B7AF5">
            <w:pPr>
              <w:pStyle w:val="ENoteTableText"/>
            </w:pPr>
            <w:r w:rsidRPr="005071A1">
              <w:t>90, 1967</w:t>
            </w:r>
          </w:p>
        </w:tc>
        <w:tc>
          <w:tcPr>
            <w:tcW w:w="993" w:type="dxa"/>
            <w:tcBorders>
              <w:top w:val="nil"/>
              <w:bottom w:val="single" w:sz="4" w:space="0" w:color="auto"/>
            </w:tcBorders>
            <w:shd w:val="clear" w:color="auto" w:fill="auto"/>
          </w:tcPr>
          <w:p w14:paraId="236670A3" w14:textId="77777777" w:rsidR="009B7AF5" w:rsidRPr="005071A1" w:rsidRDefault="009B7AF5" w:rsidP="009B7AF5">
            <w:pPr>
              <w:pStyle w:val="ENoteTableText"/>
            </w:pPr>
            <w:smartTag w:uri="urn:schemas-microsoft-com:office:smarttags" w:element="date">
              <w:smartTagPr>
                <w:attr w:name="Month" w:val="11"/>
                <w:attr w:name="Day" w:val="8"/>
                <w:attr w:name="Year" w:val="1967"/>
              </w:smartTagPr>
              <w:r w:rsidRPr="005071A1">
                <w:t>8 Nov 1967</w:t>
              </w:r>
            </w:smartTag>
          </w:p>
        </w:tc>
        <w:tc>
          <w:tcPr>
            <w:tcW w:w="1845" w:type="dxa"/>
            <w:tcBorders>
              <w:top w:val="nil"/>
              <w:bottom w:val="single" w:sz="4" w:space="0" w:color="auto"/>
            </w:tcBorders>
            <w:shd w:val="clear" w:color="auto" w:fill="auto"/>
          </w:tcPr>
          <w:p w14:paraId="2BFBDF74" w14:textId="77777777" w:rsidR="009B7AF5" w:rsidRPr="005071A1" w:rsidRDefault="009B7AF5" w:rsidP="009B7AF5">
            <w:pPr>
              <w:pStyle w:val="ENoteTableText"/>
            </w:pPr>
            <w:smartTag w:uri="urn:schemas-microsoft-com:office:smarttags" w:element="date">
              <w:smartTagPr>
                <w:attr w:name="Month" w:val="11"/>
                <w:attr w:name="Day" w:val="8"/>
                <w:attr w:name="Year" w:val="1967"/>
              </w:smartTagPr>
              <w:r w:rsidRPr="005071A1">
                <w:t>8 Nov 1967</w:t>
              </w:r>
            </w:smartTag>
          </w:p>
        </w:tc>
        <w:tc>
          <w:tcPr>
            <w:tcW w:w="1417" w:type="dxa"/>
            <w:tcBorders>
              <w:top w:val="nil"/>
              <w:bottom w:val="single" w:sz="4" w:space="0" w:color="auto"/>
            </w:tcBorders>
            <w:shd w:val="clear" w:color="auto" w:fill="auto"/>
          </w:tcPr>
          <w:p w14:paraId="78B82E7E" w14:textId="77777777" w:rsidR="009B7AF5" w:rsidRPr="005071A1" w:rsidRDefault="002477D1" w:rsidP="009B7AF5">
            <w:pPr>
              <w:pStyle w:val="ENoteTableText"/>
            </w:pPr>
            <w:r w:rsidRPr="005071A1">
              <w:t>s.</w:t>
            </w:r>
            <w:r w:rsidR="009B7AF5" w:rsidRPr="005071A1">
              <w:t xml:space="preserve"> 5(1)–(3)</w:t>
            </w:r>
          </w:p>
        </w:tc>
      </w:tr>
      <w:tr w:rsidR="009B7AF5" w:rsidRPr="005071A1" w14:paraId="4A97219E" w14:textId="77777777" w:rsidTr="00322DFA">
        <w:trPr>
          <w:cantSplit/>
        </w:trPr>
        <w:tc>
          <w:tcPr>
            <w:tcW w:w="1838" w:type="dxa"/>
            <w:tcBorders>
              <w:top w:val="single" w:sz="4" w:space="0" w:color="auto"/>
              <w:bottom w:val="single" w:sz="4" w:space="0" w:color="auto"/>
            </w:tcBorders>
            <w:shd w:val="clear" w:color="auto" w:fill="auto"/>
          </w:tcPr>
          <w:p w14:paraId="44BF4F27" w14:textId="77777777" w:rsidR="009B7AF5" w:rsidRPr="005071A1" w:rsidRDefault="009B7AF5" w:rsidP="009B7AF5">
            <w:pPr>
              <w:pStyle w:val="ENoteTableText"/>
            </w:pPr>
            <w:r w:rsidRPr="005071A1">
              <w:t>Superannuation Act 1965</w:t>
            </w:r>
          </w:p>
        </w:tc>
        <w:tc>
          <w:tcPr>
            <w:tcW w:w="992" w:type="dxa"/>
            <w:tcBorders>
              <w:top w:val="single" w:sz="4" w:space="0" w:color="auto"/>
              <w:bottom w:val="single" w:sz="4" w:space="0" w:color="auto"/>
            </w:tcBorders>
            <w:shd w:val="clear" w:color="auto" w:fill="auto"/>
          </w:tcPr>
          <w:p w14:paraId="7A4C61A2" w14:textId="77777777" w:rsidR="009B7AF5" w:rsidRPr="005071A1" w:rsidRDefault="009B7AF5" w:rsidP="009B7AF5">
            <w:pPr>
              <w:pStyle w:val="ENoteTableText"/>
            </w:pPr>
            <w:r w:rsidRPr="005071A1">
              <w:t>97, 1965</w:t>
            </w:r>
          </w:p>
        </w:tc>
        <w:tc>
          <w:tcPr>
            <w:tcW w:w="993" w:type="dxa"/>
            <w:tcBorders>
              <w:top w:val="single" w:sz="4" w:space="0" w:color="auto"/>
              <w:bottom w:val="single" w:sz="4" w:space="0" w:color="auto"/>
            </w:tcBorders>
            <w:shd w:val="clear" w:color="auto" w:fill="auto"/>
          </w:tcPr>
          <w:p w14:paraId="5F4A7537" w14:textId="77777777" w:rsidR="009B7AF5" w:rsidRPr="005071A1" w:rsidRDefault="009B7AF5" w:rsidP="009B7AF5">
            <w:pPr>
              <w:pStyle w:val="ENoteTableText"/>
            </w:pPr>
            <w:smartTag w:uri="urn:schemas-microsoft-com:office:smarttags" w:element="date">
              <w:smartTagPr>
                <w:attr w:name="Month" w:val="12"/>
                <w:attr w:name="Day" w:val="10"/>
                <w:attr w:name="Year" w:val="1965"/>
              </w:smartTagPr>
              <w:r w:rsidRPr="005071A1">
                <w:t>10 Dec 1965</w:t>
              </w:r>
            </w:smartTag>
          </w:p>
        </w:tc>
        <w:tc>
          <w:tcPr>
            <w:tcW w:w="1845" w:type="dxa"/>
            <w:tcBorders>
              <w:top w:val="single" w:sz="4" w:space="0" w:color="auto"/>
              <w:bottom w:val="single" w:sz="4" w:space="0" w:color="auto"/>
            </w:tcBorders>
            <w:shd w:val="clear" w:color="auto" w:fill="auto"/>
          </w:tcPr>
          <w:p w14:paraId="467FB870" w14:textId="77777777" w:rsidR="009B7AF5" w:rsidRPr="005071A1" w:rsidRDefault="009B7AF5" w:rsidP="009B7AF5">
            <w:pPr>
              <w:pStyle w:val="ENoteTableText"/>
            </w:pPr>
            <w:smartTag w:uri="urn:schemas-microsoft-com:office:smarttags" w:element="date">
              <w:smartTagPr>
                <w:attr w:name="Month" w:val="12"/>
                <w:attr w:name="Day" w:val="10"/>
                <w:attr w:name="Year" w:val="1965"/>
              </w:smartTagPr>
              <w:r w:rsidRPr="005071A1">
                <w:t>10 Dec 1965</w:t>
              </w:r>
            </w:smartTag>
          </w:p>
        </w:tc>
        <w:tc>
          <w:tcPr>
            <w:tcW w:w="1417" w:type="dxa"/>
            <w:tcBorders>
              <w:top w:val="single" w:sz="4" w:space="0" w:color="auto"/>
              <w:bottom w:val="single" w:sz="4" w:space="0" w:color="auto"/>
            </w:tcBorders>
            <w:shd w:val="clear" w:color="auto" w:fill="auto"/>
          </w:tcPr>
          <w:p w14:paraId="2CD38B63" w14:textId="77777777" w:rsidR="009B7AF5" w:rsidRPr="005071A1" w:rsidRDefault="002477D1" w:rsidP="009B7AF5">
            <w:pPr>
              <w:pStyle w:val="ENoteTableText"/>
            </w:pPr>
            <w:r w:rsidRPr="005071A1">
              <w:t>ss.</w:t>
            </w:r>
            <w:r w:rsidR="008B2950" w:rsidRPr="005071A1">
              <w:t> </w:t>
            </w:r>
            <w:r w:rsidR="009B7AF5" w:rsidRPr="005071A1">
              <w:t>11(2), 22(2), 39(2) and 59–73</w:t>
            </w:r>
          </w:p>
        </w:tc>
      </w:tr>
      <w:tr w:rsidR="009B7AF5" w:rsidRPr="005071A1" w14:paraId="255FDF2E" w14:textId="77777777" w:rsidTr="00322DFA">
        <w:trPr>
          <w:cantSplit/>
        </w:trPr>
        <w:tc>
          <w:tcPr>
            <w:tcW w:w="1838" w:type="dxa"/>
            <w:tcBorders>
              <w:top w:val="single" w:sz="4" w:space="0" w:color="auto"/>
              <w:bottom w:val="single" w:sz="4" w:space="0" w:color="auto"/>
            </w:tcBorders>
            <w:shd w:val="clear" w:color="auto" w:fill="auto"/>
          </w:tcPr>
          <w:p w14:paraId="22F17D45" w14:textId="77777777" w:rsidR="009B7AF5" w:rsidRPr="005071A1" w:rsidRDefault="009B7AF5" w:rsidP="009B7AF5">
            <w:pPr>
              <w:pStyle w:val="ENoteTableText"/>
            </w:pPr>
            <w:r w:rsidRPr="005071A1">
              <w:t>Superannuation Act (No.</w:t>
            </w:r>
            <w:r w:rsidR="008B2950" w:rsidRPr="005071A1">
              <w:t> </w:t>
            </w:r>
            <w:r w:rsidRPr="005071A1">
              <w:t>2) 1965</w:t>
            </w:r>
          </w:p>
        </w:tc>
        <w:tc>
          <w:tcPr>
            <w:tcW w:w="992" w:type="dxa"/>
            <w:tcBorders>
              <w:top w:val="single" w:sz="4" w:space="0" w:color="auto"/>
              <w:bottom w:val="single" w:sz="4" w:space="0" w:color="auto"/>
            </w:tcBorders>
            <w:shd w:val="clear" w:color="auto" w:fill="auto"/>
          </w:tcPr>
          <w:p w14:paraId="255F95DC" w14:textId="77777777" w:rsidR="009B7AF5" w:rsidRPr="005071A1" w:rsidRDefault="009B7AF5" w:rsidP="009B7AF5">
            <w:pPr>
              <w:pStyle w:val="ENoteTableText"/>
            </w:pPr>
            <w:r w:rsidRPr="005071A1">
              <w:t>154, 1965</w:t>
            </w:r>
          </w:p>
        </w:tc>
        <w:tc>
          <w:tcPr>
            <w:tcW w:w="993" w:type="dxa"/>
            <w:tcBorders>
              <w:top w:val="single" w:sz="4" w:space="0" w:color="auto"/>
              <w:bottom w:val="single" w:sz="4" w:space="0" w:color="auto"/>
            </w:tcBorders>
            <w:shd w:val="clear" w:color="auto" w:fill="auto"/>
          </w:tcPr>
          <w:p w14:paraId="5F04F1EF" w14:textId="77777777" w:rsidR="009B7AF5" w:rsidRPr="005071A1" w:rsidRDefault="009B7AF5" w:rsidP="009B7AF5">
            <w:pPr>
              <w:pStyle w:val="ENoteTableText"/>
            </w:pPr>
            <w:smartTag w:uri="urn:schemas-microsoft-com:office:smarttags" w:element="date">
              <w:smartTagPr>
                <w:attr w:name="Month" w:val="12"/>
                <w:attr w:name="Day" w:val="18"/>
                <w:attr w:name="Year" w:val="1965"/>
              </w:smartTagPr>
              <w:r w:rsidRPr="005071A1">
                <w:t>18 Dec 1965</w:t>
              </w:r>
            </w:smartTag>
          </w:p>
        </w:tc>
        <w:tc>
          <w:tcPr>
            <w:tcW w:w="1845" w:type="dxa"/>
            <w:tcBorders>
              <w:top w:val="single" w:sz="4" w:space="0" w:color="auto"/>
              <w:bottom w:val="single" w:sz="4" w:space="0" w:color="auto"/>
            </w:tcBorders>
            <w:shd w:val="clear" w:color="auto" w:fill="auto"/>
          </w:tcPr>
          <w:p w14:paraId="5BC255EF" w14:textId="77777777" w:rsidR="009B7AF5" w:rsidRPr="005071A1" w:rsidRDefault="009B7AF5" w:rsidP="009B7AF5">
            <w:pPr>
              <w:pStyle w:val="ENoteTableText"/>
            </w:pPr>
            <w:smartTag w:uri="urn:schemas-microsoft-com:office:smarttags" w:element="date">
              <w:smartTagPr>
                <w:attr w:name="Month" w:val="2"/>
                <w:attr w:name="Day" w:val="14"/>
                <w:attr w:name="Year" w:val="1966"/>
              </w:smartTagPr>
              <w:r w:rsidRPr="005071A1">
                <w:t>14 Feb 1966</w:t>
              </w:r>
            </w:smartTag>
          </w:p>
        </w:tc>
        <w:tc>
          <w:tcPr>
            <w:tcW w:w="1417" w:type="dxa"/>
            <w:tcBorders>
              <w:top w:val="single" w:sz="4" w:space="0" w:color="auto"/>
              <w:bottom w:val="single" w:sz="4" w:space="0" w:color="auto"/>
            </w:tcBorders>
            <w:shd w:val="clear" w:color="auto" w:fill="auto"/>
          </w:tcPr>
          <w:p w14:paraId="4967922F" w14:textId="77777777" w:rsidR="009B7AF5" w:rsidRPr="005071A1" w:rsidRDefault="002477D1" w:rsidP="009B7AF5">
            <w:pPr>
              <w:pStyle w:val="ENoteTableText"/>
            </w:pPr>
            <w:r w:rsidRPr="005071A1">
              <w:t>ss.</w:t>
            </w:r>
            <w:r w:rsidR="008B2950" w:rsidRPr="005071A1">
              <w:t> </w:t>
            </w:r>
            <w:r w:rsidR="009B7AF5" w:rsidRPr="005071A1">
              <w:t>6–10</w:t>
            </w:r>
          </w:p>
        </w:tc>
      </w:tr>
      <w:tr w:rsidR="009B7AF5" w:rsidRPr="005071A1" w14:paraId="64DBDCA9" w14:textId="77777777" w:rsidTr="00322DFA">
        <w:trPr>
          <w:cantSplit/>
        </w:trPr>
        <w:tc>
          <w:tcPr>
            <w:tcW w:w="1838" w:type="dxa"/>
            <w:tcBorders>
              <w:top w:val="single" w:sz="4" w:space="0" w:color="auto"/>
              <w:bottom w:val="single" w:sz="4" w:space="0" w:color="auto"/>
            </w:tcBorders>
            <w:shd w:val="clear" w:color="auto" w:fill="auto"/>
          </w:tcPr>
          <w:p w14:paraId="6A01B3D6" w14:textId="77777777" w:rsidR="009B7AF5" w:rsidRPr="005071A1" w:rsidRDefault="009B7AF5" w:rsidP="009B7AF5">
            <w:pPr>
              <w:pStyle w:val="ENoteTableText"/>
            </w:pPr>
            <w:r w:rsidRPr="005071A1">
              <w:t>Superannuation Act 1966</w:t>
            </w:r>
          </w:p>
        </w:tc>
        <w:tc>
          <w:tcPr>
            <w:tcW w:w="992" w:type="dxa"/>
            <w:tcBorders>
              <w:top w:val="single" w:sz="4" w:space="0" w:color="auto"/>
              <w:bottom w:val="single" w:sz="4" w:space="0" w:color="auto"/>
            </w:tcBorders>
            <w:shd w:val="clear" w:color="auto" w:fill="auto"/>
          </w:tcPr>
          <w:p w14:paraId="5E5D078F" w14:textId="77777777" w:rsidR="009B7AF5" w:rsidRPr="005071A1" w:rsidRDefault="009B7AF5" w:rsidP="009B7AF5">
            <w:pPr>
              <w:pStyle w:val="ENoteTableText"/>
            </w:pPr>
            <w:r w:rsidRPr="005071A1">
              <w:t>69, 1966</w:t>
            </w:r>
          </w:p>
        </w:tc>
        <w:tc>
          <w:tcPr>
            <w:tcW w:w="993" w:type="dxa"/>
            <w:tcBorders>
              <w:top w:val="single" w:sz="4" w:space="0" w:color="auto"/>
              <w:bottom w:val="single" w:sz="4" w:space="0" w:color="auto"/>
            </w:tcBorders>
            <w:shd w:val="clear" w:color="auto" w:fill="auto"/>
          </w:tcPr>
          <w:p w14:paraId="31F7EB97" w14:textId="77777777" w:rsidR="009B7AF5" w:rsidRPr="005071A1" w:rsidRDefault="009B7AF5" w:rsidP="009B7AF5">
            <w:pPr>
              <w:pStyle w:val="ENoteTableText"/>
            </w:pPr>
            <w:smartTag w:uri="urn:schemas-microsoft-com:office:smarttags" w:element="date">
              <w:smartTagPr>
                <w:attr w:name="Month" w:val="10"/>
                <w:attr w:name="Day" w:val="29"/>
                <w:attr w:name="Year" w:val="1966"/>
              </w:smartTagPr>
              <w:r w:rsidRPr="005071A1">
                <w:t>29 Oct 1966</w:t>
              </w:r>
            </w:smartTag>
          </w:p>
        </w:tc>
        <w:tc>
          <w:tcPr>
            <w:tcW w:w="1845" w:type="dxa"/>
            <w:tcBorders>
              <w:top w:val="single" w:sz="4" w:space="0" w:color="auto"/>
              <w:bottom w:val="single" w:sz="4" w:space="0" w:color="auto"/>
            </w:tcBorders>
            <w:shd w:val="clear" w:color="auto" w:fill="auto"/>
          </w:tcPr>
          <w:p w14:paraId="0F15D640" w14:textId="77777777" w:rsidR="009B7AF5" w:rsidRPr="005071A1" w:rsidRDefault="009B7AF5" w:rsidP="009B7AF5">
            <w:pPr>
              <w:pStyle w:val="ENoteTableText"/>
            </w:pPr>
            <w:smartTag w:uri="urn:schemas-microsoft-com:office:smarttags" w:element="date">
              <w:smartTagPr>
                <w:attr w:name="Month" w:val="10"/>
                <w:attr w:name="Day" w:val="29"/>
                <w:attr w:name="Year" w:val="1966"/>
              </w:smartTagPr>
              <w:r w:rsidRPr="005071A1">
                <w:t>29 Oct 1966</w:t>
              </w:r>
            </w:smartTag>
          </w:p>
        </w:tc>
        <w:tc>
          <w:tcPr>
            <w:tcW w:w="1417" w:type="dxa"/>
            <w:tcBorders>
              <w:top w:val="single" w:sz="4" w:space="0" w:color="auto"/>
              <w:bottom w:val="single" w:sz="4" w:space="0" w:color="auto"/>
            </w:tcBorders>
            <w:shd w:val="clear" w:color="auto" w:fill="auto"/>
          </w:tcPr>
          <w:p w14:paraId="53C91949" w14:textId="77777777" w:rsidR="009B7AF5" w:rsidRPr="005071A1" w:rsidRDefault="002477D1" w:rsidP="009B7AF5">
            <w:pPr>
              <w:pStyle w:val="ENoteTableText"/>
            </w:pPr>
            <w:r w:rsidRPr="005071A1">
              <w:t>s.</w:t>
            </w:r>
            <w:r w:rsidR="009B7AF5" w:rsidRPr="005071A1">
              <w:t xml:space="preserve"> 9</w:t>
            </w:r>
          </w:p>
        </w:tc>
      </w:tr>
      <w:tr w:rsidR="009B7AF5" w:rsidRPr="005071A1" w14:paraId="36A792AC" w14:textId="77777777" w:rsidTr="00322DFA">
        <w:trPr>
          <w:cantSplit/>
        </w:trPr>
        <w:tc>
          <w:tcPr>
            <w:tcW w:w="1838" w:type="dxa"/>
            <w:tcBorders>
              <w:top w:val="single" w:sz="4" w:space="0" w:color="auto"/>
              <w:bottom w:val="single" w:sz="4" w:space="0" w:color="auto"/>
            </w:tcBorders>
            <w:shd w:val="clear" w:color="auto" w:fill="auto"/>
          </w:tcPr>
          <w:p w14:paraId="61AD22BF" w14:textId="77777777" w:rsidR="009B7AF5" w:rsidRPr="005071A1" w:rsidRDefault="009B7AF5" w:rsidP="009B7AF5">
            <w:pPr>
              <w:pStyle w:val="ENoteTableText"/>
            </w:pPr>
            <w:r w:rsidRPr="005071A1">
              <w:t>Superannuation Act (No.</w:t>
            </w:r>
            <w:r w:rsidR="008B2950" w:rsidRPr="005071A1">
              <w:t> </w:t>
            </w:r>
            <w:r w:rsidRPr="005071A1">
              <w:t>2) 1966</w:t>
            </w:r>
          </w:p>
        </w:tc>
        <w:tc>
          <w:tcPr>
            <w:tcW w:w="992" w:type="dxa"/>
            <w:tcBorders>
              <w:top w:val="single" w:sz="4" w:space="0" w:color="auto"/>
              <w:bottom w:val="single" w:sz="4" w:space="0" w:color="auto"/>
            </w:tcBorders>
            <w:shd w:val="clear" w:color="auto" w:fill="auto"/>
          </w:tcPr>
          <w:p w14:paraId="4A1AF40B" w14:textId="77777777" w:rsidR="009B7AF5" w:rsidRPr="005071A1" w:rsidRDefault="009B7AF5" w:rsidP="009B7AF5">
            <w:pPr>
              <w:pStyle w:val="ENoteTableText"/>
            </w:pPr>
            <w:r w:rsidRPr="005071A1">
              <w:t>86, 1966</w:t>
            </w:r>
          </w:p>
        </w:tc>
        <w:tc>
          <w:tcPr>
            <w:tcW w:w="993" w:type="dxa"/>
            <w:tcBorders>
              <w:top w:val="single" w:sz="4" w:space="0" w:color="auto"/>
              <w:bottom w:val="single" w:sz="4" w:space="0" w:color="auto"/>
            </w:tcBorders>
            <w:shd w:val="clear" w:color="auto" w:fill="auto"/>
          </w:tcPr>
          <w:p w14:paraId="0711311A" w14:textId="77777777" w:rsidR="009B7AF5" w:rsidRPr="005071A1" w:rsidRDefault="009B7AF5" w:rsidP="009B7AF5">
            <w:pPr>
              <w:pStyle w:val="ENoteTableText"/>
            </w:pPr>
            <w:smartTag w:uri="urn:schemas-microsoft-com:office:smarttags" w:element="date">
              <w:smartTagPr>
                <w:attr w:name="Month" w:val="10"/>
                <w:attr w:name="Day" w:val="29"/>
                <w:attr w:name="Year" w:val="1966"/>
              </w:smartTagPr>
              <w:r w:rsidRPr="005071A1">
                <w:t>29 Oct 1966</w:t>
              </w:r>
            </w:smartTag>
          </w:p>
        </w:tc>
        <w:tc>
          <w:tcPr>
            <w:tcW w:w="1845" w:type="dxa"/>
            <w:tcBorders>
              <w:top w:val="single" w:sz="4" w:space="0" w:color="auto"/>
              <w:bottom w:val="single" w:sz="4" w:space="0" w:color="auto"/>
            </w:tcBorders>
            <w:shd w:val="clear" w:color="auto" w:fill="auto"/>
          </w:tcPr>
          <w:p w14:paraId="39956386" w14:textId="77777777" w:rsidR="009B7AF5" w:rsidRPr="005071A1" w:rsidRDefault="009B7AF5" w:rsidP="009B7AF5">
            <w:pPr>
              <w:pStyle w:val="ENoteTableText"/>
            </w:pPr>
            <w:smartTag w:uri="urn:schemas-microsoft-com:office:smarttags" w:element="date">
              <w:smartTagPr>
                <w:attr w:name="Month" w:val="11"/>
                <w:attr w:name="Day" w:val="18"/>
                <w:attr w:name="Year" w:val="1966"/>
              </w:smartTagPr>
              <w:r w:rsidRPr="005071A1">
                <w:t>18 Nov 1966</w:t>
              </w:r>
            </w:smartTag>
            <w:r w:rsidRPr="005071A1">
              <w:t xml:space="preserve"> (</w:t>
            </w:r>
            <w:r w:rsidRPr="005071A1">
              <w:rPr>
                <w:i/>
              </w:rPr>
              <w:t xml:space="preserve">see </w:t>
            </w:r>
            <w:r w:rsidRPr="005071A1">
              <w:t xml:space="preserve">s. 2 and </w:t>
            </w:r>
            <w:r w:rsidRPr="005071A1">
              <w:rPr>
                <w:i/>
              </w:rPr>
              <w:t xml:space="preserve">Gazette </w:t>
            </w:r>
            <w:r w:rsidRPr="005071A1">
              <w:t>1966, p. 5732)</w:t>
            </w:r>
          </w:p>
        </w:tc>
        <w:tc>
          <w:tcPr>
            <w:tcW w:w="1417" w:type="dxa"/>
            <w:tcBorders>
              <w:top w:val="single" w:sz="4" w:space="0" w:color="auto"/>
              <w:bottom w:val="single" w:sz="4" w:space="0" w:color="auto"/>
            </w:tcBorders>
            <w:shd w:val="clear" w:color="auto" w:fill="auto"/>
          </w:tcPr>
          <w:p w14:paraId="3317E48C" w14:textId="77777777" w:rsidR="009B7AF5" w:rsidRPr="005071A1" w:rsidRDefault="002477D1" w:rsidP="009B7AF5">
            <w:pPr>
              <w:pStyle w:val="ENoteTableText"/>
            </w:pPr>
            <w:r w:rsidRPr="005071A1">
              <w:t>s.</w:t>
            </w:r>
            <w:r w:rsidR="009B7AF5" w:rsidRPr="005071A1">
              <w:t xml:space="preserve"> 6(2)</w:t>
            </w:r>
          </w:p>
        </w:tc>
      </w:tr>
      <w:tr w:rsidR="009B7AF5" w:rsidRPr="005071A1" w14:paraId="2A6E4451" w14:textId="77777777" w:rsidTr="00322DFA">
        <w:trPr>
          <w:cantSplit/>
        </w:trPr>
        <w:tc>
          <w:tcPr>
            <w:tcW w:w="1838" w:type="dxa"/>
            <w:tcBorders>
              <w:top w:val="single" w:sz="4" w:space="0" w:color="auto"/>
              <w:bottom w:val="single" w:sz="4" w:space="0" w:color="auto"/>
            </w:tcBorders>
            <w:shd w:val="clear" w:color="auto" w:fill="auto"/>
          </w:tcPr>
          <w:p w14:paraId="55B292B8" w14:textId="77777777" w:rsidR="009B7AF5" w:rsidRPr="005071A1" w:rsidRDefault="009B7AF5" w:rsidP="009B7AF5">
            <w:pPr>
              <w:pStyle w:val="ENoteTableText"/>
            </w:pPr>
            <w:r w:rsidRPr="005071A1">
              <w:t>Superannuation Act 1967</w:t>
            </w:r>
          </w:p>
        </w:tc>
        <w:tc>
          <w:tcPr>
            <w:tcW w:w="992" w:type="dxa"/>
            <w:tcBorders>
              <w:top w:val="single" w:sz="4" w:space="0" w:color="auto"/>
              <w:bottom w:val="single" w:sz="4" w:space="0" w:color="auto"/>
            </w:tcBorders>
            <w:shd w:val="clear" w:color="auto" w:fill="auto"/>
          </w:tcPr>
          <w:p w14:paraId="3EB38C90" w14:textId="77777777" w:rsidR="009B7AF5" w:rsidRPr="005071A1" w:rsidRDefault="009B7AF5" w:rsidP="009B7AF5">
            <w:pPr>
              <w:pStyle w:val="ENoteTableText"/>
            </w:pPr>
            <w:r w:rsidRPr="005071A1">
              <w:t>52, 1967</w:t>
            </w:r>
          </w:p>
        </w:tc>
        <w:tc>
          <w:tcPr>
            <w:tcW w:w="993" w:type="dxa"/>
            <w:tcBorders>
              <w:top w:val="single" w:sz="4" w:space="0" w:color="auto"/>
              <w:bottom w:val="single" w:sz="4" w:space="0" w:color="auto"/>
            </w:tcBorders>
            <w:shd w:val="clear" w:color="auto" w:fill="auto"/>
          </w:tcPr>
          <w:p w14:paraId="0924437D" w14:textId="77777777" w:rsidR="009B7AF5" w:rsidRPr="005071A1" w:rsidRDefault="009B7AF5" w:rsidP="009B7AF5">
            <w:pPr>
              <w:pStyle w:val="ENoteTableText"/>
            </w:pPr>
            <w:r w:rsidRPr="005071A1">
              <w:t>26</w:t>
            </w:r>
            <w:r w:rsidR="008B2950" w:rsidRPr="005071A1">
              <w:t> </w:t>
            </w:r>
            <w:r w:rsidRPr="005071A1">
              <w:t>May 1967</w:t>
            </w:r>
          </w:p>
        </w:tc>
        <w:tc>
          <w:tcPr>
            <w:tcW w:w="1845" w:type="dxa"/>
            <w:tcBorders>
              <w:top w:val="single" w:sz="4" w:space="0" w:color="auto"/>
              <w:bottom w:val="single" w:sz="4" w:space="0" w:color="auto"/>
            </w:tcBorders>
            <w:shd w:val="clear" w:color="auto" w:fill="auto"/>
          </w:tcPr>
          <w:p w14:paraId="4F3DB759" w14:textId="77777777" w:rsidR="009B7AF5" w:rsidRPr="005071A1" w:rsidRDefault="009B7AF5" w:rsidP="009B7AF5">
            <w:pPr>
              <w:pStyle w:val="ENoteTableText"/>
            </w:pPr>
            <w:r w:rsidRPr="005071A1">
              <w:t>26</w:t>
            </w:r>
            <w:r w:rsidR="008B2950" w:rsidRPr="005071A1">
              <w:t> </w:t>
            </w:r>
            <w:r w:rsidRPr="005071A1">
              <w:t>May 1967</w:t>
            </w:r>
          </w:p>
        </w:tc>
        <w:tc>
          <w:tcPr>
            <w:tcW w:w="1417" w:type="dxa"/>
            <w:tcBorders>
              <w:top w:val="single" w:sz="4" w:space="0" w:color="auto"/>
              <w:bottom w:val="single" w:sz="4" w:space="0" w:color="auto"/>
            </w:tcBorders>
            <w:shd w:val="clear" w:color="auto" w:fill="auto"/>
          </w:tcPr>
          <w:p w14:paraId="0DAFC03B" w14:textId="77777777" w:rsidR="009B7AF5" w:rsidRPr="005071A1" w:rsidRDefault="002477D1" w:rsidP="009B7AF5">
            <w:pPr>
              <w:pStyle w:val="ENoteTableText"/>
            </w:pPr>
            <w:r w:rsidRPr="005071A1">
              <w:t>s.</w:t>
            </w:r>
            <w:r w:rsidR="009B7AF5" w:rsidRPr="005071A1">
              <w:t xml:space="preserve"> 3(2)</w:t>
            </w:r>
          </w:p>
        </w:tc>
      </w:tr>
      <w:tr w:rsidR="009B7AF5" w:rsidRPr="005071A1" w14:paraId="35609B69" w14:textId="77777777" w:rsidTr="00322DFA">
        <w:trPr>
          <w:cantSplit/>
        </w:trPr>
        <w:tc>
          <w:tcPr>
            <w:tcW w:w="1838" w:type="dxa"/>
            <w:tcBorders>
              <w:top w:val="single" w:sz="4" w:space="0" w:color="auto"/>
              <w:bottom w:val="single" w:sz="4" w:space="0" w:color="auto"/>
            </w:tcBorders>
            <w:shd w:val="clear" w:color="auto" w:fill="auto"/>
          </w:tcPr>
          <w:p w14:paraId="633FA9B2" w14:textId="77777777" w:rsidR="009B7AF5" w:rsidRPr="005071A1" w:rsidRDefault="009B7AF5" w:rsidP="009B7AF5">
            <w:pPr>
              <w:pStyle w:val="ENoteTableText"/>
            </w:pPr>
            <w:r w:rsidRPr="005071A1">
              <w:t>Superannuation Act 1968</w:t>
            </w:r>
          </w:p>
        </w:tc>
        <w:tc>
          <w:tcPr>
            <w:tcW w:w="992" w:type="dxa"/>
            <w:tcBorders>
              <w:top w:val="single" w:sz="4" w:space="0" w:color="auto"/>
              <w:bottom w:val="single" w:sz="4" w:space="0" w:color="auto"/>
            </w:tcBorders>
            <w:shd w:val="clear" w:color="auto" w:fill="auto"/>
          </w:tcPr>
          <w:p w14:paraId="1C5DFC70" w14:textId="77777777" w:rsidR="009B7AF5" w:rsidRPr="005071A1" w:rsidRDefault="009B7AF5" w:rsidP="009B7AF5">
            <w:pPr>
              <w:pStyle w:val="ENoteTableText"/>
            </w:pPr>
            <w:r w:rsidRPr="005071A1">
              <w:t>49, 1968</w:t>
            </w:r>
          </w:p>
        </w:tc>
        <w:tc>
          <w:tcPr>
            <w:tcW w:w="993" w:type="dxa"/>
            <w:tcBorders>
              <w:top w:val="single" w:sz="4" w:space="0" w:color="auto"/>
              <w:bottom w:val="single" w:sz="4" w:space="0" w:color="auto"/>
            </w:tcBorders>
            <w:shd w:val="clear" w:color="auto" w:fill="auto"/>
          </w:tcPr>
          <w:p w14:paraId="5CAA284E" w14:textId="77777777" w:rsidR="009B7AF5" w:rsidRPr="005071A1" w:rsidRDefault="009B7AF5" w:rsidP="009B7AF5">
            <w:pPr>
              <w:pStyle w:val="ENoteTableText"/>
            </w:pPr>
            <w:r w:rsidRPr="005071A1">
              <w:t>21</w:t>
            </w:r>
            <w:r w:rsidR="008B2950" w:rsidRPr="005071A1">
              <w:t> </w:t>
            </w:r>
            <w:r w:rsidRPr="005071A1">
              <w:t>June 1968</w:t>
            </w:r>
          </w:p>
        </w:tc>
        <w:tc>
          <w:tcPr>
            <w:tcW w:w="1845" w:type="dxa"/>
            <w:tcBorders>
              <w:top w:val="single" w:sz="4" w:space="0" w:color="auto"/>
              <w:bottom w:val="single" w:sz="4" w:space="0" w:color="auto"/>
            </w:tcBorders>
            <w:shd w:val="clear" w:color="auto" w:fill="auto"/>
          </w:tcPr>
          <w:p w14:paraId="06D92D74" w14:textId="77777777" w:rsidR="009B7AF5" w:rsidRPr="005071A1" w:rsidRDefault="009B7AF5" w:rsidP="009B7AF5">
            <w:pPr>
              <w:pStyle w:val="ENoteTableText"/>
            </w:pPr>
            <w:r w:rsidRPr="005071A1">
              <w:t>19</w:t>
            </w:r>
            <w:r w:rsidR="008B2950" w:rsidRPr="005071A1">
              <w:t> </w:t>
            </w:r>
            <w:r w:rsidRPr="005071A1">
              <w:t>July 1968 (</w:t>
            </w:r>
            <w:r w:rsidRPr="005071A1">
              <w:rPr>
                <w:i/>
              </w:rPr>
              <w:t xml:space="preserve">see Gazette </w:t>
            </w:r>
            <w:r w:rsidRPr="005071A1">
              <w:t>1968, p. 3801)</w:t>
            </w:r>
          </w:p>
        </w:tc>
        <w:tc>
          <w:tcPr>
            <w:tcW w:w="1417" w:type="dxa"/>
            <w:tcBorders>
              <w:top w:val="single" w:sz="4" w:space="0" w:color="auto"/>
              <w:bottom w:val="single" w:sz="4" w:space="0" w:color="auto"/>
            </w:tcBorders>
            <w:shd w:val="clear" w:color="auto" w:fill="auto"/>
          </w:tcPr>
          <w:p w14:paraId="54B16AF2" w14:textId="77777777" w:rsidR="009B7AF5" w:rsidRPr="005071A1" w:rsidRDefault="002477D1" w:rsidP="009B7AF5">
            <w:pPr>
              <w:pStyle w:val="ENoteTableText"/>
            </w:pPr>
            <w:r w:rsidRPr="005071A1">
              <w:t>s.</w:t>
            </w:r>
            <w:r w:rsidR="009B7AF5" w:rsidRPr="005071A1">
              <w:t xml:space="preserve"> 13</w:t>
            </w:r>
          </w:p>
        </w:tc>
      </w:tr>
      <w:tr w:rsidR="009B7AF5" w:rsidRPr="005071A1" w14:paraId="4CA0E922" w14:textId="77777777" w:rsidTr="00322DFA">
        <w:trPr>
          <w:cantSplit/>
        </w:trPr>
        <w:tc>
          <w:tcPr>
            <w:tcW w:w="1838" w:type="dxa"/>
            <w:tcBorders>
              <w:top w:val="single" w:sz="4" w:space="0" w:color="auto"/>
              <w:bottom w:val="single" w:sz="4" w:space="0" w:color="auto"/>
            </w:tcBorders>
            <w:shd w:val="clear" w:color="auto" w:fill="auto"/>
          </w:tcPr>
          <w:p w14:paraId="5636C849" w14:textId="77777777" w:rsidR="009B7AF5" w:rsidRPr="005071A1" w:rsidRDefault="009B7AF5" w:rsidP="009B7AF5">
            <w:pPr>
              <w:pStyle w:val="ENoteTableText"/>
            </w:pPr>
            <w:r w:rsidRPr="005071A1">
              <w:t>Superannuation Act (No.</w:t>
            </w:r>
            <w:r w:rsidR="008B2950" w:rsidRPr="005071A1">
              <w:t> </w:t>
            </w:r>
            <w:r w:rsidRPr="005071A1">
              <w:t>2) 1968</w:t>
            </w:r>
          </w:p>
        </w:tc>
        <w:tc>
          <w:tcPr>
            <w:tcW w:w="992" w:type="dxa"/>
            <w:tcBorders>
              <w:top w:val="single" w:sz="4" w:space="0" w:color="auto"/>
              <w:bottom w:val="single" w:sz="4" w:space="0" w:color="auto"/>
            </w:tcBorders>
            <w:shd w:val="clear" w:color="auto" w:fill="auto"/>
          </w:tcPr>
          <w:p w14:paraId="0EAE7AC1" w14:textId="77777777" w:rsidR="009B7AF5" w:rsidRPr="005071A1" w:rsidRDefault="009B7AF5" w:rsidP="009B7AF5">
            <w:pPr>
              <w:pStyle w:val="ENoteTableText"/>
            </w:pPr>
            <w:r w:rsidRPr="005071A1">
              <w:t>57, 1968</w:t>
            </w:r>
          </w:p>
        </w:tc>
        <w:tc>
          <w:tcPr>
            <w:tcW w:w="993" w:type="dxa"/>
            <w:tcBorders>
              <w:top w:val="single" w:sz="4" w:space="0" w:color="auto"/>
              <w:bottom w:val="single" w:sz="4" w:space="0" w:color="auto"/>
            </w:tcBorders>
            <w:shd w:val="clear" w:color="auto" w:fill="auto"/>
          </w:tcPr>
          <w:p w14:paraId="56A7F69C" w14:textId="77777777" w:rsidR="009B7AF5" w:rsidRPr="005071A1" w:rsidRDefault="009B7AF5" w:rsidP="009B7AF5">
            <w:pPr>
              <w:pStyle w:val="ENoteTableText"/>
            </w:pPr>
            <w:r w:rsidRPr="005071A1">
              <w:t>25</w:t>
            </w:r>
            <w:r w:rsidR="008B2950" w:rsidRPr="005071A1">
              <w:t> </w:t>
            </w:r>
            <w:r w:rsidRPr="005071A1">
              <w:t>June 1968</w:t>
            </w:r>
          </w:p>
        </w:tc>
        <w:tc>
          <w:tcPr>
            <w:tcW w:w="1845" w:type="dxa"/>
            <w:tcBorders>
              <w:top w:val="single" w:sz="4" w:space="0" w:color="auto"/>
              <w:bottom w:val="single" w:sz="4" w:space="0" w:color="auto"/>
            </w:tcBorders>
            <w:shd w:val="clear" w:color="auto" w:fill="auto"/>
          </w:tcPr>
          <w:p w14:paraId="04AC96DE" w14:textId="77777777" w:rsidR="009B7AF5" w:rsidRPr="005071A1" w:rsidRDefault="009B7AF5" w:rsidP="009B7AF5">
            <w:pPr>
              <w:pStyle w:val="ENoteTableText"/>
            </w:pPr>
            <w:r w:rsidRPr="005071A1">
              <w:t>Part III (ss.</w:t>
            </w:r>
            <w:r w:rsidR="008B2950" w:rsidRPr="005071A1">
              <w:t> </w:t>
            </w:r>
            <w:r w:rsidRPr="005071A1">
              <w:t>12, 13): 19</w:t>
            </w:r>
            <w:r w:rsidR="008B2950" w:rsidRPr="005071A1">
              <w:t> </w:t>
            </w:r>
            <w:r w:rsidRPr="005071A1">
              <w:t>July 1968 (</w:t>
            </w:r>
            <w:r w:rsidRPr="005071A1">
              <w:rPr>
                <w:i/>
              </w:rPr>
              <w:t xml:space="preserve">see </w:t>
            </w:r>
            <w:r w:rsidRPr="005071A1">
              <w:t xml:space="preserve">s. 2 and </w:t>
            </w:r>
            <w:r w:rsidRPr="005071A1">
              <w:rPr>
                <w:i/>
              </w:rPr>
              <w:t xml:space="preserve">Gazette </w:t>
            </w:r>
            <w:r w:rsidRPr="005071A1">
              <w:t>1968, p. 3801)</w:t>
            </w:r>
            <w:r w:rsidRPr="005071A1">
              <w:br/>
              <w:t xml:space="preserve">Remainder: </w:t>
            </w:r>
            <w:smartTag w:uri="urn:schemas-microsoft-com:office:smarttags" w:element="date">
              <w:smartTagPr>
                <w:attr w:name="Month" w:val="9"/>
                <w:attr w:name="Day" w:val="1"/>
                <w:attr w:name="Year" w:val="1967"/>
              </w:smartTagPr>
              <w:r w:rsidRPr="005071A1">
                <w:t>1 Sept 1967</w:t>
              </w:r>
            </w:smartTag>
          </w:p>
        </w:tc>
        <w:tc>
          <w:tcPr>
            <w:tcW w:w="1417" w:type="dxa"/>
            <w:tcBorders>
              <w:top w:val="single" w:sz="4" w:space="0" w:color="auto"/>
              <w:bottom w:val="single" w:sz="4" w:space="0" w:color="auto"/>
            </w:tcBorders>
            <w:shd w:val="clear" w:color="auto" w:fill="auto"/>
          </w:tcPr>
          <w:p w14:paraId="6C246E1B" w14:textId="77777777" w:rsidR="009B7AF5" w:rsidRPr="005071A1" w:rsidRDefault="009B7AF5" w:rsidP="009B7AF5">
            <w:pPr>
              <w:pStyle w:val="ENoteTableText"/>
            </w:pPr>
            <w:r w:rsidRPr="005071A1">
              <w:t>—</w:t>
            </w:r>
          </w:p>
        </w:tc>
      </w:tr>
      <w:tr w:rsidR="009B7AF5" w:rsidRPr="005071A1" w14:paraId="123ABA3E" w14:textId="77777777" w:rsidTr="00322DFA">
        <w:trPr>
          <w:cantSplit/>
        </w:trPr>
        <w:tc>
          <w:tcPr>
            <w:tcW w:w="1838" w:type="dxa"/>
            <w:tcBorders>
              <w:top w:val="single" w:sz="4" w:space="0" w:color="auto"/>
              <w:bottom w:val="single" w:sz="4" w:space="0" w:color="auto"/>
            </w:tcBorders>
            <w:shd w:val="clear" w:color="auto" w:fill="auto"/>
          </w:tcPr>
          <w:p w14:paraId="541CA9C6" w14:textId="77777777" w:rsidR="009B7AF5" w:rsidRPr="005071A1" w:rsidRDefault="009B7AF5" w:rsidP="009B7AF5">
            <w:pPr>
              <w:pStyle w:val="ENoteTableText"/>
            </w:pPr>
            <w:r w:rsidRPr="005071A1">
              <w:t>Superannuation Act 1969</w:t>
            </w:r>
          </w:p>
        </w:tc>
        <w:tc>
          <w:tcPr>
            <w:tcW w:w="992" w:type="dxa"/>
            <w:tcBorders>
              <w:top w:val="single" w:sz="4" w:space="0" w:color="auto"/>
              <w:bottom w:val="single" w:sz="4" w:space="0" w:color="auto"/>
            </w:tcBorders>
            <w:shd w:val="clear" w:color="auto" w:fill="auto"/>
          </w:tcPr>
          <w:p w14:paraId="6AA9E466" w14:textId="77777777" w:rsidR="009B7AF5" w:rsidRPr="005071A1" w:rsidRDefault="009B7AF5" w:rsidP="009B7AF5">
            <w:pPr>
              <w:pStyle w:val="ENoteTableText"/>
            </w:pPr>
            <w:r w:rsidRPr="005071A1">
              <w:t>14, 1969</w:t>
            </w:r>
          </w:p>
        </w:tc>
        <w:tc>
          <w:tcPr>
            <w:tcW w:w="993" w:type="dxa"/>
            <w:tcBorders>
              <w:top w:val="single" w:sz="4" w:space="0" w:color="auto"/>
              <w:bottom w:val="single" w:sz="4" w:space="0" w:color="auto"/>
            </w:tcBorders>
            <w:shd w:val="clear" w:color="auto" w:fill="auto"/>
          </w:tcPr>
          <w:p w14:paraId="12AC043C" w14:textId="77777777" w:rsidR="009B7AF5" w:rsidRPr="005071A1" w:rsidRDefault="009B7AF5" w:rsidP="009B7AF5">
            <w:pPr>
              <w:pStyle w:val="ENoteTableText"/>
            </w:pPr>
            <w:smartTag w:uri="urn:schemas-microsoft-com:office:smarttags" w:element="date">
              <w:smartTagPr>
                <w:attr w:name="Month" w:val="4"/>
                <w:attr w:name="Day" w:val="23"/>
                <w:attr w:name="Year" w:val="1969"/>
              </w:smartTagPr>
              <w:r w:rsidRPr="005071A1">
                <w:t>23 Apr 1969</w:t>
              </w:r>
            </w:smartTag>
          </w:p>
        </w:tc>
        <w:tc>
          <w:tcPr>
            <w:tcW w:w="1845" w:type="dxa"/>
            <w:tcBorders>
              <w:top w:val="single" w:sz="4" w:space="0" w:color="auto"/>
              <w:bottom w:val="single" w:sz="4" w:space="0" w:color="auto"/>
            </w:tcBorders>
            <w:shd w:val="clear" w:color="auto" w:fill="auto"/>
          </w:tcPr>
          <w:p w14:paraId="6C2B29D7" w14:textId="77777777" w:rsidR="009B7AF5" w:rsidRPr="005071A1" w:rsidRDefault="009B7AF5" w:rsidP="009B7AF5">
            <w:pPr>
              <w:pStyle w:val="ENoteTableText"/>
            </w:pPr>
            <w:smartTag w:uri="urn:schemas-microsoft-com:office:smarttags" w:element="date">
              <w:smartTagPr>
                <w:attr w:name="Month" w:val="4"/>
                <w:attr w:name="Day" w:val="23"/>
                <w:attr w:name="Year" w:val="1969"/>
              </w:smartTagPr>
              <w:r w:rsidRPr="005071A1">
                <w:t>23 Apr 1969</w:t>
              </w:r>
            </w:smartTag>
          </w:p>
        </w:tc>
        <w:tc>
          <w:tcPr>
            <w:tcW w:w="1417" w:type="dxa"/>
            <w:tcBorders>
              <w:top w:val="single" w:sz="4" w:space="0" w:color="auto"/>
              <w:bottom w:val="single" w:sz="4" w:space="0" w:color="auto"/>
            </w:tcBorders>
            <w:shd w:val="clear" w:color="auto" w:fill="auto"/>
          </w:tcPr>
          <w:p w14:paraId="4EF11836" w14:textId="77777777" w:rsidR="009B7AF5" w:rsidRPr="005071A1" w:rsidRDefault="009B7AF5" w:rsidP="009B7AF5">
            <w:pPr>
              <w:pStyle w:val="ENoteTableText"/>
            </w:pPr>
            <w:r w:rsidRPr="005071A1">
              <w:t>—</w:t>
            </w:r>
          </w:p>
        </w:tc>
      </w:tr>
      <w:tr w:rsidR="009B7AF5" w:rsidRPr="005071A1" w14:paraId="187A177A" w14:textId="77777777" w:rsidTr="00322DFA">
        <w:trPr>
          <w:cantSplit/>
        </w:trPr>
        <w:tc>
          <w:tcPr>
            <w:tcW w:w="1838" w:type="dxa"/>
            <w:tcBorders>
              <w:top w:val="single" w:sz="4" w:space="0" w:color="auto"/>
              <w:bottom w:val="single" w:sz="4" w:space="0" w:color="auto"/>
            </w:tcBorders>
            <w:shd w:val="clear" w:color="auto" w:fill="auto"/>
          </w:tcPr>
          <w:p w14:paraId="7207A234" w14:textId="77777777" w:rsidR="009B7AF5" w:rsidRPr="005071A1" w:rsidRDefault="009B7AF5" w:rsidP="009B7AF5">
            <w:pPr>
              <w:pStyle w:val="ENoteTableText"/>
            </w:pPr>
            <w:r w:rsidRPr="005071A1">
              <w:t>Superannuation Act (No.2) 1969</w:t>
            </w:r>
          </w:p>
        </w:tc>
        <w:tc>
          <w:tcPr>
            <w:tcW w:w="992" w:type="dxa"/>
            <w:tcBorders>
              <w:top w:val="single" w:sz="4" w:space="0" w:color="auto"/>
              <w:bottom w:val="single" w:sz="4" w:space="0" w:color="auto"/>
            </w:tcBorders>
            <w:shd w:val="clear" w:color="auto" w:fill="auto"/>
          </w:tcPr>
          <w:p w14:paraId="29E6A23F" w14:textId="77777777" w:rsidR="009B7AF5" w:rsidRPr="005071A1" w:rsidRDefault="009B7AF5" w:rsidP="009B7AF5">
            <w:pPr>
              <w:pStyle w:val="ENoteTableText"/>
            </w:pPr>
            <w:r w:rsidRPr="005071A1">
              <w:t>26, 1969</w:t>
            </w:r>
          </w:p>
        </w:tc>
        <w:tc>
          <w:tcPr>
            <w:tcW w:w="993" w:type="dxa"/>
            <w:tcBorders>
              <w:top w:val="single" w:sz="4" w:space="0" w:color="auto"/>
              <w:bottom w:val="single" w:sz="4" w:space="0" w:color="auto"/>
            </w:tcBorders>
            <w:shd w:val="clear" w:color="auto" w:fill="auto"/>
          </w:tcPr>
          <w:p w14:paraId="0FEB2062" w14:textId="77777777" w:rsidR="009B7AF5" w:rsidRPr="005071A1" w:rsidRDefault="009B7AF5" w:rsidP="009B7AF5">
            <w:pPr>
              <w:pStyle w:val="ENoteTableText"/>
            </w:pPr>
            <w:r w:rsidRPr="005071A1">
              <w:t>4</w:t>
            </w:r>
            <w:r w:rsidR="008B2950" w:rsidRPr="005071A1">
              <w:t> </w:t>
            </w:r>
            <w:r w:rsidRPr="005071A1">
              <w:t>June 1969</w:t>
            </w:r>
          </w:p>
        </w:tc>
        <w:tc>
          <w:tcPr>
            <w:tcW w:w="1845" w:type="dxa"/>
            <w:tcBorders>
              <w:top w:val="single" w:sz="4" w:space="0" w:color="auto"/>
              <w:bottom w:val="single" w:sz="4" w:space="0" w:color="auto"/>
            </w:tcBorders>
            <w:shd w:val="clear" w:color="auto" w:fill="auto"/>
          </w:tcPr>
          <w:p w14:paraId="4A460CBE" w14:textId="77777777" w:rsidR="009B7AF5" w:rsidRPr="005071A1" w:rsidRDefault="009B7AF5" w:rsidP="009B7AF5">
            <w:pPr>
              <w:pStyle w:val="ENoteTableText"/>
            </w:pPr>
            <w:r w:rsidRPr="005071A1">
              <w:t>4</w:t>
            </w:r>
            <w:r w:rsidR="008B2950" w:rsidRPr="005071A1">
              <w:t> </w:t>
            </w:r>
            <w:r w:rsidRPr="005071A1">
              <w:t>June 1969</w:t>
            </w:r>
          </w:p>
        </w:tc>
        <w:tc>
          <w:tcPr>
            <w:tcW w:w="1417" w:type="dxa"/>
            <w:tcBorders>
              <w:top w:val="single" w:sz="4" w:space="0" w:color="auto"/>
              <w:bottom w:val="single" w:sz="4" w:space="0" w:color="auto"/>
            </w:tcBorders>
            <w:shd w:val="clear" w:color="auto" w:fill="auto"/>
          </w:tcPr>
          <w:p w14:paraId="7C63B740" w14:textId="77777777" w:rsidR="009B7AF5" w:rsidRPr="005071A1" w:rsidRDefault="002477D1" w:rsidP="009B7AF5">
            <w:pPr>
              <w:pStyle w:val="ENoteTableText"/>
            </w:pPr>
            <w:r w:rsidRPr="005071A1">
              <w:t>ss.</w:t>
            </w:r>
            <w:r w:rsidR="008B2950" w:rsidRPr="005071A1">
              <w:t> </w:t>
            </w:r>
            <w:r w:rsidR="009B7AF5" w:rsidRPr="005071A1">
              <w:t>2(2), (3), 10(2) and 29–32</w:t>
            </w:r>
          </w:p>
        </w:tc>
      </w:tr>
      <w:tr w:rsidR="009B7AF5" w:rsidRPr="005071A1" w14:paraId="0C3BE5BD" w14:textId="77777777" w:rsidTr="00322DFA">
        <w:trPr>
          <w:cantSplit/>
        </w:trPr>
        <w:tc>
          <w:tcPr>
            <w:tcW w:w="1838" w:type="dxa"/>
            <w:tcBorders>
              <w:top w:val="single" w:sz="4" w:space="0" w:color="auto"/>
              <w:bottom w:val="single" w:sz="4" w:space="0" w:color="auto"/>
            </w:tcBorders>
            <w:shd w:val="clear" w:color="auto" w:fill="auto"/>
          </w:tcPr>
          <w:p w14:paraId="1EE3554D" w14:textId="77777777" w:rsidR="009B7AF5" w:rsidRPr="005071A1" w:rsidRDefault="009B7AF5" w:rsidP="009B7AF5">
            <w:pPr>
              <w:pStyle w:val="ENoteTableText"/>
            </w:pPr>
            <w:r w:rsidRPr="005071A1">
              <w:t>Superannuation Act 1971</w:t>
            </w:r>
          </w:p>
        </w:tc>
        <w:tc>
          <w:tcPr>
            <w:tcW w:w="992" w:type="dxa"/>
            <w:tcBorders>
              <w:top w:val="single" w:sz="4" w:space="0" w:color="auto"/>
              <w:bottom w:val="single" w:sz="4" w:space="0" w:color="auto"/>
            </w:tcBorders>
            <w:shd w:val="clear" w:color="auto" w:fill="auto"/>
          </w:tcPr>
          <w:p w14:paraId="124C245F" w14:textId="77777777" w:rsidR="009B7AF5" w:rsidRPr="005071A1" w:rsidRDefault="009B7AF5" w:rsidP="009B7AF5">
            <w:pPr>
              <w:pStyle w:val="ENoteTableText"/>
            </w:pPr>
            <w:r w:rsidRPr="005071A1">
              <w:t>46, 1971</w:t>
            </w:r>
          </w:p>
        </w:tc>
        <w:tc>
          <w:tcPr>
            <w:tcW w:w="993" w:type="dxa"/>
            <w:tcBorders>
              <w:top w:val="single" w:sz="4" w:space="0" w:color="auto"/>
              <w:bottom w:val="single" w:sz="4" w:space="0" w:color="auto"/>
            </w:tcBorders>
            <w:shd w:val="clear" w:color="auto" w:fill="auto"/>
          </w:tcPr>
          <w:p w14:paraId="0E1C093C" w14:textId="77777777" w:rsidR="009B7AF5" w:rsidRPr="005071A1" w:rsidRDefault="009B7AF5" w:rsidP="009B7AF5">
            <w:pPr>
              <w:pStyle w:val="ENoteTableText"/>
            </w:pPr>
            <w:r w:rsidRPr="005071A1">
              <w:t>25</w:t>
            </w:r>
            <w:r w:rsidR="008B2950" w:rsidRPr="005071A1">
              <w:t> </w:t>
            </w:r>
            <w:r w:rsidRPr="005071A1">
              <w:t>May 1971</w:t>
            </w:r>
          </w:p>
        </w:tc>
        <w:tc>
          <w:tcPr>
            <w:tcW w:w="1845" w:type="dxa"/>
            <w:tcBorders>
              <w:top w:val="single" w:sz="4" w:space="0" w:color="auto"/>
              <w:bottom w:val="single" w:sz="4" w:space="0" w:color="auto"/>
            </w:tcBorders>
            <w:shd w:val="clear" w:color="auto" w:fill="auto"/>
          </w:tcPr>
          <w:p w14:paraId="649B0987" w14:textId="77777777" w:rsidR="009B7AF5" w:rsidRPr="005071A1" w:rsidRDefault="009B7AF5" w:rsidP="009B7AF5">
            <w:pPr>
              <w:pStyle w:val="ENoteTableText"/>
            </w:pPr>
            <w:r w:rsidRPr="005071A1">
              <w:t>25</w:t>
            </w:r>
            <w:r w:rsidR="008B2950" w:rsidRPr="005071A1">
              <w:t> </w:t>
            </w:r>
            <w:r w:rsidRPr="005071A1">
              <w:t>May 1971</w:t>
            </w:r>
          </w:p>
        </w:tc>
        <w:tc>
          <w:tcPr>
            <w:tcW w:w="1417" w:type="dxa"/>
            <w:tcBorders>
              <w:top w:val="single" w:sz="4" w:space="0" w:color="auto"/>
              <w:bottom w:val="single" w:sz="4" w:space="0" w:color="auto"/>
            </w:tcBorders>
            <w:shd w:val="clear" w:color="auto" w:fill="auto"/>
          </w:tcPr>
          <w:p w14:paraId="2AC96BDE" w14:textId="77777777" w:rsidR="009B7AF5" w:rsidRPr="005071A1" w:rsidRDefault="002477D1" w:rsidP="009B7AF5">
            <w:pPr>
              <w:pStyle w:val="ENoteTableText"/>
            </w:pPr>
            <w:r w:rsidRPr="005071A1">
              <w:t>ss.</w:t>
            </w:r>
            <w:r w:rsidR="008B2950" w:rsidRPr="005071A1">
              <w:t> </w:t>
            </w:r>
            <w:r w:rsidR="009B7AF5" w:rsidRPr="005071A1">
              <w:t>22–24</w:t>
            </w:r>
          </w:p>
        </w:tc>
      </w:tr>
      <w:tr w:rsidR="009B7AF5" w:rsidRPr="005071A1" w14:paraId="00E3687E" w14:textId="77777777" w:rsidTr="00322DFA">
        <w:trPr>
          <w:cantSplit/>
        </w:trPr>
        <w:tc>
          <w:tcPr>
            <w:tcW w:w="1838" w:type="dxa"/>
            <w:tcBorders>
              <w:top w:val="single" w:sz="4" w:space="0" w:color="auto"/>
              <w:bottom w:val="single" w:sz="4" w:space="0" w:color="auto"/>
            </w:tcBorders>
            <w:shd w:val="clear" w:color="auto" w:fill="auto"/>
          </w:tcPr>
          <w:p w14:paraId="70E93F13" w14:textId="77777777" w:rsidR="009B7AF5" w:rsidRPr="005071A1" w:rsidRDefault="009B7AF5" w:rsidP="009B7AF5">
            <w:pPr>
              <w:pStyle w:val="ENoteTableText"/>
            </w:pPr>
            <w:r w:rsidRPr="005071A1">
              <w:t>Superannuation Act 1973</w:t>
            </w:r>
          </w:p>
        </w:tc>
        <w:tc>
          <w:tcPr>
            <w:tcW w:w="992" w:type="dxa"/>
            <w:tcBorders>
              <w:top w:val="single" w:sz="4" w:space="0" w:color="auto"/>
              <w:bottom w:val="single" w:sz="4" w:space="0" w:color="auto"/>
            </w:tcBorders>
            <w:shd w:val="clear" w:color="auto" w:fill="auto"/>
          </w:tcPr>
          <w:p w14:paraId="3F25BDAE" w14:textId="77777777" w:rsidR="009B7AF5" w:rsidRPr="005071A1" w:rsidRDefault="009B7AF5" w:rsidP="009B7AF5">
            <w:pPr>
              <w:pStyle w:val="ENoteTableText"/>
            </w:pPr>
            <w:r w:rsidRPr="005071A1">
              <w:t>46, 1973</w:t>
            </w:r>
          </w:p>
        </w:tc>
        <w:tc>
          <w:tcPr>
            <w:tcW w:w="993" w:type="dxa"/>
            <w:tcBorders>
              <w:top w:val="single" w:sz="4" w:space="0" w:color="auto"/>
              <w:bottom w:val="single" w:sz="4" w:space="0" w:color="auto"/>
            </w:tcBorders>
            <w:shd w:val="clear" w:color="auto" w:fill="auto"/>
          </w:tcPr>
          <w:p w14:paraId="25EA86C4" w14:textId="77777777" w:rsidR="009B7AF5" w:rsidRPr="005071A1" w:rsidRDefault="009B7AF5" w:rsidP="009B7AF5">
            <w:pPr>
              <w:pStyle w:val="ENoteTableText"/>
            </w:pPr>
            <w:r w:rsidRPr="005071A1">
              <w:t>8</w:t>
            </w:r>
            <w:r w:rsidR="008B2950" w:rsidRPr="005071A1">
              <w:t> </w:t>
            </w:r>
            <w:r w:rsidRPr="005071A1">
              <w:t>June 1973</w:t>
            </w:r>
          </w:p>
        </w:tc>
        <w:tc>
          <w:tcPr>
            <w:tcW w:w="1845" w:type="dxa"/>
            <w:tcBorders>
              <w:top w:val="single" w:sz="4" w:space="0" w:color="auto"/>
              <w:bottom w:val="single" w:sz="4" w:space="0" w:color="auto"/>
            </w:tcBorders>
            <w:shd w:val="clear" w:color="auto" w:fill="auto"/>
          </w:tcPr>
          <w:p w14:paraId="3140DCC7" w14:textId="77777777" w:rsidR="009B7AF5" w:rsidRPr="005071A1" w:rsidRDefault="009B7AF5" w:rsidP="009B7AF5">
            <w:pPr>
              <w:pStyle w:val="ENoteTableText"/>
            </w:pPr>
            <w:r w:rsidRPr="005071A1">
              <w:t>8</w:t>
            </w:r>
            <w:r w:rsidR="008B2950" w:rsidRPr="005071A1">
              <w:t> </w:t>
            </w:r>
            <w:r w:rsidRPr="005071A1">
              <w:t>June 1973</w:t>
            </w:r>
          </w:p>
        </w:tc>
        <w:tc>
          <w:tcPr>
            <w:tcW w:w="1417" w:type="dxa"/>
            <w:tcBorders>
              <w:top w:val="single" w:sz="4" w:space="0" w:color="auto"/>
              <w:bottom w:val="single" w:sz="4" w:space="0" w:color="auto"/>
            </w:tcBorders>
            <w:shd w:val="clear" w:color="auto" w:fill="auto"/>
          </w:tcPr>
          <w:p w14:paraId="20629463" w14:textId="77777777" w:rsidR="009B7AF5" w:rsidRPr="005071A1" w:rsidRDefault="009B7AF5" w:rsidP="009B7AF5">
            <w:pPr>
              <w:pStyle w:val="ENoteTableText"/>
            </w:pPr>
            <w:r w:rsidRPr="005071A1">
              <w:t>—</w:t>
            </w:r>
          </w:p>
        </w:tc>
      </w:tr>
      <w:tr w:rsidR="009B7AF5" w:rsidRPr="005071A1" w14:paraId="3A4EAC1C" w14:textId="77777777" w:rsidTr="00322DFA">
        <w:trPr>
          <w:cantSplit/>
        </w:trPr>
        <w:tc>
          <w:tcPr>
            <w:tcW w:w="1838" w:type="dxa"/>
            <w:tcBorders>
              <w:top w:val="single" w:sz="4" w:space="0" w:color="auto"/>
              <w:bottom w:val="single" w:sz="4" w:space="0" w:color="auto"/>
            </w:tcBorders>
            <w:shd w:val="clear" w:color="auto" w:fill="auto"/>
          </w:tcPr>
          <w:p w14:paraId="2F2C6B0A" w14:textId="77777777" w:rsidR="009B7AF5" w:rsidRPr="005071A1" w:rsidRDefault="009B7AF5" w:rsidP="009B7AF5">
            <w:pPr>
              <w:pStyle w:val="ENoteTableText"/>
            </w:pPr>
            <w:r w:rsidRPr="005071A1">
              <w:t>Superannuation Act (No.</w:t>
            </w:r>
            <w:r w:rsidR="008B2950" w:rsidRPr="005071A1">
              <w:t> </w:t>
            </w:r>
            <w:r w:rsidRPr="005071A1">
              <w:t>2) 1973</w:t>
            </w:r>
          </w:p>
        </w:tc>
        <w:tc>
          <w:tcPr>
            <w:tcW w:w="992" w:type="dxa"/>
            <w:tcBorders>
              <w:top w:val="single" w:sz="4" w:space="0" w:color="auto"/>
              <w:bottom w:val="single" w:sz="4" w:space="0" w:color="auto"/>
            </w:tcBorders>
            <w:shd w:val="clear" w:color="auto" w:fill="auto"/>
          </w:tcPr>
          <w:p w14:paraId="56131A20" w14:textId="77777777" w:rsidR="009B7AF5" w:rsidRPr="005071A1" w:rsidRDefault="009B7AF5" w:rsidP="009B7AF5">
            <w:pPr>
              <w:pStyle w:val="ENoteTableText"/>
            </w:pPr>
            <w:r w:rsidRPr="005071A1">
              <w:t>83,1973</w:t>
            </w:r>
          </w:p>
        </w:tc>
        <w:tc>
          <w:tcPr>
            <w:tcW w:w="993" w:type="dxa"/>
            <w:tcBorders>
              <w:top w:val="single" w:sz="4" w:space="0" w:color="auto"/>
              <w:bottom w:val="single" w:sz="4" w:space="0" w:color="auto"/>
            </w:tcBorders>
            <w:shd w:val="clear" w:color="auto" w:fill="auto"/>
          </w:tcPr>
          <w:p w14:paraId="35DE2B82" w14:textId="77777777" w:rsidR="009B7AF5" w:rsidRPr="005071A1" w:rsidRDefault="009B7AF5" w:rsidP="009B7AF5">
            <w:pPr>
              <w:pStyle w:val="ENoteTableText"/>
            </w:pPr>
            <w:r w:rsidRPr="005071A1">
              <w:t>19</w:t>
            </w:r>
            <w:r w:rsidR="008B2950" w:rsidRPr="005071A1">
              <w:t> </w:t>
            </w:r>
            <w:r w:rsidRPr="005071A1">
              <w:t>June 1973</w:t>
            </w:r>
          </w:p>
        </w:tc>
        <w:tc>
          <w:tcPr>
            <w:tcW w:w="1845" w:type="dxa"/>
            <w:tcBorders>
              <w:top w:val="single" w:sz="4" w:space="0" w:color="auto"/>
              <w:bottom w:val="single" w:sz="4" w:space="0" w:color="auto"/>
            </w:tcBorders>
            <w:shd w:val="clear" w:color="auto" w:fill="auto"/>
          </w:tcPr>
          <w:p w14:paraId="2737EF59" w14:textId="77777777" w:rsidR="009B7AF5" w:rsidRPr="005071A1" w:rsidRDefault="009B7AF5" w:rsidP="009B7AF5">
            <w:pPr>
              <w:pStyle w:val="ENoteTableText"/>
            </w:pPr>
            <w:r w:rsidRPr="005071A1">
              <w:t>19</w:t>
            </w:r>
            <w:r w:rsidR="008B2950" w:rsidRPr="005071A1">
              <w:t> </w:t>
            </w:r>
            <w:r w:rsidRPr="005071A1">
              <w:t>June 1973</w:t>
            </w:r>
          </w:p>
        </w:tc>
        <w:tc>
          <w:tcPr>
            <w:tcW w:w="1417" w:type="dxa"/>
            <w:tcBorders>
              <w:top w:val="single" w:sz="4" w:space="0" w:color="auto"/>
              <w:bottom w:val="single" w:sz="4" w:space="0" w:color="auto"/>
            </w:tcBorders>
            <w:shd w:val="clear" w:color="auto" w:fill="auto"/>
          </w:tcPr>
          <w:p w14:paraId="27E5E9FF" w14:textId="77777777" w:rsidR="009B7AF5" w:rsidRPr="005071A1" w:rsidRDefault="002477D1" w:rsidP="009B7AF5">
            <w:pPr>
              <w:pStyle w:val="ENoteTableText"/>
            </w:pPr>
            <w:r w:rsidRPr="005071A1">
              <w:t>s.</w:t>
            </w:r>
            <w:r w:rsidR="009B7AF5" w:rsidRPr="005071A1">
              <w:t xml:space="preserve"> 5(2)</w:t>
            </w:r>
          </w:p>
        </w:tc>
      </w:tr>
      <w:tr w:rsidR="009B7AF5" w:rsidRPr="005071A1" w14:paraId="38360DDA" w14:textId="77777777" w:rsidTr="00322DFA">
        <w:trPr>
          <w:cantSplit/>
        </w:trPr>
        <w:tc>
          <w:tcPr>
            <w:tcW w:w="1838" w:type="dxa"/>
            <w:tcBorders>
              <w:top w:val="single" w:sz="4" w:space="0" w:color="auto"/>
              <w:bottom w:val="single" w:sz="4" w:space="0" w:color="auto"/>
            </w:tcBorders>
            <w:shd w:val="clear" w:color="auto" w:fill="auto"/>
          </w:tcPr>
          <w:p w14:paraId="772D8B28" w14:textId="77777777" w:rsidR="009B7AF5" w:rsidRPr="005071A1" w:rsidRDefault="009B7AF5" w:rsidP="009B7AF5">
            <w:pPr>
              <w:pStyle w:val="ENoteTableText"/>
            </w:pPr>
            <w:r w:rsidRPr="005071A1">
              <w:t>Superannuation Act (No.</w:t>
            </w:r>
            <w:r w:rsidR="008B2950" w:rsidRPr="005071A1">
              <w:t> </w:t>
            </w:r>
            <w:r w:rsidRPr="005071A1">
              <w:t>3) 1973</w:t>
            </w:r>
          </w:p>
        </w:tc>
        <w:tc>
          <w:tcPr>
            <w:tcW w:w="992" w:type="dxa"/>
            <w:tcBorders>
              <w:top w:val="single" w:sz="4" w:space="0" w:color="auto"/>
              <w:bottom w:val="single" w:sz="4" w:space="0" w:color="auto"/>
            </w:tcBorders>
            <w:shd w:val="clear" w:color="auto" w:fill="auto"/>
          </w:tcPr>
          <w:p w14:paraId="29406755" w14:textId="77777777" w:rsidR="009B7AF5" w:rsidRPr="005071A1" w:rsidRDefault="009B7AF5" w:rsidP="009B7AF5">
            <w:pPr>
              <w:pStyle w:val="ENoteTableText"/>
            </w:pPr>
            <w:r w:rsidRPr="005071A1">
              <w:t>135, 1973</w:t>
            </w:r>
          </w:p>
        </w:tc>
        <w:tc>
          <w:tcPr>
            <w:tcW w:w="993" w:type="dxa"/>
            <w:tcBorders>
              <w:top w:val="single" w:sz="4" w:space="0" w:color="auto"/>
              <w:bottom w:val="single" w:sz="4" w:space="0" w:color="auto"/>
            </w:tcBorders>
            <w:shd w:val="clear" w:color="auto" w:fill="auto"/>
          </w:tcPr>
          <w:p w14:paraId="26C8EDA4" w14:textId="77777777" w:rsidR="009B7AF5" w:rsidRPr="005071A1" w:rsidRDefault="009B7AF5" w:rsidP="009B7AF5">
            <w:pPr>
              <w:pStyle w:val="ENoteTableText"/>
            </w:pPr>
            <w:smartTag w:uri="urn:schemas-microsoft-com:office:smarttags" w:element="date">
              <w:smartTagPr>
                <w:attr w:name="Month" w:val="11"/>
                <w:attr w:name="Day" w:val="13"/>
                <w:attr w:name="Year" w:val="1973"/>
              </w:smartTagPr>
              <w:r w:rsidRPr="005071A1">
                <w:t>13 Nov 1973</w:t>
              </w:r>
            </w:smartTag>
          </w:p>
        </w:tc>
        <w:tc>
          <w:tcPr>
            <w:tcW w:w="1845" w:type="dxa"/>
            <w:tcBorders>
              <w:top w:val="single" w:sz="4" w:space="0" w:color="auto"/>
              <w:bottom w:val="single" w:sz="4" w:space="0" w:color="auto"/>
            </w:tcBorders>
            <w:shd w:val="clear" w:color="auto" w:fill="auto"/>
          </w:tcPr>
          <w:p w14:paraId="0551642E" w14:textId="77777777" w:rsidR="009B7AF5" w:rsidRPr="005071A1" w:rsidRDefault="002477D1" w:rsidP="009B7AF5">
            <w:pPr>
              <w:pStyle w:val="ENoteTableText"/>
            </w:pPr>
            <w:r w:rsidRPr="005071A1">
              <w:t>s.</w:t>
            </w:r>
            <w:r w:rsidR="009B7AF5" w:rsidRPr="005071A1">
              <w:t xml:space="preserve"> 3: 19</w:t>
            </w:r>
            <w:r w:rsidR="008B2950" w:rsidRPr="005071A1">
              <w:t> </w:t>
            </w:r>
            <w:r w:rsidR="009B7AF5" w:rsidRPr="005071A1">
              <w:t>July 1973</w:t>
            </w:r>
            <w:r w:rsidR="009B7AF5" w:rsidRPr="005071A1">
              <w:br/>
              <w:t>Remainder: Royal Assent</w:t>
            </w:r>
          </w:p>
        </w:tc>
        <w:tc>
          <w:tcPr>
            <w:tcW w:w="1417" w:type="dxa"/>
            <w:tcBorders>
              <w:top w:val="single" w:sz="4" w:space="0" w:color="auto"/>
              <w:bottom w:val="single" w:sz="4" w:space="0" w:color="auto"/>
            </w:tcBorders>
            <w:shd w:val="clear" w:color="auto" w:fill="auto"/>
          </w:tcPr>
          <w:p w14:paraId="1E7CE3A6" w14:textId="77777777" w:rsidR="009B7AF5" w:rsidRPr="005071A1" w:rsidRDefault="002477D1" w:rsidP="009B7AF5">
            <w:pPr>
              <w:pStyle w:val="ENoteTableText"/>
            </w:pPr>
            <w:r w:rsidRPr="005071A1">
              <w:t>s.</w:t>
            </w:r>
            <w:r w:rsidR="009B7AF5" w:rsidRPr="005071A1">
              <w:t xml:space="preserve"> 4</w:t>
            </w:r>
          </w:p>
        </w:tc>
      </w:tr>
      <w:tr w:rsidR="009B7AF5" w:rsidRPr="005071A1" w14:paraId="3060A5DF" w14:textId="77777777" w:rsidTr="00322DFA">
        <w:trPr>
          <w:cantSplit/>
        </w:trPr>
        <w:tc>
          <w:tcPr>
            <w:tcW w:w="1838" w:type="dxa"/>
            <w:tcBorders>
              <w:top w:val="single" w:sz="4" w:space="0" w:color="auto"/>
              <w:bottom w:val="single" w:sz="4" w:space="0" w:color="auto"/>
            </w:tcBorders>
            <w:shd w:val="clear" w:color="auto" w:fill="auto"/>
          </w:tcPr>
          <w:p w14:paraId="0CBE4707" w14:textId="77777777" w:rsidR="009B7AF5" w:rsidRPr="005071A1" w:rsidRDefault="009B7AF5" w:rsidP="009B7AF5">
            <w:pPr>
              <w:pStyle w:val="ENoteTableText"/>
            </w:pPr>
            <w:r w:rsidRPr="005071A1">
              <w:t>Statute Law Revision Act 1973</w:t>
            </w:r>
          </w:p>
        </w:tc>
        <w:tc>
          <w:tcPr>
            <w:tcW w:w="992" w:type="dxa"/>
            <w:tcBorders>
              <w:top w:val="single" w:sz="4" w:space="0" w:color="auto"/>
              <w:bottom w:val="single" w:sz="4" w:space="0" w:color="auto"/>
            </w:tcBorders>
            <w:shd w:val="clear" w:color="auto" w:fill="auto"/>
          </w:tcPr>
          <w:p w14:paraId="7AB7A16B" w14:textId="77777777" w:rsidR="009B7AF5" w:rsidRPr="005071A1" w:rsidRDefault="009B7AF5" w:rsidP="009B7AF5">
            <w:pPr>
              <w:pStyle w:val="ENoteTableText"/>
            </w:pPr>
            <w:r w:rsidRPr="005071A1">
              <w:t>216, 1973</w:t>
            </w:r>
          </w:p>
        </w:tc>
        <w:tc>
          <w:tcPr>
            <w:tcW w:w="993" w:type="dxa"/>
            <w:tcBorders>
              <w:top w:val="single" w:sz="4" w:space="0" w:color="auto"/>
              <w:bottom w:val="single" w:sz="4" w:space="0" w:color="auto"/>
            </w:tcBorders>
            <w:shd w:val="clear" w:color="auto" w:fill="auto"/>
          </w:tcPr>
          <w:p w14:paraId="71B889D1" w14:textId="77777777" w:rsidR="009B7AF5" w:rsidRPr="005071A1" w:rsidRDefault="009B7AF5" w:rsidP="009B7AF5">
            <w:pPr>
              <w:pStyle w:val="ENoteTableText"/>
            </w:pPr>
            <w:smartTag w:uri="urn:schemas-microsoft-com:office:smarttags" w:element="date">
              <w:smartTagPr>
                <w:attr w:name="Month" w:val="12"/>
                <w:attr w:name="Day" w:val="19"/>
                <w:attr w:name="Year" w:val="1973"/>
              </w:smartTagPr>
              <w:r w:rsidRPr="005071A1">
                <w:t>19 Dec 1973</w:t>
              </w:r>
            </w:smartTag>
          </w:p>
        </w:tc>
        <w:tc>
          <w:tcPr>
            <w:tcW w:w="1845" w:type="dxa"/>
            <w:tcBorders>
              <w:top w:val="single" w:sz="4" w:space="0" w:color="auto"/>
              <w:bottom w:val="single" w:sz="4" w:space="0" w:color="auto"/>
            </w:tcBorders>
            <w:shd w:val="clear" w:color="auto" w:fill="auto"/>
          </w:tcPr>
          <w:p w14:paraId="4F8C122F" w14:textId="77777777" w:rsidR="009B7AF5" w:rsidRPr="005071A1" w:rsidRDefault="009B7AF5" w:rsidP="009B7AF5">
            <w:pPr>
              <w:pStyle w:val="ENoteTableText"/>
            </w:pPr>
            <w:smartTag w:uri="urn:schemas-microsoft-com:office:smarttags" w:element="date">
              <w:smartTagPr>
                <w:attr w:name="Month" w:val="12"/>
                <w:attr w:name="Day" w:val="31"/>
                <w:attr w:name="Year" w:val="1973"/>
              </w:smartTagPr>
              <w:r w:rsidRPr="005071A1">
                <w:t>31 Dec 1973</w:t>
              </w:r>
            </w:smartTag>
          </w:p>
        </w:tc>
        <w:tc>
          <w:tcPr>
            <w:tcW w:w="1417" w:type="dxa"/>
            <w:tcBorders>
              <w:top w:val="single" w:sz="4" w:space="0" w:color="auto"/>
              <w:bottom w:val="single" w:sz="4" w:space="0" w:color="auto"/>
            </w:tcBorders>
            <w:shd w:val="clear" w:color="auto" w:fill="auto"/>
          </w:tcPr>
          <w:p w14:paraId="4BA26745" w14:textId="77777777" w:rsidR="009B7AF5" w:rsidRPr="005071A1" w:rsidRDefault="002477D1" w:rsidP="009B7AF5">
            <w:pPr>
              <w:pStyle w:val="ENoteTableText"/>
            </w:pPr>
            <w:r w:rsidRPr="005071A1">
              <w:t>ss.</w:t>
            </w:r>
            <w:r w:rsidR="008B2950" w:rsidRPr="005071A1">
              <w:t> </w:t>
            </w:r>
            <w:r w:rsidR="009B7AF5" w:rsidRPr="005071A1">
              <w:t>9(1) and 10</w:t>
            </w:r>
          </w:p>
        </w:tc>
      </w:tr>
      <w:tr w:rsidR="009B7AF5" w:rsidRPr="005071A1" w14:paraId="353E9672" w14:textId="77777777" w:rsidTr="00322DFA">
        <w:trPr>
          <w:cantSplit/>
        </w:trPr>
        <w:tc>
          <w:tcPr>
            <w:tcW w:w="1838" w:type="dxa"/>
            <w:tcBorders>
              <w:top w:val="single" w:sz="4" w:space="0" w:color="auto"/>
              <w:bottom w:val="single" w:sz="4" w:space="0" w:color="auto"/>
            </w:tcBorders>
            <w:shd w:val="clear" w:color="auto" w:fill="auto"/>
          </w:tcPr>
          <w:p w14:paraId="06C833C2" w14:textId="77777777" w:rsidR="009B7AF5" w:rsidRPr="005071A1" w:rsidRDefault="009B7AF5" w:rsidP="009B7AF5">
            <w:pPr>
              <w:pStyle w:val="ENoteTableText"/>
            </w:pPr>
            <w:r w:rsidRPr="005071A1">
              <w:t>Election Candidates (Public Service and Defence Force) Act 1974</w:t>
            </w:r>
          </w:p>
        </w:tc>
        <w:tc>
          <w:tcPr>
            <w:tcW w:w="992" w:type="dxa"/>
            <w:tcBorders>
              <w:top w:val="single" w:sz="4" w:space="0" w:color="auto"/>
              <w:bottom w:val="single" w:sz="4" w:space="0" w:color="auto"/>
            </w:tcBorders>
            <w:shd w:val="clear" w:color="auto" w:fill="auto"/>
          </w:tcPr>
          <w:p w14:paraId="4976417D" w14:textId="77777777" w:rsidR="009B7AF5" w:rsidRPr="005071A1" w:rsidRDefault="009B7AF5" w:rsidP="009B7AF5">
            <w:pPr>
              <w:pStyle w:val="ENoteTableText"/>
            </w:pPr>
            <w:r w:rsidRPr="005071A1">
              <w:t>59, 1974</w:t>
            </w:r>
          </w:p>
        </w:tc>
        <w:tc>
          <w:tcPr>
            <w:tcW w:w="993" w:type="dxa"/>
            <w:tcBorders>
              <w:top w:val="single" w:sz="4" w:space="0" w:color="auto"/>
              <w:bottom w:val="single" w:sz="4" w:space="0" w:color="auto"/>
            </w:tcBorders>
            <w:shd w:val="clear" w:color="auto" w:fill="auto"/>
          </w:tcPr>
          <w:p w14:paraId="58BB3219" w14:textId="77777777" w:rsidR="009B7AF5" w:rsidRPr="005071A1" w:rsidRDefault="009B7AF5" w:rsidP="009B7AF5">
            <w:pPr>
              <w:pStyle w:val="ENoteTableText"/>
            </w:pPr>
            <w:smartTag w:uri="urn:schemas-microsoft-com:office:smarttags" w:element="date">
              <w:smartTagPr>
                <w:attr w:name="Month" w:val="9"/>
                <w:attr w:name="Day" w:val="27"/>
                <w:attr w:name="Year" w:val="1974"/>
              </w:smartTagPr>
              <w:r w:rsidRPr="005071A1">
                <w:t>27 Sept 1974</w:t>
              </w:r>
            </w:smartTag>
          </w:p>
        </w:tc>
        <w:tc>
          <w:tcPr>
            <w:tcW w:w="1845" w:type="dxa"/>
            <w:tcBorders>
              <w:top w:val="single" w:sz="4" w:space="0" w:color="auto"/>
              <w:bottom w:val="single" w:sz="4" w:space="0" w:color="auto"/>
            </w:tcBorders>
            <w:shd w:val="clear" w:color="auto" w:fill="auto"/>
          </w:tcPr>
          <w:p w14:paraId="207DD32F" w14:textId="77777777" w:rsidR="009B7AF5" w:rsidRPr="005071A1" w:rsidRDefault="009B7AF5" w:rsidP="009B7AF5">
            <w:pPr>
              <w:pStyle w:val="ENoteTableText"/>
            </w:pPr>
            <w:r w:rsidRPr="005071A1">
              <w:t>Parts II and III (ss.</w:t>
            </w:r>
            <w:r w:rsidR="008B2950" w:rsidRPr="005071A1">
              <w:t> </w:t>
            </w:r>
            <w:r w:rsidRPr="005071A1">
              <w:t xml:space="preserve">3–10): </w:t>
            </w:r>
            <w:smartTag w:uri="urn:schemas-microsoft-com:office:smarttags" w:element="date">
              <w:smartTagPr>
                <w:attr w:name="Month" w:val="8"/>
                <w:attr w:name="Day" w:val="27"/>
                <w:attr w:name="Year" w:val="1974"/>
              </w:smartTagPr>
              <w:r w:rsidRPr="005071A1">
                <w:t>27 Aug 1974</w:t>
              </w:r>
            </w:smartTag>
            <w:r w:rsidRPr="005071A1">
              <w:br/>
              <w:t>Remainder: Royal Assent</w:t>
            </w:r>
          </w:p>
        </w:tc>
        <w:tc>
          <w:tcPr>
            <w:tcW w:w="1417" w:type="dxa"/>
            <w:tcBorders>
              <w:top w:val="single" w:sz="4" w:space="0" w:color="auto"/>
              <w:bottom w:val="single" w:sz="4" w:space="0" w:color="auto"/>
            </w:tcBorders>
            <w:shd w:val="clear" w:color="auto" w:fill="auto"/>
          </w:tcPr>
          <w:p w14:paraId="161B6D58" w14:textId="77777777" w:rsidR="009B7AF5" w:rsidRPr="005071A1" w:rsidRDefault="009B7AF5" w:rsidP="009B7AF5">
            <w:pPr>
              <w:pStyle w:val="ENoteTableText"/>
            </w:pPr>
            <w:r w:rsidRPr="005071A1">
              <w:t>—</w:t>
            </w:r>
          </w:p>
        </w:tc>
      </w:tr>
      <w:tr w:rsidR="009B7AF5" w:rsidRPr="005071A1" w14:paraId="786444F9" w14:textId="77777777" w:rsidTr="00322DFA">
        <w:trPr>
          <w:cantSplit/>
        </w:trPr>
        <w:tc>
          <w:tcPr>
            <w:tcW w:w="1838" w:type="dxa"/>
            <w:tcBorders>
              <w:top w:val="single" w:sz="4" w:space="0" w:color="auto"/>
              <w:bottom w:val="nil"/>
            </w:tcBorders>
            <w:shd w:val="clear" w:color="auto" w:fill="auto"/>
          </w:tcPr>
          <w:p w14:paraId="3D1E6636" w14:textId="77777777" w:rsidR="009B7AF5" w:rsidRPr="005071A1" w:rsidRDefault="009B7AF5" w:rsidP="009B7AF5">
            <w:pPr>
              <w:pStyle w:val="ENoteTableText"/>
            </w:pPr>
            <w:r w:rsidRPr="005071A1">
              <w:t>Superannuation Amendment Act 1976</w:t>
            </w:r>
          </w:p>
        </w:tc>
        <w:tc>
          <w:tcPr>
            <w:tcW w:w="992" w:type="dxa"/>
            <w:tcBorders>
              <w:top w:val="single" w:sz="4" w:space="0" w:color="auto"/>
              <w:bottom w:val="nil"/>
            </w:tcBorders>
            <w:shd w:val="clear" w:color="auto" w:fill="auto"/>
          </w:tcPr>
          <w:p w14:paraId="5243F471" w14:textId="77777777" w:rsidR="009B7AF5" w:rsidRPr="005071A1" w:rsidRDefault="009B7AF5" w:rsidP="009B7AF5">
            <w:pPr>
              <w:pStyle w:val="ENoteTableText"/>
            </w:pPr>
            <w:r w:rsidRPr="005071A1">
              <w:t>32, 1976</w:t>
            </w:r>
          </w:p>
        </w:tc>
        <w:tc>
          <w:tcPr>
            <w:tcW w:w="993" w:type="dxa"/>
            <w:tcBorders>
              <w:top w:val="single" w:sz="4" w:space="0" w:color="auto"/>
              <w:bottom w:val="nil"/>
            </w:tcBorders>
            <w:shd w:val="clear" w:color="auto" w:fill="auto"/>
          </w:tcPr>
          <w:p w14:paraId="14057031" w14:textId="77777777" w:rsidR="009B7AF5" w:rsidRPr="005071A1" w:rsidRDefault="009B7AF5" w:rsidP="009B7AF5">
            <w:pPr>
              <w:pStyle w:val="ENoteTableText"/>
            </w:pPr>
            <w:r w:rsidRPr="005071A1">
              <w:t>7</w:t>
            </w:r>
            <w:r w:rsidR="008B2950" w:rsidRPr="005071A1">
              <w:t> </w:t>
            </w:r>
            <w:r w:rsidRPr="005071A1">
              <w:t>May 1976</w:t>
            </w:r>
          </w:p>
        </w:tc>
        <w:tc>
          <w:tcPr>
            <w:tcW w:w="1845" w:type="dxa"/>
            <w:tcBorders>
              <w:top w:val="single" w:sz="4" w:space="0" w:color="auto"/>
              <w:bottom w:val="nil"/>
            </w:tcBorders>
            <w:shd w:val="clear" w:color="auto" w:fill="auto"/>
          </w:tcPr>
          <w:p w14:paraId="2FADB2D0" w14:textId="77777777" w:rsidR="009B7AF5" w:rsidRPr="005071A1" w:rsidRDefault="002477D1" w:rsidP="0086505B">
            <w:pPr>
              <w:pStyle w:val="ENoteTableText"/>
            </w:pPr>
            <w:r w:rsidRPr="005071A1">
              <w:t>ss.</w:t>
            </w:r>
            <w:r w:rsidR="008B2950" w:rsidRPr="005071A1">
              <w:t> </w:t>
            </w:r>
            <w:r w:rsidR="009B7AF5" w:rsidRPr="005071A1">
              <w:t>1, 2, 89 and 90: Royal Assent</w:t>
            </w:r>
            <w:r w:rsidR="009B7AF5" w:rsidRPr="005071A1">
              <w:br/>
            </w:r>
            <w:r w:rsidRPr="005071A1">
              <w:t>s.</w:t>
            </w:r>
            <w:r w:rsidR="009B7AF5" w:rsidRPr="005071A1">
              <w:t xml:space="preserve"> 3(a): 1</w:t>
            </w:r>
            <w:r w:rsidR="008B2950" w:rsidRPr="005071A1">
              <w:t> </w:t>
            </w:r>
            <w:r w:rsidR="0086505B" w:rsidRPr="005071A1">
              <w:t>July 1975</w:t>
            </w:r>
            <w:r w:rsidR="009B7AF5" w:rsidRPr="005071A1">
              <w:br/>
            </w:r>
            <w:r w:rsidRPr="005071A1">
              <w:t>s.</w:t>
            </w:r>
            <w:r w:rsidR="0086505B" w:rsidRPr="005071A1">
              <w:t xml:space="preserve"> 3(b) and (f): 1 Apr 1975</w:t>
            </w:r>
            <w:r w:rsidR="009B7AF5" w:rsidRPr="005071A1">
              <w:br/>
            </w:r>
            <w:r w:rsidRPr="005071A1">
              <w:t>ss.</w:t>
            </w:r>
            <w:r w:rsidR="008B2950" w:rsidRPr="005071A1">
              <w:t> </w:t>
            </w:r>
            <w:r w:rsidR="009B7AF5" w:rsidRPr="005071A1">
              <w:t>7(b), 11, 29(1), 52(1), 62, 65, 66, 71 and 72: 29</w:t>
            </w:r>
            <w:r w:rsidR="008B2950" w:rsidRPr="005071A1">
              <w:t> </w:t>
            </w:r>
            <w:r w:rsidR="009B7AF5" w:rsidRPr="005071A1">
              <w:t>June 1974</w:t>
            </w:r>
            <w:r w:rsidR="009B7AF5" w:rsidRPr="005071A1">
              <w:br/>
            </w:r>
            <w:r w:rsidRPr="005071A1">
              <w:t>ss.</w:t>
            </w:r>
            <w:r w:rsidR="008B2950" w:rsidRPr="005071A1">
              <w:t> </w:t>
            </w:r>
            <w:r w:rsidR="009B7AF5" w:rsidRPr="005071A1">
              <w:t>8, 10(b) and 48: 5 Feb 1976</w:t>
            </w:r>
            <w:r w:rsidR="009B7AF5" w:rsidRPr="005071A1">
              <w:br/>
            </w:r>
            <w:r w:rsidRPr="005071A1">
              <w:t>ss.</w:t>
            </w:r>
            <w:r w:rsidR="008B2950" w:rsidRPr="005071A1">
              <w:t> </w:t>
            </w:r>
            <w:r w:rsidR="009B7AF5" w:rsidRPr="005071A1">
              <w:t>9(c), 12 and 46: 13 Feb 1976</w:t>
            </w:r>
            <w:r w:rsidR="009B7AF5" w:rsidRPr="005071A1">
              <w:br/>
              <w:t>Remainder: 1</w:t>
            </w:r>
            <w:r w:rsidR="008B2950" w:rsidRPr="005071A1">
              <w:t> </w:t>
            </w:r>
            <w:r w:rsidR="009B7AF5" w:rsidRPr="005071A1">
              <w:t>July 1976</w:t>
            </w:r>
          </w:p>
        </w:tc>
        <w:tc>
          <w:tcPr>
            <w:tcW w:w="1417" w:type="dxa"/>
            <w:tcBorders>
              <w:top w:val="single" w:sz="4" w:space="0" w:color="auto"/>
              <w:bottom w:val="nil"/>
            </w:tcBorders>
            <w:shd w:val="clear" w:color="auto" w:fill="auto"/>
          </w:tcPr>
          <w:p w14:paraId="35B19314" w14:textId="77777777" w:rsidR="009B7AF5" w:rsidRPr="005071A1" w:rsidRDefault="002477D1" w:rsidP="0086505B">
            <w:pPr>
              <w:pStyle w:val="ENoteTableText"/>
            </w:pPr>
            <w:r w:rsidRPr="005071A1">
              <w:t>ss.</w:t>
            </w:r>
            <w:r w:rsidR="008B2950" w:rsidRPr="005071A1">
              <w:t> </w:t>
            </w:r>
            <w:r w:rsidR="009B7AF5" w:rsidRPr="005071A1">
              <w:t>5(2), 28(2), 39(2)–(5) and 88–91</w:t>
            </w:r>
            <w:r w:rsidR="009B7AF5" w:rsidRPr="005071A1">
              <w:br/>
            </w:r>
            <w:r w:rsidRPr="005071A1">
              <w:t>s.</w:t>
            </w:r>
            <w:r w:rsidR="009B7AF5" w:rsidRPr="005071A1">
              <w:t xml:space="preserve"> 76(2) (am. by 17, 1978, s. 82)</w:t>
            </w:r>
          </w:p>
        </w:tc>
      </w:tr>
      <w:tr w:rsidR="009B7AF5" w:rsidRPr="005071A1" w14:paraId="7AA2BC3C" w14:textId="77777777" w:rsidTr="00322DFA">
        <w:trPr>
          <w:cantSplit/>
        </w:trPr>
        <w:tc>
          <w:tcPr>
            <w:tcW w:w="1838" w:type="dxa"/>
            <w:tcBorders>
              <w:top w:val="nil"/>
              <w:bottom w:val="nil"/>
            </w:tcBorders>
            <w:shd w:val="clear" w:color="auto" w:fill="auto"/>
          </w:tcPr>
          <w:p w14:paraId="39B6F513" w14:textId="77777777" w:rsidR="009B7AF5" w:rsidRPr="005071A1" w:rsidRDefault="009B7AF5" w:rsidP="009B7AF5">
            <w:pPr>
              <w:pStyle w:val="ENoteTTIndentHeading"/>
            </w:pPr>
            <w:r w:rsidRPr="005071A1">
              <w:rPr>
                <w:rFonts w:cs="Times New Roman"/>
              </w:rPr>
              <w:t>as amended by</w:t>
            </w:r>
          </w:p>
        </w:tc>
        <w:tc>
          <w:tcPr>
            <w:tcW w:w="992" w:type="dxa"/>
            <w:tcBorders>
              <w:top w:val="nil"/>
              <w:bottom w:val="nil"/>
            </w:tcBorders>
            <w:shd w:val="clear" w:color="auto" w:fill="auto"/>
          </w:tcPr>
          <w:p w14:paraId="3AE4B40B" w14:textId="77777777" w:rsidR="009B7AF5" w:rsidRPr="005071A1" w:rsidRDefault="009B7AF5" w:rsidP="009B7AF5">
            <w:pPr>
              <w:pStyle w:val="ENoteTableText"/>
            </w:pPr>
          </w:p>
        </w:tc>
        <w:tc>
          <w:tcPr>
            <w:tcW w:w="993" w:type="dxa"/>
            <w:tcBorders>
              <w:top w:val="nil"/>
              <w:bottom w:val="nil"/>
            </w:tcBorders>
            <w:shd w:val="clear" w:color="auto" w:fill="auto"/>
          </w:tcPr>
          <w:p w14:paraId="72DBD12D" w14:textId="77777777" w:rsidR="009B7AF5" w:rsidRPr="005071A1" w:rsidRDefault="009B7AF5" w:rsidP="009B7AF5">
            <w:pPr>
              <w:pStyle w:val="ENoteTableText"/>
            </w:pPr>
          </w:p>
        </w:tc>
        <w:tc>
          <w:tcPr>
            <w:tcW w:w="1845" w:type="dxa"/>
            <w:tcBorders>
              <w:top w:val="nil"/>
              <w:bottom w:val="nil"/>
            </w:tcBorders>
            <w:shd w:val="clear" w:color="auto" w:fill="auto"/>
          </w:tcPr>
          <w:p w14:paraId="75F49A9D" w14:textId="77777777" w:rsidR="009B7AF5" w:rsidRPr="005071A1" w:rsidRDefault="009B7AF5" w:rsidP="009B7AF5">
            <w:pPr>
              <w:pStyle w:val="ENoteTableText"/>
            </w:pPr>
          </w:p>
        </w:tc>
        <w:tc>
          <w:tcPr>
            <w:tcW w:w="1417" w:type="dxa"/>
            <w:tcBorders>
              <w:top w:val="nil"/>
              <w:bottom w:val="nil"/>
            </w:tcBorders>
            <w:shd w:val="clear" w:color="auto" w:fill="auto"/>
          </w:tcPr>
          <w:p w14:paraId="43DC6F32" w14:textId="77777777" w:rsidR="009B7AF5" w:rsidRPr="005071A1" w:rsidRDefault="009B7AF5" w:rsidP="009B7AF5">
            <w:pPr>
              <w:pStyle w:val="ENoteTableText"/>
            </w:pPr>
          </w:p>
        </w:tc>
      </w:tr>
      <w:tr w:rsidR="009B7AF5" w:rsidRPr="005071A1" w14:paraId="08D02EDF" w14:textId="77777777" w:rsidTr="00322DFA">
        <w:trPr>
          <w:cantSplit/>
        </w:trPr>
        <w:tc>
          <w:tcPr>
            <w:tcW w:w="1838" w:type="dxa"/>
            <w:tcBorders>
              <w:top w:val="nil"/>
              <w:bottom w:val="single" w:sz="4" w:space="0" w:color="auto"/>
            </w:tcBorders>
            <w:shd w:val="clear" w:color="auto" w:fill="auto"/>
          </w:tcPr>
          <w:p w14:paraId="501C394A" w14:textId="77777777" w:rsidR="009B7AF5" w:rsidRPr="005071A1" w:rsidRDefault="009B7AF5" w:rsidP="009B7AF5">
            <w:pPr>
              <w:pStyle w:val="ENoteTTi"/>
            </w:pPr>
            <w:r w:rsidRPr="005071A1">
              <w:t>Superannuation Acts Amendment Act 1978</w:t>
            </w:r>
          </w:p>
        </w:tc>
        <w:tc>
          <w:tcPr>
            <w:tcW w:w="992" w:type="dxa"/>
            <w:tcBorders>
              <w:top w:val="nil"/>
              <w:bottom w:val="single" w:sz="4" w:space="0" w:color="auto"/>
            </w:tcBorders>
            <w:shd w:val="clear" w:color="auto" w:fill="auto"/>
          </w:tcPr>
          <w:p w14:paraId="65CEB082" w14:textId="77777777" w:rsidR="009B7AF5" w:rsidRPr="005071A1" w:rsidRDefault="009B7AF5" w:rsidP="009B7AF5">
            <w:pPr>
              <w:pStyle w:val="ENoteTableText"/>
            </w:pPr>
            <w:r w:rsidRPr="005071A1">
              <w:t>17, 1978</w:t>
            </w:r>
          </w:p>
        </w:tc>
        <w:tc>
          <w:tcPr>
            <w:tcW w:w="993" w:type="dxa"/>
            <w:tcBorders>
              <w:top w:val="nil"/>
              <w:bottom w:val="single" w:sz="4" w:space="0" w:color="auto"/>
            </w:tcBorders>
            <w:shd w:val="clear" w:color="auto" w:fill="auto"/>
          </w:tcPr>
          <w:p w14:paraId="45566942" w14:textId="77777777" w:rsidR="009B7AF5" w:rsidRPr="005071A1" w:rsidRDefault="009B7AF5" w:rsidP="009B7AF5">
            <w:pPr>
              <w:pStyle w:val="ENoteTableText"/>
            </w:pPr>
            <w:smartTag w:uri="urn:schemas-microsoft-com:office:smarttags" w:element="date">
              <w:smartTagPr>
                <w:attr w:name="Month" w:val="4"/>
                <w:attr w:name="Day" w:val="24"/>
                <w:attr w:name="Year" w:val="1978"/>
              </w:smartTagPr>
              <w:r w:rsidRPr="005071A1">
                <w:t>24 Apr 1978</w:t>
              </w:r>
            </w:smartTag>
          </w:p>
        </w:tc>
        <w:tc>
          <w:tcPr>
            <w:tcW w:w="1845" w:type="dxa"/>
            <w:tcBorders>
              <w:top w:val="nil"/>
              <w:bottom w:val="single" w:sz="4" w:space="0" w:color="auto"/>
            </w:tcBorders>
            <w:shd w:val="clear" w:color="auto" w:fill="auto"/>
          </w:tcPr>
          <w:p w14:paraId="1F10D063" w14:textId="77777777" w:rsidR="009B7AF5" w:rsidRPr="005071A1" w:rsidRDefault="009B7AF5" w:rsidP="009B7AF5">
            <w:pPr>
              <w:pStyle w:val="ENoteTableText"/>
            </w:pPr>
            <w:r w:rsidRPr="005071A1">
              <w:t>(</w:t>
            </w:r>
            <w:r w:rsidRPr="005071A1">
              <w:rPr>
                <w:i/>
              </w:rPr>
              <w:t xml:space="preserve">see </w:t>
            </w:r>
            <w:r w:rsidRPr="005071A1">
              <w:t>17, 1978 below)</w:t>
            </w:r>
          </w:p>
        </w:tc>
        <w:tc>
          <w:tcPr>
            <w:tcW w:w="1417" w:type="dxa"/>
            <w:tcBorders>
              <w:top w:val="nil"/>
              <w:bottom w:val="single" w:sz="4" w:space="0" w:color="auto"/>
            </w:tcBorders>
            <w:shd w:val="clear" w:color="auto" w:fill="auto"/>
          </w:tcPr>
          <w:p w14:paraId="63171D69" w14:textId="77777777" w:rsidR="009B7AF5" w:rsidRPr="005071A1" w:rsidRDefault="009B7AF5" w:rsidP="009B7AF5">
            <w:pPr>
              <w:pStyle w:val="ENoteTableText"/>
            </w:pPr>
            <w:r w:rsidRPr="005071A1">
              <w:t>(</w:t>
            </w:r>
            <w:r w:rsidRPr="005071A1">
              <w:rPr>
                <w:i/>
              </w:rPr>
              <w:t xml:space="preserve">see </w:t>
            </w:r>
            <w:r w:rsidRPr="005071A1">
              <w:t>17, 1978 below)</w:t>
            </w:r>
          </w:p>
        </w:tc>
      </w:tr>
      <w:tr w:rsidR="009B7AF5" w:rsidRPr="005071A1" w14:paraId="776DEF99" w14:textId="77777777" w:rsidTr="00322DFA">
        <w:trPr>
          <w:cantSplit/>
        </w:trPr>
        <w:tc>
          <w:tcPr>
            <w:tcW w:w="1838" w:type="dxa"/>
            <w:tcBorders>
              <w:top w:val="single" w:sz="4" w:space="0" w:color="auto"/>
              <w:bottom w:val="single" w:sz="4" w:space="0" w:color="auto"/>
            </w:tcBorders>
            <w:shd w:val="clear" w:color="auto" w:fill="auto"/>
          </w:tcPr>
          <w:p w14:paraId="35A2DFCD" w14:textId="77777777" w:rsidR="009B7AF5" w:rsidRPr="005071A1" w:rsidRDefault="009B7AF5" w:rsidP="009B7AF5">
            <w:pPr>
              <w:pStyle w:val="ENoteTableText"/>
            </w:pPr>
            <w:r w:rsidRPr="005071A1">
              <w:t>Superannuation Acts Amendment Act 1978</w:t>
            </w:r>
          </w:p>
        </w:tc>
        <w:tc>
          <w:tcPr>
            <w:tcW w:w="992" w:type="dxa"/>
            <w:tcBorders>
              <w:top w:val="single" w:sz="4" w:space="0" w:color="auto"/>
              <w:bottom w:val="single" w:sz="4" w:space="0" w:color="auto"/>
            </w:tcBorders>
            <w:shd w:val="clear" w:color="auto" w:fill="auto"/>
          </w:tcPr>
          <w:p w14:paraId="44709D8E" w14:textId="77777777" w:rsidR="009B7AF5" w:rsidRPr="005071A1" w:rsidRDefault="009B7AF5" w:rsidP="009B7AF5">
            <w:pPr>
              <w:pStyle w:val="ENoteTableText"/>
            </w:pPr>
            <w:r w:rsidRPr="005071A1">
              <w:t>17, 1978</w:t>
            </w:r>
          </w:p>
        </w:tc>
        <w:tc>
          <w:tcPr>
            <w:tcW w:w="993" w:type="dxa"/>
            <w:tcBorders>
              <w:top w:val="single" w:sz="4" w:space="0" w:color="auto"/>
              <w:bottom w:val="single" w:sz="4" w:space="0" w:color="auto"/>
            </w:tcBorders>
            <w:shd w:val="clear" w:color="auto" w:fill="auto"/>
          </w:tcPr>
          <w:p w14:paraId="2F592183" w14:textId="77777777" w:rsidR="009B7AF5" w:rsidRPr="005071A1" w:rsidRDefault="009B7AF5" w:rsidP="009B7AF5">
            <w:pPr>
              <w:pStyle w:val="ENoteTableText"/>
            </w:pPr>
            <w:smartTag w:uri="urn:schemas-microsoft-com:office:smarttags" w:element="date">
              <w:smartTagPr>
                <w:attr w:name="Month" w:val="4"/>
                <w:attr w:name="Day" w:val="24"/>
                <w:attr w:name="Year" w:val="1978"/>
              </w:smartTagPr>
              <w:r w:rsidRPr="005071A1">
                <w:t>24 Apr 1978</w:t>
              </w:r>
            </w:smartTag>
          </w:p>
        </w:tc>
        <w:tc>
          <w:tcPr>
            <w:tcW w:w="1845" w:type="dxa"/>
            <w:tcBorders>
              <w:top w:val="single" w:sz="4" w:space="0" w:color="auto"/>
              <w:bottom w:val="single" w:sz="4" w:space="0" w:color="auto"/>
            </w:tcBorders>
            <w:shd w:val="clear" w:color="auto" w:fill="auto"/>
          </w:tcPr>
          <w:p w14:paraId="096758AA" w14:textId="77777777" w:rsidR="009B7AF5" w:rsidRPr="005071A1" w:rsidRDefault="002477D1" w:rsidP="009B7AF5">
            <w:pPr>
              <w:pStyle w:val="ENoteTableText"/>
            </w:pPr>
            <w:r w:rsidRPr="005071A1">
              <w:t>ss.</w:t>
            </w:r>
            <w:r w:rsidR="008B2950" w:rsidRPr="005071A1">
              <w:t> </w:t>
            </w:r>
            <w:r w:rsidR="009B7AF5" w:rsidRPr="005071A1">
              <w:t>1, 2, 6(2), 18(2), 19–22, 23(2), 26, 27, 52, 61–65, 67–70, 77, 80 and 81: Royal Assent</w:t>
            </w:r>
            <w:r w:rsidR="009B7AF5" w:rsidRPr="005071A1">
              <w:br/>
            </w:r>
            <w:r w:rsidRPr="005071A1">
              <w:t>ss.</w:t>
            </w:r>
            <w:r w:rsidR="008B2950" w:rsidRPr="005071A1">
              <w:t> </w:t>
            </w:r>
            <w:r w:rsidR="009B7AF5" w:rsidRPr="005071A1">
              <w:t>9–13: 8</w:t>
            </w:r>
            <w:r w:rsidR="008B2950" w:rsidRPr="005071A1">
              <w:t> </w:t>
            </w:r>
            <w:r w:rsidR="009B7AF5" w:rsidRPr="005071A1">
              <w:t>June 1973</w:t>
            </w:r>
            <w:r w:rsidR="009B7AF5" w:rsidRPr="005071A1">
              <w:br/>
              <w:t>Remainder: 1</w:t>
            </w:r>
            <w:r w:rsidR="008B2950" w:rsidRPr="005071A1">
              <w:t> </w:t>
            </w:r>
            <w:r w:rsidR="009B7AF5" w:rsidRPr="005071A1">
              <w:t>July 1976</w:t>
            </w:r>
          </w:p>
        </w:tc>
        <w:tc>
          <w:tcPr>
            <w:tcW w:w="1417" w:type="dxa"/>
            <w:tcBorders>
              <w:top w:val="single" w:sz="4" w:space="0" w:color="auto"/>
              <w:bottom w:val="single" w:sz="4" w:space="0" w:color="auto"/>
            </w:tcBorders>
            <w:shd w:val="clear" w:color="auto" w:fill="auto"/>
          </w:tcPr>
          <w:p w14:paraId="5CC11C77" w14:textId="77777777" w:rsidR="009B7AF5" w:rsidRPr="005071A1" w:rsidRDefault="002477D1" w:rsidP="009B7AF5">
            <w:pPr>
              <w:pStyle w:val="ENoteTableText"/>
            </w:pPr>
            <w:r w:rsidRPr="005071A1">
              <w:t>ss.</w:t>
            </w:r>
            <w:r w:rsidR="008B2950" w:rsidRPr="005071A1">
              <w:t> </w:t>
            </w:r>
            <w:r w:rsidR="009B7AF5" w:rsidRPr="005071A1">
              <w:t>18(2) and 19(2)</w:t>
            </w:r>
          </w:p>
        </w:tc>
      </w:tr>
      <w:tr w:rsidR="009B7AF5" w:rsidRPr="005071A1" w14:paraId="7C1E9731" w14:textId="77777777" w:rsidTr="00322DFA">
        <w:trPr>
          <w:cantSplit/>
        </w:trPr>
        <w:tc>
          <w:tcPr>
            <w:tcW w:w="1838" w:type="dxa"/>
            <w:tcBorders>
              <w:top w:val="single" w:sz="4" w:space="0" w:color="auto"/>
              <w:bottom w:val="single" w:sz="4" w:space="0" w:color="auto"/>
            </w:tcBorders>
            <w:shd w:val="clear" w:color="auto" w:fill="auto"/>
          </w:tcPr>
          <w:p w14:paraId="4F8DAFC6" w14:textId="77777777" w:rsidR="009B7AF5" w:rsidRPr="005071A1" w:rsidRDefault="009B7AF5" w:rsidP="009B7AF5">
            <w:pPr>
              <w:pStyle w:val="ENoteTableText"/>
            </w:pPr>
            <w:r w:rsidRPr="005071A1">
              <w:t>Companies (Miscellaneous Amendments) Act 1981</w:t>
            </w:r>
          </w:p>
        </w:tc>
        <w:tc>
          <w:tcPr>
            <w:tcW w:w="992" w:type="dxa"/>
            <w:tcBorders>
              <w:top w:val="single" w:sz="4" w:space="0" w:color="auto"/>
              <w:bottom w:val="single" w:sz="4" w:space="0" w:color="auto"/>
            </w:tcBorders>
            <w:shd w:val="clear" w:color="auto" w:fill="auto"/>
          </w:tcPr>
          <w:p w14:paraId="099D2E0D" w14:textId="77777777" w:rsidR="009B7AF5" w:rsidRPr="005071A1" w:rsidRDefault="009B7AF5" w:rsidP="009B7AF5">
            <w:pPr>
              <w:pStyle w:val="ENoteTableText"/>
            </w:pPr>
            <w:r w:rsidRPr="005071A1">
              <w:t>92, 1981</w:t>
            </w:r>
          </w:p>
        </w:tc>
        <w:tc>
          <w:tcPr>
            <w:tcW w:w="993" w:type="dxa"/>
            <w:tcBorders>
              <w:top w:val="single" w:sz="4" w:space="0" w:color="auto"/>
              <w:bottom w:val="single" w:sz="4" w:space="0" w:color="auto"/>
            </w:tcBorders>
            <w:shd w:val="clear" w:color="auto" w:fill="auto"/>
          </w:tcPr>
          <w:p w14:paraId="6DFC6A82" w14:textId="77777777" w:rsidR="009B7AF5" w:rsidRPr="005071A1" w:rsidRDefault="009B7AF5" w:rsidP="009B7AF5">
            <w:pPr>
              <w:pStyle w:val="ENoteTableText"/>
            </w:pPr>
            <w:r w:rsidRPr="005071A1">
              <w:t>18</w:t>
            </w:r>
            <w:r w:rsidR="008B2950" w:rsidRPr="005071A1">
              <w:t> </w:t>
            </w:r>
            <w:r w:rsidRPr="005071A1">
              <w:t>June 1981</w:t>
            </w:r>
          </w:p>
        </w:tc>
        <w:tc>
          <w:tcPr>
            <w:tcW w:w="1845" w:type="dxa"/>
            <w:tcBorders>
              <w:top w:val="single" w:sz="4" w:space="0" w:color="auto"/>
              <w:bottom w:val="single" w:sz="4" w:space="0" w:color="auto"/>
            </w:tcBorders>
            <w:shd w:val="clear" w:color="auto" w:fill="auto"/>
          </w:tcPr>
          <w:p w14:paraId="078EE980" w14:textId="77777777" w:rsidR="009B7AF5" w:rsidRPr="005071A1" w:rsidRDefault="002477D1" w:rsidP="002023C1">
            <w:pPr>
              <w:pStyle w:val="ENoteTableText"/>
            </w:pPr>
            <w:r w:rsidRPr="005071A1">
              <w:t>ss.</w:t>
            </w:r>
            <w:r w:rsidR="008B2950" w:rsidRPr="005071A1">
              <w:t> </w:t>
            </w:r>
            <w:r w:rsidR="009B7AF5" w:rsidRPr="005071A1">
              <w:t>3–35 and 37–45: 1</w:t>
            </w:r>
            <w:r w:rsidR="008B2950" w:rsidRPr="005071A1">
              <w:t> </w:t>
            </w:r>
            <w:r w:rsidR="009B7AF5" w:rsidRPr="005071A1">
              <w:t>July 1982 (</w:t>
            </w:r>
            <w:r w:rsidR="009B7AF5" w:rsidRPr="005071A1">
              <w:rPr>
                <w:i/>
              </w:rPr>
              <w:t xml:space="preserve">see </w:t>
            </w:r>
            <w:r w:rsidR="009B7AF5" w:rsidRPr="005071A1">
              <w:t xml:space="preserve">s. 2(3) and </w:t>
            </w:r>
            <w:r w:rsidR="009B7AF5" w:rsidRPr="005071A1">
              <w:rPr>
                <w:i/>
              </w:rPr>
              <w:t xml:space="preserve">Gazette </w:t>
            </w:r>
            <w:r w:rsidR="009B7AF5" w:rsidRPr="005071A1">
              <w:t>1982, No. S124)</w:t>
            </w:r>
            <w:r w:rsidR="009B7AF5" w:rsidRPr="005071A1">
              <w:br/>
            </w:r>
            <w:r w:rsidRPr="005071A1">
              <w:t>s.</w:t>
            </w:r>
            <w:r w:rsidR="009B7AF5" w:rsidRPr="005071A1">
              <w:t xml:space="preserve"> 36: 1</w:t>
            </w:r>
            <w:r w:rsidR="008B2950" w:rsidRPr="005071A1">
              <w:t> </w:t>
            </w:r>
            <w:r w:rsidR="009B7AF5" w:rsidRPr="005071A1">
              <w:t>July 1981 (</w:t>
            </w:r>
            <w:r w:rsidR="009B7AF5" w:rsidRPr="005071A1">
              <w:rPr>
                <w:i/>
              </w:rPr>
              <w:t xml:space="preserve">see </w:t>
            </w:r>
            <w:r w:rsidR="009B7AF5" w:rsidRPr="005071A1">
              <w:t xml:space="preserve">s. 2(2) and </w:t>
            </w:r>
            <w:r w:rsidR="009B7AF5" w:rsidRPr="005071A1">
              <w:rPr>
                <w:i/>
              </w:rPr>
              <w:t xml:space="preserve">Gazette </w:t>
            </w:r>
            <w:r w:rsidR="009B7AF5" w:rsidRPr="005071A1">
              <w:t>1981, No. S118)</w:t>
            </w:r>
            <w:r w:rsidR="009B7AF5" w:rsidRPr="005071A1">
              <w:br/>
              <w:t>Remainder: Royal Assent</w:t>
            </w:r>
          </w:p>
        </w:tc>
        <w:tc>
          <w:tcPr>
            <w:tcW w:w="1417" w:type="dxa"/>
            <w:tcBorders>
              <w:top w:val="single" w:sz="4" w:space="0" w:color="auto"/>
              <w:bottom w:val="single" w:sz="4" w:space="0" w:color="auto"/>
            </w:tcBorders>
            <w:shd w:val="clear" w:color="auto" w:fill="auto"/>
          </w:tcPr>
          <w:p w14:paraId="10A0991D" w14:textId="77777777" w:rsidR="009B7AF5" w:rsidRPr="005071A1" w:rsidRDefault="009B7AF5" w:rsidP="009B7AF5">
            <w:pPr>
              <w:pStyle w:val="ENoteTableText"/>
            </w:pPr>
            <w:r w:rsidRPr="005071A1">
              <w:t>—</w:t>
            </w:r>
          </w:p>
        </w:tc>
      </w:tr>
      <w:tr w:rsidR="009B7AF5" w:rsidRPr="005071A1" w14:paraId="4334B4AC" w14:textId="77777777" w:rsidTr="00322DFA">
        <w:trPr>
          <w:cantSplit/>
        </w:trPr>
        <w:tc>
          <w:tcPr>
            <w:tcW w:w="1838" w:type="dxa"/>
            <w:tcBorders>
              <w:top w:val="single" w:sz="4" w:space="0" w:color="auto"/>
              <w:bottom w:val="single" w:sz="4" w:space="0" w:color="auto"/>
            </w:tcBorders>
            <w:shd w:val="clear" w:color="auto" w:fill="auto"/>
          </w:tcPr>
          <w:p w14:paraId="3C9B32B4" w14:textId="77777777" w:rsidR="009B7AF5" w:rsidRPr="005071A1" w:rsidRDefault="009B7AF5" w:rsidP="009B7AF5">
            <w:pPr>
              <w:pStyle w:val="ENoteTableText"/>
            </w:pPr>
            <w:r w:rsidRPr="005071A1">
              <w:t>Superannuation Legislation Amendment Act 1986</w:t>
            </w:r>
          </w:p>
        </w:tc>
        <w:tc>
          <w:tcPr>
            <w:tcW w:w="992" w:type="dxa"/>
            <w:tcBorders>
              <w:top w:val="single" w:sz="4" w:space="0" w:color="auto"/>
              <w:bottom w:val="single" w:sz="4" w:space="0" w:color="auto"/>
            </w:tcBorders>
            <w:shd w:val="clear" w:color="auto" w:fill="auto"/>
          </w:tcPr>
          <w:p w14:paraId="28F4FFA1" w14:textId="77777777" w:rsidR="009B7AF5" w:rsidRPr="005071A1" w:rsidRDefault="009B7AF5" w:rsidP="009B7AF5">
            <w:pPr>
              <w:pStyle w:val="ENoteTableText"/>
            </w:pPr>
            <w:r w:rsidRPr="005071A1">
              <w:t>80, 1986</w:t>
            </w:r>
          </w:p>
        </w:tc>
        <w:tc>
          <w:tcPr>
            <w:tcW w:w="993" w:type="dxa"/>
            <w:tcBorders>
              <w:top w:val="single" w:sz="4" w:space="0" w:color="auto"/>
              <w:bottom w:val="single" w:sz="4" w:space="0" w:color="auto"/>
            </w:tcBorders>
            <w:shd w:val="clear" w:color="auto" w:fill="auto"/>
          </w:tcPr>
          <w:p w14:paraId="59FF8DF7" w14:textId="77777777" w:rsidR="009B7AF5" w:rsidRPr="005071A1" w:rsidRDefault="009B7AF5" w:rsidP="009B7AF5">
            <w:pPr>
              <w:pStyle w:val="ENoteTableText"/>
            </w:pPr>
            <w:r w:rsidRPr="005071A1">
              <w:t>24</w:t>
            </w:r>
            <w:r w:rsidR="008B2950" w:rsidRPr="005071A1">
              <w:t> </w:t>
            </w:r>
            <w:r w:rsidRPr="005071A1">
              <w:t>June 1986</w:t>
            </w:r>
          </w:p>
        </w:tc>
        <w:tc>
          <w:tcPr>
            <w:tcW w:w="1845" w:type="dxa"/>
            <w:tcBorders>
              <w:top w:val="single" w:sz="4" w:space="0" w:color="auto"/>
              <w:bottom w:val="single" w:sz="4" w:space="0" w:color="auto"/>
            </w:tcBorders>
            <w:shd w:val="clear" w:color="auto" w:fill="auto"/>
          </w:tcPr>
          <w:p w14:paraId="3BF62BB3" w14:textId="77777777" w:rsidR="009B7AF5" w:rsidRPr="005071A1" w:rsidRDefault="002477D1" w:rsidP="000E330D">
            <w:pPr>
              <w:pStyle w:val="ENoteTableText"/>
            </w:pPr>
            <w:r w:rsidRPr="005071A1">
              <w:t>s</w:t>
            </w:r>
            <w:r w:rsidR="00CD79AF" w:rsidRPr="005071A1">
              <w:t> </w:t>
            </w:r>
            <w:r w:rsidR="009B7AF5" w:rsidRPr="005071A1">
              <w:t>4(1), 5 and 6(1): 1</w:t>
            </w:r>
            <w:r w:rsidR="008B2950" w:rsidRPr="005071A1">
              <w:t> </w:t>
            </w:r>
            <w:r w:rsidR="009B7AF5" w:rsidRPr="005071A1">
              <w:t>July 1976</w:t>
            </w:r>
            <w:r w:rsidR="009B7AF5" w:rsidRPr="005071A1">
              <w:br/>
              <w:t>Remainder: Royal Assent</w:t>
            </w:r>
          </w:p>
        </w:tc>
        <w:tc>
          <w:tcPr>
            <w:tcW w:w="1417" w:type="dxa"/>
            <w:tcBorders>
              <w:top w:val="single" w:sz="4" w:space="0" w:color="auto"/>
              <w:bottom w:val="single" w:sz="4" w:space="0" w:color="auto"/>
            </w:tcBorders>
            <w:shd w:val="clear" w:color="auto" w:fill="auto"/>
          </w:tcPr>
          <w:p w14:paraId="6DF74C3D" w14:textId="77777777" w:rsidR="009B7AF5" w:rsidRPr="005071A1" w:rsidRDefault="002477D1" w:rsidP="004744E8">
            <w:pPr>
              <w:pStyle w:val="ENoteTableText"/>
            </w:pPr>
            <w:r w:rsidRPr="005071A1">
              <w:t>s</w:t>
            </w:r>
            <w:r w:rsidR="009B7AF5" w:rsidRPr="005071A1">
              <w:t xml:space="preserve"> 29(2)</w:t>
            </w:r>
          </w:p>
        </w:tc>
      </w:tr>
      <w:tr w:rsidR="009B7AF5" w:rsidRPr="005071A1" w14:paraId="6C578C23" w14:textId="77777777" w:rsidTr="00322DFA">
        <w:trPr>
          <w:cantSplit/>
        </w:trPr>
        <w:tc>
          <w:tcPr>
            <w:tcW w:w="1838" w:type="dxa"/>
            <w:tcBorders>
              <w:top w:val="single" w:sz="4" w:space="0" w:color="auto"/>
              <w:bottom w:val="single" w:sz="4" w:space="0" w:color="auto"/>
            </w:tcBorders>
            <w:shd w:val="clear" w:color="auto" w:fill="auto"/>
          </w:tcPr>
          <w:p w14:paraId="580415B5" w14:textId="77777777" w:rsidR="009B7AF5" w:rsidRPr="005071A1" w:rsidRDefault="009B7AF5" w:rsidP="009B7AF5">
            <w:pPr>
              <w:pStyle w:val="ENoteTableText"/>
            </w:pPr>
            <w:r w:rsidRPr="005071A1">
              <w:t>Superannuation and Other Benefits Legislation Amendment Act 1986</w:t>
            </w:r>
          </w:p>
        </w:tc>
        <w:tc>
          <w:tcPr>
            <w:tcW w:w="992" w:type="dxa"/>
            <w:tcBorders>
              <w:top w:val="single" w:sz="4" w:space="0" w:color="auto"/>
              <w:bottom w:val="single" w:sz="4" w:space="0" w:color="auto"/>
            </w:tcBorders>
            <w:shd w:val="clear" w:color="auto" w:fill="auto"/>
          </w:tcPr>
          <w:p w14:paraId="2FC197D2" w14:textId="77777777" w:rsidR="009B7AF5" w:rsidRPr="005071A1" w:rsidRDefault="009B7AF5" w:rsidP="009B7AF5">
            <w:pPr>
              <w:pStyle w:val="ENoteTableText"/>
            </w:pPr>
            <w:r w:rsidRPr="005071A1">
              <w:t>93, 1986</w:t>
            </w:r>
          </w:p>
        </w:tc>
        <w:tc>
          <w:tcPr>
            <w:tcW w:w="993" w:type="dxa"/>
            <w:tcBorders>
              <w:top w:val="single" w:sz="4" w:space="0" w:color="auto"/>
              <w:bottom w:val="single" w:sz="4" w:space="0" w:color="auto"/>
            </w:tcBorders>
            <w:shd w:val="clear" w:color="auto" w:fill="auto"/>
          </w:tcPr>
          <w:p w14:paraId="30EA2FAD" w14:textId="77777777" w:rsidR="009B7AF5" w:rsidRPr="005071A1" w:rsidRDefault="009B7AF5" w:rsidP="009B7AF5">
            <w:pPr>
              <w:pStyle w:val="ENoteTableText"/>
            </w:pPr>
            <w:smartTag w:uri="urn:schemas-microsoft-com:office:smarttags" w:element="date">
              <w:smartTagPr>
                <w:attr w:name="Month" w:val="10"/>
                <w:attr w:name="Day" w:val="13"/>
                <w:attr w:name="Year" w:val="1986"/>
              </w:smartTagPr>
              <w:r w:rsidRPr="005071A1">
                <w:t>13 Oct 1986</w:t>
              </w:r>
            </w:smartTag>
          </w:p>
        </w:tc>
        <w:tc>
          <w:tcPr>
            <w:tcW w:w="1845" w:type="dxa"/>
            <w:tcBorders>
              <w:top w:val="single" w:sz="4" w:space="0" w:color="auto"/>
              <w:bottom w:val="single" w:sz="4" w:space="0" w:color="auto"/>
            </w:tcBorders>
            <w:shd w:val="clear" w:color="auto" w:fill="auto"/>
          </w:tcPr>
          <w:p w14:paraId="2333D844" w14:textId="77777777" w:rsidR="009B7AF5" w:rsidRPr="005071A1" w:rsidRDefault="009B7AF5" w:rsidP="009B7AF5">
            <w:pPr>
              <w:pStyle w:val="ENoteTableText"/>
            </w:pPr>
            <w:smartTag w:uri="urn:schemas-microsoft-com:office:smarttags" w:element="date">
              <w:smartTagPr>
                <w:attr w:name="Month" w:val="10"/>
                <w:attr w:name="Day" w:val="10"/>
                <w:attr w:name="Year" w:val="1986"/>
              </w:smartTagPr>
              <w:r w:rsidRPr="005071A1">
                <w:t>10 Oct 1986</w:t>
              </w:r>
            </w:smartTag>
          </w:p>
        </w:tc>
        <w:tc>
          <w:tcPr>
            <w:tcW w:w="1417" w:type="dxa"/>
            <w:tcBorders>
              <w:top w:val="single" w:sz="4" w:space="0" w:color="auto"/>
              <w:bottom w:val="single" w:sz="4" w:space="0" w:color="auto"/>
            </w:tcBorders>
            <w:shd w:val="clear" w:color="auto" w:fill="auto"/>
          </w:tcPr>
          <w:p w14:paraId="16FC6912" w14:textId="77777777" w:rsidR="009B7AF5" w:rsidRPr="005071A1" w:rsidRDefault="009B7AF5" w:rsidP="009B7AF5">
            <w:pPr>
              <w:pStyle w:val="ENoteTableText"/>
            </w:pPr>
            <w:r w:rsidRPr="005071A1">
              <w:t>—</w:t>
            </w:r>
          </w:p>
        </w:tc>
      </w:tr>
      <w:tr w:rsidR="009B7AF5" w:rsidRPr="005071A1" w14:paraId="0A8B4587" w14:textId="77777777" w:rsidTr="00322DFA">
        <w:trPr>
          <w:cantSplit/>
        </w:trPr>
        <w:tc>
          <w:tcPr>
            <w:tcW w:w="1838" w:type="dxa"/>
            <w:tcBorders>
              <w:top w:val="single" w:sz="4" w:space="0" w:color="auto"/>
              <w:bottom w:val="single" w:sz="4" w:space="0" w:color="auto"/>
            </w:tcBorders>
            <w:shd w:val="clear" w:color="auto" w:fill="auto"/>
          </w:tcPr>
          <w:p w14:paraId="75A8082F" w14:textId="77777777" w:rsidR="009B7AF5" w:rsidRPr="005071A1" w:rsidRDefault="009B7AF5" w:rsidP="009B7AF5">
            <w:pPr>
              <w:pStyle w:val="ENoteTableText"/>
            </w:pPr>
            <w:r w:rsidRPr="005071A1">
              <w:t>Superannuation Legislation Amendment Act (No.</w:t>
            </w:r>
            <w:r w:rsidR="008B2950" w:rsidRPr="005071A1">
              <w:t> </w:t>
            </w:r>
            <w:r w:rsidRPr="005071A1">
              <w:t>2) 1986</w:t>
            </w:r>
          </w:p>
        </w:tc>
        <w:tc>
          <w:tcPr>
            <w:tcW w:w="992" w:type="dxa"/>
            <w:tcBorders>
              <w:top w:val="single" w:sz="4" w:space="0" w:color="auto"/>
              <w:bottom w:val="single" w:sz="4" w:space="0" w:color="auto"/>
            </w:tcBorders>
            <w:shd w:val="clear" w:color="auto" w:fill="auto"/>
          </w:tcPr>
          <w:p w14:paraId="4A4EDB73" w14:textId="77777777" w:rsidR="009B7AF5" w:rsidRPr="005071A1" w:rsidRDefault="009B7AF5" w:rsidP="009B7AF5">
            <w:pPr>
              <w:pStyle w:val="ENoteTableText"/>
            </w:pPr>
            <w:r w:rsidRPr="005071A1">
              <w:t>151, 1986</w:t>
            </w:r>
          </w:p>
        </w:tc>
        <w:tc>
          <w:tcPr>
            <w:tcW w:w="993" w:type="dxa"/>
            <w:tcBorders>
              <w:top w:val="single" w:sz="4" w:space="0" w:color="auto"/>
              <w:bottom w:val="single" w:sz="4" w:space="0" w:color="auto"/>
            </w:tcBorders>
            <w:shd w:val="clear" w:color="auto" w:fill="auto"/>
          </w:tcPr>
          <w:p w14:paraId="4E45A5AA" w14:textId="77777777" w:rsidR="009B7AF5" w:rsidRPr="005071A1" w:rsidRDefault="009B7AF5" w:rsidP="009B7AF5">
            <w:pPr>
              <w:pStyle w:val="ENoteTableText"/>
            </w:pPr>
            <w:smartTag w:uri="urn:schemas-microsoft-com:office:smarttags" w:element="date">
              <w:smartTagPr>
                <w:attr w:name="Month" w:val="12"/>
                <w:attr w:name="Day" w:val="18"/>
                <w:attr w:name="Year" w:val="1986"/>
              </w:smartTagPr>
              <w:r w:rsidRPr="005071A1">
                <w:t>18 Dec 1986</w:t>
              </w:r>
            </w:smartTag>
          </w:p>
        </w:tc>
        <w:tc>
          <w:tcPr>
            <w:tcW w:w="1845" w:type="dxa"/>
            <w:tcBorders>
              <w:top w:val="single" w:sz="4" w:space="0" w:color="auto"/>
              <w:bottom w:val="single" w:sz="4" w:space="0" w:color="auto"/>
            </w:tcBorders>
            <w:shd w:val="clear" w:color="auto" w:fill="auto"/>
          </w:tcPr>
          <w:p w14:paraId="60F15142" w14:textId="77777777" w:rsidR="009B7AF5" w:rsidRPr="005071A1" w:rsidRDefault="005E2E4C">
            <w:pPr>
              <w:pStyle w:val="ENoteTableText"/>
            </w:pPr>
            <w:r w:rsidRPr="005071A1">
              <w:t>s 78–91</w:t>
            </w:r>
            <w:r w:rsidR="009B7AF5" w:rsidRPr="005071A1">
              <w:t xml:space="preserve">: </w:t>
            </w:r>
            <w:r w:rsidR="000E330D" w:rsidRPr="005071A1">
              <w:t>18 Dec 1986 (s 2</w:t>
            </w:r>
            <w:r w:rsidR="0096622C" w:rsidRPr="005071A1">
              <w:t>(1))</w:t>
            </w:r>
          </w:p>
        </w:tc>
        <w:tc>
          <w:tcPr>
            <w:tcW w:w="1417" w:type="dxa"/>
            <w:tcBorders>
              <w:top w:val="single" w:sz="4" w:space="0" w:color="auto"/>
              <w:bottom w:val="single" w:sz="4" w:space="0" w:color="auto"/>
            </w:tcBorders>
            <w:shd w:val="clear" w:color="auto" w:fill="auto"/>
          </w:tcPr>
          <w:p w14:paraId="24C73D66" w14:textId="77777777" w:rsidR="009B7AF5" w:rsidRPr="005071A1" w:rsidRDefault="009B7AF5" w:rsidP="009B7AF5">
            <w:pPr>
              <w:pStyle w:val="ENoteTableText"/>
            </w:pPr>
            <w:r w:rsidRPr="005071A1">
              <w:t>—</w:t>
            </w:r>
          </w:p>
        </w:tc>
      </w:tr>
      <w:tr w:rsidR="009B7AF5" w:rsidRPr="005071A1" w14:paraId="5B731E85" w14:textId="77777777" w:rsidTr="00322DFA">
        <w:trPr>
          <w:cantSplit/>
        </w:trPr>
        <w:tc>
          <w:tcPr>
            <w:tcW w:w="1838" w:type="dxa"/>
            <w:tcBorders>
              <w:top w:val="single" w:sz="4" w:space="0" w:color="auto"/>
              <w:bottom w:val="single" w:sz="4" w:space="0" w:color="auto"/>
            </w:tcBorders>
            <w:shd w:val="clear" w:color="auto" w:fill="auto"/>
          </w:tcPr>
          <w:p w14:paraId="1BF70CDC" w14:textId="77777777" w:rsidR="009B7AF5" w:rsidRPr="005071A1" w:rsidRDefault="009B7AF5" w:rsidP="009B7AF5">
            <w:pPr>
              <w:pStyle w:val="ENoteTableText"/>
            </w:pPr>
            <w:r w:rsidRPr="005071A1">
              <w:t>Superannuation and Other Benefits Legislation Amendment Act 1989</w:t>
            </w:r>
          </w:p>
        </w:tc>
        <w:tc>
          <w:tcPr>
            <w:tcW w:w="992" w:type="dxa"/>
            <w:tcBorders>
              <w:top w:val="single" w:sz="4" w:space="0" w:color="auto"/>
              <w:bottom w:val="single" w:sz="4" w:space="0" w:color="auto"/>
            </w:tcBorders>
            <w:shd w:val="clear" w:color="auto" w:fill="auto"/>
          </w:tcPr>
          <w:p w14:paraId="6FB50BF7" w14:textId="77777777" w:rsidR="009B7AF5" w:rsidRPr="005071A1" w:rsidRDefault="009B7AF5" w:rsidP="009B7AF5">
            <w:pPr>
              <w:pStyle w:val="ENoteTableText"/>
            </w:pPr>
            <w:r w:rsidRPr="005071A1">
              <w:t>125, 1989</w:t>
            </w:r>
          </w:p>
        </w:tc>
        <w:tc>
          <w:tcPr>
            <w:tcW w:w="993" w:type="dxa"/>
            <w:tcBorders>
              <w:top w:val="single" w:sz="4" w:space="0" w:color="auto"/>
              <w:bottom w:val="single" w:sz="4" w:space="0" w:color="auto"/>
            </w:tcBorders>
            <w:shd w:val="clear" w:color="auto" w:fill="auto"/>
          </w:tcPr>
          <w:p w14:paraId="0F98FDD7" w14:textId="77777777" w:rsidR="009B7AF5" w:rsidRPr="005071A1" w:rsidRDefault="009B7AF5" w:rsidP="009B7AF5">
            <w:pPr>
              <w:pStyle w:val="ENoteTableText"/>
            </w:pPr>
            <w:smartTag w:uri="urn:schemas-microsoft-com:office:smarttags" w:element="date">
              <w:smartTagPr>
                <w:attr w:name="Month" w:val="10"/>
                <w:attr w:name="Day" w:val="17"/>
                <w:attr w:name="Year" w:val="1989"/>
              </w:smartTagPr>
              <w:r w:rsidRPr="005071A1">
                <w:t>17 Oct 1989</w:t>
              </w:r>
            </w:smartTag>
          </w:p>
        </w:tc>
        <w:tc>
          <w:tcPr>
            <w:tcW w:w="1845" w:type="dxa"/>
            <w:tcBorders>
              <w:top w:val="single" w:sz="4" w:space="0" w:color="auto"/>
              <w:bottom w:val="single" w:sz="4" w:space="0" w:color="auto"/>
            </w:tcBorders>
            <w:shd w:val="clear" w:color="auto" w:fill="auto"/>
          </w:tcPr>
          <w:p w14:paraId="7B4EE55D" w14:textId="77777777" w:rsidR="009B7AF5" w:rsidRPr="005071A1" w:rsidRDefault="009B7AF5" w:rsidP="009B7AF5">
            <w:pPr>
              <w:pStyle w:val="ENoteTableText"/>
            </w:pPr>
            <w:smartTag w:uri="urn:schemas-microsoft-com:office:smarttags" w:element="date">
              <w:smartTagPr>
                <w:attr w:name="Month" w:val="10"/>
                <w:attr w:name="Day" w:val="20"/>
                <w:attr w:name="Year" w:val="1989"/>
              </w:smartTagPr>
              <w:r w:rsidRPr="005071A1">
                <w:t>20 Oct 1989</w:t>
              </w:r>
            </w:smartTag>
          </w:p>
        </w:tc>
        <w:tc>
          <w:tcPr>
            <w:tcW w:w="1417" w:type="dxa"/>
            <w:tcBorders>
              <w:top w:val="single" w:sz="4" w:space="0" w:color="auto"/>
              <w:bottom w:val="single" w:sz="4" w:space="0" w:color="auto"/>
            </w:tcBorders>
            <w:shd w:val="clear" w:color="auto" w:fill="auto"/>
          </w:tcPr>
          <w:p w14:paraId="1CC20CD6" w14:textId="77777777" w:rsidR="009B7AF5" w:rsidRPr="005071A1" w:rsidRDefault="009B7AF5" w:rsidP="009B7AF5">
            <w:pPr>
              <w:pStyle w:val="ENoteTableText"/>
            </w:pPr>
            <w:r w:rsidRPr="005071A1">
              <w:t>—</w:t>
            </w:r>
          </w:p>
        </w:tc>
      </w:tr>
      <w:tr w:rsidR="009B7AF5" w:rsidRPr="005071A1" w14:paraId="39F4FD4E" w14:textId="77777777" w:rsidTr="00322DFA">
        <w:trPr>
          <w:cantSplit/>
        </w:trPr>
        <w:tc>
          <w:tcPr>
            <w:tcW w:w="1838" w:type="dxa"/>
            <w:tcBorders>
              <w:top w:val="single" w:sz="4" w:space="0" w:color="auto"/>
              <w:bottom w:val="single" w:sz="4" w:space="0" w:color="auto"/>
            </w:tcBorders>
            <w:shd w:val="clear" w:color="auto" w:fill="auto"/>
          </w:tcPr>
          <w:p w14:paraId="6A66B7AB" w14:textId="77777777" w:rsidR="009B7AF5" w:rsidRPr="005071A1" w:rsidRDefault="009B7AF5" w:rsidP="009B7AF5">
            <w:pPr>
              <w:pStyle w:val="ENoteTableText"/>
            </w:pPr>
            <w:r w:rsidRPr="005071A1">
              <w:t>Superannuation Legislation Amendment Act 1990</w:t>
            </w:r>
          </w:p>
        </w:tc>
        <w:tc>
          <w:tcPr>
            <w:tcW w:w="992" w:type="dxa"/>
            <w:tcBorders>
              <w:top w:val="single" w:sz="4" w:space="0" w:color="auto"/>
              <w:bottom w:val="single" w:sz="4" w:space="0" w:color="auto"/>
            </w:tcBorders>
            <w:shd w:val="clear" w:color="auto" w:fill="auto"/>
          </w:tcPr>
          <w:p w14:paraId="01A115C8" w14:textId="77777777" w:rsidR="009B7AF5" w:rsidRPr="005071A1" w:rsidRDefault="009B7AF5" w:rsidP="009B7AF5">
            <w:pPr>
              <w:pStyle w:val="ENoteTableText"/>
            </w:pPr>
            <w:r w:rsidRPr="005071A1">
              <w:t>40, 1990</w:t>
            </w:r>
          </w:p>
        </w:tc>
        <w:tc>
          <w:tcPr>
            <w:tcW w:w="993" w:type="dxa"/>
            <w:tcBorders>
              <w:top w:val="single" w:sz="4" w:space="0" w:color="auto"/>
              <w:bottom w:val="single" w:sz="4" w:space="0" w:color="auto"/>
            </w:tcBorders>
            <w:shd w:val="clear" w:color="auto" w:fill="auto"/>
          </w:tcPr>
          <w:p w14:paraId="1BCD5A66" w14:textId="77777777" w:rsidR="009B7AF5" w:rsidRPr="005071A1" w:rsidRDefault="009B7AF5" w:rsidP="009B7AF5">
            <w:pPr>
              <w:pStyle w:val="ENoteTableText"/>
            </w:pPr>
            <w:r w:rsidRPr="005071A1">
              <w:t>7</w:t>
            </w:r>
            <w:r w:rsidR="008B2950" w:rsidRPr="005071A1">
              <w:t> </w:t>
            </w:r>
            <w:r w:rsidRPr="005071A1">
              <w:t>June 1990</w:t>
            </w:r>
          </w:p>
        </w:tc>
        <w:tc>
          <w:tcPr>
            <w:tcW w:w="1845" w:type="dxa"/>
            <w:tcBorders>
              <w:top w:val="single" w:sz="4" w:space="0" w:color="auto"/>
              <w:bottom w:val="single" w:sz="4" w:space="0" w:color="auto"/>
            </w:tcBorders>
            <w:shd w:val="clear" w:color="auto" w:fill="auto"/>
          </w:tcPr>
          <w:p w14:paraId="3011AC23" w14:textId="77777777" w:rsidR="009B7AF5" w:rsidRPr="005071A1" w:rsidRDefault="009B7AF5" w:rsidP="004744E8">
            <w:pPr>
              <w:pStyle w:val="ENoteTableText"/>
            </w:pPr>
            <w:r w:rsidRPr="005071A1">
              <w:t>s</w:t>
            </w:r>
            <w:r w:rsidR="00CD79AF" w:rsidRPr="005071A1">
              <w:t> </w:t>
            </w:r>
            <w:r w:rsidRPr="005071A1">
              <w:t xml:space="preserve">3–5: </w:t>
            </w:r>
            <w:r w:rsidR="000E330D" w:rsidRPr="005071A1">
              <w:t>7</w:t>
            </w:r>
            <w:r w:rsidR="008B2950" w:rsidRPr="005071A1">
              <w:t> </w:t>
            </w:r>
            <w:r w:rsidR="000E330D" w:rsidRPr="005071A1">
              <w:t>June 1990 (s 2(1)</w:t>
            </w:r>
            <w:r w:rsidR="005E2E4C" w:rsidRPr="005071A1">
              <w:t>(a)</w:t>
            </w:r>
            <w:r w:rsidR="000E330D" w:rsidRPr="005071A1">
              <w:t>)</w:t>
            </w:r>
          </w:p>
        </w:tc>
        <w:tc>
          <w:tcPr>
            <w:tcW w:w="1417" w:type="dxa"/>
            <w:tcBorders>
              <w:top w:val="single" w:sz="4" w:space="0" w:color="auto"/>
              <w:bottom w:val="single" w:sz="4" w:space="0" w:color="auto"/>
            </w:tcBorders>
            <w:shd w:val="clear" w:color="auto" w:fill="auto"/>
          </w:tcPr>
          <w:p w14:paraId="310578B8" w14:textId="77777777" w:rsidR="009B7AF5" w:rsidRPr="005071A1" w:rsidRDefault="009B7AF5" w:rsidP="009B7AF5">
            <w:pPr>
              <w:pStyle w:val="ENoteTableText"/>
            </w:pPr>
            <w:r w:rsidRPr="005071A1">
              <w:t>—</w:t>
            </w:r>
          </w:p>
        </w:tc>
      </w:tr>
      <w:tr w:rsidR="009B7AF5" w:rsidRPr="005071A1" w14:paraId="6CAD526F" w14:textId="77777777" w:rsidTr="00322DFA">
        <w:trPr>
          <w:cantSplit/>
        </w:trPr>
        <w:tc>
          <w:tcPr>
            <w:tcW w:w="1838" w:type="dxa"/>
            <w:tcBorders>
              <w:top w:val="single" w:sz="4" w:space="0" w:color="auto"/>
              <w:bottom w:val="single" w:sz="4" w:space="0" w:color="auto"/>
            </w:tcBorders>
            <w:shd w:val="clear" w:color="auto" w:fill="auto"/>
          </w:tcPr>
          <w:p w14:paraId="06A65BFD" w14:textId="77777777" w:rsidR="009B7AF5" w:rsidRPr="005071A1" w:rsidRDefault="009B7AF5" w:rsidP="009B7AF5">
            <w:pPr>
              <w:pStyle w:val="ENoteTableText"/>
            </w:pPr>
            <w:r w:rsidRPr="005071A1">
              <w:t>Commonwealth Superannuation Schemes Amendment Act 1992</w:t>
            </w:r>
          </w:p>
        </w:tc>
        <w:tc>
          <w:tcPr>
            <w:tcW w:w="992" w:type="dxa"/>
            <w:tcBorders>
              <w:top w:val="single" w:sz="4" w:space="0" w:color="auto"/>
              <w:bottom w:val="single" w:sz="4" w:space="0" w:color="auto"/>
            </w:tcBorders>
            <w:shd w:val="clear" w:color="auto" w:fill="auto"/>
          </w:tcPr>
          <w:p w14:paraId="3723AF02" w14:textId="77777777" w:rsidR="009B7AF5" w:rsidRPr="005071A1" w:rsidRDefault="009B7AF5" w:rsidP="009B7AF5">
            <w:pPr>
              <w:pStyle w:val="ENoteTableText"/>
            </w:pPr>
            <w:r w:rsidRPr="005071A1">
              <w:t>185, 1992</w:t>
            </w:r>
          </w:p>
        </w:tc>
        <w:tc>
          <w:tcPr>
            <w:tcW w:w="993" w:type="dxa"/>
            <w:tcBorders>
              <w:top w:val="single" w:sz="4" w:space="0" w:color="auto"/>
              <w:bottom w:val="single" w:sz="4" w:space="0" w:color="auto"/>
            </w:tcBorders>
            <w:shd w:val="clear" w:color="auto" w:fill="auto"/>
          </w:tcPr>
          <w:p w14:paraId="6EFDBF1C" w14:textId="77777777" w:rsidR="009B7AF5" w:rsidRPr="005071A1" w:rsidRDefault="009B7AF5" w:rsidP="009B7AF5">
            <w:pPr>
              <w:pStyle w:val="ENoteTableText"/>
            </w:pPr>
            <w:smartTag w:uri="urn:schemas-microsoft-com:office:smarttags" w:element="date">
              <w:smartTagPr>
                <w:attr w:name="Month" w:val="12"/>
                <w:attr w:name="Day" w:val="17"/>
                <w:attr w:name="Year" w:val="1992"/>
              </w:smartTagPr>
              <w:r w:rsidRPr="005071A1">
                <w:t>17 Dec 1992</w:t>
              </w:r>
            </w:smartTag>
          </w:p>
        </w:tc>
        <w:tc>
          <w:tcPr>
            <w:tcW w:w="1845" w:type="dxa"/>
            <w:tcBorders>
              <w:top w:val="single" w:sz="4" w:space="0" w:color="auto"/>
              <w:bottom w:val="single" w:sz="4" w:space="0" w:color="auto"/>
            </w:tcBorders>
            <w:shd w:val="clear" w:color="auto" w:fill="auto"/>
          </w:tcPr>
          <w:p w14:paraId="179977C8" w14:textId="77777777" w:rsidR="009B7AF5" w:rsidRPr="005071A1" w:rsidRDefault="009B7AF5" w:rsidP="009B7AF5">
            <w:pPr>
              <w:pStyle w:val="ENoteTableText"/>
            </w:pPr>
            <w:r w:rsidRPr="005071A1">
              <w:t>25</w:t>
            </w:r>
            <w:r w:rsidR="008B2950" w:rsidRPr="005071A1">
              <w:t> </w:t>
            </w:r>
            <w:r w:rsidRPr="005071A1">
              <w:t xml:space="preserve">June 1993 </w:t>
            </w:r>
          </w:p>
        </w:tc>
        <w:tc>
          <w:tcPr>
            <w:tcW w:w="1417" w:type="dxa"/>
            <w:tcBorders>
              <w:top w:val="single" w:sz="4" w:space="0" w:color="auto"/>
              <w:bottom w:val="single" w:sz="4" w:space="0" w:color="auto"/>
            </w:tcBorders>
            <w:shd w:val="clear" w:color="auto" w:fill="auto"/>
          </w:tcPr>
          <w:p w14:paraId="7594E8A1" w14:textId="77777777" w:rsidR="009B7AF5" w:rsidRPr="005071A1" w:rsidRDefault="002477D1" w:rsidP="004744E8">
            <w:pPr>
              <w:pStyle w:val="ENoteTableText"/>
            </w:pPr>
            <w:r w:rsidRPr="005071A1">
              <w:t>s</w:t>
            </w:r>
            <w:r w:rsidR="009B7AF5" w:rsidRPr="005071A1">
              <w:t xml:space="preserve"> 9</w:t>
            </w:r>
          </w:p>
        </w:tc>
      </w:tr>
      <w:tr w:rsidR="009B7AF5" w:rsidRPr="005071A1" w14:paraId="6A2180D6" w14:textId="77777777" w:rsidTr="00322DFA">
        <w:trPr>
          <w:cantSplit/>
        </w:trPr>
        <w:tc>
          <w:tcPr>
            <w:tcW w:w="1838" w:type="dxa"/>
            <w:tcBorders>
              <w:top w:val="single" w:sz="4" w:space="0" w:color="auto"/>
              <w:bottom w:val="single" w:sz="4" w:space="0" w:color="auto"/>
            </w:tcBorders>
            <w:shd w:val="clear" w:color="auto" w:fill="auto"/>
          </w:tcPr>
          <w:p w14:paraId="50406688" w14:textId="77777777" w:rsidR="009B7AF5" w:rsidRPr="005071A1" w:rsidRDefault="009B7AF5" w:rsidP="009B7AF5">
            <w:pPr>
              <w:pStyle w:val="ENoteTableText"/>
            </w:pPr>
            <w:r w:rsidRPr="005071A1">
              <w:t>Superannuation Legislation Amendment Act 1992</w:t>
            </w:r>
          </w:p>
        </w:tc>
        <w:tc>
          <w:tcPr>
            <w:tcW w:w="992" w:type="dxa"/>
            <w:tcBorders>
              <w:top w:val="single" w:sz="4" w:space="0" w:color="auto"/>
              <w:bottom w:val="single" w:sz="4" w:space="0" w:color="auto"/>
            </w:tcBorders>
            <w:shd w:val="clear" w:color="auto" w:fill="auto"/>
          </w:tcPr>
          <w:p w14:paraId="51AA5323" w14:textId="77777777" w:rsidR="009B7AF5" w:rsidRPr="005071A1" w:rsidRDefault="009B7AF5" w:rsidP="009B7AF5">
            <w:pPr>
              <w:pStyle w:val="ENoteTableText"/>
            </w:pPr>
            <w:r w:rsidRPr="005071A1">
              <w:t>187, 1992</w:t>
            </w:r>
          </w:p>
        </w:tc>
        <w:tc>
          <w:tcPr>
            <w:tcW w:w="993" w:type="dxa"/>
            <w:tcBorders>
              <w:top w:val="single" w:sz="4" w:space="0" w:color="auto"/>
              <w:bottom w:val="single" w:sz="4" w:space="0" w:color="auto"/>
            </w:tcBorders>
            <w:shd w:val="clear" w:color="auto" w:fill="auto"/>
          </w:tcPr>
          <w:p w14:paraId="0E44367E" w14:textId="77777777" w:rsidR="009B7AF5" w:rsidRPr="005071A1" w:rsidRDefault="009B7AF5" w:rsidP="009B7AF5">
            <w:pPr>
              <w:pStyle w:val="ENoteTableText"/>
            </w:pPr>
            <w:smartTag w:uri="urn:schemas-microsoft-com:office:smarttags" w:element="date">
              <w:smartTagPr>
                <w:attr w:name="Month" w:val="12"/>
                <w:attr w:name="Day" w:val="18"/>
                <w:attr w:name="Year" w:val="1992"/>
              </w:smartTagPr>
              <w:r w:rsidRPr="005071A1">
                <w:t>18 Dec 1992</w:t>
              </w:r>
            </w:smartTag>
          </w:p>
        </w:tc>
        <w:tc>
          <w:tcPr>
            <w:tcW w:w="1845" w:type="dxa"/>
            <w:tcBorders>
              <w:top w:val="single" w:sz="4" w:space="0" w:color="auto"/>
              <w:bottom w:val="single" w:sz="4" w:space="0" w:color="auto"/>
            </w:tcBorders>
            <w:shd w:val="clear" w:color="auto" w:fill="auto"/>
          </w:tcPr>
          <w:p w14:paraId="69EB2BE7" w14:textId="77777777" w:rsidR="009B7AF5" w:rsidRPr="005071A1" w:rsidRDefault="009B7AF5" w:rsidP="004744E8">
            <w:pPr>
              <w:pStyle w:val="ENoteTableText"/>
            </w:pPr>
            <w:r w:rsidRPr="005071A1">
              <w:t>s</w:t>
            </w:r>
            <w:r w:rsidR="00CD79AF" w:rsidRPr="005071A1">
              <w:t> </w:t>
            </w:r>
            <w:r w:rsidRPr="005071A1">
              <w:t xml:space="preserve">3, 4: </w:t>
            </w:r>
            <w:r w:rsidR="00145929" w:rsidRPr="005071A1">
              <w:t>18 Dec 1992 (s 2(1))</w:t>
            </w:r>
          </w:p>
        </w:tc>
        <w:tc>
          <w:tcPr>
            <w:tcW w:w="1417" w:type="dxa"/>
            <w:tcBorders>
              <w:top w:val="single" w:sz="4" w:space="0" w:color="auto"/>
              <w:bottom w:val="single" w:sz="4" w:space="0" w:color="auto"/>
            </w:tcBorders>
            <w:shd w:val="clear" w:color="auto" w:fill="auto"/>
          </w:tcPr>
          <w:p w14:paraId="7E003C98" w14:textId="77777777" w:rsidR="009B7AF5" w:rsidRPr="005071A1" w:rsidRDefault="009B7AF5" w:rsidP="009B7AF5">
            <w:pPr>
              <w:pStyle w:val="ENoteTableText"/>
            </w:pPr>
            <w:r w:rsidRPr="005071A1">
              <w:t>—</w:t>
            </w:r>
          </w:p>
        </w:tc>
      </w:tr>
      <w:tr w:rsidR="009B7AF5" w:rsidRPr="005071A1" w14:paraId="044A4A66" w14:textId="77777777" w:rsidTr="00322DFA">
        <w:trPr>
          <w:cantSplit/>
        </w:trPr>
        <w:tc>
          <w:tcPr>
            <w:tcW w:w="1838" w:type="dxa"/>
            <w:tcBorders>
              <w:top w:val="single" w:sz="4" w:space="0" w:color="auto"/>
              <w:bottom w:val="single" w:sz="4" w:space="0" w:color="auto"/>
            </w:tcBorders>
            <w:shd w:val="clear" w:color="auto" w:fill="auto"/>
          </w:tcPr>
          <w:p w14:paraId="2258880E" w14:textId="77777777" w:rsidR="009B7AF5" w:rsidRPr="005071A1" w:rsidRDefault="009B7AF5" w:rsidP="009B7AF5">
            <w:pPr>
              <w:pStyle w:val="ENoteTableText"/>
            </w:pPr>
            <w:r w:rsidRPr="005071A1">
              <w:t>Life Insurance (Consequential Amendments and Repeals) Act 1995</w:t>
            </w:r>
          </w:p>
        </w:tc>
        <w:tc>
          <w:tcPr>
            <w:tcW w:w="992" w:type="dxa"/>
            <w:tcBorders>
              <w:top w:val="single" w:sz="4" w:space="0" w:color="auto"/>
              <w:bottom w:val="single" w:sz="4" w:space="0" w:color="auto"/>
            </w:tcBorders>
            <w:shd w:val="clear" w:color="auto" w:fill="auto"/>
          </w:tcPr>
          <w:p w14:paraId="396853A8" w14:textId="77777777" w:rsidR="009B7AF5" w:rsidRPr="005071A1" w:rsidRDefault="009B7AF5" w:rsidP="009B7AF5">
            <w:pPr>
              <w:pStyle w:val="ENoteTableText"/>
            </w:pPr>
            <w:r w:rsidRPr="005071A1">
              <w:t>5, 1995</w:t>
            </w:r>
          </w:p>
        </w:tc>
        <w:tc>
          <w:tcPr>
            <w:tcW w:w="993" w:type="dxa"/>
            <w:tcBorders>
              <w:top w:val="single" w:sz="4" w:space="0" w:color="auto"/>
              <w:bottom w:val="single" w:sz="4" w:space="0" w:color="auto"/>
            </w:tcBorders>
            <w:shd w:val="clear" w:color="auto" w:fill="auto"/>
          </w:tcPr>
          <w:p w14:paraId="725E3450" w14:textId="77777777" w:rsidR="009B7AF5" w:rsidRPr="005071A1" w:rsidRDefault="009B7AF5" w:rsidP="009B7AF5">
            <w:pPr>
              <w:pStyle w:val="ENoteTableText"/>
            </w:pPr>
            <w:smartTag w:uri="urn:schemas-microsoft-com:office:smarttags" w:element="date">
              <w:smartTagPr>
                <w:attr w:name="Month" w:val="2"/>
                <w:attr w:name="Day" w:val="23"/>
                <w:attr w:name="Year" w:val="1995"/>
              </w:smartTagPr>
              <w:r w:rsidRPr="005071A1">
                <w:t>23 Feb 1995</w:t>
              </w:r>
            </w:smartTag>
          </w:p>
        </w:tc>
        <w:tc>
          <w:tcPr>
            <w:tcW w:w="1845" w:type="dxa"/>
            <w:tcBorders>
              <w:top w:val="single" w:sz="4" w:space="0" w:color="auto"/>
              <w:bottom w:val="single" w:sz="4" w:space="0" w:color="auto"/>
            </w:tcBorders>
            <w:shd w:val="clear" w:color="auto" w:fill="auto"/>
          </w:tcPr>
          <w:p w14:paraId="2309CA90" w14:textId="77777777" w:rsidR="009B7AF5" w:rsidRPr="005071A1" w:rsidRDefault="009B7AF5" w:rsidP="004744E8">
            <w:pPr>
              <w:pStyle w:val="ENoteTableText"/>
            </w:pPr>
            <w:r w:rsidRPr="005071A1">
              <w:t>1</w:t>
            </w:r>
            <w:r w:rsidR="008B2950" w:rsidRPr="005071A1">
              <w:t> </w:t>
            </w:r>
            <w:r w:rsidRPr="005071A1">
              <w:t xml:space="preserve">July 1995 (s 2 and </w:t>
            </w:r>
            <w:r w:rsidR="00145929" w:rsidRPr="005071A1">
              <w:t>gaz</w:t>
            </w:r>
            <w:r w:rsidRPr="005071A1">
              <w:t xml:space="preserve"> 1995, GN24)</w:t>
            </w:r>
          </w:p>
        </w:tc>
        <w:tc>
          <w:tcPr>
            <w:tcW w:w="1417" w:type="dxa"/>
            <w:tcBorders>
              <w:top w:val="single" w:sz="4" w:space="0" w:color="auto"/>
              <w:bottom w:val="single" w:sz="4" w:space="0" w:color="auto"/>
            </w:tcBorders>
            <w:shd w:val="clear" w:color="auto" w:fill="auto"/>
          </w:tcPr>
          <w:p w14:paraId="49ACC68F" w14:textId="77777777" w:rsidR="009B7AF5" w:rsidRPr="005071A1" w:rsidRDefault="009B7AF5" w:rsidP="009B7AF5">
            <w:pPr>
              <w:pStyle w:val="ENoteTableText"/>
            </w:pPr>
            <w:r w:rsidRPr="005071A1">
              <w:t>—</w:t>
            </w:r>
          </w:p>
        </w:tc>
      </w:tr>
      <w:tr w:rsidR="009B7AF5" w:rsidRPr="005071A1" w14:paraId="0402D374" w14:textId="77777777" w:rsidTr="00322DFA">
        <w:trPr>
          <w:cantSplit/>
        </w:trPr>
        <w:tc>
          <w:tcPr>
            <w:tcW w:w="1838" w:type="dxa"/>
            <w:tcBorders>
              <w:top w:val="single" w:sz="4" w:space="0" w:color="auto"/>
              <w:bottom w:val="single" w:sz="4" w:space="0" w:color="auto"/>
            </w:tcBorders>
            <w:shd w:val="clear" w:color="auto" w:fill="auto"/>
          </w:tcPr>
          <w:p w14:paraId="3114D47E" w14:textId="77777777" w:rsidR="009B7AF5" w:rsidRPr="005071A1" w:rsidRDefault="009B7AF5" w:rsidP="009B7AF5">
            <w:pPr>
              <w:pStyle w:val="ENoteTableText"/>
            </w:pPr>
            <w:r w:rsidRPr="005071A1">
              <w:t>Superannuation Legislation Amendment Act (No.</w:t>
            </w:r>
            <w:r w:rsidR="008B2950" w:rsidRPr="005071A1">
              <w:t> </w:t>
            </w:r>
            <w:r w:rsidRPr="005071A1">
              <w:t>1) 1995</w:t>
            </w:r>
          </w:p>
        </w:tc>
        <w:tc>
          <w:tcPr>
            <w:tcW w:w="992" w:type="dxa"/>
            <w:tcBorders>
              <w:top w:val="single" w:sz="4" w:space="0" w:color="auto"/>
              <w:bottom w:val="single" w:sz="4" w:space="0" w:color="auto"/>
            </w:tcBorders>
            <w:shd w:val="clear" w:color="auto" w:fill="auto"/>
          </w:tcPr>
          <w:p w14:paraId="0728AA69" w14:textId="77777777" w:rsidR="009B7AF5" w:rsidRPr="005071A1" w:rsidRDefault="009B7AF5" w:rsidP="009B7AF5">
            <w:pPr>
              <w:pStyle w:val="ENoteTableText"/>
            </w:pPr>
            <w:r w:rsidRPr="005071A1">
              <w:t>54, 1995</w:t>
            </w:r>
          </w:p>
        </w:tc>
        <w:tc>
          <w:tcPr>
            <w:tcW w:w="993" w:type="dxa"/>
            <w:tcBorders>
              <w:top w:val="single" w:sz="4" w:space="0" w:color="auto"/>
              <w:bottom w:val="single" w:sz="4" w:space="0" w:color="auto"/>
            </w:tcBorders>
            <w:shd w:val="clear" w:color="auto" w:fill="auto"/>
          </w:tcPr>
          <w:p w14:paraId="3E1E404F" w14:textId="77777777" w:rsidR="009B7AF5" w:rsidRPr="005071A1" w:rsidRDefault="009B7AF5" w:rsidP="009B7AF5">
            <w:pPr>
              <w:pStyle w:val="ENoteTableText"/>
            </w:pPr>
            <w:r w:rsidRPr="005071A1">
              <w:t>23</w:t>
            </w:r>
            <w:r w:rsidR="008B2950" w:rsidRPr="005071A1">
              <w:t> </w:t>
            </w:r>
            <w:r w:rsidRPr="005071A1">
              <w:t>June 1995</w:t>
            </w:r>
          </w:p>
        </w:tc>
        <w:tc>
          <w:tcPr>
            <w:tcW w:w="1845" w:type="dxa"/>
            <w:tcBorders>
              <w:top w:val="single" w:sz="4" w:space="0" w:color="auto"/>
              <w:bottom w:val="single" w:sz="4" w:space="0" w:color="auto"/>
            </w:tcBorders>
            <w:shd w:val="clear" w:color="auto" w:fill="auto"/>
          </w:tcPr>
          <w:p w14:paraId="2995D916" w14:textId="77777777" w:rsidR="009B7AF5" w:rsidRPr="005071A1" w:rsidRDefault="002477D1" w:rsidP="0064710F">
            <w:pPr>
              <w:pStyle w:val="ENoteTableText"/>
            </w:pPr>
            <w:r w:rsidRPr="005071A1">
              <w:t>s</w:t>
            </w:r>
            <w:r w:rsidR="009B7AF5" w:rsidRPr="005071A1">
              <w:t xml:space="preserve"> 3(1): </w:t>
            </w:r>
            <w:r w:rsidR="0042382C" w:rsidRPr="005071A1">
              <w:t>23</w:t>
            </w:r>
            <w:r w:rsidR="008B2950" w:rsidRPr="005071A1">
              <w:t> </w:t>
            </w:r>
            <w:r w:rsidR="0042382C" w:rsidRPr="005071A1">
              <w:t>June 1995 (s</w:t>
            </w:r>
            <w:r w:rsidR="0064710F" w:rsidRPr="005071A1">
              <w:t> </w:t>
            </w:r>
            <w:r w:rsidR="0042382C" w:rsidRPr="005071A1">
              <w:t>2(1))</w:t>
            </w:r>
          </w:p>
        </w:tc>
        <w:tc>
          <w:tcPr>
            <w:tcW w:w="1417" w:type="dxa"/>
            <w:tcBorders>
              <w:top w:val="single" w:sz="4" w:space="0" w:color="auto"/>
              <w:bottom w:val="single" w:sz="4" w:space="0" w:color="auto"/>
            </w:tcBorders>
            <w:shd w:val="clear" w:color="auto" w:fill="auto"/>
          </w:tcPr>
          <w:p w14:paraId="74B5F848" w14:textId="77777777" w:rsidR="009B7AF5" w:rsidRPr="005071A1" w:rsidRDefault="009B7AF5" w:rsidP="009B7AF5">
            <w:pPr>
              <w:pStyle w:val="ENoteTableText"/>
            </w:pPr>
            <w:r w:rsidRPr="005071A1">
              <w:t>—</w:t>
            </w:r>
          </w:p>
        </w:tc>
      </w:tr>
      <w:tr w:rsidR="009B7AF5" w:rsidRPr="005071A1" w14:paraId="2B4EE4A5" w14:textId="77777777" w:rsidTr="00322DFA">
        <w:trPr>
          <w:cantSplit/>
        </w:trPr>
        <w:tc>
          <w:tcPr>
            <w:tcW w:w="1838" w:type="dxa"/>
            <w:tcBorders>
              <w:top w:val="single" w:sz="4" w:space="0" w:color="auto"/>
              <w:bottom w:val="single" w:sz="4" w:space="0" w:color="auto"/>
            </w:tcBorders>
            <w:shd w:val="clear" w:color="auto" w:fill="auto"/>
          </w:tcPr>
          <w:p w14:paraId="7B76AED4" w14:textId="77777777" w:rsidR="009B7AF5" w:rsidRPr="005071A1" w:rsidRDefault="009B7AF5" w:rsidP="009B7AF5">
            <w:pPr>
              <w:pStyle w:val="ENoteTableText"/>
            </w:pPr>
            <w:r w:rsidRPr="005071A1">
              <w:t>Defence Legislation Amendment (Enhancement of the Reserves and Modernisation) Act 2001</w:t>
            </w:r>
          </w:p>
        </w:tc>
        <w:tc>
          <w:tcPr>
            <w:tcW w:w="992" w:type="dxa"/>
            <w:tcBorders>
              <w:top w:val="single" w:sz="4" w:space="0" w:color="auto"/>
              <w:bottom w:val="single" w:sz="4" w:space="0" w:color="auto"/>
            </w:tcBorders>
            <w:shd w:val="clear" w:color="auto" w:fill="auto"/>
          </w:tcPr>
          <w:p w14:paraId="131DE2DF" w14:textId="77777777" w:rsidR="009B7AF5" w:rsidRPr="005071A1" w:rsidRDefault="009B7AF5" w:rsidP="009B7AF5">
            <w:pPr>
              <w:pStyle w:val="ENoteTableText"/>
            </w:pPr>
            <w:r w:rsidRPr="005071A1">
              <w:t>10, 2001</w:t>
            </w:r>
          </w:p>
        </w:tc>
        <w:tc>
          <w:tcPr>
            <w:tcW w:w="993" w:type="dxa"/>
            <w:tcBorders>
              <w:top w:val="single" w:sz="4" w:space="0" w:color="auto"/>
              <w:bottom w:val="single" w:sz="4" w:space="0" w:color="auto"/>
            </w:tcBorders>
            <w:shd w:val="clear" w:color="auto" w:fill="auto"/>
          </w:tcPr>
          <w:p w14:paraId="7C952F31" w14:textId="77777777" w:rsidR="009B7AF5" w:rsidRPr="005071A1" w:rsidRDefault="009B7AF5" w:rsidP="009B7AF5">
            <w:pPr>
              <w:pStyle w:val="ENoteTableText"/>
            </w:pPr>
            <w:smartTag w:uri="urn:schemas-microsoft-com:office:smarttags" w:element="date">
              <w:smartTagPr>
                <w:attr w:name="Month" w:val="3"/>
                <w:attr w:name="Day" w:val="22"/>
                <w:attr w:name="Year" w:val="2001"/>
              </w:smartTagPr>
              <w:r w:rsidRPr="005071A1">
                <w:t>22 Mar 2001</w:t>
              </w:r>
            </w:smartTag>
            <w:r w:rsidRPr="005071A1">
              <w:t xml:space="preserve"> </w:t>
            </w:r>
          </w:p>
        </w:tc>
        <w:tc>
          <w:tcPr>
            <w:tcW w:w="1845" w:type="dxa"/>
            <w:tcBorders>
              <w:top w:val="single" w:sz="4" w:space="0" w:color="auto"/>
              <w:bottom w:val="single" w:sz="4" w:space="0" w:color="auto"/>
            </w:tcBorders>
            <w:shd w:val="clear" w:color="auto" w:fill="auto"/>
          </w:tcPr>
          <w:p w14:paraId="0240751F" w14:textId="77777777" w:rsidR="009B7AF5" w:rsidRPr="005071A1" w:rsidRDefault="009B7AF5" w:rsidP="00641D59">
            <w:pPr>
              <w:pStyle w:val="ENoteTableText"/>
            </w:pPr>
            <w:r w:rsidRPr="005071A1">
              <w:t>Sch</w:t>
            </w:r>
            <w:r w:rsidR="001E7C83" w:rsidRPr="005071A1">
              <w:t> </w:t>
            </w:r>
            <w:r w:rsidRPr="005071A1">
              <w:t>2 (items</w:t>
            </w:r>
            <w:r w:rsidR="008B2950" w:rsidRPr="005071A1">
              <w:t> </w:t>
            </w:r>
            <w:r w:rsidRPr="005071A1">
              <w:t>86, 94, 95):</w:t>
            </w:r>
            <w:r w:rsidR="002023C1" w:rsidRPr="005071A1">
              <w:t xml:space="preserve"> </w:t>
            </w:r>
            <w:smartTag w:uri="urn:schemas-microsoft-com:office:smarttags" w:element="date">
              <w:smartTagPr>
                <w:attr w:name="Month" w:val="4"/>
                <w:attr w:name="Day" w:val="19"/>
                <w:attr w:name="Year" w:val="2001"/>
              </w:smartTagPr>
              <w:r w:rsidRPr="005071A1">
                <w:t>19 Apr 2001</w:t>
              </w:r>
            </w:smartTag>
            <w:r w:rsidRPr="005071A1">
              <w:t xml:space="preserve"> </w:t>
            </w:r>
            <w:r w:rsidR="0042382C" w:rsidRPr="005071A1">
              <w:t>(s 2(1))</w:t>
            </w:r>
          </w:p>
        </w:tc>
        <w:tc>
          <w:tcPr>
            <w:tcW w:w="1417" w:type="dxa"/>
            <w:tcBorders>
              <w:top w:val="single" w:sz="4" w:space="0" w:color="auto"/>
              <w:bottom w:val="single" w:sz="4" w:space="0" w:color="auto"/>
            </w:tcBorders>
            <w:shd w:val="clear" w:color="auto" w:fill="auto"/>
          </w:tcPr>
          <w:p w14:paraId="7DD9E5B9" w14:textId="77777777" w:rsidR="009B7AF5" w:rsidRPr="005071A1" w:rsidRDefault="009B7AF5" w:rsidP="00641D59">
            <w:pPr>
              <w:pStyle w:val="ENoteTableText"/>
            </w:pPr>
            <w:r w:rsidRPr="005071A1">
              <w:t>Sch 2 (items</w:t>
            </w:r>
            <w:r w:rsidR="008B2950" w:rsidRPr="005071A1">
              <w:t> </w:t>
            </w:r>
            <w:r w:rsidRPr="005071A1">
              <w:t>94, 95)</w:t>
            </w:r>
          </w:p>
        </w:tc>
      </w:tr>
      <w:tr w:rsidR="009B7AF5" w:rsidRPr="005071A1" w14:paraId="0F54EFCB" w14:textId="77777777" w:rsidTr="00322DFA">
        <w:trPr>
          <w:cantSplit/>
        </w:trPr>
        <w:tc>
          <w:tcPr>
            <w:tcW w:w="1838" w:type="dxa"/>
            <w:tcBorders>
              <w:top w:val="single" w:sz="4" w:space="0" w:color="auto"/>
              <w:bottom w:val="single" w:sz="4" w:space="0" w:color="auto"/>
            </w:tcBorders>
            <w:shd w:val="clear" w:color="auto" w:fill="auto"/>
          </w:tcPr>
          <w:p w14:paraId="0CA650DB" w14:textId="77777777" w:rsidR="009B7AF5" w:rsidRPr="005071A1" w:rsidRDefault="009B7AF5" w:rsidP="009B7AF5">
            <w:pPr>
              <w:pStyle w:val="ENoteTableText"/>
            </w:pPr>
            <w:r w:rsidRPr="005071A1">
              <w:t>Finance and Administration Legislation Amendment (Application of Criminal Code) Act 2001</w:t>
            </w:r>
          </w:p>
        </w:tc>
        <w:tc>
          <w:tcPr>
            <w:tcW w:w="992" w:type="dxa"/>
            <w:tcBorders>
              <w:top w:val="single" w:sz="4" w:space="0" w:color="auto"/>
              <w:bottom w:val="single" w:sz="4" w:space="0" w:color="auto"/>
            </w:tcBorders>
            <w:shd w:val="clear" w:color="auto" w:fill="auto"/>
          </w:tcPr>
          <w:p w14:paraId="63789CE6" w14:textId="77777777" w:rsidR="009B7AF5" w:rsidRPr="005071A1" w:rsidRDefault="009B7AF5" w:rsidP="009B7AF5">
            <w:pPr>
              <w:pStyle w:val="ENoteTableText"/>
            </w:pPr>
            <w:r w:rsidRPr="005071A1">
              <w:t>109, 2001</w:t>
            </w:r>
          </w:p>
        </w:tc>
        <w:tc>
          <w:tcPr>
            <w:tcW w:w="993" w:type="dxa"/>
            <w:tcBorders>
              <w:top w:val="single" w:sz="4" w:space="0" w:color="auto"/>
              <w:bottom w:val="single" w:sz="4" w:space="0" w:color="auto"/>
            </w:tcBorders>
            <w:shd w:val="clear" w:color="auto" w:fill="auto"/>
          </w:tcPr>
          <w:p w14:paraId="25281E5D" w14:textId="77777777" w:rsidR="009B7AF5" w:rsidRPr="005071A1" w:rsidRDefault="009B7AF5" w:rsidP="009B7AF5">
            <w:pPr>
              <w:pStyle w:val="ENoteTableText"/>
            </w:pPr>
            <w:smartTag w:uri="urn:schemas-microsoft-com:office:smarttags" w:element="date">
              <w:smartTagPr>
                <w:attr w:name="Month" w:val="9"/>
                <w:attr w:name="Day" w:val="17"/>
                <w:attr w:name="Year" w:val="2001"/>
              </w:smartTagPr>
              <w:r w:rsidRPr="005071A1">
                <w:t>17 Sept 2001</w:t>
              </w:r>
            </w:smartTag>
          </w:p>
        </w:tc>
        <w:tc>
          <w:tcPr>
            <w:tcW w:w="1845" w:type="dxa"/>
            <w:tcBorders>
              <w:top w:val="single" w:sz="4" w:space="0" w:color="auto"/>
              <w:bottom w:val="single" w:sz="4" w:space="0" w:color="auto"/>
            </w:tcBorders>
            <w:shd w:val="clear" w:color="auto" w:fill="auto"/>
          </w:tcPr>
          <w:p w14:paraId="0F21A477" w14:textId="77777777" w:rsidR="009B7AF5" w:rsidRPr="005071A1" w:rsidRDefault="009B7AF5" w:rsidP="009B7AF5">
            <w:pPr>
              <w:pStyle w:val="ENoteTableText"/>
            </w:pPr>
            <w:smartTag w:uri="urn:schemas-microsoft-com:office:smarttags" w:element="date">
              <w:smartTagPr>
                <w:attr w:name="Month" w:val="10"/>
                <w:attr w:name="Day" w:val="15"/>
                <w:attr w:name="Year" w:val="2001"/>
              </w:smartTagPr>
              <w:r w:rsidRPr="005071A1">
                <w:t>15 Oct 2001</w:t>
              </w:r>
            </w:smartTag>
          </w:p>
        </w:tc>
        <w:tc>
          <w:tcPr>
            <w:tcW w:w="1417" w:type="dxa"/>
            <w:tcBorders>
              <w:top w:val="single" w:sz="4" w:space="0" w:color="auto"/>
              <w:bottom w:val="single" w:sz="4" w:space="0" w:color="auto"/>
            </w:tcBorders>
            <w:shd w:val="clear" w:color="auto" w:fill="auto"/>
          </w:tcPr>
          <w:p w14:paraId="18AF1212" w14:textId="77777777" w:rsidR="009B7AF5" w:rsidRPr="005071A1" w:rsidRDefault="002477D1" w:rsidP="004744E8">
            <w:pPr>
              <w:pStyle w:val="ENoteTableText"/>
            </w:pPr>
            <w:r w:rsidRPr="005071A1">
              <w:t>s</w:t>
            </w:r>
            <w:r w:rsidR="009B7AF5" w:rsidRPr="005071A1">
              <w:t xml:space="preserve"> 5</w:t>
            </w:r>
          </w:p>
        </w:tc>
      </w:tr>
      <w:tr w:rsidR="009B7AF5" w:rsidRPr="005071A1" w14:paraId="0D40C1F0" w14:textId="77777777" w:rsidTr="00322DFA">
        <w:trPr>
          <w:cantSplit/>
        </w:trPr>
        <w:tc>
          <w:tcPr>
            <w:tcW w:w="1838" w:type="dxa"/>
            <w:tcBorders>
              <w:top w:val="single" w:sz="4" w:space="0" w:color="auto"/>
              <w:bottom w:val="single" w:sz="4" w:space="0" w:color="auto"/>
            </w:tcBorders>
            <w:shd w:val="clear" w:color="auto" w:fill="auto"/>
          </w:tcPr>
          <w:p w14:paraId="487FFB83" w14:textId="77777777" w:rsidR="009B7AF5" w:rsidRPr="005071A1" w:rsidRDefault="009B7AF5" w:rsidP="009B7AF5">
            <w:pPr>
              <w:pStyle w:val="ENoteTableText"/>
            </w:pPr>
            <w:r w:rsidRPr="005071A1">
              <w:t>Superannuation Legislation Amendment (Indexation) Act 2001</w:t>
            </w:r>
          </w:p>
        </w:tc>
        <w:tc>
          <w:tcPr>
            <w:tcW w:w="992" w:type="dxa"/>
            <w:tcBorders>
              <w:top w:val="single" w:sz="4" w:space="0" w:color="auto"/>
              <w:bottom w:val="single" w:sz="4" w:space="0" w:color="auto"/>
            </w:tcBorders>
            <w:shd w:val="clear" w:color="auto" w:fill="auto"/>
          </w:tcPr>
          <w:p w14:paraId="70E0B657" w14:textId="77777777" w:rsidR="009B7AF5" w:rsidRPr="005071A1" w:rsidRDefault="009B7AF5" w:rsidP="009B7AF5">
            <w:pPr>
              <w:pStyle w:val="ENoteTableText"/>
            </w:pPr>
            <w:r w:rsidRPr="005071A1">
              <w:t>148, 2001</w:t>
            </w:r>
          </w:p>
        </w:tc>
        <w:tc>
          <w:tcPr>
            <w:tcW w:w="993" w:type="dxa"/>
            <w:tcBorders>
              <w:top w:val="single" w:sz="4" w:space="0" w:color="auto"/>
              <w:bottom w:val="single" w:sz="4" w:space="0" w:color="auto"/>
            </w:tcBorders>
            <w:shd w:val="clear" w:color="auto" w:fill="auto"/>
          </w:tcPr>
          <w:p w14:paraId="77C01B11" w14:textId="77777777" w:rsidR="009B7AF5" w:rsidRPr="005071A1" w:rsidRDefault="009B7AF5" w:rsidP="009B7AF5">
            <w:pPr>
              <w:pStyle w:val="ENoteTableText"/>
            </w:pPr>
            <w:smartTag w:uri="urn:schemas-microsoft-com:office:smarttags" w:element="date">
              <w:smartTagPr>
                <w:attr w:name="Month" w:val="10"/>
                <w:attr w:name="Day" w:val="1"/>
                <w:attr w:name="Year" w:val="2001"/>
              </w:smartTagPr>
              <w:r w:rsidRPr="005071A1">
                <w:t>1 Oct 2001</w:t>
              </w:r>
            </w:smartTag>
          </w:p>
        </w:tc>
        <w:tc>
          <w:tcPr>
            <w:tcW w:w="1845" w:type="dxa"/>
            <w:tcBorders>
              <w:top w:val="single" w:sz="4" w:space="0" w:color="auto"/>
              <w:bottom w:val="single" w:sz="4" w:space="0" w:color="auto"/>
            </w:tcBorders>
            <w:shd w:val="clear" w:color="auto" w:fill="auto"/>
          </w:tcPr>
          <w:p w14:paraId="1FDB57EF" w14:textId="77777777" w:rsidR="009B7AF5" w:rsidRPr="005071A1" w:rsidRDefault="009B7AF5" w:rsidP="009B7AF5">
            <w:pPr>
              <w:pStyle w:val="ENoteTableText"/>
            </w:pPr>
            <w:smartTag w:uri="urn:schemas-microsoft-com:office:smarttags" w:element="date">
              <w:smartTagPr>
                <w:attr w:name="Month" w:val="10"/>
                <w:attr w:name="Day" w:val="1"/>
                <w:attr w:name="Year" w:val="2001"/>
              </w:smartTagPr>
              <w:r w:rsidRPr="005071A1">
                <w:t>1 Oct 2001</w:t>
              </w:r>
            </w:smartTag>
          </w:p>
        </w:tc>
        <w:tc>
          <w:tcPr>
            <w:tcW w:w="1417" w:type="dxa"/>
            <w:tcBorders>
              <w:top w:val="single" w:sz="4" w:space="0" w:color="auto"/>
              <w:bottom w:val="single" w:sz="4" w:space="0" w:color="auto"/>
            </w:tcBorders>
            <w:shd w:val="clear" w:color="auto" w:fill="auto"/>
          </w:tcPr>
          <w:p w14:paraId="3CC92FEF" w14:textId="77777777" w:rsidR="009B7AF5" w:rsidRPr="005071A1" w:rsidRDefault="009B7AF5" w:rsidP="004744E8">
            <w:pPr>
              <w:pStyle w:val="ENoteTableText"/>
            </w:pPr>
            <w:r w:rsidRPr="005071A1">
              <w:t>Sch 1 (item</w:t>
            </w:r>
            <w:r w:rsidR="008B2950" w:rsidRPr="005071A1">
              <w:t> </w:t>
            </w:r>
            <w:r w:rsidRPr="005071A1">
              <w:t>33)</w:t>
            </w:r>
          </w:p>
        </w:tc>
      </w:tr>
      <w:tr w:rsidR="009B7AF5" w:rsidRPr="005071A1" w14:paraId="6876E08A" w14:textId="77777777" w:rsidTr="00322DFA">
        <w:trPr>
          <w:cantSplit/>
        </w:trPr>
        <w:tc>
          <w:tcPr>
            <w:tcW w:w="1838" w:type="dxa"/>
            <w:tcBorders>
              <w:top w:val="single" w:sz="4" w:space="0" w:color="auto"/>
              <w:bottom w:val="single" w:sz="4" w:space="0" w:color="auto"/>
            </w:tcBorders>
            <w:shd w:val="clear" w:color="auto" w:fill="auto"/>
          </w:tcPr>
          <w:p w14:paraId="085CCD10" w14:textId="77777777" w:rsidR="009B7AF5" w:rsidRPr="005071A1" w:rsidRDefault="009B7AF5" w:rsidP="009B7AF5">
            <w:pPr>
              <w:pStyle w:val="ENoteTableText"/>
            </w:pPr>
            <w:r w:rsidRPr="005071A1">
              <w:t>Superannuation Legislation Amendment (Family Law and Other Matters) Act 2004</w:t>
            </w:r>
          </w:p>
        </w:tc>
        <w:tc>
          <w:tcPr>
            <w:tcW w:w="992" w:type="dxa"/>
            <w:tcBorders>
              <w:top w:val="single" w:sz="4" w:space="0" w:color="auto"/>
              <w:bottom w:val="single" w:sz="4" w:space="0" w:color="auto"/>
            </w:tcBorders>
            <w:shd w:val="clear" w:color="auto" w:fill="auto"/>
          </w:tcPr>
          <w:p w14:paraId="6B338D1E" w14:textId="77777777" w:rsidR="009B7AF5" w:rsidRPr="005071A1" w:rsidRDefault="009B7AF5" w:rsidP="009B7AF5">
            <w:pPr>
              <w:pStyle w:val="ENoteTableText"/>
            </w:pPr>
            <w:r w:rsidRPr="005071A1">
              <w:t>58, 2004</w:t>
            </w:r>
          </w:p>
        </w:tc>
        <w:tc>
          <w:tcPr>
            <w:tcW w:w="993" w:type="dxa"/>
            <w:tcBorders>
              <w:top w:val="single" w:sz="4" w:space="0" w:color="auto"/>
              <w:bottom w:val="single" w:sz="4" w:space="0" w:color="auto"/>
            </w:tcBorders>
            <w:shd w:val="clear" w:color="auto" w:fill="auto"/>
          </w:tcPr>
          <w:p w14:paraId="33B99B7B" w14:textId="77777777" w:rsidR="009B7AF5" w:rsidRPr="005071A1" w:rsidRDefault="009B7AF5" w:rsidP="009B7AF5">
            <w:pPr>
              <w:pStyle w:val="ENoteTableText"/>
            </w:pPr>
            <w:r w:rsidRPr="005071A1">
              <w:t>4</w:t>
            </w:r>
            <w:r w:rsidR="008B2950" w:rsidRPr="005071A1">
              <w:t> </w:t>
            </w:r>
            <w:r w:rsidRPr="005071A1">
              <w:t>May 2004</w:t>
            </w:r>
          </w:p>
        </w:tc>
        <w:tc>
          <w:tcPr>
            <w:tcW w:w="1845" w:type="dxa"/>
            <w:tcBorders>
              <w:top w:val="single" w:sz="4" w:space="0" w:color="auto"/>
              <w:bottom w:val="single" w:sz="4" w:space="0" w:color="auto"/>
            </w:tcBorders>
            <w:shd w:val="clear" w:color="auto" w:fill="auto"/>
          </w:tcPr>
          <w:p w14:paraId="728E8098" w14:textId="77777777" w:rsidR="009B7AF5" w:rsidRPr="005071A1" w:rsidRDefault="009B7AF5" w:rsidP="004744E8">
            <w:pPr>
              <w:pStyle w:val="ENoteTableText"/>
            </w:pPr>
            <w:r w:rsidRPr="005071A1">
              <w:t>Sch</w:t>
            </w:r>
            <w:r w:rsidR="00CD79AF" w:rsidRPr="005071A1">
              <w:t> </w:t>
            </w:r>
            <w:r w:rsidRPr="005071A1">
              <w:t>1: 18</w:t>
            </w:r>
            <w:r w:rsidR="008B2950" w:rsidRPr="005071A1">
              <w:t> </w:t>
            </w:r>
            <w:r w:rsidRPr="005071A1">
              <w:t>May 2004</w:t>
            </w:r>
            <w:r w:rsidRPr="005071A1">
              <w:br/>
              <w:t>Remainder: Royal Assent</w:t>
            </w:r>
          </w:p>
        </w:tc>
        <w:tc>
          <w:tcPr>
            <w:tcW w:w="1417" w:type="dxa"/>
            <w:tcBorders>
              <w:top w:val="single" w:sz="4" w:space="0" w:color="auto"/>
              <w:bottom w:val="single" w:sz="4" w:space="0" w:color="auto"/>
            </w:tcBorders>
            <w:shd w:val="clear" w:color="auto" w:fill="auto"/>
          </w:tcPr>
          <w:p w14:paraId="5FE828EC" w14:textId="77777777" w:rsidR="009B7AF5" w:rsidRPr="005071A1" w:rsidRDefault="002477D1" w:rsidP="004744E8">
            <w:pPr>
              <w:pStyle w:val="ENoteTableText"/>
            </w:pPr>
            <w:r w:rsidRPr="005071A1">
              <w:t>s</w:t>
            </w:r>
            <w:r w:rsidR="009B7AF5" w:rsidRPr="005071A1">
              <w:t xml:space="preserve"> 4</w:t>
            </w:r>
          </w:p>
        </w:tc>
      </w:tr>
      <w:tr w:rsidR="009B7AF5" w:rsidRPr="005071A1" w14:paraId="121C7191" w14:textId="77777777" w:rsidTr="00322DFA">
        <w:trPr>
          <w:cantSplit/>
        </w:trPr>
        <w:tc>
          <w:tcPr>
            <w:tcW w:w="1838" w:type="dxa"/>
            <w:tcBorders>
              <w:top w:val="single" w:sz="4" w:space="0" w:color="auto"/>
              <w:bottom w:val="single" w:sz="4" w:space="0" w:color="auto"/>
            </w:tcBorders>
            <w:shd w:val="clear" w:color="auto" w:fill="auto"/>
          </w:tcPr>
          <w:p w14:paraId="3391032C" w14:textId="77777777" w:rsidR="009B7AF5" w:rsidRPr="005071A1" w:rsidRDefault="009B7AF5" w:rsidP="009B7AF5">
            <w:pPr>
              <w:pStyle w:val="ENoteTableText"/>
            </w:pPr>
            <w:r w:rsidRPr="005071A1">
              <w:t>Financial Framework Legislation Amendment Act 2005</w:t>
            </w:r>
          </w:p>
        </w:tc>
        <w:tc>
          <w:tcPr>
            <w:tcW w:w="992" w:type="dxa"/>
            <w:tcBorders>
              <w:top w:val="single" w:sz="4" w:space="0" w:color="auto"/>
              <w:bottom w:val="single" w:sz="4" w:space="0" w:color="auto"/>
            </w:tcBorders>
            <w:shd w:val="clear" w:color="auto" w:fill="auto"/>
          </w:tcPr>
          <w:p w14:paraId="5D337E2F" w14:textId="77777777" w:rsidR="009B7AF5" w:rsidRPr="005071A1" w:rsidRDefault="009B7AF5" w:rsidP="009B7AF5">
            <w:pPr>
              <w:pStyle w:val="ENoteTableText"/>
            </w:pPr>
            <w:r w:rsidRPr="005071A1">
              <w:t>8, 2005</w:t>
            </w:r>
          </w:p>
        </w:tc>
        <w:tc>
          <w:tcPr>
            <w:tcW w:w="993" w:type="dxa"/>
            <w:tcBorders>
              <w:top w:val="single" w:sz="4" w:space="0" w:color="auto"/>
              <w:bottom w:val="single" w:sz="4" w:space="0" w:color="auto"/>
            </w:tcBorders>
            <w:shd w:val="clear" w:color="auto" w:fill="auto"/>
          </w:tcPr>
          <w:p w14:paraId="1B7CAAB1" w14:textId="77777777" w:rsidR="009B7AF5" w:rsidRPr="005071A1" w:rsidRDefault="009B7AF5" w:rsidP="009B7AF5">
            <w:pPr>
              <w:pStyle w:val="ENoteTableText"/>
            </w:pPr>
            <w:smartTag w:uri="urn:schemas-microsoft-com:office:smarttags" w:element="date">
              <w:smartTagPr>
                <w:attr w:name="Month" w:val="2"/>
                <w:attr w:name="Day" w:val="22"/>
                <w:attr w:name="Year" w:val="2005"/>
              </w:smartTagPr>
              <w:r w:rsidRPr="005071A1">
                <w:t>22 Feb 2005</w:t>
              </w:r>
            </w:smartTag>
          </w:p>
        </w:tc>
        <w:tc>
          <w:tcPr>
            <w:tcW w:w="1845" w:type="dxa"/>
            <w:tcBorders>
              <w:top w:val="single" w:sz="4" w:space="0" w:color="auto"/>
              <w:bottom w:val="single" w:sz="4" w:space="0" w:color="auto"/>
            </w:tcBorders>
            <w:shd w:val="clear" w:color="auto" w:fill="auto"/>
          </w:tcPr>
          <w:p w14:paraId="18AD0512" w14:textId="77777777" w:rsidR="009B7AF5" w:rsidRPr="005071A1" w:rsidRDefault="002477D1" w:rsidP="004744E8">
            <w:pPr>
              <w:pStyle w:val="ENoteTableText"/>
            </w:pPr>
            <w:r w:rsidRPr="005071A1">
              <w:t>s</w:t>
            </w:r>
            <w:r w:rsidR="009B7AF5" w:rsidRPr="005071A1">
              <w:t xml:space="preserve"> 4 and Sch</w:t>
            </w:r>
            <w:r w:rsidR="00CD79AF" w:rsidRPr="005071A1">
              <w:t> </w:t>
            </w:r>
            <w:r w:rsidR="009B7AF5" w:rsidRPr="005071A1">
              <w:t>1 (items</w:t>
            </w:r>
            <w:r w:rsidR="008B2950" w:rsidRPr="005071A1">
              <w:t> </w:t>
            </w:r>
            <w:r w:rsidR="009B7AF5" w:rsidRPr="005071A1">
              <w:t>373–385, 496): Royal Assent</w:t>
            </w:r>
          </w:p>
        </w:tc>
        <w:tc>
          <w:tcPr>
            <w:tcW w:w="1417" w:type="dxa"/>
            <w:tcBorders>
              <w:top w:val="single" w:sz="4" w:space="0" w:color="auto"/>
              <w:bottom w:val="single" w:sz="4" w:space="0" w:color="auto"/>
            </w:tcBorders>
            <w:shd w:val="clear" w:color="auto" w:fill="auto"/>
          </w:tcPr>
          <w:p w14:paraId="40A842EE" w14:textId="77777777" w:rsidR="009B7AF5" w:rsidRPr="005071A1" w:rsidRDefault="002477D1" w:rsidP="004744E8">
            <w:pPr>
              <w:pStyle w:val="ENoteTableText"/>
            </w:pPr>
            <w:r w:rsidRPr="005071A1">
              <w:t>s</w:t>
            </w:r>
            <w:r w:rsidR="009B7AF5" w:rsidRPr="005071A1">
              <w:t xml:space="preserve"> 4 and Sch 1 (</w:t>
            </w:r>
            <w:r w:rsidR="00594E1E" w:rsidRPr="005071A1">
              <w:t>item 4</w:t>
            </w:r>
            <w:r w:rsidR="009B7AF5" w:rsidRPr="005071A1">
              <w:t>96)</w:t>
            </w:r>
          </w:p>
        </w:tc>
      </w:tr>
      <w:tr w:rsidR="009B7AF5" w:rsidRPr="005071A1" w14:paraId="55763361" w14:textId="77777777" w:rsidTr="00322DFA">
        <w:trPr>
          <w:cantSplit/>
        </w:trPr>
        <w:tc>
          <w:tcPr>
            <w:tcW w:w="1838" w:type="dxa"/>
            <w:tcBorders>
              <w:top w:val="single" w:sz="4" w:space="0" w:color="auto"/>
              <w:bottom w:val="single" w:sz="4" w:space="0" w:color="auto"/>
            </w:tcBorders>
            <w:shd w:val="clear" w:color="auto" w:fill="auto"/>
          </w:tcPr>
          <w:p w14:paraId="683D77A1" w14:textId="77777777" w:rsidR="009B7AF5" w:rsidRPr="005071A1" w:rsidRDefault="009B7AF5" w:rsidP="009B7AF5">
            <w:pPr>
              <w:pStyle w:val="ENoteTableText"/>
            </w:pPr>
            <w:r w:rsidRPr="005071A1">
              <w:t>Superannuation Legislation Amendment Act 2007</w:t>
            </w:r>
          </w:p>
        </w:tc>
        <w:tc>
          <w:tcPr>
            <w:tcW w:w="992" w:type="dxa"/>
            <w:tcBorders>
              <w:top w:val="single" w:sz="4" w:space="0" w:color="auto"/>
              <w:bottom w:val="single" w:sz="4" w:space="0" w:color="auto"/>
            </w:tcBorders>
            <w:shd w:val="clear" w:color="auto" w:fill="auto"/>
          </w:tcPr>
          <w:p w14:paraId="19233EEC" w14:textId="77777777" w:rsidR="009B7AF5" w:rsidRPr="005071A1" w:rsidRDefault="009B7AF5" w:rsidP="009B7AF5">
            <w:pPr>
              <w:pStyle w:val="ENoteTableText"/>
            </w:pPr>
            <w:r w:rsidRPr="005071A1">
              <w:t>165, 2007</w:t>
            </w:r>
          </w:p>
        </w:tc>
        <w:tc>
          <w:tcPr>
            <w:tcW w:w="993" w:type="dxa"/>
            <w:tcBorders>
              <w:top w:val="single" w:sz="4" w:space="0" w:color="auto"/>
              <w:bottom w:val="single" w:sz="4" w:space="0" w:color="auto"/>
            </w:tcBorders>
            <w:shd w:val="clear" w:color="auto" w:fill="auto"/>
          </w:tcPr>
          <w:p w14:paraId="783198A1" w14:textId="77777777" w:rsidR="009B7AF5" w:rsidRPr="005071A1" w:rsidRDefault="009B7AF5" w:rsidP="009B7AF5">
            <w:pPr>
              <w:pStyle w:val="ENoteTableText"/>
            </w:pPr>
            <w:smartTag w:uri="urn:schemas-microsoft-com:office:smarttags" w:element="date">
              <w:smartTagPr>
                <w:attr w:name="Month" w:val="9"/>
                <w:attr w:name="Day" w:val="25"/>
                <w:attr w:name="Year" w:val="2007"/>
              </w:smartTagPr>
              <w:r w:rsidRPr="005071A1">
                <w:t>25 Sept 2007</w:t>
              </w:r>
            </w:smartTag>
          </w:p>
        </w:tc>
        <w:tc>
          <w:tcPr>
            <w:tcW w:w="1845" w:type="dxa"/>
            <w:tcBorders>
              <w:top w:val="single" w:sz="4" w:space="0" w:color="auto"/>
              <w:bottom w:val="single" w:sz="4" w:space="0" w:color="auto"/>
            </w:tcBorders>
            <w:shd w:val="clear" w:color="auto" w:fill="auto"/>
          </w:tcPr>
          <w:p w14:paraId="21B961D6" w14:textId="77777777" w:rsidR="009B7AF5" w:rsidRPr="005071A1" w:rsidRDefault="009B7AF5" w:rsidP="004744E8">
            <w:pPr>
              <w:pStyle w:val="ENoteTableText"/>
            </w:pPr>
            <w:r w:rsidRPr="005071A1">
              <w:t>Sch</w:t>
            </w:r>
            <w:r w:rsidR="00CD79AF" w:rsidRPr="005071A1">
              <w:t> </w:t>
            </w:r>
            <w:r w:rsidRPr="005071A1">
              <w:t>4 (</w:t>
            </w:r>
            <w:r w:rsidR="00E872CC" w:rsidRPr="005071A1">
              <w:t>items 7</w:t>
            </w:r>
            <w:r w:rsidRPr="005071A1">
              <w:t>, 8): Royal Assent</w:t>
            </w:r>
          </w:p>
        </w:tc>
        <w:tc>
          <w:tcPr>
            <w:tcW w:w="1417" w:type="dxa"/>
            <w:tcBorders>
              <w:top w:val="single" w:sz="4" w:space="0" w:color="auto"/>
              <w:bottom w:val="single" w:sz="4" w:space="0" w:color="auto"/>
            </w:tcBorders>
            <w:shd w:val="clear" w:color="auto" w:fill="auto"/>
          </w:tcPr>
          <w:p w14:paraId="5FEB0045" w14:textId="77777777" w:rsidR="009B7AF5" w:rsidRPr="005071A1" w:rsidRDefault="009B7AF5" w:rsidP="004744E8">
            <w:pPr>
              <w:pStyle w:val="ENoteTableText"/>
            </w:pPr>
            <w:r w:rsidRPr="005071A1">
              <w:t>Sch 4 (item</w:t>
            </w:r>
            <w:r w:rsidR="008B2950" w:rsidRPr="005071A1">
              <w:t> </w:t>
            </w:r>
            <w:r w:rsidRPr="005071A1">
              <w:t>8)</w:t>
            </w:r>
          </w:p>
        </w:tc>
      </w:tr>
      <w:tr w:rsidR="009B7AF5" w:rsidRPr="005071A1" w14:paraId="20985DC3" w14:textId="77777777" w:rsidTr="00322DFA">
        <w:trPr>
          <w:cantSplit/>
        </w:trPr>
        <w:tc>
          <w:tcPr>
            <w:tcW w:w="1838" w:type="dxa"/>
            <w:tcBorders>
              <w:top w:val="single" w:sz="4" w:space="0" w:color="auto"/>
              <w:bottom w:val="single" w:sz="4" w:space="0" w:color="auto"/>
            </w:tcBorders>
            <w:shd w:val="clear" w:color="auto" w:fill="auto"/>
          </w:tcPr>
          <w:p w14:paraId="329DE1B0" w14:textId="77777777" w:rsidR="009B7AF5" w:rsidRPr="005071A1" w:rsidRDefault="009B7AF5" w:rsidP="009B7AF5">
            <w:pPr>
              <w:pStyle w:val="ENoteTableText"/>
            </w:pPr>
            <w:r w:rsidRPr="005071A1">
              <w:t>Superannuation Legislation Amendment (Trustee Board and Other Measures) (Consequential Amendments) Act 2008</w:t>
            </w:r>
          </w:p>
        </w:tc>
        <w:tc>
          <w:tcPr>
            <w:tcW w:w="992" w:type="dxa"/>
            <w:tcBorders>
              <w:top w:val="single" w:sz="4" w:space="0" w:color="auto"/>
              <w:bottom w:val="single" w:sz="4" w:space="0" w:color="auto"/>
            </w:tcBorders>
            <w:shd w:val="clear" w:color="auto" w:fill="auto"/>
          </w:tcPr>
          <w:p w14:paraId="6DE7E16B" w14:textId="77777777" w:rsidR="009B7AF5" w:rsidRPr="005071A1" w:rsidRDefault="009B7AF5" w:rsidP="009B7AF5">
            <w:pPr>
              <w:pStyle w:val="ENoteTableText"/>
            </w:pPr>
            <w:r w:rsidRPr="005071A1">
              <w:t>26, 2008</w:t>
            </w:r>
          </w:p>
        </w:tc>
        <w:tc>
          <w:tcPr>
            <w:tcW w:w="993" w:type="dxa"/>
            <w:tcBorders>
              <w:top w:val="single" w:sz="4" w:space="0" w:color="auto"/>
              <w:bottom w:val="single" w:sz="4" w:space="0" w:color="auto"/>
            </w:tcBorders>
            <w:shd w:val="clear" w:color="auto" w:fill="auto"/>
          </w:tcPr>
          <w:p w14:paraId="73BFC6D2" w14:textId="77777777" w:rsidR="009B7AF5" w:rsidRPr="005071A1" w:rsidRDefault="009B7AF5" w:rsidP="009B7AF5">
            <w:pPr>
              <w:pStyle w:val="ENoteTableText"/>
            </w:pPr>
            <w:r w:rsidRPr="005071A1">
              <w:t>23</w:t>
            </w:r>
            <w:r w:rsidR="008B2950" w:rsidRPr="005071A1">
              <w:t> </w:t>
            </w:r>
            <w:r w:rsidRPr="005071A1">
              <w:t>June 2008</w:t>
            </w:r>
          </w:p>
        </w:tc>
        <w:tc>
          <w:tcPr>
            <w:tcW w:w="1845" w:type="dxa"/>
            <w:tcBorders>
              <w:top w:val="single" w:sz="4" w:space="0" w:color="auto"/>
              <w:bottom w:val="single" w:sz="4" w:space="0" w:color="auto"/>
            </w:tcBorders>
            <w:shd w:val="clear" w:color="auto" w:fill="auto"/>
          </w:tcPr>
          <w:p w14:paraId="1F3B575C" w14:textId="77777777" w:rsidR="009B7AF5" w:rsidRPr="005071A1" w:rsidRDefault="009B7AF5" w:rsidP="00253289">
            <w:pPr>
              <w:pStyle w:val="ENoteTableText"/>
            </w:pPr>
            <w:r w:rsidRPr="005071A1">
              <w:t>Sch</w:t>
            </w:r>
            <w:r w:rsidR="00CD79AF" w:rsidRPr="005071A1">
              <w:t> </w:t>
            </w:r>
            <w:r w:rsidRPr="005071A1">
              <w:t>2 (items</w:t>
            </w:r>
            <w:r w:rsidR="008B2950" w:rsidRPr="005071A1">
              <w:t> </w:t>
            </w:r>
            <w:r w:rsidRPr="005071A1">
              <w:t xml:space="preserve">3, 4): </w:t>
            </w:r>
            <w:r w:rsidR="00253289" w:rsidRPr="005071A1">
              <w:t>23</w:t>
            </w:r>
            <w:r w:rsidR="008B2950" w:rsidRPr="005071A1">
              <w:t> </w:t>
            </w:r>
            <w:r w:rsidR="00253289" w:rsidRPr="005071A1">
              <w:t>June 2008 (s 2(1) item</w:t>
            </w:r>
            <w:r w:rsidR="008B2950" w:rsidRPr="005071A1">
              <w:t> </w:t>
            </w:r>
            <w:r w:rsidR="00253289" w:rsidRPr="005071A1">
              <w:t>5)</w:t>
            </w:r>
          </w:p>
        </w:tc>
        <w:tc>
          <w:tcPr>
            <w:tcW w:w="1417" w:type="dxa"/>
            <w:tcBorders>
              <w:top w:val="single" w:sz="4" w:space="0" w:color="auto"/>
              <w:bottom w:val="single" w:sz="4" w:space="0" w:color="auto"/>
            </w:tcBorders>
            <w:shd w:val="clear" w:color="auto" w:fill="auto"/>
          </w:tcPr>
          <w:p w14:paraId="42931BA5" w14:textId="77777777" w:rsidR="009B7AF5" w:rsidRPr="005071A1" w:rsidRDefault="009B7AF5" w:rsidP="009B7AF5">
            <w:pPr>
              <w:pStyle w:val="ENoteTableText"/>
            </w:pPr>
            <w:r w:rsidRPr="005071A1">
              <w:t>—</w:t>
            </w:r>
          </w:p>
        </w:tc>
      </w:tr>
      <w:tr w:rsidR="009B7AF5" w:rsidRPr="005071A1" w14:paraId="2670E36E" w14:textId="77777777" w:rsidTr="00322DFA">
        <w:trPr>
          <w:cantSplit/>
        </w:trPr>
        <w:tc>
          <w:tcPr>
            <w:tcW w:w="1838" w:type="dxa"/>
            <w:tcBorders>
              <w:top w:val="single" w:sz="4" w:space="0" w:color="auto"/>
              <w:bottom w:val="single" w:sz="4" w:space="0" w:color="auto"/>
            </w:tcBorders>
            <w:shd w:val="clear" w:color="auto" w:fill="auto"/>
          </w:tcPr>
          <w:p w14:paraId="1051CCFF" w14:textId="77777777" w:rsidR="009B7AF5" w:rsidRPr="005071A1" w:rsidRDefault="009B7AF5" w:rsidP="009B7AF5">
            <w:pPr>
              <w:pStyle w:val="ENoteTableText"/>
            </w:pPr>
            <w:r w:rsidRPr="005071A1">
              <w:t>Same</w:t>
            </w:r>
            <w:r w:rsidR="004510F0">
              <w:noBreakHyphen/>
            </w:r>
            <w:r w:rsidRPr="005071A1">
              <w:t>Sex Relationships (Equal Treatment in Commonwealth Laws—Superannuation) Act 2008</w:t>
            </w:r>
          </w:p>
        </w:tc>
        <w:tc>
          <w:tcPr>
            <w:tcW w:w="992" w:type="dxa"/>
            <w:tcBorders>
              <w:top w:val="single" w:sz="4" w:space="0" w:color="auto"/>
              <w:bottom w:val="single" w:sz="4" w:space="0" w:color="auto"/>
            </w:tcBorders>
            <w:shd w:val="clear" w:color="auto" w:fill="auto"/>
          </w:tcPr>
          <w:p w14:paraId="2D320D3B" w14:textId="77777777" w:rsidR="009B7AF5" w:rsidRPr="005071A1" w:rsidRDefault="009B7AF5" w:rsidP="009B7AF5">
            <w:pPr>
              <w:pStyle w:val="ENoteTableText"/>
            </w:pPr>
            <w:r w:rsidRPr="005071A1">
              <w:t>134, 2008</w:t>
            </w:r>
          </w:p>
        </w:tc>
        <w:tc>
          <w:tcPr>
            <w:tcW w:w="993" w:type="dxa"/>
            <w:tcBorders>
              <w:top w:val="single" w:sz="4" w:space="0" w:color="auto"/>
              <w:bottom w:val="single" w:sz="4" w:space="0" w:color="auto"/>
            </w:tcBorders>
            <w:shd w:val="clear" w:color="auto" w:fill="auto"/>
          </w:tcPr>
          <w:p w14:paraId="74326BEB" w14:textId="77777777" w:rsidR="009B7AF5" w:rsidRPr="005071A1" w:rsidRDefault="009B7AF5" w:rsidP="009B7AF5">
            <w:pPr>
              <w:pStyle w:val="ENoteTableText"/>
            </w:pPr>
            <w:smartTag w:uri="urn:schemas-microsoft-com:office:smarttags" w:element="date">
              <w:smartTagPr>
                <w:attr w:name="Month" w:val="12"/>
                <w:attr w:name="Day" w:val="4"/>
                <w:attr w:name="Year" w:val="2008"/>
              </w:smartTagPr>
              <w:r w:rsidRPr="005071A1">
                <w:t>4 Dec 2008</w:t>
              </w:r>
            </w:smartTag>
          </w:p>
        </w:tc>
        <w:tc>
          <w:tcPr>
            <w:tcW w:w="1845" w:type="dxa"/>
            <w:tcBorders>
              <w:top w:val="single" w:sz="4" w:space="0" w:color="auto"/>
              <w:bottom w:val="single" w:sz="4" w:space="0" w:color="auto"/>
            </w:tcBorders>
            <w:shd w:val="clear" w:color="auto" w:fill="auto"/>
          </w:tcPr>
          <w:p w14:paraId="4D630E42" w14:textId="77777777" w:rsidR="009B7AF5" w:rsidRPr="005071A1" w:rsidRDefault="002477D1" w:rsidP="00253289">
            <w:pPr>
              <w:pStyle w:val="ENoteTableText"/>
            </w:pPr>
            <w:r w:rsidRPr="005071A1">
              <w:t>s</w:t>
            </w:r>
            <w:r w:rsidR="009B7AF5" w:rsidRPr="005071A1">
              <w:t xml:space="preserve"> 4: </w:t>
            </w:r>
            <w:r w:rsidR="00253289" w:rsidRPr="005071A1">
              <w:t xml:space="preserve">4 Dec 2008 (s 2(1) </w:t>
            </w:r>
            <w:r w:rsidR="00E872CC" w:rsidRPr="005071A1">
              <w:t>item 1</w:t>
            </w:r>
            <w:r w:rsidR="00253289" w:rsidRPr="005071A1">
              <w:t>)</w:t>
            </w:r>
            <w:r w:rsidR="009B7AF5" w:rsidRPr="005071A1">
              <w:br/>
              <w:t>Sch</w:t>
            </w:r>
            <w:r w:rsidR="00CD79AF" w:rsidRPr="005071A1">
              <w:t> </w:t>
            </w:r>
            <w:r w:rsidR="009B7AF5" w:rsidRPr="005071A1">
              <w:t>1 (</w:t>
            </w:r>
            <w:r w:rsidR="00E872CC" w:rsidRPr="005071A1">
              <w:t>items 1</w:t>
            </w:r>
            <w:r w:rsidR="009B7AF5" w:rsidRPr="005071A1">
              <w:t>6, 17): 1 Jan 2009</w:t>
            </w:r>
            <w:r w:rsidR="00253289" w:rsidRPr="005071A1">
              <w:t xml:space="preserve"> (s 2(1) </w:t>
            </w:r>
            <w:r w:rsidR="004510F0">
              <w:t>item 2</w:t>
            </w:r>
            <w:r w:rsidR="00253289" w:rsidRPr="005071A1">
              <w:t>)</w:t>
            </w:r>
          </w:p>
        </w:tc>
        <w:tc>
          <w:tcPr>
            <w:tcW w:w="1417" w:type="dxa"/>
            <w:tcBorders>
              <w:top w:val="single" w:sz="4" w:space="0" w:color="auto"/>
              <w:bottom w:val="single" w:sz="4" w:space="0" w:color="auto"/>
            </w:tcBorders>
            <w:shd w:val="clear" w:color="auto" w:fill="auto"/>
          </w:tcPr>
          <w:p w14:paraId="6C26C56D" w14:textId="77777777" w:rsidR="009B7AF5" w:rsidRPr="005071A1" w:rsidRDefault="002477D1" w:rsidP="004744E8">
            <w:pPr>
              <w:pStyle w:val="ENoteTableText"/>
            </w:pPr>
            <w:r w:rsidRPr="005071A1">
              <w:t>s</w:t>
            </w:r>
            <w:r w:rsidR="009B7AF5" w:rsidRPr="005071A1">
              <w:t xml:space="preserve"> 4</w:t>
            </w:r>
          </w:p>
        </w:tc>
      </w:tr>
      <w:tr w:rsidR="009B7AF5" w:rsidRPr="005071A1" w14:paraId="5B07E120" w14:textId="77777777" w:rsidTr="00322DFA">
        <w:trPr>
          <w:cantSplit/>
        </w:trPr>
        <w:tc>
          <w:tcPr>
            <w:tcW w:w="1838" w:type="dxa"/>
            <w:tcBorders>
              <w:top w:val="single" w:sz="4" w:space="0" w:color="auto"/>
              <w:bottom w:val="single" w:sz="4" w:space="0" w:color="auto"/>
            </w:tcBorders>
            <w:shd w:val="clear" w:color="auto" w:fill="auto"/>
          </w:tcPr>
          <w:p w14:paraId="53D1BE1D" w14:textId="77777777" w:rsidR="009B7AF5" w:rsidRPr="005071A1" w:rsidRDefault="009B7AF5" w:rsidP="009B7AF5">
            <w:pPr>
              <w:pStyle w:val="ENoteTableText"/>
            </w:pPr>
            <w:r w:rsidRPr="005071A1">
              <w:t>Superannuation Legislation (Consequential Amendments and Transitional Provisions) Act 2011</w:t>
            </w:r>
          </w:p>
        </w:tc>
        <w:tc>
          <w:tcPr>
            <w:tcW w:w="992" w:type="dxa"/>
            <w:tcBorders>
              <w:top w:val="single" w:sz="4" w:space="0" w:color="auto"/>
              <w:bottom w:val="single" w:sz="4" w:space="0" w:color="auto"/>
            </w:tcBorders>
            <w:shd w:val="clear" w:color="auto" w:fill="auto"/>
          </w:tcPr>
          <w:p w14:paraId="30773F7E" w14:textId="77777777" w:rsidR="009B7AF5" w:rsidRPr="005071A1" w:rsidRDefault="009B7AF5" w:rsidP="009B7AF5">
            <w:pPr>
              <w:pStyle w:val="ENoteTableText"/>
            </w:pPr>
            <w:r w:rsidRPr="005071A1">
              <w:t>58, 2011</w:t>
            </w:r>
          </w:p>
        </w:tc>
        <w:tc>
          <w:tcPr>
            <w:tcW w:w="993" w:type="dxa"/>
            <w:tcBorders>
              <w:top w:val="single" w:sz="4" w:space="0" w:color="auto"/>
              <w:bottom w:val="single" w:sz="4" w:space="0" w:color="auto"/>
            </w:tcBorders>
            <w:shd w:val="clear" w:color="auto" w:fill="auto"/>
          </w:tcPr>
          <w:p w14:paraId="69CBA042" w14:textId="77777777" w:rsidR="009B7AF5" w:rsidRPr="005071A1" w:rsidRDefault="009B7AF5" w:rsidP="009B7AF5">
            <w:pPr>
              <w:pStyle w:val="ENoteTableText"/>
            </w:pPr>
            <w:r w:rsidRPr="005071A1">
              <w:t>28</w:t>
            </w:r>
            <w:r w:rsidR="008B2950" w:rsidRPr="005071A1">
              <w:t> </w:t>
            </w:r>
            <w:r w:rsidRPr="005071A1">
              <w:t>June 2011</w:t>
            </w:r>
          </w:p>
        </w:tc>
        <w:tc>
          <w:tcPr>
            <w:tcW w:w="1845" w:type="dxa"/>
            <w:tcBorders>
              <w:top w:val="single" w:sz="4" w:space="0" w:color="auto"/>
              <w:bottom w:val="single" w:sz="4" w:space="0" w:color="auto"/>
            </w:tcBorders>
            <w:shd w:val="clear" w:color="auto" w:fill="auto"/>
          </w:tcPr>
          <w:p w14:paraId="43CFFBDD" w14:textId="77777777" w:rsidR="009B7AF5" w:rsidRPr="005071A1" w:rsidRDefault="009B7AF5" w:rsidP="001F5D1D">
            <w:pPr>
              <w:pStyle w:val="ENoteTableText"/>
              <w:rPr>
                <w:i/>
              </w:rPr>
            </w:pPr>
            <w:r w:rsidRPr="005071A1">
              <w:t>Sch</w:t>
            </w:r>
            <w:r w:rsidR="00B54A69" w:rsidRPr="005071A1">
              <w:t> </w:t>
            </w:r>
            <w:r w:rsidRPr="005071A1">
              <w:t>1 (</w:t>
            </w:r>
            <w:r w:rsidR="00E872CC" w:rsidRPr="005071A1">
              <w:t>items 1</w:t>
            </w:r>
            <w:r w:rsidRPr="005071A1">
              <w:t xml:space="preserve">60–173): </w:t>
            </w:r>
            <w:r w:rsidR="0087252E" w:rsidRPr="005071A1">
              <w:t>1</w:t>
            </w:r>
            <w:r w:rsidR="008B2950" w:rsidRPr="005071A1">
              <w:t> </w:t>
            </w:r>
            <w:r w:rsidR="0087252E" w:rsidRPr="005071A1">
              <w:t xml:space="preserve">July 2011 (s 2(1) </w:t>
            </w:r>
            <w:r w:rsidR="004510F0">
              <w:t>item 2</w:t>
            </w:r>
            <w:r w:rsidR="0087252E" w:rsidRPr="005071A1">
              <w:t>)</w:t>
            </w:r>
          </w:p>
        </w:tc>
        <w:tc>
          <w:tcPr>
            <w:tcW w:w="1417" w:type="dxa"/>
            <w:tcBorders>
              <w:top w:val="single" w:sz="4" w:space="0" w:color="auto"/>
              <w:bottom w:val="single" w:sz="4" w:space="0" w:color="auto"/>
            </w:tcBorders>
            <w:shd w:val="clear" w:color="auto" w:fill="auto"/>
          </w:tcPr>
          <w:p w14:paraId="1CFE18BE" w14:textId="77777777" w:rsidR="009B7AF5" w:rsidRPr="005071A1" w:rsidRDefault="009B7AF5" w:rsidP="009B7AF5">
            <w:pPr>
              <w:pStyle w:val="ENoteTableText"/>
            </w:pPr>
            <w:r w:rsidRPr="005071A1">
              <w:t>—</w:t>
            </w:r>
          </w:p>
        </w:tc>
      </w:tr>
      <w:tr w:rsidR="009B7AF5" w:rsidRPr="005071A1" w14:paraId="0D1A91CC" w14:textId="77777777" w:rsidTr="00322DFA">
        <w:trPr>
          <w:cantSplit/>
        </w:trPr>
        <w:tc>
          <w:tcPr>
            <w:tcW w:w="1838" w:type="dxa"/>
            <w:tcBorders>
              <w:top w:val="single" w:sz="4" w:space="0" w:color="auto"/>
              <w:bottom w:val="single" w:sz="4" w:space="0" w:color="auto"/>
            </w:tcBorders>
            <w:shd w:val="clear" w:color="auto" w:fill="auto"/>
          </w:tcPr>
          <w:p w14:paraId="585479FE" w14:textId="77777777" w:rsidR="009B7AF5" w:rsidRPr="005071A1" w:rsidRDefault="009B7AF5" w:rsidP="009B7AF5">
            <w:pPr>
              <w:pStyle w:val="ENoteTableText"/>
            </w:pPr>
            <w:r w:rsidRPr="005071A1">
              <w:t>Statute Law Revision Act 2012</w:t>
            </w:r>
          </w:p>
        </w:tc>
        <w:tc>
          <w:tcPr>
            <w:tcW w:w="992" w:type="dxa"/>
            <w:tcBorders>
              <w:top w:val="single" w:sz="4" w:space="0" w:color="auto"/>
              <w:bottom w:val="single" w:sz="4" w:space="0" w:color="auto"/>
            </w:tcBorders>
            <w:shd w:val="clear" w:color="auto" w:fill="auto"/>
          </w:tcPr>
          <w:p w14:paraId="3BD8D84B" w14:textId="77777777" w:rsidR="009B7AF5" w:rsidRPr="005071A1" w:rsidRDefault="009B7AF5" w:rsidP="009B7AF5">
            <w:pPr>
              <w:pStyle w:val="ENoteTableText"/>
            </w:pPr>
            <w:r w:rsidRPr="005071A1">
              <w:t>136, 2012</w:t>
            </w:r>
          </w:p>
        </w:tc>
        <w:tc>
          <w:tcPr>
            <w:tcW w:w="993" w:type="dxa"/>
            <w:tcBorders>
              <w:top w:val="single" w:sz="4" w:space="0" w:color="auto"/>
              <w:bottom w:val="single" w:sz="4" w:space="0" w:color="auto"/>
            </w:tcBorders>
            <w:shd w:val="clear" w:color="auto" w:fill="auto"/>
          </w:tcPr>
          <w:p w14:paraId="08EE98FB" w14:textId="77777777" w:rsidR="009B7AF5" w:rsidRPr="005071A1" w:rsidRDefault="009B7AF5" w:rsidP="009B7AF5">
            <w:pPr>
              <w:pStyle w:val="ENoteTableText"/>
            </w:pPr>
            <w:r w:rsidRPr="005071A1">
              <w:t>22 Sept 2012</w:t>
            </w:r>
          </w:p>
        </w:tc>
        <w:tc>
          <w:tcPr>
            <w:tcW w:w="1845" w:type="dxa"/>
            <w:tcBorders>
              <w:top w:val="single" w:sz="4" w:space="0" w:color="auto"/>
              <w:bottom w:val="single" w:sz="4" w:space="0" w:color="auto"/>
            </w:tcBorders>
            <w:shd w:val="clear" w:color="auto" w:fill="auto"/>
          </w:tcPr>
          <w:p w14:paraId="446F7F98" w14:textId="77777777" w:rsidR="009B7AF5" w:rsidRPr="005071A1" w:rsidRDefault="009B7AF5" w:rsidP="004174D5">
            <w:pPr>
              <w:pStyle w:val="ENoteTableText"/>
            </w:pPr>
            <w:r w:rsidRPr="005071A1">
              <w:t>Sch</w:t>
            </w:r>
            <w:r w:rsidR="00B54A69" w:rsidRPr="005071A1">
              <w:t> </w:t>
            </w:r>
            <w:r w:rsidRPr="005071A1">
              <w:t>6 (</w:t>
            </w:r>
            <w:r w:rsidR="00E872CC" w:rsidRPr="005071A1">
              <w:t>items 7</w:t>
            </w:r>
            <w:r w:rsidRPr="005071A1">
              <w:t xml:space="preserve">3, 74): </w:t>
            </w:r>
            <w:r w:rsidR="004174D5" w:rsidRPr="005071A1">
              <w:t>22 Sept 2012 (s 2(1) item</w:t>
            </w:r>
            <w:r w:rsidR="008B2950" w:rsidRPr="005071A1">
              <w:t> </w:t>
            </w:r>
            <w:r w:rsidR="004174D5" w:rsidRPr="005071A1">
              <w:t>37)</w:t>
            </w:r>
          </w:p>
        </w:tc>
        <w:tc>
          <w:tcPr>
            <w:tcW w:w="1417" w:type="dxa"/>
            <w:tcBorders>
              <w:top w:val="single" w:sz="4" w:space="0" w:color="auto"/>
              <w:bottom w:val="single" w:sz="4" w:space="0" w:color="auto"/>
            </w:tcBorders>
            <w:shd w:val="clear" w:color="auto" w:fill="auto"/>
          </w:tcPr>
          <w:p w14:paraId="047EBCB8" w14:textId="77777777" w:rsidR="009B7AF5" w:rsidRPr="005071A1" w:rsidRDefault="009B7AF5" w:rsidP="009B7AF5">
            <w:pPr>
              <w:pStyle w:val="ENoteTableText"/>
            </w:pPr>
            <w:r w:rsidRPr="005071A1">
              <w:t>—</w:t>
            </w:r>
          </w:p>
        </w:tc>
      </w:tr>
      <w:tr w:rsidR="009B7AF5" w:rsidRPr="005071A1" w14:paraId="779D1B0F" w14:textId="77777777" w:rsidTr="00322DFA">
        <w:trPr>
          <w:cantSplit/>
        </w:trPr>
        <w:tc>
          <w:tcPr>
            <w:tcW w:w="1838" w:type="dxa"/>
            <w:tcBorders>
              <w:top w:val="single" w:sz="4" w:space="0" w:color="auto"/>
              <w:bottom w:val="single" w:sz="4" w:space="0" w:color="auto"/>
            </w:tcBorders>
            <w:shd w:val="clear" w:color="auto" w:fill="auto"/>
          </w:tcPr>
          <w:p w14:paraId="4F58065E" w14:textId="77777777" w:rsidR="009B7AF5" w:rsidRPr="005071A1" w:rsidRDefault="009B7AF5" w:rsidP="009B7AF5">
            <w:pPr>
              <w:pStyle w:val="ENoteTableText"/>
            </w:pPr>
            <w:r w:rsidRPr="005071A1">
              <w:t>Statute Stocktake (Appropriations) Act (No.</w:t>
            </w:r>
            <w:r w:rsidR="008B2950" w:rsidRPr="005071A1">
              <w:t> </w:t>
            </w:r>
            <w:r w:rsidRPr="005071A1">
              <w:t>1) 2012</w:t>
            </w:r>
          </w:p>
        </w:tc>
        <w:tc>
          <w:tcPr>
            <w:tcW w:w="992" w:type="dxa"/>
            <w:tcBorders>
              <w:top w:val="single" w:sz="4" w:space="0" w:color="auto"/>
              <w:bottom w:val="single" w:sz="4" w:space="0" w:color="auto"/>
            </w:tcBorders>
            <w:shd w:val="clear" w:color="auto" w:fill="auto"/>
          </w:tcPr>
          <w:p w14:paraId="7EF91405" w14:textId="77777777" w:rsidR="009B7AF5" w:rsidRPr="005071A1" w:rsidRDefault="009B7AF5" w:rsidP="009B7AF5">
            <w:pPr>
              <w:pStyle w:val="ENoteTableText"/>
            </w:pPr>
            <w:r w:rsidRPr="005071A1">
              <w:t>141, 2012</w:t>
            </w:r>
          </w:p>
        </w:tc>
        <w:tc>
          <w:tcPr>
            <w:tcW w:w="993" w:type="dxa"/>
            <w:tcBorders>
              <w:top w:val="single" w:sz="4" w:space="0" w:color="auto"/>
              <w:bottom w:val="single" w:sz="4" w:space="0" w:color="auto"/>
            </w:tcBorders>
            <w:shd w:val="clear" w:color="auto" w:fill="auto"/>
          </w:tcPr>
          <w:p w14:paraId="3481F5C9" w14:textId="77777777" w:rsidR="009B7AF5" w:rsidRPr="005071A1" w:rsidRDefault="009B7AF5" w:rsidP="009B7AF5">
            <w:pPr>
              <w:pStyle w:val="ENoteTableText"/>
            </w:pPr>
            <w:r w:rsidRPr="005071A1">
              <w:t>25 Sept 2012</w:t>
            </w:r>
          </w:p>
        </w:tc>
        <w:tc>
          <w:tcPr>
            <w:tcW w:w="1845" w:type="dxa"/>
            <w:tcBorders>
              <w:top w:val="single" w:sz="4" w:space="0" w:color="auto"/>
              <w:bottom w:val="single" w:sz="4" w:space="0" w:color="auto"/>
            </w:tcBorders>
            <w:shd w:val="clear" w:color="auto" w:fill="auto"/>
          </w:tcPr>
          <w:p w14:paraId="78BEDE22" w14:textId="77777777" w:rsidR="009B7AF5" w:rsidRPr="005071A1" w:rsidRDefault="009B7AF5">
            <w:pPr>
              <w:pStyle w:val="ENoteTableText"/>
            </w:pPr>
            <w:r w:rsidRPr="005071A1">
              <w:t>Sch</w:t>
            </w:r>
            <w:r w:rsidR="00B54A69" w:rsidRPr="005071A1">
              <w:t> </w:t>
            </w:r>
            <w:r w:rsidRPr="005071A1">
              <w:t>1 (</w:t>
            </w:r>
            <w:r w:rsidR="00E872CC" w:rsidRPr="005071A1">
              <w:t>item 1</w:t>
            </w:r>
            <w:r w:rsidRPr="005071A1">
              <w:t xml:space="preserve">32): </w:t>
            </w:r>
            <w:r w:rsidR="00346ECF" w:rsidRPr="005071A1">
              <w:t>25 Sept 2012 (s 2)</w:t>
            </w:r>
          </w:p>
        </w:tc>
        <w:tc>
          <w:tcPr>
            <w:tcW w:w="1417" w:type="dxa"/>
            <w:tcBorders>
              <w:top w:val="single" w:sz="4" w:space="0" w:color="auto"/>
              <w:bottom w:val="single" w:sz="4" w:space="0" w:color="auto"/>
            </w:tcBorders>
            <w:shd w:val="clear" w:color="auto" w:fill="auto"/>
          </w:tcPr>
          <w:p w14:paraId="4D5CAE72" w14:textId="77777777" w:rsidR="009B7AF5" w:rsidRPr="005071A1" w:rsidRDefault="009B7AF5" w:rsidP="009B7AF5">
            <w:pPr>
              <w:pStyle w:val="ENoteTableText"/>
            </w:pPr>
            <w:r w:rsidRPr="005071A1">
              <w:t>—</w:t>
            </w:r>
          </w:p>
        </w:tc>
      </w:tr>
      <w:tr w:rsidR="00F83505" w:rsidRPr="005071A1" w14:paraId="5973F532" w14:textId="77777777" w:rsidTr="00322DFA">
        <w:trPr>
          <w:cantSplit/>
        </w:trPr>
        <w:tc>
          <w:tcPr>
            <w:tcW w:w="1838" w:type="dxa"/>
            <w:tcBorders>
              <w:top w:val="single" w:sz="4" w:space="0" w:color="auto"/>
              <w:bottom w:val="single" w:sz="4" w:space="0" w:color="auto"/>
            </w:tcBorders>
            <w:shd w:val="clear" w:color="auto" w:fill="auto"/>
          </w:tcPr>
          <w:p w14:paraId="612411DF" w14:textId="77777777" w:rsidR="00F83505" w:rsidRPr="005071A1" w:rsidRDefault="00F83505" w:rsidP="009B7AF5">
            <w:pPr>
              <w:pStyle w:val="ENoteTableText"/>
            </w:pPr>
            <w:r w:rsidRPr="005071A1">
              <w:t>Statute Law Revision Act (No.</w:t>
            </w:r>
            <w:r w:rsidR="008B2950" w:rsidRPr="005071A1">
              <w:t> </w:t>
            </w:r>
            <w:r w:rsidRPr="005071A1">
              <w:t>1) 2014</w:t>
            </w:r>
          </w:p>
        </w:tc>
        <w:tc>
          <w:tcPr>
            <w:tcW w:w="992" w:type="dxa"/>
            <w:tcBorders>
              <w:top w:val="single" w:sz="4" w:space="0" w:color="auto"/>
              <w:bottom w:val="single" w:sz="4" w:space="0" w:color="auto"/>
            </w:tcBorders>
            <w:shd w:val="clear" w:color="auto" w:fill="auto"/>
          </w:tcPr>
          <w:p w14:paraId="3FCE88EE" w14:textId="77777777" w:rsidR="00F83505" w:rsidRPr="005071A1" w:rsidRDefault="00F83505" w:rsidP="009B7AF5">
            <w:pPr>
              <w:pStyle w:val="ENoteTableText"/>
            </w:pPr>
            <w:r w:rsidRPr="005071A1">
              <w:t>31, 2014</w:t>
            </w:r>
          </w:p>
        </w:tc>
        <w:tc>
          <w:tcPr>
            <w:tcW w:w="993" w:type="dxa"/>
            <w:tcBorders>
              <w:top w:val="single" w:sz="4" w:space="0" w:color="auto"/>
              <w:bottom w:val="single" w:sz="4" w:space="0" w:color="auto"/>
            </w:tcBorders>
            <w:shd w:val="clear" w:color="auto" w:fill="auto"/>
          </w:tcPr>
          <w:p w14:paraId="7167E208" w14:textId="77777777" w:rsidR="00F83505" w:rsidRPr="005071A1" w:rsidRDefault="00F83505" w:rsidP="009B7AF5">
            <w:pPr>
              <w:pStyle w:val="ENoteTableText"/>
            </w:pPr>
            <w:r w:rsidRPr="005071A1">
              <w:t>27</w:t>
            </w:r>
            <w:r w:rsidR="008B2950" w:rsidRPr="005071A1">
              <w:t> </w:t>
            </w:r>
            <w:r w:rsidRPr="005071A1">
              <w:t>May 2014</w:t>
            </w:r>
          </w:p>
        </w:tc>
        <w:tc>
          <w:tcPr>
            <w:tcW w:w="1845" w:type="dxa"/>
            <w:tcBorders>
              <w:top w:val="single" w:sz="4" w:space="0" w:color="auto"/>
              <w:bottom w:val="single" w:sz="4" w:space="0" w:color="auto"/>
            </w:tcBorders>
            <w:shd w:val="clear" w:color="auto" w:fill="auto"/>
          </w:tcPr>
          <w:p w14:paraId="3957495D" w14:textId="77777777" w:rsidR="00F83505" w:rsidRPr="005071A1" w:rsidRDefault="00F83505" w:rsidP="009B7AF5">
            <w:pPr>
              <w:pStyle w:val="ENoteTableText"/>
            </w:pPr>
            <w:r w:rsidRPr="005071A1">
              <w:t>Sch 3 (</w:t>
            </w:r>
            <w:r w:rsidR="00594E1E" w:rsidRPr="005071A1">
              <w:t>item 4</w:t>
            </w:r>
            <w:r w:rsidRPr="005071A1">
              <w:t>) and Sch 5 (item</w:t>
            </w:r>
            <w:r w:rsidR="008B2950" w:rsidRPr="005071A1">
              <w:t> </w:t>
            </w:r>
            <w:r w:rsidRPr="005071A1">
              <w:t>5–8): 24</w:t>
            </w:r>
            <w:r w:rsidR="008B2950" w:rsidRPr="005071A1">
              <w:t> </w:t>
            </w:r>
            <w:r w:rsidRPr="005071A1">
              <w:t>June 2014</w:t>
            </w:r>
            <w:r w:rsidR="003D3AF0" w:rsidRPr="005071A1">
              <w:t xml:space="preserve"> (s 2(1) item</w:t>
            </w:r>
            <w:r w:rsidR="008B2950" w:rsidRPr="005071A1">
              <w:t> </w:t>
            </w:r>
            <w:r w:rsidR="003D3AF0" w:rsidRPr="005071A1">
              <w:t>9)</w:t>
            </w:r>
          </w:p>
        </w:tc>
        <w:tc>
          <w:tcPr>
            <w:tcW w:w="1417" w:type="dxa"/>
            <w:tcBorders>
              <w:top w:val="single" w:sz="4" w:space="0" w:color="auto"/>
              <w:bottom w:val="single" w:sz="4" w:space="0" w:color="auto"/>
            </w:tcBorders>
            <w:shd w:val="clear" w:color="auto" w:fill="auto"/>
          </w:tcPr>
          <w:p w14:paraId="64A64362" w14:textId="77777777" w:rsidR="00F83505" w:rsidRPr="005071A1" w:rsidRDefault="00F83505" w:rsidP="009B7AF5">
            <w:pPr>
              <w:pStyle w:val="ENoteTableText"/>
            </w:pPr>
            <w:r w:rsidRPr="005071A1">
              <w:t>—</w:t>
            </w:r>
          </w:p>
        </w:tc>
      </w:tr>
      <w:tr w:rsidR="00346ECF" w:rsidRPr="005071A1" w14:paraId="62A8AE10" w14:textId="77777777" w:rsidTr="00322DFA">
        <w:trPr>
          <w:cantSplit/>
        </w:trPr>
        <w:tc>
          <w:tcPr>
            <w:tcW w:w="1838" w:type="dxa"/>
            <w:tcBorders>
              <w:top w:val="single" w:sz="4" w:space="0" w:color="auto"/>
              <w:bottom w:val="single" w:sz="4" w:space="0" w:color="auto"/>
            </w:tcBorders>
            <w:shd w:val="clear" w:color="auto" w:fill="auto"/>
          </w:tcPr>
          <w:p w14:paraId="50925CE6" w14:textId="77777777" w:rsidR="00346ECF" w:rsidRPr="005071A1" w:rsidRDefault="00346ECF" w:rsidP="009B7AF5">
            <w:pPr>
              <w:pStyle w:val="ENoteTableText"/>
            </w:pPr>
            <w:r w:rsidRPr="005071A1">
              <w:t>Acts and Instruments (Framework Reform) (Consequential Provisions) Act 2015</w:t>
            </w:r>
          </w:p>
        </w:tc>
        <w:tc>
          <w:tcPr>
            <w:tcW w:w="992" w:type="dxa"/>
            <w:tcBorders>
              <w:top w:val="single" w:sz="4" w:space="0" w:color="auto"/>
              <w:bottom w:val="single" w:sz="4" w:space="0" w:color="auto"/>
            </w:tcBorders>
            <w:shd w:val="clear" w:color="auto" w:fill="auto"/>
          </w:tcPr>
          <w:p w14:paraId="1A02C650" w14:textId="77777777" w:rsidR="00346ECF" w:rsidRPr="005071A1" w:rsidRDefault="00346ECF" w:rsidP="009B7AF5">
            <w:pPr>
              <w:pStyle w:val="ENoteTableText"/>
            </w:pPr>
            <w:r w:rsidRPr="005071A1">
              <w:t>126, 2015</w:t>
            </w:r>
          </w:p>
        </w:tc>
        <w:tc>
          <w:tcPr>
            <w:tcW w:w="993" w:type="dxa"/>
            <w:tcBorders>
              <w:top w:val="single" w:sz="4" w:space="0" w:color="auto"/>
              <w:bottom w:val="single" w:sz="4" w:space="0" w:color="auto"/>
            </w:tcBorders>
            <w:shd w:val="clear" w:color="auto" w:fill="auto"/>
          </w:tcPr>
          <w:p w14:paraId="777EADF8" w14:textId="77777777" w:rsidR="00346ECF" w:rsidRPr="005071A1" w:rsidRDefault="00346ECF" w:rsidP="009B7AF5">
            <w:pPr>
              <w:pStyle w:val="ENoteTableText"/>
            </w:pPr>
            <w:r w:rsidRPr="005071A1">
              <w:t>10 Sept 2015</w:t>
            </w:r>
          </w:p>
        </w:tc>
        <w:tc>
          <w:tcPr>
            <w:tcW w:w="1845" w:type="dxa"/>
            <w:tcBorders>
              <w:top w:val="single" w:sz="4" w:space="0" w:color="auto"/>
              <w:bottom w:val="single" w:sz="4" w:space="0" w:color="auto"/>
            </w:tcBorders>
            <w:shd w:val="clear" w:color="auto" w:fill="auto"/>
          </w:tcPr>
          <w:p w14:paraId="51E50B2A" w14:textId="77777777" w:rsidR="00346ECF" w:rsidRPr="005071A1" w:rsidRDefault="00346ECF" w:rsidP="00641D59">
            <w:pPr>
              <w:pStyle w:val="ENoteTableText"/>
            </w:pPr>
            <w:r w:rsidRPr="005071A1">
              <w:t>Sch 1 (item</w:t>
            </w:r>
            <w:r w:rsidR="008B2950" w:rsidRPr="005071A1">
              <w:t> </w:t>
            </w:r>
            <w:r w:rsidRPr="005071A1">
              <w:t xml:space="preserve">544): </w:t>
            </w:r>
            <w:r w:rsidR="00A11EB9" w:rsidRPr="005071A1">
              <w:t>5 Mar 2016</w:t>
            </w:r>
            <w:r w:rsidRPr="005071A1">
              <w:t xml:space="preserve"> (s 2(1) </w:t>
            </w:r>
            <w:r w:rsidR="004510F0">
              <w:t>item 2</w:t>
            </w:r>
            <w:r w:rsidRPr="005071A1">
              <w:t>)</w:t>
            </w:r>
          </w:p>
        </w:tc>
        <w:tc>
          <w:tcPr>
            <w:tcW w:w="1417" w:type="dxa"/>
            <w:tcBorders>
              <w:top w:val="single" w:sz="4" w:space="0" w:color="auto"/>
              <w:bottom w:val="single" w:sz="4" w:space="0" w:color="auto"/>
            </w:tcBorders>
            <w:shd w:val="clear" w:color="auto" w:fill="auto"/>
          </w:tcPr>
          <w:p w14:paraId="5AEA1EB3" w14:textId="77777777" w:rsidR="00346ECF" w:rsidRPr="005071A1" w:rsidRDefault="00346ECF" w:rsidP="009B7AF5">
            <w:pPr>
              <w:pStyle w:val="ENoteTableText"/>
            </w:pPr>
            <w:r w:rsidRPr="005071A1">
              <w:t>—</w:t>
            </w:r>
          </w:p>
        </w:tc>
      </w:tr>
      <w:tr w:rsidR="00346ECF" w:rsidRPr="005071A1" w14:paraId="01603812" w14:textId="77777777" w:rsidTr="00322DFA">
        <w:trPr>
          <w:cantSplit/>
        </w:trPr>
        <w:tc>
          <w:tcPr>
            <w:tcW w:w="1838" w:type="dxa"/>
            <w:tcBorders>
              <w:top w:val="single" w:sz="4" w:space="0" w:color="auto"/>
              <w:bottom w:val="single" w:sz="4" w:space="0" w:color="auto"/>
            </w:tcBorders>
            <w:shd w:val="clear" w:color="auto" w:fill="auto"/>
          </w:tcPr>
          <w:p w14:paraId="7C2A915F" w14:textId="77777777" w:rsidR="00346ECF" w:rsidRPr="005071A1" w:rsidRDefault="00346ECF" w:rsidP="009B7AF5">
            <w:pPr>
              <w:pStyle w:val="ENoteTableText"/>
            </w:pPr>
            <w:r w:rsidRPr="005071A1">
              <w:t>Statute Law Revision Act (No.</w:t>
            </w:r>
            <w:r w:rsidR="008B2950" w:rsidRPr="005071A1">
              <w:t> </w:t>
            </w:r>
            <w:r w:rsidRPr="005071A1">
              <w:t>2) 2015</w:t>
            </w:r>
          </w:p>
        </w:tc>
        <w:tc>
          <w:tcPr>
            <w:tcW w:w="992" w:type="dxa"/>
            <w:tcBorders>
              <w:top w:val="single" w:sz="4" w:space="0" w:color="auto"/>
              <w:bottom w:val="single" w:sz="4" w:space="0" w:color="auto"/>
            </w:tcBorders>
            <w:shd w:val="clear" w:color="auto" w:fill="auto"/>
          </w:tcPr>
          <w:p w14:paraId="0817E97E" w14:textId="77777777" w:rsidR="00346ECF" w:rsidRPr="005071A1" w:rsidRDefault="00346ECF" w:rsidP="009B7AF5">
            <w:pPr>
              <w:pStyle w:val="ENoteTableText"/>
            </w:pPr>
            <w:r w:rsidRPr="005071A1">
              <w:t>145, 2015</w:t>
            </w:r>
          </w:p>
        </w:tc>
        <w:tc>
          <w:tcPr>
            <w:tcW w:w="993" w:type="dxa"/>
            <w:tcBorders>
              <w:top w:val="single" w:sz="4" w:space="0" w:color="auto"/>
              <w:bottom w:val="single" w:sz="4" w:space="0" w:color="auto"/>
            </w:tcBorders>
            <w:shd w:val="clear" w:color="auto" w:fill="auto"/>
          </w:tcPr>
          <w:p w14:paraId="1865438B" w14:textId="77777777" w:rsidR="00346ECF" w:rsidRPr="005071A1" w:rsidRDefault="00346ECF" w:rsidP="009B7AF5">
            <w:pPr>
              <w:pStyle w:val="ENoteTableText"/>
            </w:pPr>
            <w:r w:rsidRPr="005071A1">
              <w:t>12 Nov 2015</w:t>
            </w:r>
          </w:p>
        </w:tc>
        <w:tc>
          <w:tcPr>
            <w:tcW w:w="1845" w:type="dxa"/>
            <w:tcBorders>
              <w:top w:val="single" w:sz="4" w:space="0" w:color="auto"/>
              <w:bottom w:val="single" w:sz="4" w:space="0" w:color="auto"/>
            </w:tcBorders>
            <w:shd w:val="clear" w:color="auto" w:fill="auto"/>
          </w:tcPr>
          <w:p w14:paraId="7FDCEAE2" w14:textId="77777777" w:rsidR="00346ECF" w:rsidRPr="005071A1" w:rsidRDefault="00346ECF" w:rsidP="009B7AF5">
            <w:pPr>
              <w:pStyle w:val="ENoteTableText"/>
            </w:pPr>
            <w:r w:rsidRPr="005071A1">
              <w:t>Sch 4 (item</w:t>
            </w:r>
            <w:r w:rsidR="008B2950" w:rsidRPr="005071A1">
              <w:t> </w:t>
            </w:r>
            <w:r w:rsidRPr="005071A1">
              <w:t>36): 10 Dec 2015 (s 2(1) item</w:t>
            </w:r>
            <w:r w:rsidR="008B2950" w:rsidRPr="005071A1">
              <w:t> </w:t>
            </w:r>
            <w:r w:rsidR="00C506BD" w:rsidRPr="005071A1">
              <w:t>7)</w:t>
            </w:r>
          </w:p>
        </w:tc>
        <w:tc>
          <w:tcPr>
            <w:tcW w:w="1417" w:type="dxa"/>
            <w:tcBorders>
              <w:top w:val="single" w:sz="4" w:space="0" w:color="auto"/>
              <w:bottom w:val="single" w:sz="4" w:space="0" w:color="auto"/>
            </w:tcBorders>
            <w:shd w:val="clear" w:color="auto" w:fill="auto"/>
          </w:tcPr>
          <w:p w14:paraId="592BD391" w14:textId="77777777" w:rsidR="00346ECF" w:rsidRPr="005071A1" w:rsidRDefault="00346ECF" w:rsidP="009B7AF5">
            <w:pPr>
              <w:pStyle w:val="ENoteTableText"/>
            </w:pPr>
            <w:r w:rsidRPr="005071A1">
              <w:t>—</w:t>
            </w:r>
          </w:p>
        </w:tc>
      </w:tr>
      <w:tr w:rsidR="00A11EB9" w:rsidRPr="005071A1" w14:paraId="7509800D" w14:textId="77777777" w:rsidTr="00322DFA">
        <w:trPr>
          <w:cantSplit/>
        </w:trPr>
        <w:tc>
          <w:tcPr>
            <w:tcW w:w="1838" w:type="dxa"/>
            <w:tcBorders>
              <w:top w:val="single" w:sz="4" w:space="0" w:color="auto"/>
              <w:bottom w:val="single" w:sz="4" w:space="0" w:color="auto"/>
            </w:tcBorders>
            <w:shd w:val="clear" w:color="auto" w:fill="auto"/>
          </w:tcPr>
          <w:p w14:paraId="6353CE92" w14:textId="77777777" w:rsidR="00A11EB9" w:rsidRPr="005071A1" w:rsidRDefault="00A11EB9" w:rsidP="009B7AF5">
            <w:pPr>
              <w:pStyle w:val="ENoteTableText"/>
            </w:pPr>
            <w:r w:rsidRPr="005071A1">
              <w:t>Statute Law Revision Act (No.</w:t>
            </w:r>
            <w:r w:rsidR="008B2950" w:rsidRPr="005071A1">
              <w:t> </w:t>
            </w:r>
            <w:r w:rsidRPr="005071A1">
              <w:t>1) 2016</w:t>
            </w:r>
          </w:p>
        </w:tc>
        <w:tc>
          <w:tcPr>
            <w:tcW w:w="992" w:type="dxa"/>
            <w:tcBorders>
              <w:top w:val="single" w:sz="4" w:space="0" w:color="auto"/>
              <w:bottom w:val="single" w:sz="4" w:space="0" w:color="auto"/>
            </w:tcBorders>
            <w:shd w:val="clear" w:color="auto" w:fill="auto"/>
          </w:tcPr>
          <w:p w14:paraId="2128B48C" w14:textId="77777777" w:rsidR="00A11EB9" w:rsidRPr="005071A1" w:rsidRDefault="00A11EB9" w:rsidP="009B7AF5">
            <w:pPr>
              <w:pStyle w:val="ENoteTableText"/>
            </w:pPr>
            <w:r w:rsidRPr="005071A1">
              <w:t>4, 2016</w:t>
            </w:r>
          </w:p>
        </w:tc>
        <w:tc>
          <w:tcPr>
            <w:tcW w:w="993" w:type="dxa"/>
            <w:tcBorders>
              <w:top w:val="single" w:sz="4" w:space="0" w:color="auto"/>
              <w:bottom w:val="single" w:sz="4" w:space="0" w:color="auto"/>
            </w:tcBorders>
            <w:shd w:val="clear" w:color="auto" w:fill="auto"/>
          </w:tcPr>
          <w:p w14:paraId="31A32751" w14:textId="77777777" w:rsidR="00A11EB9" w:rsidRPr="005071A1" w:rsidRDefault="00A11EB9" w:rsidP="009B7AF5">
            <w:pPr>
              <w:pStyle w:val="ENoteTableText"/>
            </w:pPr>
            <w:r w:rsidRPr="005071A1">
              <w:t>11 Feb 2016</w:t>
            </w:r>
          </w:p>
        </w:tc>
        <w:tc>
          <w:tcPr>
            <w:tcW w:w="1845" w:type="dxa"/>
            <w:tcBorders>
              <w:top w:val="single" w:sz="4" w:space="0" w:color="auto"/>
              <w:bottom w:val="single" w:sz="4" w:space="0" w:color="auto"/>
            </w:tcBorders>
            <w:shd w:val="clear" w:color="auto" w:fill="auto"/>
          </w:tcPr>
          <w:p w14:paraId="5B281AB4" w14:textId="77777777" w:rsidR="00A11EB9" w:rsidRPr="005071A1" w:rsidRDefault="00A11EB9" w:rsidP="009F2B01">
            <w:pPr>
              <w:pStyle w:val="ENoteTableText"/>
            </w:pPr>
            <w:r w:rsidRPr="005071A1">
              <w:t>Sch 4 (</w:t>
            </w:r>
            <w:r w:rsidR="00594E1E" w:rsidRPr="005071A1">
              <w:t>item 4</w:t>
            </w:r>
            <w:r w:rsidRPr="005071A1">
              <w:t xml:space="preserve">31): 10 Mar 2016 (s 2(1) </w:t>
            </w:r>
            <w:r w:rsidR="004510F0">
              <w:t>item 6</w:t>
            </w:r>
            <w:r w:rsidRPr="005071A1">
              <w:t>)</w:t>
            </w:r>
          </w:p>
        </w:tc>
        <w:tc>
          <w:tcPr>
            <w:tcW w:w="1417" w:type="dxa"/>
            <w:tcBorders>
              <w:top w:val="single" w:sz="4" w:space="0" w:color="auto"/>
              <w:bottom w:val="single" w:sz="4" w:space="0" w:color="auto"/>
            </w:tcBorders>
            <w:shd w:val="clear" w:color="auto" w:fill="auto"/>
          </w:tcPr>
          <w:p w14:paraId="2C9541C9" w14:textId="77777777" w:rsidR="00A11EB9" w:rsidRPr="005071A1" w:rsidRDefault="00A11EB9" w:rsidP="009B7AF5">
            <w:pPr>
              <w:pStyle w:val="ENoteTableText"/>
            </w:pPr>
            <w:r w:rsidRPr="005071A1">
              <w:t>—</w:t>
            </w:r>
          </w:p>
        </w:tc>
      </w:tr>
      <w:tr w:rsidR="00D90386" w:rsidRPr="005071A1" w14:paraId="2CDBD527" w14:textId="77777777" w:rsidTr="00A45199">
        <w:trPr>
          <w:cantSplit/>
        </w:trPr>
        <w:tc>
          <w:tcPr>
            <w:tcW w:w="1838" w:type="dxa"/>
            <w:tcBorders>
              <w:top w:val="single" w:sz="4" w:space="0" w:color="auto"/>
              <w:bottom w:val="single" w:sz="4" w:space="0" w:color="auto"/>
            </w:tcBorders>
            <w:shd w:val="clear" w:color="auto" w:fill="auto"/>
          </w:tcPr>
          <w:p w14:paraId="0882703B" w14:textId="77777777" w:rsidR="00D90386" w:rsidRPr="005071A1" w:rsidRDefault="00D90386" w:rsidP="009B7AF5">
            <w:pPr>
              <w:pStyle w:val="ENoteTableText"/>
            </w:pPr>
            <w:r w:rsidRPr="005071A1">
              <w:t>Statute Update Act 2016</w:t>
            </w:r>
          </w:p>
        </w:tc>
        <w:tc>
          <w:tcPr>
            <w:tcW w:w="992" w:type="dxa"/>
            <w:tcBorders>
              <w:top w:val="single" w:sz="4" w:space="0" w:color="auto"/>
              <w:bottom w:val="single" w:sz="4" w:space="0" w:color="auto"/>
            </w:tcBorders>
            <w:shd w:val="clear" w:color="auto" w:fill="auto"/>
          </w:tcPr>
          <w:p w14:paraId="0F184481" w14:textId="77777777" w:rsidR="00D90386" w:rsidRPr="005071A1" w:rsidRDefault="00D90386" w:rsidP="009B7AF5">
            <w:pPr>
              <w:pStyle w:val="ENoteTableText"/>
            </w:pPr>
            <w:r w:rsidRPr="005071A1">
              <w:t>61, 2016</w:t>
            </w:r>
          </w:p>
        </w:tc>
        <w:tc>
          <w:tcPr>
            <w:tcW w:w="993" w:type="dxa"/>
            <w:tcBorders>
              <w:top w:val="single" w:sz="4" w:space="0" w:color="auto"/>
              <w:bottom w:val="single" w:sz="4" w:space="0" w:color="auto"/>
            </w:tcBorders>
            <w:shd w:val="clear" w:color="auto" w:fill="auto"/>
          </w:tcPr>
          <w:p w14:paraId="3108BDC4" w14:textId="77777777" w:rsidR="00D90386" w:rsidRPr="005071A1" w:rsidRDefault="00D90386" w:rsidP="009B7AF5">
            <w:pPr>
              <w:pStyle w:val="ENoteTableText"/>
            </w:pPr>
            <w:r w:rsidRPr="005071A1">
              <w:t>23 Sept 2016</w:t>
            </w:r>
          </w:p>
        </w:tc>
        <w:tc>
          <w:tcPr>
            <w:tcW w:w="1845" w:type="dxa"/>
            <w:tcBorders>
              <w:top w:val="single" w:sz="4" w:space="0" w:color="auto"/>
              <w:bottom w:val="single" w:sz="4" w:space="0" w:color="auto"/>
            </w:tcBorders>
            <w:shd w:val="clear" w:color="auto" w:fill="auto"/>
          </w:tcPr>
          <w:p w14:paraId="3764C4D2" w14:textId="77777777" w:rsidR="00D90386" w:rsidRPr="005071A1" w:rsidRDefault="00D90386" w:rsidP="009B7AF5">
            <w:pPr>
              <w:pStyle w:val="ENoteTableText"/>
            </w:pPr>
            <w:r w:rsidRPr="005071A1">
              <w:t>Sch 1 (</w:t>
            </w:r>
            <w:r w:rsidR="00594E1E" w:rsidRPr="005071A1">
              <w:t>item 4</w:t>
            </w:r>
            <w:r w:rsidRPr="005071A1">
              <w:t xml:space="preserve">86): 21 Oct 2016 (s 2(1) </w:t>
            </w:r>
            <w:r w:rsidR="00E872CC" w:rsidRPr="005071A1">
              <w:t>item 1</w:t>
            </w:r>
            <w:r w:rsidRPr="005071A1">
              <w:t>)</w:t>
            </w:r>
          </w:p>
        </w:tc>
        <w:tc>
          <w:tcPr>
            <w:tcW w:w="1417" w:type="dxa"/>
            <w:tcBorders>
              <w:top w:val="single" w:sz="4" w:space="0" w:color="auto"/>
              <w:bottom w:val="single" w:sz="4" w:space="0" w:color="auto"/>
            </w:tcBorders>
            <w:shd w:val="clear" w:color="auto" w:fill="auto"/>
          </w:tcPr>
          <w:p w14:paraId="2FDF841B" w14:textId="77777777" w:rsidR="00D90386" w:rsidRPr="005071A1" w:rsidRDefault="00D90386" w:rsidP="009B7AF5">
            <w:pPr>
              <w:pStyle w:val="ENoteTableText"/>
            </w:pPr>
            <w:r w:rsidRPr="005071A1">
              <w:t>—</w:t>
            </w:r>
          </w:p>
        </w:tc>
      </w:tr>
      <w:tr w:rsidR="000A78EE" w:rsidRPr="005071A1" w14:paraId="30832031" w14:textId="77777777" w:rsidTr="00A45199">
        <w:trPr>
          <w:cantSplit/>
        </w:trPr>
        <w:tc>
          <w:tcPr>
            <w:tcW w:w="1838" w:type="dxa"/>
            <w:tcBorders>
              <w:top w:val="single" w:sz="4" w:space="0" w:color="auto"/>
              <w:bottom w:val="single" w:sz="4" w:space="0" w:color="auto"/>
            </w:tcBorders>
            <w:shd w:val="clear" w:color="auto" w:fill="auto"/>
          </w:tcPr>
          <w:p w14:paraId="088D0EBD" w14:textId="77777777" w:rsidR="000A78EE" w:rsidRPr="005071A1" w:rsidRDefault="000A78EE" w:rsidP="009F2B01">
            <w:pPr>
              <w:pStyle w:val="ENoteTableText"/>
            </w:pPr>
            <w:r w:rsidRPr="005071A1">
              <w:t>Public Sector Superannuation Legislation Amendment Act 2018</w:t>
            </w:r>
          </w:p>
        </w:tc>
        <w:tc>
          <w:tcPr>
            <w:tcW w:w="992" w:type="dxa"/>
            <w:tcBorders>
              <w:top w:val="single" w:sz="4" w:space="0" w:color="auto"/>
              <w:bottom w:val="single" w:sz="4" w:space="0" w:color="auto"/>
            </w:tcBorders>
            <w:shd w:val="clear" w:color="auto" w:fill="auto"/>
          </w:tcPr>
          <w:p w14:paraId="267B2CC6" w14:textId="77777777" w:rsidR="000A78EE" w:rsidRPr="005071A1" w:rsidRDefault="000A78EE" w:rsidP="009B7AF5">
            <w:pPr>
              <w:pStyle w:val="ENoteTableText"/>
            </w:pPr>
            <w:r w:rsidRPr="005071A1">
              <w:t>80, 2018</w:t>
            </w:r>
          </w:p>
        </w:tc>
        <w:tc>
          <w:tcPr>
            <w:tcW w:w="993" w:type="dxa"/>
            <w:tcBorders>
              <w:top w:val="single" w:sz="4" w:space="0" w:color="auto"/>
              <w:bottom w:val="single" w:sz="4" w:space="0" w:color="auto"/>
            </w:tcBorders>
            <w:shd w:val="clear" w:color="auto" w:fill="auto"/>
          </w:tcPr>
          <w:p w14:paraId="5E715FAD" w14:textId="77777777" w:rsidR="000A78EE" w:rsidRPr="005071A1" w:rsidRDefault="000A78EE" w:rsidP="009B7AF5">
            <w:pPr>
              <w:pStyle w:val="ENoteTableText"/>
            </w:pPr>
            <w:r w:rsidRPr="005071A1">
              <w:t>24 Aug 2018</w:t>
            </w:r>
          </w:p>
        </w:tc>
        <w:tc>
          <w:tcPr>
            <w:tcW w:w="1845" w:type="dxa"/>
            <w:tcBorders>
              <w:top w:val="single" w:sz="4" w:space="0" w:color="auto"/>
              <w:bottom w:val="single" w:sz="4" w:space="0" w:color="auto"/>
            </w:tcBorders>
            <w:shd w:val="clear" w:color="auto" w:fill="auto"/>
          </w:tcPr>
          <w:p w14:paraId="3E704F15" w14:textId="77777777" w:rsidR="000A78EE" w:rsidRPr="005071A1" w:rsidRDefault="00D449F0" w:rsidP="009B7AF5">
            <w:pPr>
              <w:pStyle w:val="ENoteTableText"/>
            </w:pPr>
            <w:r w:rsidRPr="005071A1">
              <w:t>Sch 1 (items</w:t>
            </w:r>
            <w:r w:rsidR="008B2950" w:rsidRPr="005071A1">
              <w:t> </w:t>
            </w:r>
            <w:r w:rsidRPr="005071A1">
              <w:t>20–24</w:t>
            </w:r>
            <w:r w:rsidR="00550693" w:rsidRPr="005071A1">
              <w:t>, 27, 28</w:t>
            </w:r>
            <w:r w:rsidRPr="005071A1">
              <w:t>): 1 Jan 2020 (s 2(1) item</w:t>
            </w:r>
            <w:r w:rsidR="008B2950" w:rsidRPr="005071A1">
              <w:t> </w:t>
            </w:r>
            <w:r w:rsidRPr="005071A1">
              <w:t>3)</w:t>
            </w:r>
          </w:p>
        </w:tc>
        <w:tc>
          <w:tcPr>
            <w:tcW w:w="1417" w:type="dxa"/>
            <w:tcBorders>
              <w:top w:val="single" w:sz="4" w:space="0" w:color="auto"/>
              <w:bottom w:val="single" w:sz="4" w:space="0" w:color="auto"/>
            </w:tcBorders>
            <w:shd w:val="clear" w:color="auto" w:fill="auto"/>
          </w:tcPr>
          <w:p w14:paraId="7596AD4C" w14:textId="77777777" w:rsidR="000A78EE" w:rsidRPr="005071A1" w:rsidRDefault="00550693" w:rsidP="009B7AF5">
            <w:pPr>
              <w:pStyle w:val="ENoteTableText"/>
            </w:pPr>
            <w:r w:rsidRPr="005071A1">
              <w:t>Sch 1 (items</w:t>
            </w:r>
            <w:r w:rsidR="008B2950" w:rsidRPr="005071A1">
              <w:t> </w:t>
            </w:r>
            <w:r w:rsidRPr="005071A1">
              <w:t>27, 28)</w:t>
            </w:r>
          </w:p>
        </w:tc>
      </w:tr>
      <w:tr w:rsidR="00D449F0" w:rsidRPr="005071A1" w14:paraId="018C8077" w14:textId="77777777" w:rsidTr="006B1C28">
        <w:trPr>
          <w:cantSplit/>
        </w:trPr>
        <w:tc>
          <w:tcPr>
            <w:tcW w:w="1838" w:type="dxa"/>
            <w:tcBorders>
              <w:top w:val="single" w:sz="4" w:space="0" w:color="auto"/>
              <w:bottom w:val="single" w:sz="4" w:space="0" w:color="auto"/>
            </w:tcBorders>
            <w:shd w:val="clear" w:color="auto" w:fill="auto"/>
          </w:tcPr>
          <w:p w14:paraId="3176BAB7" w14:textId="77777777" w:rsidR="00D449F0" w:rsidRPr="005071A1" w:rsidRDefault="00D449F0" w:rsidP="000E2400">
            <w:pPr>
              <w:pStyle w:val="ENoteTableText"/>
            </w:pPr>
            <w:r w:rsidRPr="005071A1">
              <w:t>Civil Law and Justice Legislation Amendment Act 2018</w:t>
            </w:r>
          </w:p>
        </w:tc>
        <w:tc>
          <w:tcPr>
            <w:tcW w:w="992" w:type="dxa"/>
            <w:tcBorders>
              <w:top w:val="single" w:sz="4" w:space="0" w:color="auto"/>
              <w:bottom w:val="single" w:sz="4" w:space="0" w:color="auto"/>
            </w:tcBorders>
            <w:shd w:val="clear" w:color="auto" w:fill="auto"/>
          </w:tcPr>
          <w:p w14:paraId="32E5B9D3" w14:textId="77777777" w:rsidR="00D449F0" w:rsidRPr="005071A1" w:rsidRDefault="00D449F0" w:rsidP="009B7AF5">
            <w:pPr>
              <w:pStyle w:val="ENoteTableText"/>
            </w:pPr>
            <w:r w:rsidRPr="005071A1">
              <w:t>130, 2018</w:t>
            </w:r>
          </w:p>
        </w:tc>
        <w:tc>
          <w:tcPr>
            <w:tcW w:w="993" w:type="dxa"/>
            <w:tcBorders>
              <w:top w:val="single" w:sz="4" w:space="0" w:color="auto"/>
              <w:bottom w:val="single" w:sz="4" w:space="0" w:color="auto"/>
            </w:tcBorders>
            <w:shd w:val="clear" w:color="auto" w:fill="auto"/>
          </w:tcPr>
          <w:p w14:paraId="3216A819" w14:textId="77777777" w:rsidR="00D449F0" w:rsidRPr="005071A1" w:rsidRDefault="00D449F0" w:rsidP="009B7AF5">
            <w:pPr>
              <w:pStyle w:val="ENoteTableText"/>
            </w:pPr>
            <w:r w:rsidRPr="005071A1">
              <w:t>25 Oct 2018</w:t>
            </w:r>
          </w:p>
        </w:tc>
        <w:tc>
          <w:tcPr>
            <w:tcW w:w="1845" w:type="dxa"/>
            <w:tcBorders>
              <w:top w:val="single" w:sz="4" w:space="0" w:color="auto"/>
              <w:bottom w:val="single" w:sz="4" w:space="0" w:color="auto"/>
            </w:tcBorders>
            <w:shd w:val="clear" w:color="auto" w:fill="auto"/>
          </w:tcPr>
          <w:p w14:paraId="2A3B95C2" w14:textId="77777777" w:rsidR="00D449F0" w:rsidRPr="005071A1" w:rsidRDefault="00D449F0" w:rsidP="009B7AF5">
            <w:pPr>
              <w:pStyle w:val="ENoteTableText"/>
            </w:pPr>
            <w:r w:rsidRPr="005071A1">
              <w:t>Sch 6 (items</w:t>
            </w:r>
            <w:r w:rsidR="008B2950" w:rsidRPr="005071A1">
              <w:t> </w:t>
            </w:r>
            <w:r w:rsidRPr="005071A1">
              <w:t xml:space="preserve">58, 64): 22 Nov 2018 (s 2(1) </w:t>
            </w:r>
            <w:r w:rsidR="00E872CC" w:rsidRPr="005071A1">
              <w:t>item 1</w:t>
            </w:r>
            <w:r w:rsidRPr="005071A1">
              <w:t>0)</w:t>
            </w:r>
          </w:p>
        </w:tc>
        <w:tc>
          <w:tcPr>
            <w:tcW w:w="1417" w:type="dxa"/>
            <w:tcBorders>
              <w:top w:val="single" w:sz="4" w:space="0" w:color="auto"/>
              <w:bottom w:val="single" w:sz="4" w:space="0" w:color="auto"/>
            </w:tcBorders>
            <w:shd w:val="clear" w:color="auto" w:fill="auto"/>
          </w:tcPr>
          <w:p w14:paraId="4AED02AD" w14:textId="77777777" w:rsidR="00D449F0" w:rsidRPr="005071A1" w:rsidRDefault="00D449F0" w:rsidP="009B7AF5">
            <w:pPr>
              <w:pStyle w:val="ENoteTableText"/>
            </w:pPr>
            <w:r w:rsidRPr="005071A1">
              <w:t>—</w:t>
            </w:r>
          </w:p>
        </w:tc>
      </w:tr>
      <w:tr w:rsidR="002F1AF5" w:rsidRPr="005071A1" w14:paraId="08161611" w14:textId="77777777" w:rsidTr="006F5B83">
        <w:trPr>
          <w:cantSplit/>
        </w:trPr>
        <w:tc>
          <w:tcPr>
            <w:tcW w:w="1838" w:type="dxa"/>
            <w:tcBorders>
              <w:top w:val="single" w:sz="4" w:space="0" w:color="auto"/>
              <w:bottom w:val="single" w:sz="4" w:space="0" w:color="auto"/>
            </w:tcBorders>
            <w:shd w:val="clear" w:color="auto" w:fill="auto"/>
          </w:tcPr>
          <w:p w14:paraId="06291200" w14:textId="77777777" w:rsidR="002F1AF5" w:rsidRPr="005071A1" w:rsidRDefault="002F1AF5" w:rsidP="000E2400">
            <w:pPr>
              <w:pStyle w:val="ENoteTableText"/>
            </w:pPr>
            <w:r w:rsidRPr="005071A1">
              <w:t>Family Law Amendment (Western Australia De Facto Superannuation Splitting and Bankruptcy) Act 2020</w:t>
            </w:r>
          </w:p>
        </w:tc>
        <w:tc>
          <w:tcPr>
            <w:tcW w:w="992" w:type="dxa"/>
            <w:tcBorders>
              <w:top w:val="single" w:sz="4" w:space="0" w:color="auto"/>
              <w:bottom w:val="single" w:sz="4" w:space="0" w:color="auto"/>
            </w:tcBorders>
            <w:shd w:val="clear" w:color="auto" w:fill="auto"/>
          </w:tcPr>
          <w:p w14:paraId="70A44963" w14:textId="77777777" w:rsidR="002F1AF5" w:rsidRPr="005071A1" w:rsidRDefault="002F1AF5" w:rsidP="009B7AF5">
            <w:pPr>
              <w:pStyle w:val="ENoteTableText"/>
            </w:pPr>
            <w:r w:rsidRPr="005071A1">
              <w:t>112, 202</w:t>
            </w:r>
            <w:r w:rsidR="00470BB5" w:rsidRPr="005071A1">
              <w:t>0</w:t>
            </w:r>
          </w:p>
        </w:tc>
        <w:tc>
          <w:tcPr>
            <w:tcW w:w="993" w:type="dxa"/>
            <w:tcBorders>
              <w:top w:val="single" w:sz="4" w:space="0" w:color="auto"/>
              <w:bottom w:val="single" w:sz="4" w:space="0" w:color="auto"/>
            </w:tcBorders>
            <w:shd w:val="clear" w:color="auto" w:fill="auto"/>
          </w:tcPr>
          <w:p w14:paraId="69A059ED" w14:textId="77777777" w:rsidR="002F1AF5" w:rsidRPr="005071A1" w:rsidRDefault="002F1AF5" w:rsidP="009B7AF5">
            <w:pPr>
              <w:pStyle w:val="ENoteTableText"/>
            </w:pPr>
            <w:r w:rsidRPr="005071A1">
              <w:t>8 Dec 202</w:t>
            </w:r>
            <w:r w:rsidR="00470BB5" w:rsidRPr="005071A1">
              <w:t>0</w:t>
            </w:r>
          </w:p>
        </w:tc>
        <w:tc>
          <w:tcPr>
            <w:tcW w:w="1845" w:type="dxa"/>
            <w:tcBorders>
              <w:top w:val="single" w:sz="4" w:space="0" w:color="auto"/>
              <w:bottom w:val="single" w:sz="4" w:space="0" w:color="auto"/>
            </w:tcBorders>
            <w:shd w:val="clear" w:color="auto" w:fill="auto"/>
          </w:tcPr>
          <w:p w14:paraId="47A6B688" w14:textId="77777777" w:rsidR="002F1AF5" w:rsidRPr="005071A1" w:rsidRDefault="002F1AF5" w:rsidP="009B7AF5">
            <w:pPr>
              <w:pStyle w:val="ENoteTableText"/>
            </w:pPr>
            <w:r w:rsidRPr="005071A1">
              <w:t>Sch 3 (</w:t>
            </w:r>
            <w:r w:rsidR="00E872CC" w:rsidRPr="005071A1">
              <w:t>items 7</w:t>
            </w:r>
            <w:r w:rsidRPr="005071A1">
              <w:t>2–81)</w:t>
            </w:r>
            <w:r w:rsidR="000D2F8F" w:rsidRPr="005071A1">
              <w:t xml:space="preserve"> and Sch 4 (</w:t>
            </w:r>
            <w:r w:rsidR="00E872CC" w:rsidRPr="005071A1">
              <w:t>items 1</w:t>
            </w:r>
            <w:r w:rsidR="000D2F8F" w:rsidRPr="005071A1">
              <w:t>, 5)</w:t>
            </w:r>
            <w:r w:rsidRPr="005071A1">
              <w:t xml:space="preserve">: 28 Sept 2022 (s 2(1) </w:t>
            </w:r>
            <w:r w:rsidR="00E872CC" w:rsidRPr="005071A1">
              <w:t>item 1</w:t>
            </w:r>
            <w:r w:rsidR="00470BB5" w:rsidRPr="005071A1">
              <w:t>)</w:t>
            </w:r>
          </w:p>
        </w:tc>
        <w:tc>
          <w:tcPr>
            <w:tcW w:w="1417" w:type="dxa"/>
            <w:tcBorders>
              <w:top w:val="single" w:sz="4" w:space="0" w:color="auto"/>
              <w:bottom w:val="single" w:sz="4" w:space="0" w:color="auto"/>
            </w:tcBorders>
            <w:shd w:val="clear" w:color="auto" w:fill="auto"/>
          </w:tcPr>
          <w:p w14:paraId="61B56CA6" w14:textId="77777777" w:rsidR="002F1AF5" w:rsidRPr="005071A1" w:rsidRDefault="000D2F8F" w:rsidP="009B7AF5">
            <w:pPr>
              <w:pStyle w:val="ENoteTableText"/>
            </w:pPr>
            <w:r w:rsidRPr="005071A1">
              <w:t>Sch 4 (</w:t>
            </w:r>
            <w:r w:rsidR="00E872CC" w:rsidRPr="005071A1">
              <w:t>items 1</w:t>
            </w:r>
            <w:r w:rsidRPr="005071A1">
              <w:t>, 5)</w:t>
            </w:r>
          </w:p>
        </w:tc>
      </w:tr>
      <w:tr w:rsidR="00C860B0" w:rsidRPr="005071A1" w14:paraId="7BB6E3A7" w14:textId="77777777" w:rsidTr="007C5FA3">
        <w:trPr>
          <w:cantSplit/>
        </w:trPr>
        <w:tc>
          <w:tcPr>
            <w:tcW w:w="1838" w:type="dxa"/>
            <w:tcBorders>
              <w:top w:val="single" w:sz="4" w:space="0" w:color="auto"/>
              <w:bottom w:val="single" w:sz="4" w:space="0" w:color="auto"/>
            </w:tcBorders>
            <w:shd w:val="clear" w:color="auto" w:fill="auto"/>
          </w:tcPr>
          <w:p w14:paraId="52594405" w14:textId="77777777" w:rsidR="00C860B0" w:rsidRPr="005071A1" w:rsidRDefault="00C860B0" w:rsidP="00C860B0">
            <w:pPr>
              <w:pStyle w:val="ENoteTableText"/>
            </w:pPr>
            <w:r w:rsidRPr="005071A1">
              <w:t>Aboriginal Land Grant (Jervis Bay Territory) Amendment (Strengthening Land and Governance Provisions) Act 2023</w:t>
            </w:r>
          </w:p>
        </w:tc>
        <w:tc>
          <w:tcPr>
            <w:tcW w:w="992" w:type="dxa"/>
            <w:tcBorders>
              <w:top w:val="single" w:sz="4" w:space="0" w:color="auto"/>
              <w:bottom w:val="single" w:sz="4" w:space="0" w:color="auto"/>
            </w:tcBorders>
            <w:shd w:val="clear" w:color="auto" w:fill="auto"/>
          </w:tcPr>
          <w:p w14:paraId="45935659" w14:textId="77777777" w:rsidR="00C860B0" w:rsidRPr="005071A1" w:rsidRDefault="00C860B0" w:rsidP="00C860B0">
            <w:pPr>
              <w:pStyle w:val="ENoteTableText"/>
            </w:pPr>
            <w:r w:rsidRPr="005071A1">
              <w:t>57, 2023</w:t>
            </w:r>
          </w:p>
        </w:tc>
        <w:tc>
          <w:tcPr>
            <w:tcW w:w="993" w:type="dxa"/>
            <w:tcBorders>
              <w:top w:val="single" w:sz="4" w:space="0" w:color="auto"/>
              <w:bottom w:val="single" w:sz="4" w:space="0" w:color="auto"/>
            </w:tcBorders>
            <w:shd w:val="clear" w:color="auto" w:fill="auto"/>
          </w:tcPr>
          <w:p w14:paraId="406468B4" w14:textId="77777777" w:rsidR="00C860B0" w:rsidRPr="005071A1" w:rsidRDefault="00C860B0" w:rsidP="00C860B0">
            <w:pPr>
              <w:pStyle w:val="ENoteTableText"/>
            </w:pPr>
            <w:r w:rsidRPr="005071A1">
              <w:t>21 Aug 2023</w:t>
            </w:r>
          </w:p>
        </w:tc>
        <w:tc>
          <w:tcPr>
            <w:tcW w:w="1845" w:type="dxa"/>
            <w:tcBorders>
              <w:top w:val="single" w:sz="4" w:space="0" w:color="auto"/>
              <w:bottom w:val="single" w:sz="4" w:space="0" w:color="auto"/>
            </w:tcBorders>
            <w:shd w:val="clear" w:color="auto" w:fill="auto"/>
          </w:tcPr>
          <w:p w14:paraId="67118918" w14:textId="77777777" w:rsidR="00C860B0" w:rsidRPr="005071A1" w:rsidRDefault="00C860B0" w:rsidP="00C860B0">
            <w:pPr>
              <w:pStyle w:val="ENoteTableText"/>
            </w:pPr>
            <w:r w:rsidRPr="005071A1">
              <w:t>Sch 1 (</w:t>
            </w:r>
            <w:r w:rsidR="00594E1E" w:rsidRPr="005071A1">
              <w:t>item 4</w:t>
            </w:r>
            <w:r w:rsidRPr="005071A1">
              <w:t>7): 22 Aug 2023 (s 2(1) item 1)</w:t>
            </w:r>
          </w:p>
        </w:tc>
        <w:tc>
          <w:tcPr>
            <w:tcW w:w="1417" w:type="dxa"/>
            <w:tcBorders>
              <w:top w:val="single" w:sz="4" w:space="0" w:color="auto"/>
              <w:bottom w:val="single" w:sz="4" w:space="0" w:color="auto"/>
            </w:tcBorders>
            <w:shd w:val="clear" w:color="auto" w:fill="auto"/>
          </w:tcPr>
          <w:p w14:paraId="26C55767" w14:textId="77777777" w:rsidR="00C860B0" w:rsidRPr="005071A1" w:rsidRDefault="00C860B0" w:rsidP="00C860B0">
            <w:pPr>
              <w:pStyle w:val="ENoteTableText"/>
            </w:pPr>
            <w:r w:rsidRPr="005071A1">
              <w:t>—</w:t>
            </w:r>
          </w:p>
        </w:tc>
      </w:tr>
      <w:tr w:rsidR="004564B1" w:rsidRPr="005071A1" w14:paraId="3D0AA032" w14:textId="77777777" w:rsidTr="00AB0E62">
        <w:trPr>
          <w:cantSplit/>
        </w:trPr>
        <w:tc>
          <w:tcPr>
            <w:tcW w:w="1838" w:type="dxa"/>
            <w:tcBorders>
              <w:top w:val="single" w:sz="4" w:space="0" w:color="auto"/>
              <w:bottom w:val="single" w:sz="4" w:space="0" w:color="auto"/>
            </w:tcBorders>
            <w:shd w:val="clear" w:color="auto" w:fill="auto"/>
          </w:tcPr>
          <w:p w14:paraId="32488AAF" w14:textId="77777777" w:rsidR="004564B1" w:rsidRPr="005071A1" w:rsidRDefault="004564B1" w:rsidP="00C860B0">
            <w:pPr>
              <w:pStyle w:val="ENoteTableText"/>
            </w:pPr>
            <w:r w:rsidRPr="005071A1">
              <w:t>Administrative Review Tribunal (Consequential and Transitional Provisions No. 1) Act 2024</w:t>
            </w:r>
          </w:p>
        </w:tc>
        <w:tc>
          <w:tcPr>
            <w:tcW w:w="992" w:type="dxa"/>
            <w:tcBorders>
              <w:top w:val="single" w:sz="4" w:space="0" w:color="auto"/>
              <w:bottom w:val="single" w:sz="4" w:space="0" w:color="auto"/>
            </w:tcBorders>
            <w:shd w:val="clear" w:color="auto" w:fill="auto"/>
          </w:tcPr>
          <w:p w14:paraId="23FD2FB9" w14:textId="77777777" w:rsidR="004564B1" w:rsidRPr="005071A1" w:rsidRDefault="004564B1" w:rsidP="00C860B0">
            <w:pPr>
              <w:pStyle w:val="ENoteTableText"/>
            </w:pPr>
            <w:r w:rsidRPr="005071A1">
              <w:t>38, 2024</w:t>
            </w:r>
          </w:p>
        </w:tc>
        <w:tc>
          <w:tcPr>
            <w:tcW w:w="993" w:type="dxa"/>
            <w:tcBorders>
              <w:top w:val="single" w:sz="4" w:space="0" w:color="auto"/>
              <w:bottom w:val="single" w:sz="4" w:space="0" w:color="auto"/>
            </w:tcBorders>
            <w:shd w:val="clear" w:color="auto" w:fill="auto"/>
          </w:tcPr>
          <w:p w14:paraId="431C7F02" w14:textId="77777777" w:rsidR="004564B1" w:rsidRPr="005071A1" w:rsidRDefault="004510F0" w:rsidP="00C860B0">
            <w:pPr>
              <w:pStyle w:val="ENoteTableText"/>
            </w:pPr>
            <w:r>
              <w:t>31 May</w:t>
            </w:r>
            <w:r w:rsidR="00AF14B7" w:rsidRPr="005071A1">
              <w:t xml:space="preserve"> 2024</w:t>
            </w:r>
          </w:p>
        </w:tc>
        <w:tc>
          <w:tcPr>
            <w:tcW w:w="1845" w:type="dxa"/>
            <w:tcBorders>
              <w:top w:val="single" w:sz="4" w:space="0" w:color="auto"/>
              <w:bottom w:val="single" w:sz="4" w:space="0" w:color="auto"/>
            </w:tcBorders>
            <w:shd w:val="clear" w:color="auto" w:fill="auto"/>
          </w:tcPr>
          <w:p w14:paraId="37414F69" w14:textId="77777777" w:rsidR="004564B1" w:rsidRPr="005071A1" w:rsidRDefault="00912EBB" w:rsidP="00C860B0">
            <w:pPr>
              <w:pStyle w:val="ENoteTableText"/>
            </w:pPr>
            <w:r w:rsidRPr="005071A1">
              <w:t>Sch 10 (</w:t>
            </w:r>
            <w:r w:rsidR="004510F0">
              <w:t>item 6</w:t>
            </w:r>
            <w:r w:rsidR="00B62A0B" w:rsidRPr="005071A1">
              <w:t xml:space="preserve">): </w:t>
            </w:r>
            <w:r w:rsidR="00E90288" w:rsidRPr="005071A1">
              <w:t>1</w:t>
            </w:r>
            <w:r w:rsidR="00855AA5">
              <w:t>4</w:t>
            </w:r>
            <w:r w:rsidR="00E90288" w:rsidRPr="005071A1">
              <w:t xml:space="preserve"> Oct 2024 (s 2(1) </w:t>
            </w:r>
            <w:r w:rsidR="004510F0">
              <w:t>item 2</w:t>
            </w:r>
            <w:r w:rsidR="00E90288" w:rsidRPr="005071A1">
              <w:t>)</w:t>
            </w:r>
          </w:p>
        </w:tc>
        <w:tc>
          <w:tcPr>
            <w:tcW w:w="1417" w:type="dxa"/>
            <w:tcBorders>
              <w:top w:val="single" w:sz="4" w:space="0" w:color="auto"/>
              <w:bottom w:val="single" w:sz="4" w:space="0" w:color="auto"/>
            </w:tcBorders>
            <w:shd w:val="clear" w:color="auto" w:fill="auto"/>
          </w:tcPr>
          <w:p w14:paraId="5F904742" w14:textId="77777777" w:rsidR="004564B1" w:rsidRPr="005071A1" w:rsidRDefault="00351C6C" w:rsidP="00C860B0">
            <w:pPr>
              <w:pStyle w:val="ENoteTableText"/>
            </w:pPr>
            <w:r w:rsidRPr="005071A1">
              <w:t>—</w:t>
            </w:r>
          </w:p>
        </w:tc>
      </w:tr>
      <w:tr w:rsidR="00A14036" w:rsidRPr="005071A1" w14:paraId="04A2E9A2" w14:textId="77777777" w:rsidTr="00322DFA">
        <w:trPr>
          <w:cantSplit/>
        </w:trPr>
        <w:tc>
          <w:tcPr>
            <w:tcW w:w="1838" w:type="dxa"/>
            <w:tcBorders>
              <w:top w:val="single" w:sz="4" w:space="0" w:color="auto"/>
              <w:bottom w:val="single" w:sz="12" w:space="0" w:color="auto"/>
            </w:tcBorders>
            <w:shd w:val="clear" w:color="auto" w:fill="auto"/>
          </w:tcPr>
          <w:p w14:paraId="37865A98" w14:textId="56DB84C4" w:rsidR="00A14036" w:rsidRPr="005071A1" w:rsidRDefault="00A14036" w:rsidP="00C860B0">
            <w:pPr>
              <w:pStyle w:val="ENoteTableText"/>
            </w:pPr>
            <w:r w:rsidRPr="00A14036">
              <w:t>Crown References Amendment Act 2024</w:t>
            </w:r>
          </w:p>
        </w:tc>
        <w:tc>
          <w:tcPr>
            <w:tcW w:w="992" w:type="dxa"/>
            <w:tcBorders>
              <w:top w:val="single" w:sz="4" w:space="0" w:color="auto"/>
              <w:bottom w:val="single" w:sz="12" w:space="0" w:color="auto"/>
            </w:tcBorders>
            <w:shd w:val="clear" w:color="auto" w:fill="auto"/>
          </w:tcPr>
          <w:p w14:paraId="384E4C17" w14:textId="70D963E2" w:rsidR="00A14036" w:rsidRPr="005071A1" w:rsidRDefault="00A14036" w:rsidP="00C860B0">
            <w:pPr>
              <w:pStyle w:val="ENoteTableText"/>
            </w:pPr>
            <w:r>
              <w:t>115, 2024</w:t>
            </w:r>
          </w:p>
        </w:tc>
        <w:tc>
          <w:tcPr>
            <w:tcW w:w="993" w:type="dxa"/>
            <w:tcBorders>
              <w:top w:val="single" w:sz="4" w:space="0" w:color="auto"/>
              <w:bottom w:val="single" w:sz="12" w:space="0" w:color="auto"/>
            </w:tcBorders>
            <w:shd w:val="clear" w:color="auto" w:fill="auto"/>
          </w:tcPr>
          <w:p w14:paraId="2EC9E426" w14:textId="3C95C0C7" w:rsidR="00A14036" w:rsidRDefault="00A14036" w:rsidP="00C860B0">
            <w:pPr>
              <w:pStyle w:val="ENoteTableText"/>
            </w:pPr>
            <w:r>
              <w:t>10 Dec 2024</w:t>
            </w:r>
          </w:p>
        </w:tc>
        <w:tc>
          <w:tcPr>
            <w:tcW w:w="1845" w:type="dxa"/>
            <w:tcBorders>
              <w:top w:val="single" w:sz="4" w:space="0" w:color="auto"/>
              <w:bottom w:val="single" w:sz="12" w:space="0" w:color="auto"/>
            </w:tcBorders>
            <w:shd w:val="clear" w:color="auto" w:fill="auto"/>
          </w:tcPr>
          <w:p w14:paraId="12425ED3" w14:textId="6F91CAFC" w:rsidR="00A14036" w:rsidRPr="005071A1" w:rsidRDefault="00A14036" w:rsidP="00C860B0">
            <w:pPr>
              <w:pStyle w:val="ENoteTableText"/>
            </w:pPr>
            <w:r>
              <w:t>Sch 1 (item 43): 11 Dec 2024 (s 2(1) item 1)</w:t>
            </w:r>
          </w:p>
        </w:tc>
        <w:tc>
          <w:tcPr>
            <w:tcW w:w="1417" w:type="dxa"/>
            <w:tcBorders>
              <w:top w:val="single" w:sz="4" w:space="0" w:color="auto"/>
              <w:bottom w:val="single" w:sz="12" w:space="0" w:color="auto"/>
            </w:tcBorders>
            <w:shd w:val="clear" w:color="auto" w:fill="auto"/>
          </w:tcPr>
          <w:p w14:paraId="173C700A" w14:textId="6481F7C4" w:rsidR="00A14036" w:rsidRPr="005071A1" w:rsidRDefault="00A14036" w:rsidP="00C860B0">
            <w:pPr>
              <w:pStyle w:val="ENoteTableText"/>
            </w:pPr>
            <w:r>
              <w:t>—</w:t>
            </w:r>
          </w:p>
        </w:tc>
      </w:tr>
    </w:tbl>
    <w:p w14:paraId="5BB0633F" w14:textId="77777777" w:rsidR="00322DFA" w:rsidRPr="005071A1" w:rsidRDefault="00322DFA" w:rsidP="00322DFA">
      <w:pPr>
        <w:pStyle w:val="Tabletext"/>
      </w:pPr>
    </w:p>
    <w:p w14:paraId="18DC53DC" w14:textId="77777777" w:rsidR="00B33542" w:rsidRPr="005071A1" w:rsidRDefault="00B33542" w:rsidP="009B7AF5">
      <w:pPr>
        <w:pStyle w:val="EndNotespara"/>
      </w:pPr>
      <w:r w:rsidRPr="005071A1">
        <w:rPr>
          <w:i/>
        </w:rPr>
        <w:t>(</w:t>
      </w:r>
      <w:r w:rsidR="00BE0B5A" w:rsidRPr="005071A1">
        <w:rPr>
          <w:i/>
        </w:rPr>
        <w:t>a</w:t>
      </w:r>
      <w:r w:rsidRPr="005071A1">
        <w:rPr>
          <w:i/>
        </w:rPr>
        <w:t>)</w:t>
      </w:r>
      <w:r w:rsidRPr="005071A1">
        <w:tab/>
        <w:t xml:space="preserve">Application provisions in the Acts marked </w:t>
      </w:r>
      <w:r w:rsidRPr="005071A1">
        <w:rPr>
          <w:i/>
        </w:rPr>
        <w:t>(</w:t>
      </w:r>
      <w:r w:rsidR="00BE0B5A" w:rsidRPr="005071A1">
        <w:rPr>
          <w:i/>
        </w:rPr>
        <w:t>a</w:t>
      </w:r>
      <w:r w:rsidRPr="005071A1">
        <w:rPr>
          <w:i/>
        </w:rPr>
        <w:t>)</w:t>
      </w:r>
      <w:r w:rsidRPr="005071A1">
        <w:t xml:space="preserve"> have not been included in the tables, as many of those provisions have been amended several times by subsequent Acts. Particulars of those applications and their amendments may be found in the annual volumes of Acts for the respective years in which the rele</w:t>
      </w:r>
      <w:r w:rsidR="00500F93" w:rsidRPr="005071A1">
        <w:t>vant amending Acts were passed.</w:t>
      </w:r>
    </w:p>
    <w:p w14:paraId="5789EEF2" w14:textId="77777777" w:rsidR="00C33734" w:rsidRPr="00AB0E62" w:rsidRDefault="00C33734" w:rsidP="00AB0E62">
      <w:pPr>
        <w:pStyle w:val="ENotesHeading2"/>
        <w:pageBreakBefore/>
      </w:pPr>
      <w:bookmarkStart w:id="337" w:name="_Toc185577717"/>
      <w:r w:rsidRPr="00AB0E62">
        <w:t>Endnote 4—Amendment history</w:t>
      </w:r>
      <w:bookmarkEnd w:id="337"/>
    </w:p>
    <w:p w14:paraId="61A09374" w14:textId="77777777" w:rsidR="009B7AF5" w:rsidRPr="005071A1" w:rsidRDefault="009B7AF5" w:rsidP="00022B83">
      <w:pPr>
        <w:pStyle w:val="Tabletext"/>
      </w:pPr>
    </w:p>
    <w:tbl>
      <w:tblPr>
        <w:tblW w:w="7102" w:type="dxa"/>
        <w:tblInd w:w="94" w:type="dxa"/>
        <w:tblLayout w:type="fixed"/>
        <w:tblLook w:val="0000" w:firstRow="0" w:lastRow="0" w:firstColumn="0" w:lastColumn="0" w:noHBand="0" w:noVBand="0"/>
      </w:tblPr>
      <w:tblGrid>
        <w:gridCol w:w="2551"/>
        <w:gridCol w:w="4551"/>
      </w:tblGrid>
      <w:tr w:rsidR="009B7AF5" w:rsidRPr="005071A1" w14:paraId="78A0A58E" w14:textId="77777777" w:rsidTr="00962E93">
        <w:trPr>
          <w:cantSplit/>
          <w:tblHeader/>
        </w:trPr>
        <w:tc>
          <w:tcPr>
            <w:tcW w:w="2551" w:type="dxa"/>
            <w:tcBorders>
              <w:top w:val="single" w:sz="12" w:space="0" w:color="auto"/>
              <w:bottom w:val="single" w:sz="12" w:space="0" w:color="auto"/>
            </w:tcBorders>
            <w:shd w:val="clear" w:color="auto" w:fill="auto"/>
          </w:tcPr>
          <w:p w14:paraId="6845A54D" w14:textId="77777777" w:rsidR="009B7AF5" w:rsidRPr="005071A1" w:rsidRDefault="009B7AF5" w:rsidP="00022B83">
            <w:pPr>
              <w:pStyle w:val="ENoteTableHeading"/>
            </w:pPr>
            <w:r w:rsidRPr="005071A1">
              <w:t>Provision affected</w:t>
            </w:r>
          </w:p>
        </w:tc>
        <w:tc>
          <w:tcPr>
            <w:tcW w:w="4551" w:type="dxa"/>
            <w:tcBorders>
              <w:top w:val="single" w:sz="12" w:space="0" w:color="auto"/>
              <w:bottom w:val="single" w:sz="12" w:space="0" w:color="auto"/>
            </w:tcBorders>
            <w:shd w:val="clear" w:color="auto" w:fill="auto"/>
          </w:tcPr>
          <w:p w14:paraId="52E364D8" w14:textId="77777777" w:rsidR="009B7AF5" w:rsidRPr="005071A1" w:rsidRDefault="009B7AF5" w:rsidP="00022B83">
            <w:pPr>
              <w:pStyle w:val="ENoteTableHeading"/>
            </w:pPr>
            <w:r w:rsidRPr="005071A1">
              <w:t>How affected</w:t>
            </w:r>
          </w:p>
        </w:tc>
      </w:tr>
      <w:tr w:rsidR="009B7AF5" w:rsidRPr="005071A1" w14:paraId="4F832558" w14:textId="77777777" w:rsidTr="00962E93">
        <w:trPr>
          <w:cantSplit/>
        </w:trPr>
        <w:tc>
          <w:tcPr>
            <w:tcW w:w="2551" w:type="dxa"/>
            <w:tcBorders>
              <w:top w:val="single" w:sz="2" w:space="0" w:color="auto"/>
            </w:tcBorders>
          </w:tcPr>
          <w:p w14:paraId="45FC38CA" w14:textId="77777777" w:rsidR="009B7AF5" w:rsidRPr="005071A1" w:rsidRDefault="009B7AF5" w:rsidP="002477D1">
            <w:pPr>
              <w:pStyle w:val="ENoteTableText"/>
              <w:tabs>
                <w:tab w:val="center" w:leader="dot" w:pos="2268"/>
              </w:tabs>
            </w:pPr>
            <w:r w:rsidRPr="005071A1">
              <w:t>Title</w:t>
            </w:r>
            <w:r w:rsidRPr="005071A1">
              <w:tab/>
            </w:r>
          </w:p>
        </w:tc>
        <w:tc>
          <w:tcPr>
            <w:tcW w:w="4551" w:type="dxa"/>
            <w:tcBorders>
              <w:top w:val="single" w:sz="2" w:space="0" w:color="auto"/>
            </w:tcBorders>
          </w:tcPr>
          <w:p w14:paraId="781B6F20" w14:textId="77777777" w:rsidR="009B7AF5" w:rsidRPr="005071A1" w:rsidRDefault="009B7AF5" w:rsidP="009B7AF5">
            <w:pPr>
              <w:pStyle w:val="ENoteTableText"/>
            </w:pPr>
            <w:r w:rsidRPr="005071A1">
              <w:t>am. No.</w:t>
            </w:r>
            <w:r w:rsidR="008B2950" w:rsidRPr="005071A1">
              <w:t> </w:t>
            </w:r>
            <w:r w:rsidRPr="005071A1">
              <w:t>97, 1965</w:t>
            </w:r>
          </w:p>
        </w:tc>
      </w:tr>
      <w:tr w:rsidR="009B7AF5" w:rsidRPr="005071A1" w14:paraId="280A8B50" w14:textId="77777777" w:rsidTr="00962E93">
        <w:trPr>
          <w:cantSplit/>
        </w:trPr>
        <w:tc>
          <w:tcPr>
            <w:tcW w:w="2551" w:type="dxa"/>
          </w:tcPr>
          <w:p w14:paraId="753C9195" w14:textId="77777777" w:rsidR="009B7AF5" w:rsidRPr="005071A1" w:rsidRDefault="009B7AF5" w:rsidP="009B7AF5">
            <w:pPr>
              <w:pStyle w:val="ENoteTableText"/>
            </w:pPr>
            <w:r w:rsidRPr="005071A1">
              <w:rPr>
                <w:b/>
              </w:rPr>
              <w:t>Part</w:t>
            </w:r>
            <w:r w:rsidR="002477D1" w:rsidRPr="005071A1">
              <w:rPr>
                <w:b/>
              </w:rPr>
              <w:t> </w:t>
            </w:r>
            <w:r w:rsidRPr="005071A1">
              <w:rPr>
                <w:b/>
              </w:rPr>
              <w:t>I</w:t>
            </w:r>
          </w:p>
        </w:tc>
        <w:tc>
          <w:tcPr>
            <w:tcW w:w="4551" w:type="dxa"/>
          </w:tcPr>
          <w:p w14:paraId="2FAA018F" w14:textId="77777777" w:rsidR="009B7AF5" w:rsidRPr="005071A1" w:rsidRDefault="009B7AF5" w:rsidP="009B7AF5">
            <w:pPr>
              <w:pStyle w:val="ENoteTableText"/>
            </w:pPr>
          </w:p>
        </w:tc>
      </w:tr>
      <w:tr w:rsidR="009B7AF5" w:rsidRPr="005071A1" w14:paraId="5843BE9B" w14:textId="77777777" w:rsidTr="00962E93">
        <w:trPr>
          <w:cantSplit/>
        </w:trPr>
        <w:tc>
          <w:tcPr>
            <w:tcW w:w="2551" w:type="dxa"/>
          </w:tcPr>
          <w:p w14:paraId="378F5707" w14:textId="77777777" w:rsidR="009B7AF5" w:rsidRPr="005071A1" w:rsidRDefault="002477D1" w:rsidP="002477D1">
            <w:pPr>
              <w:pStyle w:val="ENoteTableText"/>
              <w:tabs>
                <w:tab w:val="center" w:leader="dot" w:pos="2268"/>
              </w:tabs>
            </w:pPr>
            <w:r w:rsidRPr="005071A1">
              <w:t>s.</w:t>
            </w:r>
            <w:r w:rsidR="009B7AF5" w:rsidRPr="005071A1">
              <w:t xml:space="preserve"> 3</w:t>
            </w:r>
            <w:r w:rsidR="009B7AF5" w:rsidRPr="005071A1">
              <w:tab/>
            </w:r>
          </w:p>
        </w:tc>
        <w:tc>
          <w:tcPr>
            <w:tcW w:w="4551" w:type="dxa"/>
          </w:tcPr>
          <w:p w14:paraId="110A6EA7"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22, 1930; No.</w:t>
            </w:r>
            <w:r w:rsidR="008B2950" w:rsidRPr="005071A1">
              <w:t> </w:t>
            </w:r>
            <w:r w:rsidRPr="005071A1">
              <w:t>28, 1937; No.</w:t>
            </w:r>
            <w:r w:rsidR="008B2950" w:rsidRPr="005071A1">
              <w:t> </w:t>
            </w:r>
            <w:r w:rsidRPr="005071A1">
              <w:t>18, 1943; No.</w:t>
            </w:r>
            <w:r w:rsidR="008B2950" w:rsidRPr="005071A1">
              <w:t> </w:t>
            </w:r>
            <w:r w:rsidRPr="005071A1">
              <w:t>30, 1945; No.</w:t>
            </w:r>
            <w:r w:rsidR="008B2950" w:rsidRPr="005071A1">
              <w:t> </w:t>
            </w:r>
            <w:r w:rsidRPr="005071A1">
              <w:t>35, 1947; No.</w:t>
            </w:r>
            <w:r w:rsidR="008B2950" w:rsidRPr="005071A1">
              <w:t> </w:t>
            </w:r>
            <w:r w:rsidRPr="005071A1">
              <w:t>19, 1948; No.</w:t>
            </w:r>
            <w:r w:rsidR="008B2950" w:rsidRPr="005071A1">
              <w:t> </w:t>
            </w:r>
            <w:r w:rsidRPr="005071A1">
              <w:t>49, 1951; No.</w:t>
            </w:r>
            <w:r w:rsidR="008B2950" w:rsidRPr="005071A1">
              <w:t> </w:t>
            </w:r>
            <w:r w:rsidRPr="005071A1">
              <w:t>92,1952</w:t>
            </w:r>
          </w:p>
        </w:tc>
      </w:tr>
      <w:tr w:rsidR="009B7AF5" w:rsidRPr="005071A1" w14:paraId="58240B75" w14:textId="77777777" w:rsidTr="00962E93">
        <w:trPr>
          <w:cantSplit/>
        </w:trPr>
        <w:tc>
          <w:tcPr>
            <w:tcW w:w="2551" w:type="dxa"/>
          </w:tcPr>
          <w:p w14:paraId="39F41427" w14:textId="77777777" w:rsidR="009B7AF5" w:rsidRPr="005071A1" w:rsidRDefault="009B7AF5" w:rsidP="009B7AF5">
            <w:pPr>
              <w:pStyle w:val="ENoteTableText"/>
            </w:pPr>
          </w:p>
        </w:tc>
        <w:tc>
          <w:tcPr>
            <w:tcW w:w="4551" w:type="dxa"/>
          </w:tcPr>
          <w:p w14:paraId="63B5FFD2" w14:textId="77777777" w:rsidR="009B7AF5" w:rsidRPr="005071A1" w:rsidRDefault="009B7AF5" w:rsidP="009B7AF5">
            <w:pPr>
              <w:pStyle w:val="ENoteTableText"/>
            </w:pPr>
            <w:r w:rsidRPr="005071A1">
              <w:t>rs. No.</w:t>
            </w:r>
            <w:r w:rsidR="008B2950" w:rsidRPr="005071A1">
              <w:t> </w:t>
            </w:r>
            <w:r w:rsidRPr="005071A1">
              <w:t>112, 1956; No.</w:t>
            </w:r>
            <w:r w:rsidR="008B2950" w:rsidRPr="005071A1">
              <w:t> </w:t>
            </w:r>
            <w:r w:rsidRPr="005071A1">
              <w:t>102, 1959</w:t>
            </w:r>
          </w:p>
        </w:tc>
      </w:tr>
      <w:tr w:rsidR="009B7AF5" w:rsidRPr="005071A1" w14:paraId="136B29BF" w14:textId="77777777" w:rsidTr="00962E93">
        <w:trPr>
          <w:cantSplit/>
        </w:trPr>
        <w:tc>
          <w:tcPr>
            <w:tcW w:w="2551" w:type="dxa"/>
          </w:tcPr>
          <w:p w14:paraId="79D85E1E" w14:textId="77777777" w:rsidR="009B7AF5" w:rsidRPr="005071A1" w:rsidRDefault="009B7AF5" w:rsidP="009B7AF5">
            <w:pPr>
              <w:pStyle w:val="ENoteTableText"/>
            </w:pPr>
          </w:p>
        </w:tc>
        <w:tc>
          <w:tcPr>
            <w:tcW w:w="4551" w:type="dxa"/>
          </w:tcPr>
          <w:p w14:paraId="7C9FA433" w14:textId="77777777" w:rsidR="009B7AF5" w:rsidRPr="005071A1" w:rsidRDefault="009B7AF5" w:rsidP="009B7AF5">
            <w:pPr>
              <w:pStyle w:val="ENoteTableText"/>
            </w:pPr>
            <w:r w:rsidRPr="005071A1">
              <w:t>am. No.</w:t>
            </w:r>
            <w:r w:rsidR="008B2950" w:rsidRPr="005071A1">
              <w:t> </w:t>
            </w:r>
            <w:r w:rsidRPr="005071A1">
              <w:t>97, 1965; No.</w:t>
            </w:r>
            <w:r w:rsidR="008B2950" w:rsidRPr="005071A1">
              <w:t> </w:t>
            </w:r>
            <w:r w:rsidRPr="005071A1">
              <w:t>86, 1966; No.</w:t>
            </w:r>
            <w:r w:rsidR="008B2950" w:rsidRPr="005071A1">
              <w:t> </w:t>
            </w:r>
            <w:r w:rsidRPr="005071A1">
              <w:t>49, 1968; No.</w:t>
            </w:r>
            <w:r w:rsidR="008B2950" w:rsidRPr="005071A1">
              <w:t> </w:t>
            </w:r>
            <w:r w:rsidRPr="005071A1">
              <w:t>26, 1969; No.</w:t>
            </w:r>
            <w:r w:rsidR="008B2950" w:rsidRPr="005071A1">
              <w:t> </w:t>
            </w:r>
            <w:r w:rsidRPr="005071A1">
              <w:t>46, 1971; No.</w:t>
            </w:r>
            <w:r w:rsidR="008B2950" w:rsidRPr="005071A1">
              <w:t> </w:t>
            </w:r>
            <w:r w:rsidRPr="005071A1">
              <w:t>46, 1973</w:t>
            </w:r>
          </w:p>
        </w:tc>
      </w:tr>
      <w:tr w:rsidR="009B7AF5" w:rsidRPr="005071A1" w14:paraId="5C603097" w14:textId="77777777" w:rsidTr="00962E93">
        <w:trPr>
          <w:cantSplit/>
        </w:trPr>
        <w:tc>
          <w:tcPr>
            <w:tcW w:w="2551" w:type="dxa"/>
          </w:tcPr>
          <w:p w14:paraId="112D498C" w14:textId="77777777" w:rsidR="009B7AF5" w:rsidRPr="005071A1" w:rsidRDefault="009B7AF5" w:rsidP="009B7AF5">
            <w:pPr>
              <w:pStyle w:val="ENoteTableText"/>
            </w:pPr>
          </w:p>
        </w:tc>
        <w:tc>
          <w:tcPr>
            <w:tcW w:w="4551" w:type="dxa"/>
          </w:tcPr>
          <w:p w14:paraId="116B4C70" w14:textId="77777777" w:rsidR="009B7AF5" w:rsidRPr="005071A1" w:rsidRDefault="009B7AF5" w:rsidP="009B7AF5">
            <w:pPr>
              <w:pStyle w:val="ENoteTableText"/>
            </w:pPr>
            <w:r w:rsidRPr="005071A1">
              <w:t>rep. No.</w:t>
            </w:r>
            <w:r w:rsidR="008B2950" w:rsidRPr="005071A1">
              <w:t> </w:t>
            </w:r>
            <w:r w:rsidRPr="005071A1">
              <w:t>216, 1973</w:t>
            </w:r>
          </w:p>
        </w:tc>
      </w:tr>
      <w:tr w:rsidR="009B7AF5" w:rsidRPr="005071A1" w14:paraId="4CBAA699" w14:textId="77777777" w:rsidTr="00962E93">
        <w:trPr>
          <w:cantSplit/>
        </w:trPr>
        <w:tc>
          <w:tcPr>
            <w:tcW w:w="2551" w:type="dxa"/>
          </w:tcPr>
          <w:p w14:paraId="7134EAC4" w14:textId="77777777" w:rsidR="009B7AF5" w:rsidRPr="005071A1" w:rsidRDefault="009B7AF5" w:rsidP="009B7AF5">
            <w:pPr>
              <w:pStyle w:val="ENoteTableText"/>
            </w:pPr>
          </w:p>
        </w:tc>
        <w:tc>
          <w:tcPr>
            <w:tcW w:w="4551" w:type="dxa"/>
          </w:tcPr>
          <w:p w14:paraId="161F6036"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0A6286E8" w14:textId="77777777" w:rsidTr="00962E93">
        <w:trPr>
          <w:cantSplit/>
        </w:trPr>
        <w:tc>
          <w:tcPr>
            <w:tcW w:w="2551" w:type="dxa"/>
          </w:tcPr>
          <w:p w14:paraId="2F961127" w14:textId="77777777" w:rsidR="009B7AF5" w:rsidRPr="005071A1" w:rsidRDefault="002477D1" w:rsidP="002477D1">
            <w:pPr>
              <w:pStyle w:val="ENoteTableText"/>
              <w:tabs>
                <w:tab w:val="center" w:leader="dot" w:pos="2268"/>
              </w:tabs>
            </w:pPr>
            <w:r w:rsidRPr="005071A1">
              <w:t>s</w:t>
            </w:r>
            <w:r w:rsidR="009B7AF5" w:rsidRPr="005071A1">
              <w:t xml:space="preserve"> 4</w:t>
            </w:r>
            <w:r w:rsidR="009B7AF5" w:rsidRPr="005071A1">
              <w:tab/>
            </w:r>
          </w:p>
        </w:tc>
        <w:tc>
          <w:tcPr>
            <w:tcW w:w="4551" w:type="dxa"/>
          </w:tcPr>
          <w:p w14:paraId="2B1CC948" w14:textId="77777777" w:rsidR="009B7AF5" w:rsidRPr="005071A1" w:rsidRDefault="009B7AF5" w:rsidP="009F2B01">
            <w:pPr>
              <w:pStyle w:val="ENoteTableText"/>
            </w:pPr>
            <w:r w:rsidRPr="005071A1">
              <w:t>am No</w:t>
            </w:r>
            <w:r w:rsidR="00220F20" w:rsidRPr="005071A1">
              <w:t> </w:t>
            </w:r>
            <w:r w:rsidRPr="005071A1">
              <w:t>45, 1924; No</w:t>
            </w:r>
            <w:r w:rsidR="00220F20" w:rsidRPr="005071A1">
              <w:t> </w:t>
            </w:r>
            <w:r w:rsidRPr="005071A1">
              <w:t>22, 1930; No</w:t>
            </w:r>
            <w:r w:rsidR="00220F20" w:rsidRPr="005071A1">
              <w:t> </w:t>
            </w:r>
            <w:r w:rsidRPr="005071A1">
              <w:t>28, 1937; No</w:t>
            </w:r>
            <w:r w:rsidR="00220F20" w:rsidRPr="005071A1">
              <w:t> </w:t>
            </w:r>
            <w:r w:rsidRPr="005071A1">
              <w:t>53, 1942; No</w:t>
            </w:r>
            <w:r w:rsidR="00220F20" w:rsidRPr="005071A1">
              <w:t> </w:t>
            </w:r>
            <w:r w:rsidRPr="005071A1">
              <w:t>15, 1945; No</w:t>
            </w:r>
            <w:r w:rsidR="00220F20" w:rsidRPr="005071A1">
              <w:t> </w:t>
            </w:r>
            <w:r w:rsidRPr="005071A1">
              <w:t>35, 1947; No</w:t>
            </w:r>
            <w:r w:rsidR="00220F20" w:rsidRPr="005071A1">
              <w:t> </w:t>
            </w:r>
            <w:r w:rsidRPr="005071A1">
              <w:t>19, 1948; No</w:t>
            </w:r>
            <w:r w:rsidR="00220F20" w:rsidRPr="005071A1">
              <w:t> </w:t>
            </w:r>
            <w:r w:rsidRPr="005071A1">
              <w:t>49, 1951; No</w:t>
            </w:r>
            <w:r w:rsidR="00220F20" w:rsidRPr="005071A1">
              <w:t> </w:t>
            </w:r>
            <w:r w:rsidRPr="005071A1">
              <w:t>11,1954; No</w:t>
            </w:r>
            <w:r w:rsidR="00220F20" w:rsidRPr="005071A1">
              <w:t> </w:t>
            </w:r>
            <w:r w:rsidRPr="005071A1">
              <w:t>112, 1956; No</w:t>
            </w:r>
            <w:r w:rsidR="00220F20" w:rsidRPr="005071A1">
              <w:t> </w:t>
            </w:r>
            <w:r w:rsidRPr="005071A1">
              <w:t>102, 1959; No</w:t>
            </w:r>
            <w:r w:rsidR="00220F20" w:rsidRPr="005071A1">
              <w:t> </w:t>
            </w:r>
            <w:r w:rsidRPr="005071A1">
              <w:t>102, 1963; No</w:t>
            </w:r>
            <w:r w:rsidR="00220F20" w:rsidRPr="005071A1">
              <w:t> </w:t>
            </w:r>
            <w:r w:rsidRPr="005071A1">
              <w:t>97, 1965; No</w:t>
            </w:r>
            <w:r w:rsidR="00220F20" w:rsidRPr="005071A1">
              <w:t> </w:t>
            </w:r>
            <w:r w:rsidRPr="005071A1">
              <w:t>49, 1968; No 14</w:t>
            </w:r>
            <w:r w:rsidR="00A3023D" w:rsidRPr="005071A1">
              <w:t>, 1969;</w:t>
            </w:r>
            <w:r w:rsidRPr="005071A1">
              <w:t xml:space="preserve"> </w:t>
            </w:r>
            <w:r w:rsidR="00A3023D" w:rsidRPr="005071A1">
              <w:t>No</w:t>
            </w:r>
            <w:r w:rsidRPr="005071A1">
              <w:t xml:space="preserve"> 26, 1969; No</w:t>
            </w:r>
            <w:r w:rsidR="00220F20" w:rsidRPr="005071A1">
              <w:t> </w:t>
            </w:r>
            <w:r w:rsidRPr="005071A1">
              <w:t>46, 1971; No 83</w:t>
            </w:r>
            <w:r w:rsidR="00A3023D" w:rsidRPr="005071A1">
              <w:t>, 1973;</w:t>
            </w:r>
            <w:r w:rsidRPr="005071A1">
              <w:t xml:space="preserve"> </w:t>
            </w:r>
            <w:r w:rsidR="00A3023D" w:rsidRPr="005071A1">
              <w:t>No</w:t>
            </w:r>
            <w:r w:rsidRPr="005071A1">
              <w:t xml:space="preserve"> 135, 1973; No</w:t>
            </w:r>
            <w:r w:rsidR="00220F20" w:rsidRPr="005071A1">
              <w:t> </w:t>
            </w:r>
            <w:r w:rsidRPr="005071A1">
              <w:t>32, 1976; No</w:t>
            </w:r>
            <w:r w:rsidR="00220F20" w:rsidRPr="005071A1">
              <w:t> </w:t>
            </w:r>
            <w:r w:rsidRPr="005071A1">
              <w:t>17, 1978; No</w:t>
            </w:r>
            <w:r w:rsidR="00220F20" w:rsidRPr="005071A1">
              <w:t> </w:t>
            </w:r>
            <w:r w:rsidRPr="005071A1">
              <w:t>151, 1986; No</w:t>
            </w:r>
            <w:r w:rsidR="00220F20" w:rsidRPr="005071A1">
              <w:t> </w:t>
            </w:r>
            <w:r w:rsidRPr="005071A1">
              <w:t>10, 2001; No</w:t>
            </w:r>
            <w:r w:rsidR="00220F20" w:rsidRPr="005071A1">
              <w:t> </w:t>
            </w:r>
            <w:r w:rsidRPr="005071A1">
              <w:t>58, 2004; No</w:t>
            </w:r>
            <w:r w:rsidR="00220F20" w:rsidRPr="005071A1">
              <w:t> </w:t>
            </w:r>
            <w:r w:rsidRPr="005071A1">
              <w:t>58, 2011</w:t>
            </w:r>
            <w:r w:rsidR="00F83505" w:rsidRPr="005071A1">
              <w:t>; No 31, 2014</w:t>
            </w:r>
            <w:r w:rsidR="000E2400" w:rsidRPr="005071A1">
              <w:t>; No 80, 2018</w:t>
            </w:r>
            <w:r w:rsidR="00C860B0" w:rsidRPr="005071A1">
              <w:t>; No 57, 2023</w:t>
            </w:r>
            <w:r w:rsidR="00351C6C" w:rsidRPr="005071A1">
              <w:t>; No 38, 2024</w:t>
            </w:r>
          </w:p>
        </w:tc>
      </w:tr>
      <w:tr w:rsidR="009B7AF5" w:rsidRPr="005071A1" w14:paraId="7FAC3452" w14:textId="77777777" w:rsidTr="00962E93">
        <w:trPr>
          <w:cantSplit/>
        </w:trPr>
        <w:tc>
          <w:tcPr>
            <w:tcW w:w="2551" w:type="dxa"/>
          </w:tcPr>
          <w:p w14:paraId="00DE2B28" w14:textId="77777777" w:rsidR="009B7AF5" w:rsidRPr="005071A1" w:rsidRDefault="002477D1" w:rsidP="002477D1">
            <w:pPr>
              <w:pStyle w:val="ENoteTableText"/>
              <w:tabs>
                <w:tab w:val="center" w:leader="dot" w:pos="2268"/>
              </w:tabs>
            </w:pPr>
            <w:r w:rsidRPr="005071A1">
              <w:t>s.</w:t>
            </w:r>
            <w:r w:rsidR="009B7AF5" w:rsidRPr="005071A1">
              <w:t xml:space="preserve"> 4AA</w:t>
            </w:r>
            <w:r w:rsidR="009B7AF5" w:rsidRPr="005071A1">
              <w:tab/>
            </w:r>
          </w:p>
        </w:tc>
        <w:tc>
          <w:tcPr>
            <w:tcW w:w="4551" w:type="dxa"/>
          </w:tcPr>
          <w:p w14:paraId="662A4BD6" w14:textId="77777777" w:rsidR="009B7AF5" w:rsidRPr="005071A1" w:rsidRDefault="009B7AF5" w:rsidP="009B7AF5">
            <w:pPr>
              <w:pStyle w:val="ENoteTableText"/>
            </w:pPr>
            <w:r w:rsidRPr="005071A1">
              <w:t>ad. No.</w:t>
            </w:r>
            <w:r w:rsidR="008B2950" w:rsidRPr="005071A1">
              <w:t> </w:t>
            </w:r>
            <w:r w:rsidRPr="005071A1">
              <w:t>49, 1968</w:t>
            </w:r>
          </w:p>
        </w:tc>
      </w:tr>
      <w:tr w:rsidR="009B7AF5" w:rsidRPr="005071A1" w14:paraId="7F765C02" w14:textId="77777777" w:rsidTr="00962E93">
        <w:trPr>
          <w:cantSplit/>
        </w:trPr>
        <w:tc>
          <w:tcPr>
            <w:tcW w:w="2551" w:type="dxa"/>
          </w:tcPr>
          <w:p w14:paraId="0C602275" w14:textId="77777777" w:rsidR="009B7AF5" w:rsidRPr="005071A1" w:rsidRDefault="009B7AF5" w:rsidP="009B7AF5">
            <w:pPr>
              <w:pStyle w:val="ENoteTableText"/>
            </w:pPr>
          </w:p>
        </w:tc>
        <w:tc>
          <w:tcPr>
            <w:tcW w:w="4551" w:type="dxa"/>
          </w:tcPr>
          <w:p w14:paraId="5F168EEF" w14:textId="77777777" w:rsidR="009B7AF5" w:rsidRPr="005071A1" w:rsidRDefault="009B7AF5" w:rsidP="009B7AF5">
            <w:pPr>
              <w:pStyle w:val="ENoteTableText"/>
            </w:pPr>
            <w:r w:rsidRPr="005071A1">
              <w:t>am. No.</w:t>
            </w:r>
            <w:r w:rsidR="008B2950" w:rsidRPr="005071A1">
              <w:t> </w:t>
            </w:r>
            <w:r w:rsidRPr="005071A1">
              <w:t>83, 1973</w:t>
            </w:r>
          </w:p>
        </w:tc>
      </w:tr>
      <w:tr w:rsidR="009B7AF5" w:rsidRPr="005071A1" w14:paraId="2DF088E1" w14:textId="77777777" w:rsidTr="00962E93">
        <w:trPr>
          <w:cantSplit/>
        </w:trPr>
        <w:tc>
          <w:tcPr>
            <w:tcW w:w="2551" w:type="dxa"/>
          </w:tcPr>
          <w:p w14:paraId="7AB4BC39" w14:textId="77777777" w:rsidR="009B7AF5" w:rsidRPr="005071A1" w:rsidRDefault="002477D1" w:rsidP="002477D1">
            <w:pPr>
              <w:pStyle w:val="ENoteTableText"/>
              <w:tabs>
                <w:tab w:val="center" w:leader="dot" w:pos="2268"/>
              </w:tabs>
            </w:pPr>
            <w:r w:rsidRPr="005071A1">
              <w:t>s.</w:t>
            </w:r>
            <w:r w:rsidR="009B7AF5" w:rsidRPr="005071A1">
              <w:t xml:space="preserve"> 4A</w:t>
            </w:r>
            <w:r w:rsidR="009B7AF5" w:rsidRPr="005071A1">
              <w:tab/>
            </w:r>
          </w:p>
        </w:tc>
        <w:tc>
          <w:tcPr>
            <w:tcW w:w="4551" w:type="dxa"/>
          </w:tcPr>
          <w:p w14:paraId="02A5CE85"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4D311118" w14:textId="77777777" w:rsidTr="00962E93">
        <w:trPr>
          <w:cantSplit/>
        </w:trPr>
        <w:tc>
          <w:tcPr>
            <w:tcW w:w="2551" w:type="dxa"/>
          </w:tcPr>
          <w:p w14:paraId="7FBFDAEE" w14:textId="77777777" w:rsidR="009B7AF5" w:rsidRPr="005071A1" w:rsidRDefault="009B7AF5" w:rsidP="009B7AF5">
            <w:pPr>
              <w:pStyle w:val="ENoteTableText"/>
            </w:pPr>
          </w:p>
        </w:tc>
        <w:tc>
          <w:tcPr>
            <w:tcW w:w="4551" w:type="dxa"/>
          </w:tcPr>
          <w:p w14:paraId="7E3EE055"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09BE7E9D" w14:textId="77777777" w:rsidTr="00962E93">
        <w:trPr>
          <w:cantSplit/>
        </w:trPr>
        <w:tc>
          <w:tcPr>
            <w:tcW w:w="2551" w:type="dxa"/>
          </w:tcPr>
          <w:p w14:paraId="6E699511" w14:textId="77777777" w:rsidR="009B7AF5" w:rsidRPr="005071A1" w:rsidRDefault="002477D1" w:rsidP="002477D1">
            <w:pPr>
              <w:pStyle w:val="ENoteTableText"/>
              <w:tabs>
                <w:tab w:val="center" w:leader="dot" w:pos="2268"/>
              </w:tabs>
            </w:pPr>
            <w:r w:rsidRPr="005071A1">
              <w:t>s.</w:t>
            </w:r>
            <w:r w:rsidR="009B7AF5" w:rsidRPr="005071A1">
              <w:t xml:space="preserve"> 5</w:t>
            </w:r>
            <w:r w:rsidR="009B7AF5" w:rsidRPr="005071A1">
              <w:tab/>
            </w:r>
          </w:p>
        </w:tc>
        <w:tc>
          <w:tcPr>
            <w:tcW w:w="4551" w:type="dxa"/>
          </w:tcPr>
          <w:p w14:paraId="638894BA"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572FB9F8" w14:textId="77777777" w:rsidTr="00962E93">
        <w:trPr>
          <w:cantSplit/>
        </w:trPr>
        <w:tc>
          <w:tcPr>
            <w:tcW w:w="2551" w:type="dxa"/>
          </w:tcPr>
          <w:p w14:paraId="6C0BF4BF" w14:textId="77777777" w:rsidR="009B7AF5" w:rsidRPr="005071A1" w:rsidRDefault="009B7AF5" w:rsidP="009B7AF5">
            <w:pPr>
              <w:pStyle w:val="ENoteTableText"/>
            </w:pPr>
          </w:p>
        </w:tc>
        <w:tc>
          <w:tcPr>
            <w:tcW w:w="4551" w:type="dxa"/>
          </w:tcPr>
          <w:p w14:paraId="21B92791" w14:textId="77777777" w:rsidR="009B7AF5" w:rsidRPr="005071A1" w:rsidRDefault="009B7AF5" w:rsidP="009B7AF5">
            <w:pPr>
              <w:pStyle w:val="ENoteTableText"/>
            </w:pPr>
            <w:r w:rsidRPr="005071A1">
              <w:t>am. No.</w:t>
            </w:r>
            <w:r w:rsidR="008B2950" w:rsidRPr="005071A1">
              <w:t> </w:t>
            </w:r>
            <w:r w:rsidRPr="005071A1">
              <w:t>53, 1942; No.</w:t>
            </w:r>
            <w:r w:rsidR="008B2950" w:rsidRPr="005071A1">
              <w:t> </w:t>
            </w:r>
            <w:r w:rsidRPr="005071A1">
              <w:t>15, 1945</w:t>
            </w:r>
          </w:p>
        </w:tc>
      </w:tr>
      <w:tr w:rsidR="009B7AF5" w:rsidRPr="005071A1" w14:paraId="6D77EA2C" w14:textId="77777777" w:rsidTr="00962E93">
        <w:trPr>
          <w:cantSplit/>
        </w:trPr>
        <w:tc>
          <w:tcPr>
            <w:tcW w:w="2551" w:type="dxa"/>
          </w:tcPr>
          <w:p w14:paraId="5CFE4632" w14:textId="77777777" w:rsidR="009B7AF5" w:rsidRPr="005071A1" w:rsidRDefault="009B7AF5" w:rsidP="009B7AF5">
            <w:pPr>
              <w:pStyle w:val="ENoteTableText"/>
            </w:pPr>
          </w:p>
        </w:tc>
        <w:tc>
          <w:tcPr>
            <w:tcW w:w="4551" w:type="dxa"/>
          </w:tcPr>
          <w:p w14:paraId="21D7C39C" w14:textId="77777777" w:rsidR="009B7AF5" w:rsidRPr="005071A1" w:rsidRDefault="009B7AF5" w:rsidP="009B7AF5">
            <w:pPr>
              <w:pStyle w:val="ENoteTableText"/>
            </w:pPr>
            <w:r w:rsidRPr="005071A1">
              <w:t>rs. No.</w:t>
            </w:r>
            <w:r w:rsidR="008B2950" w:rsidRPr="005071A1">
              <w:t> </w:t>
            </w:r>
            <w:r w:rsidRPr="005071A1">
              <w:t>11, 1954</w:t>
            </w:r>
          </w:p>
        </w:tc>
      </w:tr>
      <w:tr w:rsidR="009B7AF5" w:rsidRPr="005071A1" w14:paraId="16AF5094" w14:textId="77777777" w:rsidTr="00962E93">
        <w:trPr>
          <w:cantSplit/>
        </w:trPr>
        <w:tc>
          <w:tcPr>
            <w:tcW w:w="2551" w:type="dxa"/>
          </w:tcPr>
          <w:p w14:paraId="2C5F8429" w14:textId="77777777" w:rsidR="009B7AF5" w:rsidRPr="005071A1" w:rsidRDefault="009B7AF5" w:rsidP="009B7AF5">
            <w:pPr>
              <w:pStyle w:val="ENoteTableText"/>
            </w:pPr>
          </w:p>
        </w:tc>
        <w:tc>
          <w:tcPr>
            <w:tcW w:w="4551" w:type="dxa"/>
          </w:tcPr>
          <w:p w14:paraId="675DDB34"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04E8F452" w14:textId="77777777" w:rsidTr="00962E93">
        <w:trPr>
          <w:cantSplit/>
        </w:trPr>
        <w:tc>
          <w:tcPr>
            <w:tcW w:w="2551" w:type="dxa"/>
          </w:tcPr>
          <w:p w14:paraId="5EB30CD0" w14:textId="77777777" w:rsidR="009B7AF5" w:rsidRPr="005071A1" w:rsidRDefault="009B7AF5" w:rsidP="009B7AF5">
            <w:pPr>
              <w:pStyle w:val="ENoteTableText"/>
            </w:pPr>
          </w:p>
        </w:tc>
        <w:tc>
          <w:tcPr>
            <w:tcW w:w="4551" w:type="dxa"/>
          </w:tcPr>
          <w:p w14:paraId="15FF799B"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3B53010C" w14:textId="77777777" w:rsidTr="00962E93">
        <w:trPr>
          <w:cantSplit/>
        </w:trPr>
        <w:tc>
          <w:tcPr>
            <w:tcW w:w="2551" w:type="dxa"/>
          </w:tcPr>
          <w:p w14:paraId="77F1AC6D" w14:textId="77777777" w:rsidR="009B7AF5" w:rsidRPr="005071A1" w:rsidRDefault="009B7AF5" w:rsidP="009B7AF5">
            <w:pPr>
              <w:pStyle w:val="ENoteTableText"/>
            </w:pPr>
          </w:p>
        </w:tc>
        <w:tc>
          <w:tcPr>
            <w:tcW w:w="4551" w:type="dxa"/>
          </w:tcPr>
          <w:p w14:paraId="0D70CC1C"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6185724B" w14:textId="77777777" w:rsidTr="00962E93">
        <w:trPr>
          <w:cantSplit/>
        </w:trPr>
        <w:tc>
          <w:tcPr>
            <w:tcW w:w="2551" w:type="dxa"/>
          </w:tcPr>
          <w:p w14:paraId="7A5C1002" w14:textId="77777777" w:rsidR="009B7AF5" w:rsidRPr="005071A1" w:rsidRDefault="002477D1" w:rsidP="002477D1">
            <w:pPr>
              <w:pStyle w:val="ENoteTableText"/>
              <w:tabs>
                <w:tab w:val="center" w:leader="dot" w:pos="2268"/>
              </w:tabs>
            </w:pPr>
            <w:r w:rsidRPr="005071A1">
              <w:t>s.</w:t>
            </w:r>
            <w:r w:rsidR="009B7AF5" w:rsidRPr="005071A1">
              <w:t xml:space="preserve"> 6</w:t>
            </w:r>
            <w:r w:rsidR="009B7AF5" w:rsidRPr="005071A1">
              <w:tab/>
            </w:r>
          </w:p>
        </w:tc>
        <w:tc>
          <w:tcPr>
            <w:tcW w:w="4551" w:type="dxa"/>
          </w:tcPr>
          <w:p w14:paraId="38DF1716" w14:textId="77777777" w:rsidR="009B7AF5" w:rsidRPr="005071A1" w:rsidRDefault="009B7AF5" w:rsidP="009B7AF5">
            <w:pPr>
              <w:pStyle w:val="ENoteTableText"/>
            </w:pPr>
            <w:r w:rsidRPr="005071A1">
              <w:t>ad. No.</w:t>
            </w:r>
            <w:r w:rsidR="008B2950" w:rsidRPr="005071A1">
              <w:t> </w:t>
            </w:r>
            <w:r w:rsidRPr="005071A1">
              <w:t>15, 1945</w:t>
            </w:r>
          </w:p>
        </w:tc>
      </w:tr>
      <w:tr w:rsidR="009B7AF5" w:rsidRPr="005071A1" w14:paraId="3629606D" w14:textId="77777777" w:rsidTr="00962E93">
        <w:trPr>
          <w:cantSplit/>
        </w:trPr>
        <w:tc>
          <w:tcPr>
            <w:tcW w:w="2551" w:type="dxa"/>
          </w:tcPr>
          <w:p w14:paraId="577E9624" w14:textId="77777777" w:rsidR="009B7AF5" w:rsidRPr="005071A1" w:rsidRDefault="009B7AF5" w:rsidP="009B7AF5">
            <w:pPr>
              <w:pStyle w:val="ENoteTableText"/>
            </w:pPr>
          </w:p>
        </w:tc>
        <w:tc>
          <w:tcPr>
            <w:tcW w:w="4551" w:type="dxa"/>
          </w:tcPr>
          <w:p w14:paraId="2E52B653"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0F790F16" w14:textId="77777777" w:rsidTr="00962E93">
        <w:trPr>
          <w:cantSplit/>
        </w:trPr>
        <w:tc>
          <w:tcPr>
            <w:tcW w:w="2551" w:type="dxa"/>
          </w:tcPr>
          <w:p w14:paraId="6C64FA01" w14:textId="77777777" w:rsidR="009B7AF5" w:rsidRPr="005071A1" w:rsidRDefault="009B7AF5" w:rsidP="009B7AF5">
            <w:pPr>
              <w:pStyle w:val="ENoteTableText"/>
            </w:pPr>
          </w:p>
        </w:tc>
        <w:tc>
          <w:tcPr>
            <w:tcW w:w="4551" w:type="dxa"/>
          </w:tcPr>
          <w:p w14:paraId="78D7F258" w14:textId="77777777" w:rsidR="009B7AF5" w:rsidRPr="005071A1" w:rsidRDefault="009B7AF5" w:rsidP="009B7AF5">
            <w:pPr>
              <w:pStyle w:val="ENoteTableText"/>
            </w:pPr>
            <w:r w:rsidRPr="005071A1">
              <w:t>rep. No.</w:t>
            </w:r>
            <w:r w:rsidR="008B2950" w:rsidRPr="005071A1">
              <w:t> </w:t>
            </w:r>
            <w:r w:rsidRPr="005071A1">
              <w:t xml:space="preserve">86, 1966 </w:t>
            </w:r>
          </w:p>
        </w:tc>
      </w:tr>
      <w:tr w:rsidR="009B7AF5" w:rsidRPr="005071A1" w14:paraId="68692A57" w14:textId="77777777" w:rsidTr="00962E93">
        <w:trPr>
          <w:cantSplit/>
        </w:trPr>
        <w:tc>
          <w:tcPr>
            <w:tcW w:w="2551" w:type="dxa"/>
          </w:tcPr>
          <w:p w14:paraId="32446EDF" w14:textId="77777777" w:rsidR="009B7AF5" w:rsidRPr="005071A1" w:rsidRDefault="009B7AF5" w:rsidP="009B7AF5">
            <w:pPr>
              <w:pStyle w:val="ENoteTableText"/>
            </w:pPr>
          </w:p>
        </w:tc>
        <w:tc>
          <w:tcPr>
            <w:tcW w:w="4551" w:type="dxa"/>
          </w:tcPr>
          <w:p w14:paraId="065E3D7A" w14:textId="77777777" w:rsidR="009B7AF5" w:rsidRPr="005071A1" w:rsidRDefault="009B7AF5" w:rsidP="009B7AF5">
            <w:pPr>
              <w:pStyle w:val="ENoteTableText"/>
            </w:pPr>
            <w:r w:rsidRPr="005071A1">
              <w:t>ad. No.</w:t>
            </w:r>
            <w:r w:rsidR="008B2950" w:rsidRPr="005071A1">
              <w:t> </w:t>
            </w:r>
            <w:r w:rsidRPr="005071A1">
              <w:t>109, 2001</w:t>
            </w:r>
          </w:p>
        </w:tc>
      </w:tr>
      <w:tr w:rsidR="009B7AF5" w:rsidRPr="005071A1" w14:paraId="5D2D8296" w14:textId="77777777" w:rsidTr="00962E93">
        <w:trPr>
          <w:cantSplit/>
        </w:trPr>
        <w:tc>
          <w:tcPr>
            <w:tcW w:w="2551" w:type="dxa"/>
          </w:tcPr>
          <w:p w14:paraId="258A2E37" w14:textId="77777777" w:rsidR="009B7AF5" w:rsidRPr="005071A1" w:rsidRDefault="002477D1" w:rsidP="002477D1">
            <w:pPr>
              <w:pStyle w:val="ENoteTableText"/>
              <w:tabs>
                <w:tab w:val="center" w:leader="dot" w:pos="2268"/>
              </w:tabs>
            </w:pPr>
            <w:r w:rsidRPr="005071A1">
              <w:t>s.</w:t>
            </w:r>
            <w:r w:rsidR="009B7AF5" w:rsidRPr="005071A1">
              <w:t xml:space="preserve"> 7</w:t>
            </w:r>
            <w:r w:rsidR="009B7AF5" w:rsidRPr="005071A1">
              <w:tab/>
            </w:r>
          </w:p>
        </w:tc>
        <w:tc>
          <w:tcPr>
            <w:tcW w:w="4551" w:type="dxa"/>
          </w:tcPr>
          <w:p w14:paraId="411BA8F4" w14:textId="77777777" w:rsidR="009B7AF5" w:rsidRPr="005071A1" w:rsidRDefault="009B7AF5" w:rsidP="009B7AF5">
            <w:pPr>
              <w:pStyle w:val="ENoteTableText"/>
            </w:pPr>
            <w:r w:rsidRPr="005071A1">
              <w:t>ad. No.</w:t>
            </w:r>
            <w:r w:rsidR="008B2950" w:rsidRPr="005071A1">
              <w:t> </w:t>
            </w:r>
            <w:r w:rsidRPr="005071A1">
              <w:t>92, 1952</w:t>
            </w:r>
          </w:p>
        </w:tc>
      </w:tr>
      <w:tr w:rsidR="009B7AF5" w:rsidRPr="005071A1" w14:paraId="0DF8EB9A" w14:textId="77777777" w:rsidTr="00962E93">
        <w:trPr>
          <w:cantSplit/>
        </w:trPr>
        <w:tc>
          <w:tcPr>
            <w:tcW w:w="2551" w:type="dxa"/>
          </w:tcPr>
          <w:p w14:paraId="35F7AE8D" w14:textId="77777777" w:rsidR="009B7AF5" w:rsidRPr="005071A1" w:rsidRDefault="009B7AF5" w:rsidP="009B7AF5">
            <w:pPr>
              <w:pStyle w:val="ENoteTableText"/>
            </w:pPr>
          </w:p>
        </w:tc>
        <w:tc>
          <w:tcPr>
            <w:tcW w:w="4551" w:type="dxa"/>
          </w:tcPr>
          <w:p w14:paraId="79F02CF0" w14:textId="77777777" w:rsidR="009B7AF5" w:rsidRPr="005071A1" w:rsidRDefault="009B7AF5" w:rsidP="009B7AF5">
            <w:pPr>
              <w:pStyle w:val="ENoteTableText"/>
            </w:pPr>
            <w:r w:rsidRPr="005071A1">
              <w:t>rs. No.</w:t>
            </w:r>
            <w:r w:rsidR="008B2950" w:rsidRPr="005071A1">
              <w:t> </w:t>
            </w:r>
            <w:r w:rsidRPr="005071A1">
              <w:t>27, 1955</w:t>
            </w:r>
          </w:p>
        </w:tc>
      </w:tr>
      <w:tr w:rsidR="009B7AF5" w:rsidRPr="005071A1" w14:paraId="7CE1F15A" w14:textId="77777777" w:rsidTr="00962E93">
        <w:trPr>
          <w:cantSplit/>
        </w:trPr>
        <w:tc>
          <w:tcPr>
            <w:tcW w:w="2551" w:type="dxa"/>
          </w:tcPr>
          <w:p w14:paraId="21732287" w14:textId="77777777" w:rsidR="009B7AF5" w:rsidRPr="005071A1" w:rsidRDefault="009B7AF5" w:rsidP="009B7AF5">
            <w:pPr>
              <w:pStyle w:val="ENoteTableText"/>
            </w:pPr>
          </w:p>
        </w:tc>
        <w:tc>
          <w:tcPr>
            <w:tcW w:w="4551" w:type="dxa"/>
          </w:tcPr>
          <w:p w14:paraId="590055A1" w14:textId="77777777" w:rsidR="009B7AF5" w:rsidRPr="005071A1" w:rsidRDefault="009B7AF5" w:rsidP="009B7AF5">
            <w:pPr>
              <w:pStyle w:val="ENoteTableText"/>
            </w:pPr>
            <w:r w:rsidRPr="005071A1">
              <w:t>am. Nos. 97 and 154, 1965; No.</w:t>
            </w:r>
            <w:r w:rsidR="008B2950" w:rsidRPr="005071A1">
              <w:t> </w:t>
            </w:r>
            <w:r w:rsidRPr="005071A1">
              <w:t>46, 1971; No.</w:t>
            </w:r>
            <w:r w:rsidR="008B2950" w:rsidRPr="005071A1">
              <w:t> </w:t>
            </w:r>
            <w:r w:rsidRPr="005071A1">
              <w:t>32, 1976; No.</w:t>
            </w:r>
            <w:r w:rsidR="008B2950" w:rsidRPr="005071A1">
              <w:t> </w:t>
            </w:r>
            <w:r w:rsidRPr="005071A1">
              <w:t>17, 1978; No.</w:t>
            </w:r>
            <w:r w:rsidR="008B2950" w:rsidRPr="005071A1">
              <w:t> </w:t>
            </w:r>
            <w:r w:rsidRPr="005071A1">
              <w:t>141, 2012</w:t>
            </w:r>
          </w:p>
        </w:tc>
      </w:tr>
      <w:tr w:rsidR="009B7AF5" w:rsidRPr="005071A1" w14:paraId="39D03FDB" w14:textId="77777777" w:rsidTr="00962E93">
        <w:trPr>
          <w:cantSplit/>
        </w:trPr>
        <w:tc>
          <w:tcPr>
            <w:tcW w:w="2551" w:type="dxa"/>
          </w:tcPr>
          <w:p w14:paraId="02F5112B" w14:textId="77777777" w:rsidR="009B7AF5" w:rsidRPr="005071A1" w:rsidRDefault="009B7AF5" w:rsidP="0086505B">
            <w:pPr>
              <w:pStyle w:val="ENoteTableText"/>
              <w:tabs>
                <w:tab w:val="center" w:leader="dot" w:pos="2268"/>
              </w:tabs>
            </w:pPr>
            <w:r w:rsidRPr="005071A1">
              <w:t>Part II</w:t>
            </w:r>
            <w:r w:rsidRPr="005071A1">
              <w:tab/>
            </w:r>
          </w:p>
        </w:tc>
        <w:tc>
          <w:tcPr>
            <w:tcW w:w="4551" w:type="dxa"/>
          </w:tcPr>
          <w:p w14:paraId="0EA061AF"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5AFF5D4B" w14:textId="77777777" w:rsidTr="00962E93">
        <w:trPr>
          <w:cantSplit/>
        </w:trPr>
        <w:tc>
          <w:tcPr>
            <w:tcW w:w="2551" w:type="dxa"/>
          </w:tcPr>
          <w:p w14:paraId="052E97C4" w14:textId="77777777" w:rsidR="009B7AF5" w:rsidRPr="005071A1" w:rsidRDefault="002477D1" w:rsidP="002477D1">
            <w:pPr>
              <w:pStyle w:val="ENoteTableText"/>
              <w:tabs>
                <w:tab w:val="center" w:leader="dot" w:pos="2268"/>
              </w:tabs>
            </w:pPr>
            <w:r w:rsidRPr="005071A1">
              <w:t>s.</w:t>
            </w:r>
            <w:r w:rsidR="009B7AF5" w:rsidRPr="005071A1">
              <w:t xml:space="preserve"> 8</w:t>
            </w:r>
            <w:r w:rsidR="009B7AF5" w:rsidRPr="005071A1">
              <w:tab/>
            </w:r>
          </w:p>
        </w:tc>
        <w:tc>
          <w:tcPr>
            <w:tcW w:w="4551" w:type="dxa"/>
          </w:tcPr>
          <w:p w14:paraId="6781008F"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634B5CBD" w14:textId="77777777" w:rsidTr="00962E93">
        <w:trPr>
          <w:cantSplit/>
        </w:trPr>
        <w:tc>
          <w:tcPr>
            <w:tcW w:w="2551" w:type="dxa"/>
          </w:tcPr>
          <w:p w14:paraId="11AADCF1" w14:textId="77777777" w:rsidR="009B7AF5" w:rsidRPr="005071A1" w:rsidRDefault="009B7AF5" w:rsidP="009B7AF5">
            <w:pPr>
              <w:pStyle w:val="ENoteTableText"/>
            </w:pPr>
          </w:p>
        </w:tc>
        <w:tc>
          <w:tcPr>
            <w:tcW w:w="4551" w:type="dxa"/>
          </w:tcPr>
          <w:p w14:paraId="62EAC318"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394A974D" w14:textId="77777777" w:rsidTr="00962E93">
        <w:trPr>
          <w:cantSplit/>
        </w:trPr>
        <w:tc>
          <w:tcPr>
            <w:tcW w:w="2551" w:type="dxa"/>
          </w:tcPr>
          <w:p w14:paraId="5D31A383"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9, 10</w:t>
            </w:r>
            <w:r w:rsidR="009B7AF5" w:rsidRPr="005071A1">
              <w:tab/>
            </w:r>
          </w:p>
        </w:tc>
        <w:tc>
          <w:tcPr>
            <w:tcW w:w="4551" w:type="dxa"/>
          </w:tcPr>
          <w:p w14:paraId="545AC529"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49FC8EE7" w14:textId="77777777" w:rsidTr="00962E93">
        <w:trPr>
          <w:cantSplit/>
        </w:trPr>
        <w:tc>
          <w:tcPr>
            <w:tcW w:w="2551" w:type="dxa"/>
          </w:tcPr>
          <w:p w14:paraId="7D9B43E7" w14:textId="77777777" w:rsidR="009B7AF5" w:rsidRPr="005071A1" w:rsidRDefault="009B7AF5" w:rsidP="009B7AF5">
            <w:pPr>
              <w:pStyle w:val="ENoteTableText"/>
            </w:pPr>
          </w:p>
        </w:tc>
        <w:tc>
          <w:tcPr>
            <w:tcW w:w="4551" w:type="dxa"/>
          </w:tcPr>
          <w:p w14:paraId="4888FA71"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6B5841AF" w14:textId="77777777" w:rsidTr="00962E93">
        <w:trPr>
          <w:cantSplit/>
        </w:trPr>
        <w:tc>
          <w:tcPr>
            <w:tcW w:w="2551" w:type="dxa"/>
          </w:tcPr>
          <w:p w14:paraId="79030330" w14:textId="77777777" w:rsidR="009B7AF5" w:rsidRPr="005071A1" w:rsidRDefault="002477D1" w:rsidP="002477D1">
            <w:pPr>
              <w:pStyle w:val="ENoteTableText"/>
              <w:tabs>
                <w:tab w:val="center" w:leader="dot" w:pos="2268"/>
              </w:tabs>
            </w:pPr>
            <w:r w:rsidRPr="005071A1">
              <w:t>s.</w:t>
            </w:r>
            <w:r w:rsidR="009B7AF5" w:rsidRPr="005071A1">
              <w:t xml:space="preserve"> 11</w:t>
            </w:r>
            <w:r w:rsidR="009B7AF5" w:rsidRPr="005071A1">
              <w:tab/>
            </w:r>
          </w:p>
        </w:tc>
        <w:tc>
          <w:tcPr>
            <w:tcW w:w="4551" w:type="dxa"/>
          </w:tcPr>
          <w:p w14:paraId="039E4F63"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621FA000" w14:textId="77777777" w:rsidTr="00962E93">
        <w:trPr>
          <w:cantSplit/>
        </w:trPr>
        <w:tc>
          <w:tcPr>
            <w:tcW w:w="2551" w:type="dxa"/>
          </w:tcPr>
          <w:p w14:paraId="33DCC3AC" w14:textId="77777777" w:rsidR="009B7AF5" w:rsidRPr="005071A1" w:rsidRDefault="009B7AF5" w:rsidP="009B7AF5">
            <w:pPr>
              <w:pStyle w:val="ENoteTableText"/>
            </w:pPr>
          </w:p>
        </w:tc>
        <w:tc>
          <w:tcPr>
            <w:tcW w:w="4551" w:type="dxa"/>
          </w:tcPr>
          <w:p w14:paraId="374B62F2"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72EE4A17" w14:textId="77777777" w:rsidTr="00962E93">
        <w:trPr>
          <w:cantSplit/>
        </w:trPr>
        <w:tc>
          <w:tcPr>
            <w:tcW w:w="2551" w:type="dxa"/>
          </w:tcPr>
          <w:p w14:paraId="724A01C7" w14:textId="77777777" w:rsidR="009B7AF5" w:rsidRPr="005071A1" w:rsidRDefault="009B7AF5" w:rsidP="009B7AF5">
            <w:pPr>
              <w:pStyle w:val="ENoteTableText"/>
            </w:pPr>
          </w:p>
        </w:tc>
        <w:tc>
          <w:tcPr>
            <w:tcW w:w="4551" w:type="dxa"/>
          </w:tcPr>
          <w:p w14:paraId="1C333112"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60D198DF" w14:textId="77777777" w:rsidTr="00962E93">
        <w:trPr>
          <w:cantSplit/>
        </w:trPr>
        <w:tc>
          <w:tcPr>
            <w:tcW w:w="2551" w:type="dxa"/>
          </w:tcPr>
          <w:p w14:paraId="3A9D4A4B" w14:textId="77777777" w:rsidR="009B7AF5" w:rsidRPr="005071A1" w:rsidRDefault="002477D1" w:rsidP="002477D1">
            <w:pPr>
              <w:pStyle w:val="ENoteTableText"/>
              <w:tabs>
                <w:tab w:val="center" w:leader="dot" w:pos="2268"/>
              </w:tabs>
            </w:pPr>
            <w:r w:rsidRPr="005071A1">
              <w:t>s.</w:t>
            </w:r>
            <w:r w:rsidR="009B7AF5" w:rsidRPr="005071A1">
              <w:t xml:space="preserve"> 12</w:t>
            </w:r>
            <w:r w:rsidR="009B7AF5" w:rsidRPr="005071A1">
              <w:tab/>
            </w:r>
          </w:p>
        </w:tc>
        <w:tc>
          <w:tcPr>
            <w:tcW w:w="4551" w:type="dxa"/>
          </w:tcPr>
          <w:p w14:paraId="3F37F57D" w14:textId="77777777" w:rsidR="009B7AF5" w:rsidRPr="005071A1" w:rsidRDefault="009B7AF5" w:rsidP="009B7AF5">
            <w:pPr>
              <w:pStyle w:val="ENoteTableText"/>
            </w:pPr>
            <w:r w:rsidRPr="005071A1">
              <w:t>am. No.</w:t>
            </w:r>
            <w:r w:rsidR="008B2950" w:rsidRPr="005071A1">
              <w:t> </w:t>
            </w:r>
            <w:r w:rsidRPr="005071A1">
              <w:t>35, 1947</w:t>
            </w:r>
          </w:p>
        </w:tc>
      </w:tr>
      <w:tr w:rsidR="009B7AF5" w:rsidRPr="005071A1" w14:paraId="41D621F2" w14:textId="77777777" w:rsidTr="00962E93">
        <w:trPr>
          <w:cantSplit/>
        </w:trPr>
        <w:tc>
          <w:tcPr>
            <w:tcW w:w="2551" w:type="dxa"/>
          </w:tcPr>
          <w:p w14:paraId="63E28265" w14:textId="77777777" w:rsidR="009B7AF5" w:rsidRPr="005071A1" w:rsidRDefault="009B7AF5" w:rsidP="009B7AF5">
            <w:pPr>
              <w:pStyle w:val="ENoteTableText"/>
            </w:pPr>
          </w:p>
        </w:tc>
        <w:tc>
          <w:tcPr>
            <w:tcW w:w="4551" w:type="dxa"/>
          </w:tcPr>
          <w:p w14:paraId="03B13F4D" w14:textId="77777777" w:rsidR="009B7AF5" w:rsidRPr="005071A1" w:rsidRDefault="009B7AF5" w:rsidP="009B7AF5">
            <w:pPr>
              <w:pStyle w:val="ENoteTableText"/>
            </w:pPr>
            <w:r w:rsidRPr="005071A1">
              <w:t>rs. No.</w:t>
            </w:r>
            <w:r w:rsidR="008B2950" w:rsidRPr="005071A1">
              <w:t> </w:t>
            </w:r>
            <w:r w:rsidRPr="005071A1">
              <w:t>102, 1963</w:t>
            </w:r>
          </w:p>
        </w:tc>
      </w:tr>
      <w:tr w:rsidR="009B7AF5" w:rsidRPr="005071A1" w14:paraId="4D74F9E7" w14:textId="77777777" w:rsidTr="00962E93">
        <w:trPr>
          <w:cantSplit/>
        </w:trPr>
        <w:tc>
          <w:tcPr>
            <w:tcW w:w="2551" w:type="dxa"/>
          </w:tcPr>
          <w:p w14:paraId="4EE12ADD" w14:textId="77777777" w:rsidR="009B7AF5" w:rsidRPr="005071A1" w:rsidRDefault="009B7AF5" w:rsidP="009B7AF5">
            <w:pPr>
              <w:pStyle w:val="ENoteTableText"/>
            </w:pPr>
          </w:p>
        </w:tc>
        <w:tc>
          <w:tcPr>
            <w:tcW w:w="4551" w:type="dxa"/>
          </w:tcPr>
          <w:p w14:paraId="2F3633FB" w14:textId="77777777" w:rsidR="009B7AF5" w:rsidRPr="005071A1" w:rsidRDefault="009B7AF5" w:rsidP="009B7AF5">
            <w:pPr>
              <w:pStyle w:val="ENoteTableText"/>
            </w:pPr>
            <w:r w:rsidRPr="005071A1">
              <w:t>am. No.</w:t>
            </w:r>
            <w:r w:rsidR="008B2950" w:rsidRPr="005071A1">
              <w:t> </w:t>
            </w:r>
            <w:r w:rsidRPr="005071A1">
              <w:t>154, 1965; No.</w:t>
            </w:r>
            <w:r w:rsidR="008B2950" w:rsidRPr="005071A1">
              <w:t> </w:t>
            </w:r>
            <w:r w:rsidRPr="005071A1">
              <w:t>216, 1973</w:t>
            </w:r>
          </w:p>
        </w:tc>
      </w:tr>
      <w:tr w:rsidR="009B7AF5" w:rsidRPr="005071A1" w14:paraId="3177A691" w14:textId="77777777" w:rsidTr="00962E93">
        <w:trPr>
          <w:cantSplit/>
        </w:trPr>
        <w:tc>
          <w:tcPr>
            <w:tcW w:w="2551" w:type="dxa"/>
          </w:tcPr>
          <w:p w14:paraId="1BA3E4F8" w14:textId="77777777" w:rsidR="009B7AF5" w:rsidRPr="005071A1" w:rsidRDefault="009B7AF5" w:rsidP="009B7AF5">
            <w:pPr>
              <w:pStyle w:val="ENoteTableText"/>
            </w:pPr>
          </w:p>
        </w:tc>
        <w:tc>
          <w:tcPr>
            <w:tcW w:w="4551" w:type="dxa"/>
          </w:tcPr>
          <w:p w14:paraId="7993AD98"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0893D83B" w14:textId="77777777" w:rsidTr="00962E93">
        <w:trPr>
          <w:cantSplit/>
        </w:trPr>
        <w:tc>
          <w:tcPr>
            <w:tcW w:w="2551" w:type="dxa"/>
          </w:tcPr>
          <w:p w14:paraId="563DD660" w14:textId="77777777" w:rsidR="009B7AF5" w:rsidRPr="005071A1" w:rsidRDefault="002477D1" w:rsidP="002477D1">
            <w:pPr>
              <w:pStyle w:val="ENoteTableText"/>
              <w:tabs>
                <w:tab w:val="center" w:leader="dot" w:pos="2268"/>
              </w:tabs>
            </w:pPr>
            <w:r w:rsidRPr="005071A1">
              <w:t>s.</w:t>
            </w:r>
            <w:r w:rsidR="009B7AF5" w:rsidRPr="005071A1">
              <w:t xml:space="preserve"> 13</w:t>
            </w:r>
            <w:r w:rsidR="009B7AF5" w:rsidRPr="005071A1">
              <w:tab/>
            </w:r>
          </w:p>
        </w:tc>
        <w:tc>
          <w:tcPr>
            <w:tcW w:w="4551" w:type="dxa"/>
          </w:tcPr>
          <w:p w14:paraId="1D560894" w14:textId="77777777" w:rsidR="009B7AF5" w:rsidRPr="005071A1" w:rsidRDefault="009B7AF5" w:rsidP="009B7AF5">
            <w:pPr>
              <w:pStyle w:val="ENoteTableText"/>
            </w:pPr>
            <w:r w:rsidRPr="005071A1">
              <w:t>am. No.</w:t>
            </w:r>
            <w:r w:rsidR="008B2950" w:rsidRPr="005071A1">
              <w:t> </w:t>
            </w:r>
            <w:r w:rsidRPr="005071A1">
              <w:t>102, 1963</w:t>
            </w:r>
          </w:p>
        </w:tc>
      </w:tr>
      <w:tr w:rsidR="009B7AF5" w:rsidRPr="005071A1" w14:paraId="5001425D" w14:textId="77777777" w:rsidTr="00962E93">
        <w:trPr>
          <w:cantSplit/>
        </w:trPr>
        <w:tc>
          <w:tcPr>
            <w:tcW w:w="2551" w:type="dxa"/>
          </w:tcPr>
          <w:p w14:paraId="2ADB0755" w14:textId="77777777" w:rsidR="009B7AF5" w:rsidRPr="005071A1" w:rsidRDefault="009B7AF5" w:rsidP="009B7AF5">
            <w:pPr>
              <w:pStyle w:val="ENoteTableText"/>
            </w:pPr>
          </w:p>
        </w:tc>
        <w:tc>
          <w:tcPr>
            <w:tcW w:w="4551" w:type="dxa"/>
          </w:tcPr>
          <w:p w14:paraId="2FB50EB0"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33302E31" w14:textId="77777777" w:rsidTr="00962E93">
        <w:trPr>
          <w:cantSplit/>
        </w:trPr>
        <w:tc>
          <w:tcPr>
            <w:tcW w:w="2551" w:type="dxa"/>
          </w:tcPr>
          <w:p w14:paraId="5B5BCE1D"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14–16</w:t>
            </w:r>
            <w:r w:rsidR="009B7AF5" w:rsidRPr="005071A1">
              <w:tab/>
            </w:r>
          </w:p>
        </w:tc>
        <w:tc>
          <w:tcPr>
            <w:tcW w:w="4551" w:type="dxa"/>
          </w:tcPr>
          <w:p w14:paraId="6BFF10B0"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71EC90EB" w14:textId="77777777" w:rsidTr="00962E93">
        <w:trPr>
          <w:cantSplit/>
        </w:trPr>
        <w:tc>
          <w:tcPr>
            <w:tcW w:w="2551" w:type="dxa"/>
          </w:tcPr>
          <w:p w14:paraId="5A68EA30" w14:textId="77777777" w:rsidR="009B7AF5" w:rsidRPr="005071A1" w:rsidRDefault="002477D1" w:rsidP="002477D1">
            <w:pPr>
              <w:pStyle w:val="ENoteTableText"/>
              <w:tabs>
                <w:tab w:val="center" w:leader="dot" w:pos="2268"/>
              </w:tabs>
            </w:pPr>
            <w:r w:rsidRPr="005071A1">
              <w:t>s.</w:t>
            </w:r>
            <w:r w:rsidR="009B7AF5" w:rsidRPr="005071A1">
              <w:t xml:space="preserve"> 17</w:t>
            </w:r>
            <w:r w:rsidR="009B7AF5" w:rsidRPr="005071A1">
              <w:tab/>
            </w:r>
          </w:p>
        </w:tc>
        <w:tc>
          <w:tcPr>
            <w:tcW w:w="4551" w:type="dxa"/>
          </w:tcPr>
          <w:p w14:paraId="05ED0BDB"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35, 1947; No.</w:t>
            </w:r>
            <w:r w:rsidR="008B2950" w:rsidRPr="005071A1">
              <w:t> </w:t>
            </w:r>
            <w:r w:rsidRPr="005071A1">
              <w:t>112, 1956; No.</w:t>
            </w:r>
            <w:r w:rsidR="008B2950" w:rsidRPr="005071A1">
              <w:t> </w:t>
            </w:r>
            <w:r w:rsidRPr="005071A1">
              <w:t>154, 1965</w:t>
            </w:r>
          </w:p>
        </w:tc>
      </w:tr>
      <w:tr w:rsidR="009B7AF5" w:rsidRPr="005071A1" w14:paraId="4DA97A65" w14:textId="77777777" w:rsidTr="00962E93">
        <w:trPr>
          <w:cantSplit/>
        </w:trPr>
        <w:tc>
          <w:tcPr>
            <w:tcW w:w="2551" w:type="dxa"/>
          </w:tcPr>
          <w:p w14:paraId="1B8088B3" w14:textId="77777777" w:rsidR="009B7AF5" w:rsidRPr="005071A1" w:rsidRDefault="009B7AF5" w:rsidP="009B7AF5">
            <w:pPr>
              <w:pStyle w:val="ENoteTableText"/>
            </w:pPr>
          </w:p>
        </w:tc>
        <w:tc>
          <w:tcPr>
            <w:tcW w:w="4551" w:type="dxa"/>
          </w:tcPr>
          <w:p w14:paraId="2D090249"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7B13066D" w14:textId="77777777" w:rsidTr="00962E93">
        <w:trPr>
          <w:cantSplit/>
        </w:trPr>
        <w:tc>
          <w:tcPr>
            <w:tcW w:w="2551" w:type="dxa"/>
          </w:tcPr>
          <w:p w14:paraId="79C9404A" w14:textId="77777777" w:rsidR="009B7AF5" w:rsidRPr="005071A1" w:rsidRDefault="002477D1" w:rsidP="002477D1">
            <w:pPr>
              <w:pStyle w:val="ENoteTableText"/>
              <w:tabs>
                <w:tab w:val="center" w:leader="dot" w:pos="2268"/>
              </w:tabs>
            </w:pPr>
            <w:r w:rsidRPr="005071A1">
              <w:t>s.</w:t>
            </w:r>
            <w:r w:rsidR="009B7AF5" w:rsidRPr="005071A1">
              <w:t xml:space="preserve"> 18</w:t>
            </w:r>
            <w:r w:rsidR="009B7AF5" w:rsidRPr="005071A1">
              <w:tab/>
            </w:r>
          </w:p>
        </w:tc>
        <w:tc>
          <w:tcPr>
            <w:tcW w:w="4551" w:type="dxa"/>
          </w:tcPr>
          <w:p w14:paraId="38B461A7" w14:textId="77777777" w:rsidR="009B7AF5" w:rsidRPr="005071A1" w:rsidRDefault="009B7AF5" w:rsidP="009B7AF5">
            <w:pPr>
              <w:pStyle w:val="ENoteTableText"/>
            </w:pPr>
            <w:r w:rsidRPr="005071A1">
              <w:t>ad. No.</w:t>
            </w:r>
            <w:r w:rsidR="008B2950" w:rsidRPr="005071A1">
              <w:t> </w:t>
            </w:r>
            <w:r w:rsidRPr="005071A1">
              <w:t>35, 1947</w:t>
            </w:r>
          </w:p>
        </w:tc>
      </w:tr>
      <w:tr w:rsidR="009B7AF5" w:rsidRPr="005071A1" w14:paraId="1EF5A06E" w14:textId="77777777" w:rsidTr="00962E93">
        <w:trPr>
          <w:cantSplit/>
        </w:trPr>
        <w:tc>
          <w:tcPr>
            <w:tcW w:w="2551" w:type="dxa"/>
          </w:tcPr>
          <w:p w14:paraId="23EA7DBC" w14:textId="77777777" w:rsidR="009B7AF5" w:rsidRPr="005071A1" w:rsidRDefault="009B7AF5" w:rsidP="009B7AF5">
            <w:pPr>
              <w:pStyle w:val="ENoteTableText"/>
            </w:pPr>
          </w:p>
        </w:tc>
        <w:tc>
          <w:tcPr>
            <w:tcW w:w="4551" w:type="dxa"/>
          </w:tcPr>
          <w:p w14:paraId="75E64BC4" w14:textId="77777777" w:rsidR="009B7AF5" w:rsidRPr="005071A1" w:rsidRDefault="009B7AF5" w:rsidP="009B7AF5">
            <w:pPr>
              <w:pStyle w:val="ENoteTableText"/>
            </w:pPr>
            <w:r w:rsidRPr="005071A1">
              <w:t>am. No.</w:t>
            </w:r>
            <w:r w:rsidR="008B2950" w:rsidRPr="005071A1">
              <w:t> </w:t>
            </w:r>
            <w:r w:rsidRPr="005071A1">
              <w:t>112, 1956; No.</w:t>
            </w:r>
            <w:r w:rsidR="008B2950" w:rsidRPr="005071A1">
              <w:t> </w:t>
            </w:r>
            <w:r w:rsidRPr="005071A1">
              <w:t>97, 1965</w:t>
            </w:r>
          </w:p>
        </w:tc>
      </w:tr>
      <w:tr w:rsidR="009B7AF5" w:rsidRPr="005071A1" w14:paraId="7A0BDCE2" w14:textId="77777777" w:rsidTr="00962E93">
        <w:trPr>
          <w:cantSplit/>
        </w:trPr>
        <w:tc>
          <w:tcPr>
            <w:tcW w:w="2551" w:type="dxa"/>
          </w:tcPr>
          <w:p w14:paraId="50186A1C" w14:textId="77777777" w:rsidR="009B7AF5" w:rsidRPr="005071A1" w:rsidRDefault="009B7AF5" w:rsidP="009B7AF5">
            <w:pPr>
              <w:pStyle w:val="ENoteTableText"/>
            </w:pPr>
          </w:p>
        </w:tc>
        <w:tc>
          <w:tcPr>
            <w:tcW w:w="4551" w:type="dxa"/>
          </w:tcPr>
          <w:p w14:paraId="53AB9F52"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7A88CA62" w14:textId="77777777" w:rsidTr="00962E93">
        <w:trPr>
          <w:cantSplit/>
        </w:trPr>
        <w:tc>
          <w:tcPr>
            <w:tcW w:w="2551" w:type="dxa"/>
          </w:tcPr>
          <w:p w14:paraId="3425D0F9" w14:textId="77777777" w:rsidR="009B7AF5" w:rsidRPr="005071A1" w:rsidRDefault="009B7AF5" w:rsidP="009B7AF5">
            <w:pPr>
              <w:pStyle w:val="ENoteTableText"/>
            </w:pPr>
            <w:r w:rsidRPr="005071A1">
              <w:rPr>
                <w:b/>
              </w:rPr>
              <w:t>Part</w:t>
            </w:r>
            <w:r w:rsidR="002477D1" w:rsidRPr="005071A1">
              <w:rPr>
                <w:b/>
              </w:rPr>
              <w:t> </w:t>
            </w:r>
            <w:r w:rsidRPr="005071A1">
              <w:rPr>
                <w:b/>
              </w:rPr>
              <w:t>III</w:t>
            </w:r>
          </w:p>
        </w:tc>
        <w:tc>
          <w:tcPr>
            <w:tcW w:w="4551" w:type="dxa"/>
          </w:tcPr>
          <w:p w14:paraId="29CEB880" w14:textId="77777777" w:rsidR="009B7AF5" w:rsidRPr="005071A1" w:rsidRDefault="009B7AF5" w:rsidP="009B7AF5">
            <w:pPr>
              <w:pStyle w:val="ENoteTableText"/>
            </w:pPr>
          </w:p>
        </w:tc>
      </w:tr>
      <w:tr w:rsidR="009B7AF5" w:rsidRPr="005071A1" w14:paraId="5F7DA9D5" w14:textId="77777777" w:rsidTr="00962E93">
        <w:trPr>
          <w:cantSplit/>
        </w:trPr>
        <w:tc>
          <w:tcPr>
            <w:tcW w:w="2551" w:type="dxa"/>
          </w:tcPr>
          <w:p w14:paraId="6CC9012B" w14:textId="77777777" w:rsidR="009B7AF5" w:rsidRPr="005071A1" w:rsidRDefault="009B7AF5" w:rsidP="009B7AF5">
            <w:pPr>
              <w:pStyle w:val="ENoteTableText"/>
            </w:pPr>
            <w:r w:rsidRPr="005071A1">
              <w:rPr>
                <w:b/>
              </w:rPr>
              <w:t>Division</w:t>
            </w:r>
            <w:r w:rsidR="008B2950" w:rsidRPr="005071A1">
              <w:rPr>
                <w:b/>
              </w:rPr>
              <w:t> </w:t>
            </w:r>
            <w:r w:rsidRPr="005071A1">
              <w:rPr>
                <w:b/>
              </w:rPr>
              <w:t>1</w:t>
            </w:r>
          </w:p>
        </w:tc>
        <w:tc>
          <w:tcPr>
            <w:tcW w:w="4551" w:type="dxa"/>
          </w:tcPr>
          <w:p w14:paraId="763EBA4A" w14:textId="77777777" w:rsidR="009B7AF5" w:rsidRPr="005071A1" w:rsidRDefault="009B7AF5" w:rsidP="009B7AF5">
            <w:pPr>
              <w:pStyle w:val="ENoteTableText"/>
            </w:pPr>
          </w:p>
        </w:tc>
      </w:tr>
      <w:tr w:rsidR="009B7AF5" w:rsidRPr="005071A1" w14:paraId="541E44F2" w14:textId="77777777" w:rsidTr="00962E93">
        <w:trPr>
          <w:cantSplit/>
        </w:trPr>
        <w:tc>
          <w:tcPr>
            <w:tcW w:w="2551" w:type="dxa"/>
          </w:tcPr>
          <w:p w14:paraId="72E94171" w14:textId="77777777" w:rsidR="009B7AF5" w:rsidRPr="005071A1" w:rsidRDefault="002477D1" w:rsidP="002477D1">
            <w:pPr>
              <w:pStyle w:val="ENoteTableText"/>
              <w:tabs>
                <w:tab w:val="center" w:leader="dot" w:pos="2268"/>
              </w:tabs>
            </w:pPr>
            <w:r w:rsidRPr="005071A1">
              <w:t>s.</w:t>
            </w:r>
            <w:r w:rsidR="009B7AF5" w:rsidRPr="005071A1">
              <w:t xml:space="preserve"> 19</w:t>
            </w:r>
            <w:r w:rsidR="009B7AF5" w:rsidRPr="005071A1">
              <w:tab/>
            </w:r>
          </w:p>
        </w:tc>
        <w:tc>
          <w:tcPr>
            <w:tcW w:w="4551" w:type="dxa"/>
          </w:tcPr>
          <w:p w14:paraId="79808FEC"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22, 1930; No.</w:t>
            </w:r>
            <w:r w:rsidR="008B2950" w:rsidRPr="005071A1">
              <w:t> </w:t>
            </w:r>
            <w:r w:rsidRPr="005071A1">
              <w:t>28, 1937; No.</w:t>
            </w:r>
            <w:r w:rsidR="008B2950" w:rsidRPr="005071A1">
              <w:t> </w:t>
            </w:r>
            <w:r w:rsidRPr="005071A1">
              <w:t>53, 1942; Nos. 1 and 35, 1947; No.</w:t>
            </w:r>
            <w:r w:rsidR="008B2950" w:rsidRPr="005071A1">
              <w:t> </w:t>
            </w:r>
            <w:r w:rsidRPr="005071A1">
              <w:t>49, 1951; No.</w:t>
            </w:r>
            <w:r w:rsidR="008B2950" w:rsidRPr="005071A1">
              <w:t> </w:t>
            </w:r>
            <w:r w:rsidRPr="005071A1">
              <w:t>11, 1954; No.</w:t>
            </w:r>
            <w:r w:rsidR="008B2950" w:rsidRPr="005071A1">
              <w:t> </w:t>
            </w:r>
            <w:r w:rsidRPr="005071A1">
              <w:t>27, 1955; No.</w:t>
            </w:r>
            <w:r w:rsidR="008B2950" w:rsidRPr="005071A1">
              <w:t> </w:t>
            </w:r>
            <w:r w:rsidRPr="005071A1">
              <w:t>102, 1959; No.</w:t>
            </w:r>
            <w:r w:rsidR="008B2950" w:rsidRPr="005071A1">
              <w:t> </w:t>
            </w:r>
            <w:r w:rsidRPr="005071A1">
              <w:t>102, 1963; No.</w:t>
            </w:r>
            <w:r w:rsidR="008B2950" w:rsidRPr="005071A1">
              <w:t> </w:t>
            </w:r>
            <w:r w:rsidRPr="005071A1">
              <w:t>97, 1965; No.</w:t>
            </w:r>
            <w:r w:rsidR="008B2950" w:rsidRPr="005071A1">
              <w:t> </w:t>
            </w:r>
            <w:r w:rsidRPr="005071A1">
              <w:t>26, 1969; No.</w:t>
            </w:r>
            <w:r w:rsidR="008B2950" w:rsidRPr="005071A1">
              <w:t> </w:t>
            </w:r>
            <w:r w:rsidRPr="005071A1">
              <w:t>46, 1971; No.</w:t>
            </w:r>
            <w:r w:rsidR="008B2950" w:rsidRPr="005071A1">
              <w:t> </w:t>
            </w:r>
            <w:r w:rsidRPr="005071A1">
              <w:t>216, 1973; No.</w:t>
            </w:r>
            <w:r w:rsidR="008B2950" w:rsidRPr="005071A1">
              <w:t> </w:t>
            </w:r>
            <w:r w:rsidRPr="005071A1">
              <w:t>17, 1978</w:t>
            </w:r>
          </w:p>
        </w:tc>
      </w:tr>
      <w:tr w:rsidR="009B7AF5" w:rsidRPr="005071A1" w14:paraId="7E6499BB" w14:textId="77777777" w:rsidTr="00962E93">
        <w:trPr>
          <w:cantSplit/>
        </w:trPr>
        <w:tc>
          <w:tcPr>
            <w:tcW w:w="2551" w:type="dxa"/>
          </w:tcPr>
          <w:p w14:paraId="2847EDA1" w14:textId="77777777" w:rsidR="009B7AF5" w:rsidRPr="005071A1" w:rsidRDefault="002477D1" w:rsidP="002477D1">
            <w:pPr>
              <w:pStyle w:val="ENoteTableText"/>
              <w:tabs>
                <w:tab w:val="center" w:leader="dot" w:pos="2268"/>
              </w:tabs>
            </w:pPr>
            <w:r w:rsidRPr="005071A1">
              <w:t>s.</w:t>
            </w:r>
            <w:r w:rsidR="009B7AF5" w:rsidRPr="005071A1">
              <w:t xml:space="preserve"> 19A</w:t>
            </w:r>
            <w:r w:rsidR="009B7AF5" w:rsidRPr="005071A1">
              <w:tab/>
            </w:r>
          </w:p>
        </w:tc>
        <w:tc>
          <w:tcPr>
            <w:tcW w:w="4551" w:type="dxa"/>
          </w:tcPr>
          <w:p w14:paraId="6A73FAAC"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2CAA19F4" w14:textId="77777777" w:rsidTr="00962E93">
        <w:trPr>
          <w:cantSplit/>
        </w:trPr>
        <w:tc>
          <w:tcPr>
            <w:tcW w:w="2551" w:type="dxa"/>
          </w:tcPr>
          <w:p w14:paraId="746AA7CC" w14:textId="77777777" w:rsidR="009B7AF5" w:rsidRPr="005071A1" w:rsidRDefault="009B7AF5" w:rsidP="009B7AF5">
            <w:pPr>
              <w:pStyle w:val="ENoteTableText"/>
            </w:pPr>
          </w:p>
        </w:tc>
        <w:tc>
          <w:tcPr>
            <w:tcW w:w="4551" w:type="dxa"/>
          </w:tcPr>
          <w:p w14:paraId="3AB42988"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1193C3CD" w14:textId="77777777" w:rsidTr="00962E93">
        <w:trPr>
          <w:cantSplit/>
        </w:trPr>
        <w:tc>
          <w:tcPr>
            <w:tcW w:w="2551" w:type="dxa"/>
          </w:tcPr>
          <w:p w14:paraId="14B26D6D" w14:textId="77777777" w:rsidR="009B7AF5" w:rsidRPr="005071A1" w:rsidRDefault="009B7AF5" w:rsidP="009113A7">
            <w:pPr>
              <w:pStyle w:val="ENoteTableText"/>
              <w:keepNext/>
            </w:pPr>
            <w:r w:rsidRPr="005071A1">
              <w:rPr>
                <w:b/>
              </w:rPr>
              <w:t>Division</w:t>
            </w:r>
            <w:r w:rsidR="008B2950" w:rsidRPr="005071A1">
              <w:rPr>
                <w:b/>
              </w:rPr>
              <w:t> </w:t>
            </w:r>
            <w:r w:rsidRPr="005071A1">
              <w:rPr>
                <w:b/>
              </w:rPr>
              <w:t>2</w:t>
            </w:r>
          </w:p>
        </w:tc>
        <w:tc>
          <w:tcPr>
            <w:tcW w:w="4551" w:type="dxa"/>
          </w:tcPr>
          <w:p w14:paraId="1C1CA287" w14:textId="77777777" w:rsidR="009B7AF5" w:rsidRPr="005071A1" w:rsidRDefault="009B7AF5" w:rsidP="009113A7">
            <w:pPr>
              <w:pStyle w:val="ENoteTableText"/>
              <w:keepNext/>
            </w:pPr>
          </w:p>
        </w:tc>
      </w:tr>
      <w:tr w:rsidR="009B7AF5" w:rsidRPr="005071A1" w14:paraId="548F5193" w14:textId="77777777" w:rsidTr="00962E93">
        <w:trPr>
          <w:cantSplit/>
        </w:trPr>
        <w:tc>
          <w:tcPr>
            <w:tcW w:w="2551" w:type="dxa"/>
          </w:tcPr>
          <w:p w14:paraId="6CCB5022" w14:textId="77777777" w:rsidR="009B7AF5" w:rsidRPr="005071A1" w:rsidRDefault="009B7AF5" w:rsidP="0086505B">
            <w:pPr>
              <w:pStyle w:val="ENoteTableText"/>
              <w:tabs>
                <w:tab w:val="center" w:leader="dot" w:pos="2268"/>
              </w:tabs>
            </w:pPr>
            <w:r w:rsidRPr="005071A1">
              <w:t>Div. 2 of Part III</w:t>
            </w:r>
            <w:r w:rsidRPr="005071A1">
              <w:tab/>
            </w:r>
          </w:p>
        </w:tc>
        <w:tc>
          <w:tcPr>
            <w:tcW w:w="4551" w:type="dxa"/>
          </w:tcPr>
          <w:p w14:paraId="4ECE1F30"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5BC403E8" w14:textId="77777777" w:rsidTr="00962E93">
        <w:trPr>
          <w:cantSplit/>
        </w:trPr>
        <w:tc>
          <w:tcPr>
            <w:tcW w:w="2551" w:type="dxa"/>
          </w:tcPr>
          <w:p w14:paraId="193945C7" w14:textId="77777777" w:rsidR="009B7AF5" w:rsidRPr="005071A1" w:rsidRDefault="002477D1" w:rsidP="002477D1">
            <w:pPr>
              <w:pStyle w:val="ENoteTableText"/>
              <w:tabs>
                <w:tab w:val="center" w:leader="dot" w:pos="2268"/>
              </w:tabs>
            </w:pPr>
            <w:r w:rsidRPr="005071A1">
              <w:t>s.</w:t>
            </w:r>
            <w:r w:rsidR="009B7AF5" w:rsidRPr="005071A1">
              <w:t xml:space="preserve"> 20</w:t>
            </w:r>
            <w:r w:rsidR="009B7AF5" w:rsidRPr="005071A1">
              <w:tab/>
            </w:r>
          </w:p>
        </w:tc>
        <w:tc>
          <w:tcPr>
            <w:tcW w:w="4551" w:type="dxa"/>
          </w:tcPr>
          <w:p w14:paraId="4536A0CF"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22, 1930; No.</w:t>
            </w:r>
            <w:r w:rsidR="008B2950" w:rsidRPr="005071A1">
              <w:t> </w:t>
            </w:r>
            <w:r w:rsidRPr="005071A1">
              <w:t>28, 1937; No.</w:t>
            </w:r>
            <w:r w:rsidR="008B2950" w:rsidRPr="005071A1">
              <w:t> </w:t>
            </w:r>
            <w:r w:rsidRPr="005071A1">
              <w:t>53, 1942; No.</w:t>
            </w:r>
            <w:r w:rsidR="008B2950" w:rsidRPr="005071A1">
              <w:t> </w:t>
            </w:r>
            <w:r w:rsidRPr="005071A1">
              <w:t>18, 1943; No.</w:t>
            </w:r>
            <w:r w:rsidR="008B2950" w:rsidRPr="005071A1">
              <w:t> </w:t>
            </w:r>
            <w:r w:rsidRPr="005071A1">
              <w:t>15, 1945; Nos. 1 and 35, 1947; No.</w:t>
            </w:r>
            <w:r w:rsidR="008B2950" w:rsidRPr="005071A1">
              <w:t> </w:t>
            </w:r>
            <w:r w:rsidRPr="005071A1">
              <w:t>76, 1950; No.</w:t>
            </w:r>
            <w:r w:rsidR="008B2950" w:rsidRPr="005071A1">
              <w:t> </w:t>
            </w:r>
            <w:r w:rsidRPr="005071A1">
              <w:t>49, 1951; No.</w:t>
            </w:r>
            <w:r w:rsidR="008B2950" w:rsidRPr="005071A1">
              <w:t> </w:t>
            </w:r>
            <w:r w:rsidRPr="005071A1">
              <w:t>11, 1954; No.</w:t>
            </w:r>
            <w:r w:rsidR="008B2950" w:rsidRPr="005071A1">
              <w:t> </w:t>
            </w:r>
            <w:r w:rsidRPr="005071A1">
              <w:t>27, 1955</w:t>
            </w:r>
          </w:p>
        </w:tc>
      </w:tr>
      <w:tr w:rsidR="009B7AF5" w:rsidRPr="005071A1" w14:paraId="43DF63FA" w14:textId="77777777" w:rsidTr="00962E93">
        <w:trPr>
          <w:cantSplit/>
        </w:trPr>
        <w:tc>
          <w:tcPr>
            <w:tcW w:w="2551" w:type="dxa"/>
          </w:tcPr>
          <w:p w14:paraId="09D6CBE7" w14:textId="77777777" w:rsidR="009B7AF5" w:rsidRPr="005071A1" w:rsidRDefault="009B7AF5" w:rsidP="009B7AF5">
            <w:pPr>
              <w:pStyle w:val="ENoteTableText"/>
            </w:pPr>
          </w:p>
        </w:tc>
        <w:tc>
          <w:tcPr>
            <w:tcW w:w="4551" w:type="dxa"/>
          </w:tcPr>
          <w:p w14:paraId="1059109F" w14:textId="77777777" w:rsidR="009B7AF5" w:rsidRPr="005071A1" w:rsidRDefault="009B7AF5" w:rsidP="009B7AF5">
            <w:pPr>
              <w:pStyle w:val="ENoteTableText"/>
            </w:pPr>
            <w:r w:rsidRPr="005071A1">
              <w:t>rs. No.</w:t>
            </w:r>
            <w:r w:rsidR="008B2950" w:rsidRPr="005071A1">
              <w:t> </w:t>
            </w:r>
            <w:r w:rsidRPr="005071A1">
              <w:t>102, 1959</w:t>
            </w:r>
          </w:p>
        </w:tc>
      </w:tr>
      <w:tr w:rsidR="009B7AF5" w:rsidRPr="005071A1" w14:paraId="19A5DA57" w14:textId="77777777" w:rsidTr="00962E93">
        <w:trPr>
          <w:cantSplit/>
        </w:trPr>
        <w:tc>
          <w:tcPr>
            <w:tcW w:w="2551" w:type="dxa"/>
          </w:tcPr>
          <w:p w14:paraId="6C0B3AD8" w14:textId="77777777" w:rsidR="009B7AF5" w:rsidRPr="005071A1" w:rsidRDefault="009B7AF5" w:rsidP="009B7AF5">
            <w:pPr>
              <w:pStyle w:val="ENoteTableText"/>
            </w:pPr>
          </w:p>
        </w:tc>
        <w:tc>
          <w:tcPr>
            <w:tcW w:w="4551" w:type="dxa"/>
          </w:tcPr>
          <w:p w14:paraId="05DD662F"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102, 1963</w:t>
            </w:r>
          </w:p>
        </w:tc>
      </w:tr>
      <w:tr w:rsidR="009B7AF5" w:rsidRPr="005071A1" w14:paraId="714907A9" w14:textId="77777777" w:rsidTr="00962E93">
        <w:trPr>
          <w:cantSplit/>
        </w:trPr>
        <w:tc>
          <w:tcPr>
            <w:tcW w:w="2551" w:type="dxa"/>
          </w:tcPr>
          <w:p w14:paraId="0AB5F71A" w14:textId="77777777" w:rsidR="009B7AF5" w:rsidRPr="005071A1" w:rsidRDefault="009B7AF5" w:rsidP="009B7AF5">
            <w:pPr>
              <w:pStyle w:val="ENoteTableText"/>
            </w:pPr>
          </w:p>
        </w:tc>
        <w:tc>
          <w:tcPr>
            <w:tcW w:w="4551" w:type="dxa"/>
          </w:tcPr>
          <w:p w14:paraId="01D55C78"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7ED426BB" w14:textId="77777777" w:rsidTr="00962E93">
        <w:trPr>
          <w:cantSplit/>
        </w:trPr>
        <w:tc>
          <w:tcPr>
            <w:tcW w:w="2551" w:type="dxa"/>
          </w:tcPr>
          <w:p w14:paraId="19B7D4B6" w14:textId="77777777" w:rsidR="009B7AF5" w:rsidRPr="005071A1" w:rsidRDefault="009B7AF5" w:rsidP="009B7AF5">
            <w:pPr>
              <w:pStyle w:val="ENoteTableText"/>
            </w:pPr>
          </w:p>
        </w:tc>
        <w:tc>
          <w:tcPr>
            <w:tcW w:w="4551" w:type="dxa"/>
          </w:tcPr>
          <w:p w14:paraId="3C680D54" w14:textId="77777777" w:rsidR="009B7AF5" w:rsidRPr="005071A1" w:rsidRDefault="009B7AF5" w:rsidP="009B7AF5">
            <w:pPr>
              <w:pStyle w:val="ENoteTableText"/>
            </w:pPr>
            <w:r w:rsidRPr="005071A1">
              <w:t>am. No.</w:t>
            </w:r>
            <w:r w:rsidR="008B2950" w:rsidRPr="005071A1">
              <w:t> </w:t>
            </w:r>
            <w:r w:rsidRPr="005071A1">
              <w:t>154, 1965; No.</w:t>
            </w:r>
            <w:r w:rsidR="008B2950" w:rsidRPr="005071A1">
              <w:t> </w:t>
            </w:r>
            <w:r w:rsidRPr="005071A1">
              <w:t>26, 1969; No.</w:t>
            </w:r>
            <w:r w:rsidR="008B2950" w:rsidRPr="005071A1">
              <w:t> </w:t>
            </w:r>
            <w:r w:rsidRPr="005071A1">
              <w:t>46, 1971; No.</w:t>
            </w:r>
            <w:r w:rsidR="008B2950" w:rsidRPr="005071A1">
              <w:t> </w:t>
            </w:r>
            <w:r w:rsidRPr="005071A1">
              <w:t>32, 1976; No.</w:t>
            </w:r>
            <w:r w:rsidR="008B2950" w:rsidRPr="005071A1">
              <w:t> </w:t>
            </w:r>
            <w:r w:rsidRPr="005071A1">
              <w:t>17, 1978</w:t>
            </w:r>
          </w:p>
        </w:tc>
      </w:tr>
      <w:tr w:rsidR="009B7AF5" w:rsidRPr="005071A1" w14:paraId="77360B26" w14:textId="77777777" w:rsidTr="00962E93">
        <w:trPr>
          <w:cantSplit/>
        </w:trPr>
        <w:tc>
          <w:tcPr>
            <w:tcW w:w="2551" w:type="dxa"/>
          </w:tcPr>
          <w:p w14:paraId="2BDEBE42"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20AA, 20AB</w:t>
            </w:r>
            <w:r w:rsidR="009B7AF5" w:rsidRPr="005071A1">
              <w:tab/>
            </w:r>
          </w:p>
        </w:tc>
        <w:tc>
          <w:tcPr>
            <w:tcW w:w="4551" w:type="dxa"/>
          </w:tcPr>
          <w:p w14:paraId="1B35BA3A"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2339740B" w14:textId="77777777" w:rsidTr="00962E93">
        <w:trPr>
          <w:cantSplit/>
        </w:trPr>
        <w:tc>
          <w:tcPr>
            <w:tcW w:w="2551" w:type="dxa"/>
          </w:tcPr>
          <w:p w14:paraId="6F56A6F7" w14:textId="77777777" w:rsidR="009B7AF5" w:rsidRPr="005071A1" w:rsidRDefault="009B7AF5" w:rsidP="009B7AF5">
            <w:pPr>
              <w:pStyle w:val="ENoteTableText"/>
            </w:pPr>
          </w:p>
        </w:tc>
        <w:tc>
          <w:tcPr>
            <w:tcW w:w="4551" w:type="dxa"/>
          </w:tcPr>
          <w:p w14:paraId="6A503CCD"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105D6E0B" w14:textId="77777777" w:rsidTr="00962E93">
        <w:trPr>
          <w:cantSplit/>
        </w:trPr>
        <w:tc>
          <w:tcPr>
            <w:tcW w:w="2551" w:type="dxa"/>
          </w:tcPr>
          <w:p w14:paraId="6E258F3A" w14:textId="77777777" w:rsidR="009B7AF5" w:rsidRPr="005071A1" w:rsidRDefault="002477D1" w:rsidP="002477D1">
            <w:pPr>
              <w:pStyle w:val="ENoteTableText"/>
              <w:tabs>
                <w:tab w:val="center" w:leader="dot" w:pos="2268"/>
              </w:tabs>
            </w:pPr>
            <w:r w:rsidRPr="005071A1">
              <w:t>s.</w:t>
            </w:r>
            <w:r w:rsidR="009B7AF5" w:rsidRPr="005071A1">
              <w:t xml:space="preserve"> 20A</w:t>
            </w:r>
            <w:r w:rsidR="009B7AF5" w:rsidRPr="005071A1">
              <w:tab/>
            </w:r>
          </w:p>
        </w:tc>
        <w:tc>
          <w:tcPr>
            <w:tcW w:w="4551" w:type="dxa"/>
          </w:tcPr>
          <w:p w14:paraId="31F49DFB"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696C3B20" w14:textId="77777777" w:rsidTr="00962E93">
        <w:trPr>
          <w:cantSplit/>
        </w:trPr>
        <w:tc>
          <w:tcPr>
            <w:tcW w:w="2551" w:type="dxa"/>
          </w:tcPr>
          <w:p w14:paraId="6B5356E3" w14:textId="77777777" w:rsidR="009B7AF5" w:rsidRPr="005071A1" w:rsidRDefault="009B7AF5" w:rsidP="009B7AF5">
            <w:pPr>
              <w:pStyle w:val="ENoteTableText"/>
            </w:pPr>
          </w:p>
        </w:tc>
        <w:tc>
          <w:tcPr>
            <w:tcW w:w="4551" w:type="dxa"/>
          </w:tcPr>
          <w:p w14:paraId="773939D3" w14:textId="77777777" w:rsidR="009B7AF5" w:rsidRPr="005071A1" w:rsidRDefault="009B7AF5" w:rsidP="009B7AF5">
            <w:pPr>
              <w:pStyle w:val="ENoteTableText"/>
            </w:pPr>
            <w:r w:rsidRPr="005071A1">
              <w:t>am. No.</w:t>
            </w:r>
            <w:r w:rsidR="008B2950" w:rsidRPr="005071A1">
              <w:t> </w:t>
            </w:r>
            <w:r w:rsidRPr="005071A1">
              <w:t>26, 1969; No.</w:t>
            </w:r>
            <w:r w:rsidR="008B2950" w:rsidRPr="005071A1">
              <w:t> </w:t>
            </w:r>
            <w:r w:rsidRPr="005071A1">
              <w:t>32, 1976; No.</w:t>
            </w:r>
            <w:r w:rsidR="008B2950" w:rsidRPr="005071A1">
              <w:t> </w:t>
            </w:r>
            <w:r w:rsidRPr="005071A1">
              <w:t xml:space="preserve">17, 1978 </w:t>
            </w:r>
          </w:p>
        </w:tc>
      </w:tr>
      <w:tr w:rsidR="009B7AF5" w:rsidRPr="005071A1" w14:paraId="1635FDDC" w14:textId="77777777" w:rsidTr="00962E93">
        <w:trPr>
          <w:cantSplit/>
        </w:trPr>
        <w:tc>
          <w:tcPr>
            <w:tcW w:w="2551" w:type="dxa"/>
          </w:tcPr>
          <w:p w14:paraId="782534FB" w14:textId="77777777" w:rsidR="009B7AF5" w:rsidRPr="005071A1" w:rsidRDefault="002477D1" w:rsidP="002477D1">
            <w:pPr>
              <w:pStyle w:val="ENoteTableText"/>
              <w:tabs>
                <w:tab w:val="center" w:leader="dot" w:pos="2268"/>
              </w:tabs>
            </w:pPr>
            <w:r w:rsidRPr="005071A1">
              <w:t>s.</w:t>
            </w:r>
            <w:r w:rsidR="009B7AF5" w:rsidRPr="005071A1">
              <w:t xml:space="preserve"> 20B</w:t>
            </w:r>
            <w:r w:rsidR="009B7AF5" w:rsidRPr="005071A1">
              <w:tab/>
            </w:r>
          </w:p>
        </w:tc>
        <w:tc>
          <w:tcPr>
            <w:tcW w:w="4551" w:type="dxa"/>
          </w:tcPr>
          <w:p w14:paraId="466E72C6"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2FF6B892" w14:textId="77777777" w:rsidTr="00962E93">
        <w:trPr>
          <w:cantSplit/>
        </w:trPr>
        <w:tc>
          <w:tcPr>
            <w:tcW w:w="2551" w:type="dxa"/>
          </w:tcPr>
          <w:p w14:paraId="305891ED" w14:textId="77777777" w:rsidR="009B7AF5" w:rsidRPr="005071A1" w:rsidRDefault="009B7AF5" w:rsidP="009B7AF5">
            <w:pPr>
              <w:pStyle w:val="ENoteTableText"/>
            </w:pPr>
          </w:p>
        </w:tc>
        <w:tc>
          <w:tcPr>
            <w:tcW w:w="4551" w:type="dxa"/>
          </w:tcPr>
          <w:p w14:paraId="50E302FE" w14:textId="77777777" w:rsidR="009B7AF5" w:rsidRPr="005071A1" w:rsidRDefault="009B7AF5" w:rsidP="009B7AF5">
            <w:pPr>
              <w:pStyle w:val="ENoteTableText"/>
            </w:pPr>
            <w:r w:rsidRPr="005071A1">
              <w:t>am. No.</w:t>
            </w:r>
            <w:r w:rsidR="008B2950" w:rsidRPr="005071A1">
              <w:t> </w:t>
            </w:r>
            <w:r w:rsidRPr="005071A1">
              <w:t>26, 1969; No.</w:t>
            </w:r>
            <w:r w:rsidR="008B2950" w:rsidRPr="005071A1">
              <w:t> </w:t>
            </w:r>
            <w:r w:rsidRPr="005071A1">
              <w:t>17, 1978</w:t>
            </w:r>
          </w:p>
        </w:tc>
      </w:tr>
      <w:tr w:rsidR="009B7AF5" w:rsidRPr="005071A1" w14:paraId="1A7D9F86" w14:textId="77777777" w:rsidTr="00962E93">
        <w:trPr>
          <w:cantSplit/>
        </w:trPr>
        <w:tc>
          <w:tcPr>
            <w:tcW w:w="2551" w:type="dxa"/>
          </w:tcPr>
          <w:p w14:paraId="27137AE7" w14:textId="77777777" w:rsidR="009B7AF5" w:rsidRPr="005071A1" w:rsidRDefault="002477D1" w:rsidP="002477D1">
            <w:pPr>
              <w:pStyle w:val="ENoteTableText"/>
              <w:tabs>
                <w:tab w:val="center" w:leader="dot" w:pos="2268"/>
              </w:tabs>
            </w:pPr>
            <w:r w:rsidRPr="005071A1">
              <w:t>s.</w:t>
            </w:r>
            <w:r w:rsidR="009B7AF5" w:rsidRPr="005071A1">
              <w:t xml:space="preserve"> 21</w:t>
            </w:r>
            <w:r w:rsidR="009B7AF5" w:rsidRPr="005071A1">
              <w:tab/>
            </w:r>
          </w:p>
        </w:tc>
        <w:tc>
          <w:tcPr>
            <w:tcW w:w="4551" w:type="dxa"/>
          </w:tcPr>
          <w:p w14:paraId="315EBCCC"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6072893E" w14:textId="77777777" w:rsidTr="00962E93">
        <w:trPr>
          <w:cantSplit/>
        </w:trPr>
        <w:tc>
          <w:tcPr>
            <w:tcW w:w="2551" w:type="dxa"/>
          </w:tcPr>
          <w:p w14:paraId="605DA11C" w14:textId="77777777" w:rsidR="009B7AF5" w:rsidRPr="005071A1" w:rsidRDefault="002477D1" w:rsidP="002477D1">
            <w:pPr>
              <w:pStyle w:val="ENoteTableText"/>
              <w:tabs>
                <w:tab w:val="center" w:leader="dot" w:pos="2268"/>
              </w:tabs>
            </w:pPr>
            <w:r w:rsidRPr="005071A1">
              <w:t>s.</w:t>
            </w:r>
            <w:r w:rsidR="009B7AF5" w:rsidRPr="005071A1">
              <w:t xml:space="preserve"> 22</w:t>
            </w:r>
            <w:r w:rsidR="009B7AF5" w:rsidRPr="005071A1">
              <w:tab/>
            </w:r>
          </w:p>
        </w:tc>
        <w:tc>
          <w:tcPr>
            <w:tcW w:w="4551" w:type="dxa"/>
          </w:tcPr>
          <w:p w14:paraId="02FA8951" w14:textId="77777777" w:rsidR="009B7AF5" w:rsidRPr="005071A1" w:rsidRDefault="009B7AF5" w:rsidP="009B7AF5">
            <w:pPr>
              <w:pStyle w:val="ENoteTableText"/>
            </w:pPr>
            <w:r w:rsidRPr="005071A1">
              <w:t>am. No.</w:t>
            </w:r>
            <w:r w:rsidR="008B2950" w:rsidRPr="005071A1">
              <w:t> </w:t>
            </w:r>
            <w:r w:rsidRPr="005071A1">
              <w:t>22, 1930</w:t>
            </w:r>
          </w:p>
        </w:tc>
      </w:tr>
      <w:tr w:rsidR="009B7AF5" w:rsidRPr="005071A1" w14:paraId="63D434EB" w14:textId="77777777" w:rsidTr="00962E93">
        <w:trPr>
          <w:cantSplit/>
        </w:trPr>
        <w:tc>
          <w:tcPr>
            <w:tcW w:w="2551" w:type="dxa"/>
          </w:tcPr>
          <w:p w14:paraId="2507FECC" w14:textId="77777777" w:rsidR="009B7AF5" w:rsidRPr="005071A1" w:rsidRDefault="009B7AF5" w:rsidP="009B7AF5">
            <w:pPr>
              <w:pStyle w:val="ENoteTableText"/>
            </w:pPr>
          </w:p>
        </w:tc>
        <w:tc>
          <w:tcPr>
            <w:tcW w:w="4551" w:type="dxa"/>
          </w:tcPr>
          <w:p w14:paraId="3EC69879" w14:textId="77777777" w:rsidR="009B7AF5" w:rsidRPr="005071A1" w:rsidRDefault="009B7AF5" w:rsidP="009B7AF5">
            <w:pPr>
              <w:pStyle w:val="ENoteTableText"/>
            </w:pPr>
            <w:r w:rsidRPr="005071A1">
              <w:t>rs. No.</w:t>
            </w:r>
            <w:r w:rsidR="008B2950" w:rsidRPr="005071A1">
              <w:t> </w:t>
            </w:r>
            <w:r w:rsidRPr="005071A1">
              <w:t>10, 1931; No.</w:t>
            </w:r>
            <w:r w:rsidR="008B2950" w:rsidRPr="005071A1">
              <w:t> </w:t>
            </w:r>
            <w:r w:rsidRPr="005071A1">
              <w:t>11, 1954; No.</w:t>
            </w:r>
            <w:r w:rsidR="008B2950" w:rsidRPr="005071A1">
              <w:t> </w:t>
            </w:r>
            <w:r w:rsidRPr="005071A1">
              <w:t>102, 1959; No.</w:t>
            </w:r>
            <w:r w:rsidR="008B2950" w:rsidRPr="005071A1">
              <w:t> </w:t>
            </w:r>
            <w:r w:rsidRPr="005071A1">
              <w:t>102, 1963; No.</w:t>
            </w:r>
            <w:r w:rsidR="008B2950" w:rsidRPr="005071A1">
              <w:t> </w:t>
            </w:r>
            <w:r w:rsidRPr="005071A1">
              <w:t>97, 1965</w:t>
            </w:r>
          </w:p>
        </w:tc>
      </w:tr>
      <w:tr w:rsidR="009B7AF5" w:rsidRPr="005071A1" w14:paraId="046651A1" w14:textId="77777777" w:rsidTr="00962E93">
        <w:trPr>
          <w:cantSplit/>
        </w:trPr>
        <w:tc>
          <w:tcPr>
            <w:tcW w:w="2551" w:type="dxa"/>
          </w:tcPr>
          <w:p w14:paraId="5EFF08D7" w14:textId="77777777" w:rsidR="009B7AF5" w:rsidRPr="005071A1" w:rsidRDefault="009B7AF5" w:rsidP="009B7AF5">
            <w:pPr>
              <w:pStyle w:val="ENoteTableText"/>
            </w:pPr>
          </w:p>
        </w:tc>
        <w:tc>
          <w:tcPr>
            <w:tcW w:w="4551" w:type="dxa"/>
          </w:tcPr>
          <w:p w14:paraId="79030867" w14:textId="77777777" w:rsidR="009B7AF5" w:rsidRPr="005071A1" w:rsidRDefault="009B7AF5" w:rsidP="009B7AF5">
            <w:pPr>
              <w:pStyle w:val="ENoteTableText"/>
            </w:pPr>
            <w:r w:rsidRPr="005071A1">
              <w:t>am. No.</w:t>
            </w:r>
            <w:r w:rsidR="008B2950" w:rsidRPr="005071A1">
              <w:t> </w:t>
            </w:r>
            <w:r w:rsidRPr="005071A1">
              <w:t>154, 1965; No.</w:t>
            </w:r>
            <w:r w:rsidR="008B2950" w:rsidRPr="005071A1">
              <w:t> </w:t>
            </w:r>
            <w:r w:rsidRPr="005071A1">
              <w:t>26, 1969; No.</w:t>
            </w:r>
            <w:r w:rsidR="008B2950" w:rsidRPr="005071A1">
              <w:t> </w:t>
            </w:r>
            <w:r w:rsidRPr="005071A1">
              <w:t>17, 1978</w:t>
            </w:r>
          </w:p>
        </w:tc>
      </w:tr>
      <w:tr w:rsidR="009B7AF5" w:rsidRPr="005071A1" w14:paraId="731B835F" w14:textId="77777777" w:rsidTr="00962E93">
        <w:trPr>
          <w:cantSplit/>
        </w:trPr>
        <w:tc>
          <w:tcPr>
            <w:tcW w:w="2551" w:type="dxa"/>
          </w:tcPr>
          <w:p w14:paraId="64564ADA" w14:textId="77777777" w:rsidR="009B7AF5" w:rsidRPr="005071A1" w:rsidRDefault="009B7AF5" w:rsidP="009B7AF5">
            <w:pPr>
              <w:pStyle w:val="ENoteTableText"/>
            </w:pPr>
            <w:r w:rsidRPr="005071A1">
              <w:rPr>
                <w:b/>
              </w:rPr>
              <w:t>Division</w:t>
            </w:r>
            <w:r w:rsidR="008B2950" w:rsidRPr="005071A1">
              <w:rPr>
                <w:b/>
              </w:rPr>
              <w:t> </w:t>
            </w:r>
            <w:r w:rsidRPr="005071A1">
              <w:rPr>
                <w:b/>
              </w:rPr>
              <w:t>2A</w:t>
            </w:r>
          </w:p>
        </w:tc>
        <w:tc>
          <w:tcPr>
            <w:tcW w:w="4551" w:type="dxa"/>
          </w:tcPr>
          <w:p w14:paraId="5D828454" w14:textId="77777777" w:rsidR="009B7AF5" w:rsidRPr="005071A1" w:rsidRDefault="009B7AF5" w:rsidP="009B7AF5">
            <w:pPr>
              <w:pStyle w:val="ENoteTableText"/>
            </w:pPr>
          </w:p>
        </w:tc>
      </w:tr>
      <w:tr w:rsidR="009B7AF5" w:rsidRPr="005071A1" w14:paraId="4C87FD53" w14:textId="77777777" w:rsidTr="00962E93">
        <w:trPr>
          <w:cantSplit/>
        </w:trPr>
        <w:tc>
          <w:tcPr>
            <w:tcW w:w="2551" w:type="dxa"/>
          </w:tcPr>
          <w:p w14:paraId="018BD332" w14:textId="77777777" w:rsidR="009B7AF5" w:rsidRPr="005071A1" w:rsidRDefault="009B7AF5" w:rsidP="0086505B">
            <w:pPr>
              <w:pStyle w:val="ENoteTableText"/>
              <w:tabs>
                <w:tab w:val="center" w:leader="dot" w:pos="2268"/>
              </w:tabs>
            </w:pPr>
            <w:r w:rsidRPr="005071A1">
              <w:t>Div. 2A of Part III</w:t>
            </w:r>
            <w:r w:rsidRPr="005071A1">
              <w:tab/>
            </w:r>
          </w:p>
        </w:tc>
        <w:tc>
          <w:tcPr>
            <w:tcW w:w="4551" w:type="dxa"/>
          </w:tcPr>
          <w:p w14:paraId="6C31C60E"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343B383E" w14:textId="77777777" w:rsidTr="00962E93">
        <w:trPr>
          <w:cantSplit/>
        </w:trPr>
        <w:tc>
          <w:tcPr>
            <w:tcW w:w="2551" w:type="dxa"/>
          </w:tcPr>
          <w:p w14:paraId="180E304C" w14:textId="77777777" w:rsidR="009B7AF5" w:rsidRPr="005071A1" w:rsidRDefault="002477D1" w:rsidP="002477D1">
            <w:pPr>
              <w:pStyle w:val="ENoteTableText"/>
              <w:tabs>
                <w:tab w:val="center" w:leader="dot" w:pos="2268"/>
              </w:tabs>
            </w:pPr>
            <w:r w:rsidRPr="005071A1">
              <w:t>s.</w:t>
            </w:r>
            <w:r w:rsidR="009B7AF5" w:rsidRPr="005071A1">
              <w:t xml:space="preserve"> 22A</w:t>
            </w:r>
            <w:r w:rsidR="009B7AF5" w:rsidRPr="005071A1">
              <w:tab/>
            </w:r>
          </w:p>
        </w:tc>
        <w:tc>
          <w:tcPr>
            <w:tcW w:w="4551" w:type="dxa"/>
          </w:tcPr>
          <w:p w14:paraId="735F9099"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767CB369" w14:textId="77777777" w:rsidTr="00962E93">
        <w:trPr>
          <w:cantSplit/>
        </w:trPr>
        <w:tc>
          <w:tcPr>
            <w:tcW w:w="2551" w:type="dxa"/>
          </w:tcPr>
          <w:p w14:paraId="5EE96356" w14:textId="77777777" w:rsidR="009B7AF5" w:rsidRPr="005071A1" w:rsidRDefault="009B7AF5" w:rsidP="009B7AF5">
            <w:pPr>
              <w:pStyle w:val="ENoteTableText"/>
            </w:pPr>
          </w:p>
        </w:tc>
        <w:tc>
          <w:tcPr>
            <w:tcW w:w="4551" w:type="dxa"/>
          </w:tcPr>
          <w:p w14:paraId="3A94B8A7"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61A8D817" w14:textId="77777777" w:rsidTr="00962E93">
        <w:trPr>
          <w:cantSplit/>
        </w:trPr>
        <w:tc>
          <w:tcPr>
            <w:tcW w:w="2551" w:type="dxa"/>
          </w:tcPr>
          <w:p w14:paraId="28FBADB2"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22B, 22C</w:t>
            </w:r>
            <w:r w:rsidR="009B7AF5" w:rsidRPr="005071A1">
              <w:tab/>
            </w:r>
          </w:p>
        </w:tc>
        <w:tc>
          <w:tcPr>
            <w:tcW w:w="4551" w:type="dxa"/>
          </w:tcPr>
          <w:p w14:paraId="5A434487"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6333512D" w14:textId="77777777" w:rsidTr="00962E93">
        <w:trPr>
          <w:cantSplit/>
        </w:trPr>
        <w:tc>
          <w:tcPr>
            <w:tcW w:w="2551" w:type="dxa"/>
          </w:tcPr>
          <w:p w14:paraId="2576DD86" w14:textId="77777777" w:rsidR="009B7AF5" w:rsidRPr="005071A1" w:rsidRDefault="009B7AF5" w:rsidP="009B7AF5">
            <w:pPr>
              <w:pStyle w:val="ENoteTableText"/>
            </w:pPr>
          </w:p>
        </w:tc>
        <w:tc>
          <w:tcPr>
            <w:tcW w:w="4551" w:type="dxa"/>
          </w:tcPr>
          <w:p w14:paraId="5C1D181F"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6764A5AB" w14:textId="77777777" w:rsidTr="00962E93">
        <w:trPr>
          <w:cantSplit/>
        </w:trPr>
        <w:tc>
          <w:tcPr>
            <w:tcW w:w="2551" w:type="dxa"/>
          </w:tcPr>
          <w:p w14:paraId="42BE051D" w14:textId="77777777" w:rsidR="009B7AF5" w:rsidRPr="005071A1" w:rsidRDefault="002477D1" w:rsidP="002477D1">
            <w:pPr>
              <w:pStyle w:val="ENoteTableText"/>
              <w:tabs>
                <w:tab w:val="center" w:leader="dot" w:pos="2268"/>
              </w:tabs>
            </w:pPr>
            <w:r w:rsidRPr="005071A1">
              <w:t>s.</w:t>
            </w:r>
            <w:r w:rsidR="009B7AF5" w:rsidRPr="005071A1">
              <w:t xml:space="preserve"> 22D</w:t>
            </w:r>
            <w:r w:rsidR="009B7AF5" w:rsidRPr="005071A1">
              <w:tab/>
            </w:r>
          </w:p>
        </w:tc>
        <w:tc>
          <w:tcPr>
            <w:tcW w:w="4551" w:type="dxa"/>
          </w:tcPr>
          <w:p w14:paraId="0ED6F43E"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214FBF8A" w14:textId="77777777" w:rsidTr="00962E93">
        <w:trPr>
          <w:cantSplit/>
        </w:trPr>
        <w:tc>
          <w:tcPr>
            <w:tcW w:w="2551" w:type="dxa"/>
          </w:tcPr>
          <w:p w14:paraId="1B348556" w14:textId="77777777" w:rsidR="009B7AF5" w:rsidRPr="005071A1" w:rsidRDefault="009B7AF5" w:rsidP="009B7AF5">
            <w:pPr>
              <w:pStyle w:val="ENoteTableText"/>
            </w:pPr>
          </w:p>
        </w:tc>
        <w:tc>
          <w:tcPr>
            <w:tcW w:w="4551" w:type="dxa"/>
          </w:tcPr>
          <w:p w14:paraId="48EC0384" w14:textId="77777777" w:rsidR="009B7AF5" w:rsidRPr="005071A1" w:rsidRDefault="009B7AF5" w:rsidP="009B7AF5">
            <w:pPr>
              <w:pStyle w:val="ENoteTableText"/>
            </w:pPr>
            <w:r w:rsidRPr="005071A1">
              <w:t>am. No.</w:t>
            </w:r>
            <w:r w:rsidR="008B2950" w:rsidRPr="005071A1">
              <w:t> </w:t>
            </w:r>
            <w:r w:rsidRPr="005071A1">
              <w:t>46, 1971; No.</w:t>
            </w:r>
            <w:r w:rsidR="008B2950" w:rsidRPr="005071A1">
              <w:t> </w:t>
            </w:r>
            <w:r w:rsidRPr="005071A1">
              <w:t>32, 1976; No.</w:t>
            </w:r>
            <w:r w:rsidR="008B2950" w:rsidRPr="005071A1">
              <w:t> </w:t>
            </w:r>
            <w:r w:rsidRPr="005071A1">
              <w:t>17, 1978</w:t>
            </w:r>
          </w:p>
        </w:tc>
      </w:tr>
      <w:tr w:rsidR="009B7AF5" w:rsidRPr="005071A1" w14:paraId="413FA1D0" w14:textId="77777777" w:rsidTr="00962E93">
        <w:trPr>
          <w:cantSplit/>
        </w:trPr>
        <w:tc>
          <w:tcPr>
            <w:tcW w:w="2551" w:type="dxa"/>
          </w:tcPr>
          <w:p w14:paraId="0B73C9C8" w14:textId="77777777" w:rsidR="009B7AF5" w:rsidRPr="005071A1" w:rsidRDefault="002477D1" w:rsidP="002477D1">
            <w:pPr>
              <w:pStyle w:val="ENoteTableText"/>
              <w:tabs>
                <w:tab w:val="center" w:leader="dot" w:pos="2268"/>
              </w:tabs>
            </w:pPr>
            <w:r w:rsidRPr="005071A1">
              <w:t>s.</w:t>
            </w:r>
            <w:r w:rsidR="009B7AF5" w:rsidRPr="005071A1">
              <w:t xml:space="preserve"> 22E</w:t>
            </w:r>
            <w:r w:rsidR="009B7AF5" w:rsidRPr="005071A1">
              <w:tab/>
            </w:r>
          </w:p>
        </w:tc>
        <w:tc>
          <w:tcPr>
            <w:tcW w:w="4551" w:type="dxa"/>
          </w:tcPr>
          <w:p w14:paraId="7410BD6B"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1A1065C1" w14:textId="77777777" w:rsidTr="00962E93">
        <w:trPr>
          <w:cantSplit/>
        </w:trPr>
        <w:tc>
          <w:tcPr>
            <w:tcW w:w="2551" w:type="dxa"/>
          </w:tcPr>
          <w:p w14:paraId="412F90CA" w14:textId="77777777" w:rsidR="009B7AF5" w:rsidRPr="005071A1" w:rsidRDefault="009B7AF5" w:rsidP="009B7AF5">
            <w:pPr>
              <w:pStyle w:val="ENoteTableText"/>
            </w:pPr>
          </w:p>
        </w:tc>
        <w:tc>
          <w:tcPr>
            <w:tcW w:w="4551" w:type="dxa"/>
          </w:tcPr>
          <w:p w14:paraId="58D26242" w14:textId="77777777" w:rsidR="009B7AF5" w:rsidRPr="005071A1" w:rsidRDefault="009B7AF5" w:rsidP="009B7AF5">
            <w:pPr>
              <w:pStyle w:val="ENoteTableText"/>
            </w:pPr>
            <w:r w:rsidRPr="005071A1">
              <w:t>am. No.</w:t>
            </w:r>
            <w:r w:rsidR="008B2950" w:rsidRPr="005071A1">
              <w:t> </w:t>
            </w:r>
            <w:r w:rsidRPr="005071A1">
              <w:t>46, 1971; No.</w:t>
            </w:r>
            <w:r w:rsidR="008B2950" w:rsidRPr="005071A1">
              <w:t> </w:t>
            </w:r>
            <w:r w:rsidRPr="005071A1">
              <w:t>17, 1978</w:t>
            </w:r>
          </w:p>
        </w:tc>
      </w:tr>
      <w:tr w:rsidR="009B7AF5" w:rsidRPr="005071A1" w14:paraId="2FCF8066" w14:textId="77777777" w:rsidTr="00962E93">
        <w:trPr>
          <w:cantSplit/>
        </w:trPr>
        <w:tc>
          <w:tcPr>
            <w:tcW w:w="2551" w:type="dxa"/>
          </w:tcPr>
          <w:p w14:paraId="021C668C"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22F–22H</w:t>
            </w:r>
            <w:r w:rsidR="009B7AF5" w:rsidRPr="005071A1">
              <w:tab/>
            </w:r>
          </w:p>
        </w:tc>
        <w:tc>
          <w:tcPr>
            <w:tcW w:w="4551" w:type="dxa"/>
          </w:tcPr>
          <w:p w14:paraId="1696BCA3"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55DF04D1" w14:textId="77777777" w:rsidTr="00962E93">
        <w:trPr>
          <w:cantSplit/>
        </w:trPr>
        <w:tc>
          <w:tcPr>
            <w:tcW w:w="2551" w:type="dxa"/>
          </w:tcPr>
          <w:p w14:paraId="467DA8F6" w14:textId="77777777" w:rsidR="009B7AF5" w:rsidRPr="005071A1" w:rsidRDefault="009B7AF5" w:rsidP="009B7AF5">
            <w:pPr>
              <w:pStyle w:val="ENoteTableText"/>
            </w:pPr>
          </w:p>
        </w:tc>
        <w:tc>
          <w:tcPr>
            <w:tcW w:w="4551" w:type="dxa"/>
          </w:tcPr>
          <w:p w14:paraId="5DC7D263"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284D1A6F" w14:textId="77777777" w:rsidTr="00962E93">
        <w:trPr>
          <w:cantSplit/>
        </w:trPr>
        <w:tc>
          <w:tcPr>
            <w:tcW w:w="2551" w:type="dxa"/>
          </w:tcPr>
          <w:p w14:paraId="67C8B27F"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22J–22M</w:t>
            </w:r>
            <w:r w:rsidR="009B7AF5" w:rsidRPr="005071A1">
              <w:tab/>
            </w:r>
          </w:p>
        </w:tc>
        <w:tc>
          <w:tcPr>
            <w:tcW w:w="4551" w:type="dxa"/>
          </w:tcPr>
          <w:p w14:paraId="1974938C"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56812411" w14:textId="77777777" w:rsidTr="00962E93">
        <w:trPr>
          <w:cantSplit/>
        </w:trPr>
        <w:tc>
          <w:tcPr>
            <w:tcW w:w="2551" w:type="dxa"/>
          </w:tcPr>
          <w:p w14:paraId="30FBCD1F" w14:textId="77777777" w:rsidR="009B7AF5" w:rsidRPr="005071A1" w:rsidRDefault="009B7AF5" w:rsidP="009B7AF5">
            <w:pPr>
              <w:pStyle w:val="ENoteTableText"/>
            </w:pPr>
          </w:p>
        </w:tc>
        <w:tc>
          <w:tcPr>
            <w:tcW w:w="4551" w:type="dxa"/>
          </w:tcPr>
          <w:p w14:paraId="46F8EBF6"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0BE10827" w14:textId="77777777" w:rsidTr="00962E93">
        <w:trPr>
          <w:cantSplit/>
        </w:trPr>
        <w:tc>
          <w:tcPr>
            <w:tcW w:w="2551" w:type="dxa"/>
          </w:tcPr>
          <w:p w14:paraId="33518900" w14:textId="77777777" w:rsidR="009B7AF5" w:rsidRPr="005071A1" w:rsidRDefault="004510F0" w:rsidP="009B7AF5">
            <w:pPr>
              <w:pStyle w:val="ENoteTableText"/>
            </w:pPr>
            <w:r>
              <w:rPr>
                <w:b/>
              </w:rPr>
              <w:t>Division 3</w:t>
            </w:r>
          </w:p>
        </w:tc>
        <w:tc>
          <w:tcPr>
            <w:tcW w:w="4551" w:type="dxa"/>
          </w:tcPr>
          <w:p w14:paraId="5A01A342" w14:textId="77777777" w:rsidR="009B7AF5" w:rsidRPr="005071A1" w:rsidRDefault="009B7AF5" w:rsidP="009B7AF5">
            <w:pPr>
              <w:pStyle w:val="ENoteTableText"/>
            </w:pPr>
          </w:p>
        </w:tc>
      </w:tr>
      <w:tr w:rsidR="009B7AF5" w:rsidRPr="005071A1" w14:paraId="38011FFF" w14:textId="77777777" w:rsidTr="00962E93">
        <w:trPr>
          <w:cantSplit/>
        </w:trPr>
        <w:tc>
          <w:tcPr>
            <w:tcW w:w="2551" w:type="dxa"/>
          </w:tcPr>
          <w:p w14:paraId="5302663B" w14:textId="77777777" w:rsidR="009B7AF5" w:rsidRPr="005071A1" w:rsidRDefault="002477D1" w:rsidP="002477D1">
            <w:pPr>
              <w:pStyle w:val="ENoteTableText"/>
              <w:tabs>
                <w:tab w:val="center" w:leader="dot" w:pos="2268"/>
              </w:tabs>
            </w:pPr>
            <w:r w:rsidRPr="005071A1">
              <w:t>s.</w:t>
            </w:r>
            <w:r w:rsidR="009B7AF5" w:rsidRPr="005071A1">
              <w:t xml:space="preserve"> 23</w:t>
            </w:r>
            <w:r w:rsidR="009B7AF5" w:rsidRPr="005071A1">
              <w:tab/>
            </w:r>
          </w:p>
        </w:tc>
        <w:tc>
          <w:tcPr>
            <w:tcW w:w="4551" w:type="dxa"/>
          </w:tcPr>
          <w:p w14:paraId="1E18C9C4" w14:textId="77777777" w:rsidR="009B7AF5" w:rsidRPr="005071A1" w:rsidRDefault="009B7AF5" w:rsidP="009B7AF5">
            <w:pPr>
              <w:pStyle w:val="ENoteTableText"/>
            </w:pPr>
            <w:r w:rsidRPr="005071A1">
              <w:t>rs. No.</w:t>
            </w:r>
            <w:r w:rsidR="008B2950" w:rsidRPr="005071A1">
              <w:t> </w:t>
            </w:r>
            <w:r w:rsidRPr="005071A1">
              <w:t>102, 1959</w:t>
            </w:r>
          </w:p>
        </w:tc>
      </w:tr>
      <w:tr w:rsidR="009B7AF5" w:rsidRPr="005071A1" w14:paraId="63336881" w14:textId="77777777" w:rsidTr="00962E93">
        <w:trPr>
          <w:cantSplit/>
        </w:trPr>
        <w:tc>
          <w:tcPr>
            <w:tcW w:w="2551" w:type="dxa"/>
          </w:tcPr>
          <w:p w14:paraId="1E355188" w14:textId="77777777" w:rsidR="009B7AF5" w:rsidRPr="005071A1" w:rsidRDefault="009B7AF5" w:rsidP="009B7AF5">
            <w:pPr>
              <w:pStyle w:val="ENoteTableText"/>
            </w:pPr>
          </w:p>
        </w:tc>
        <w:tc>
          <w:tcPr>
            <w:tcW w:w="4551" w:type="dxa"/>
          </w:tcPr>
          <w:p w14:paraId="7E85845A"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48D77346" w14:textId="77777777" w:rsidTr="00962E93">
        <w:trPr>
          <w:cantSplit/>
        </w:trPr>
        <w:tc>
          <w:tcPr>
            <w:tcW w:w="2551" w:type="dxa"/>
          </w:tcPr>
          <w:p w14:paraId="463D07C9" w14:textId="77777777" w:rsidR="009B7AF5" w:rsidRPr="005071A1" w:rsidRDefault="009B7AF5" w:rsidP="009B7AF5">
            <w:pPr>
              <w:pStyle w:val="ENoteTableText"/>
            </w:pPr>
          </w:p>
        </w:tc>
        <w:tc>
          <w:tcPr>
            <w:tcW w:w="4551" w:type="dxa"/>
          </w:tcPr>
          <w:p w14:paraId="2E608B94"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06642051" w14:textId="77777777" w:rsidTr="00962E93">
        <w:trPr>
          <w:cantSplit/>
        </w:trPr>
        <w:tc>
          <w:tcPr>
            <w:tcW w:w="2551" w:type="dxa"/>
          </w:tcPr>
          <w:p w14:paraId="0C6E1B5A" w14:textId="77777777" w:rsidR="009B7AF5" w:rsidRPr="005071A1" w:rsidRDefault="009B7AF5" w:rsidP="009B7AF5">
            <w:pPr>
              <w:pStyle w:val="ENoteTableText"/>
            </w:pPr>
          </w:p>
        </w:tc>
        <w:tc>
          <w:tcPr>
            <w:tcW w:w="4551" w:type="dxa"/>
          </w:tcPr>
          <w:p w14:paraId="771BF3C7" w14:textId="77777777" w:rsidR="009B7AF5" w:rsidRPr="005071A1" w:rsidRDefault="009B7AF5" w:rsidP="009B7AF5">
            <w:pPr>
              <w:pStyle w:val="ENoteTableText"/>
            </w:pPr>
            <w:r w:rsidRPr="005071A1">
              <w:t>am. No.</w:t>
            </w:r>
            <w:r w:rsidR="008B2950" w:rsidRPr="005071A1">
              <w:t> </w:t>
            </w:r>
            <w:r w:rsidRPr="005071A1">
              <w:t>154, 1965; No.</w:t>
            </w:r>
            <w:r w:rsidR="008B2950" w:rsidRPr="005071A1">
              <w:t> </w:t>
            </w:r>
            <w:r w:rsidRPr="005071A1">
              <w:t>17, 1978</w:t>
            </w:r>
          </w:p>
        </w:tc>
      </w:tr>
      <w:tr w:rsidR="009B7AF5" w:rsidRPr="005071A1" w14:paraId="2A674951" w14:textId="77777777" w:rsidTr="00962E93">
        <w:trPr>
          <w:cantSplit/>
        </w:trPr>
        <w:tc>
          <w:tcPr>
            <w:tcW w:w="2551" w:type="dxa"/>
          </w:tcPr>
          <w:p w14:paraId="4A388331" w14:textId="77777777" w:rsidR="009B7AF5" w:rsidRPr="005071A1" w:rsidRDefault="002477D1" w:rsidP="002477D1">
            <w:pPr>
              <w:pStyle w:val="ENoteTableText"/>
              <w:tabs>
                <w:tab w:val="center" w:leader="dot" w:pos="2268"/>
              </w:tabs>
            </w:pPr>
            <w:r w:rsidRPr="005071A1">
              <w:t>s.</w:t>
            </w:r>
            <w:r w:rsidR="009B7AF5" w:rsidRPr="005071A1">
              <w:t xml:space="preserve"> 24</w:t>
            </w:r>
            <w:r w:rsidR="009B7AF5" w:rsidRPr="005071A1">
              <w:tab/>
            </w:r>
          </w:p>
        </w:tc>
        <w:tc>
          <w:tcPr>
            <w:tcW w:w="4551" w:type="dxa"/>
          </w:tcPr>
          <w:p w14:paraId="750DB861" w14:textId="77777777" w:rsidR="009B7AF5" w:rsidRPr="005071A1" w:rsidRDefault="009B7AF5" w:rsidP="009B7AF5">
            <w:pPr>
              <w:pStyle w:val="ENoteTableText"/>
            </w:pPr>
            <w:r w:rsidRPr="005071A1">
              <w:t>ad. No.</w:t>
            </w:r>
            <w:r w:rsidR="008B2950" w:rsidRPr="005071A1">
              <w:t> </w:t>
            </w:r>
            <w:r w:rsidRPr="005071A1">
              <w:t>45, 1924</w:t>
            </w:r>
          </w:p>
        </w:tc>
      </w:tr>
      <w:tr w:rsidR="009B7AF5" w:rsidRPr="005071A1" w14:paraId="52BEF368" w14:textId="77777777" w:rsidTr="00962E93">
        <w:trPr>
          <w:cantSplit/>
        </w:trPr>
        <w:tc>
          <w:tcPr>
            <w:tcW w:w="2551" w:type="dxa"/>
          </w:tcPr>
          <w:p w14:paraId="57746770" w14:textId="77777777" w:rsidR="009B7AF5" w:rsidRPr="005071A1" w:rsidRDefault="009B7AF5" w:rsidP="009B7AF5">
            <w:pPr>
              <w:pStyle w:val="ENoteTableText"/>
            </w:pPr>
          </w:p>
        </w:tc>
        <w:tc>
          <w:tcPr>
            <w:tcW w:w="4551" w:type="dxa"/>
          </w:tcPr>
          <w:p w14:paraId="27B12AAD" w14:textId="77777777" w:rsidR="009B7AF5" w:rsidRPr="005071A1" w:rsidRDefault="009B7AF5" w:rsidP="009B7AF5">
            <w:pPr>
              <w:pStyle w:val="ENoteTableText"/>
            </w:pPr>
            <w:r w:rsidRPr="005071A1">
              <w:t>am. No.</w:t>
            </w:r>
            <w:r w:rsidR="008B2950" w:rsidRPr="005071A1">
              <w:t> </w:t>
            </w:r>
            <w:r w:rsidRPr="005071A1">
              <w:t>53, 1942; No.</w:t>
            </w:r>
            <w:r w:rsidR="008B2950" w:rsidRPr="005071A1">
              <w:t> </w:t>
            </w:r>
            <w:r w:rsidRPr="005071A1">
              <w:t>19, 1948; No.</w:t>
            </w:r>
            <w:r w:rsidR="008B2950" w:rsidRPr="005071A1">
              <w:t> </w:t>
            </w:r>
            <w:r w:rsidRPr="005071A1">
              <w:t>102, 1959; No.</w:t>
            </w:r>
            <w:r w:rsidR="008B2950" w:rsidRPr="005071A1">
              <w:t> </w:t>
            </w:r>
            <w:r w:rsidRPr="005071A1">
              <w:t>32, 1976; No.</w:t>
            </w:r>
            <w:r w:rsidR="008B2950" w:rsidRPr="005071A1">
              <w:t> </w:t>
            </w:r>
            <w:r w:rsidRPr="005071A1">
              <w:t>17, 1978</w:t>
            </w:r>
          </w:p>
        </w:tc>
      </w:tr>
      <w:tr w:rsidR="009B7AF5" w:rsidRPr="005071A1" w14:paraId="7318ED74" w14:textId="77777777" w:rsidTr="00962E93">
        <w:trPr>
          <w:cantSplit/>
        </w:trPr>
        <w:tc>
          <w:tcPr>
            <w:tcW w:w="2551" w:type="dxa"/>
          </w:tcPr>
          <w:p w14:paraId="028CBE58" w14:textId="77777777" w:rsidR="009B7AF5" w:rsidRPr="005071A1" w:rsidRDefault="002477D1" w:rsidP="002477D1">
            <w:pPr>
              <w:pStyle w:val="ENoteTableText"/>
              <w:tabs>
                <w:tab w:val="center" w:leader="dot" w:pos="2268"/>
              </w:tabs>
            </w:pPr>
            <w:r w:rsidRPr="005071A1">
              <w:t>s.</w:t>
            </w:r>
            <w:r w:rsidR="009B7AF5" w:rsidRPr="005071A1">
              <w:t xml:space="preserve"> 25</w:t>
            </w:r>
            <w:r w:rsidR="009B7AF5" w:rsidRPr="005071A1">
              <w:tab/>
            </w:r>
          </w:p>
        </w:tc>
        <w:tc>
          <w:tcPr>
            <w:tcW w:w="4551" w:type="dxa"/>
          </w:tcPr>
          <w:p w14:paraId="6C6ED61C" w14:textId="77777777" w:rsidR="009B7AF5" w:rsidRPr="005071A1" w:rsidRDefault="009B7AF5" w:rsidP="009B7AF5">
            <w:pPr>
              <w:pStyle w:val="ENoteTableText"/>
            </w:pPr>
            <w:r w:rsidRPr="005071A1">
              <w:t>ad. No.</w:t>
            </w:r>
            <w:r w:rsidR="008B2950" w:rsidRPr="005071A1">
              <w:t> </w:t>
            </w:r>
            <w:r w:rsidRPr="005071A1">
              <w:t>35, 1947</w:t>
            </w:r>
          </w:p>
        </w:tc>
      </w:tr>
      <w:tr w:rsidR="009B7AF5" w:rsidRPr="005071A1" w14:paraId="5CAEFBC3" w14:textId="77777777" w:rsidTr="00962E93">
        <w:trPr>
          <w:cantSplit/>
        </w:trPr>
        <w:tc>
          <w:tcPr>
            <w:tcW w:w="2551" w:type="dxa"/>
          </w:tcPr>
          <w:p w14:paraId="1E5A60AC" w14:textId="77777777" w:rsidR="009B7AF5" w:rsidRPr="005071A1" w:rsidRDefault="009B7AF5" w:rsidP="009B7AF5">
            <w:pPr>
              <w:pStyle w:val="ENoteTableText"/>
            </w:pPr>
          </w:p>
        </w:tc>
        <w:tc>
          <w:tcPr>
            <w:tcW w:w="4551" w:type="dxa"/>
          </w:tcPr>
          <w:p w14:paraId="0C3B5EC2"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26, 1969; No.</w:t>
            </w:r>
            <w:r w:rsidR="008B2950" w:rsidRPr="005071A1">
              <w:t> </w:t>
            </w:r>
            <w:r w:rsidRPr="005071A1">
              <w:t>32, 1976; No.</w:t>
            </w:r>
            <w:r w:rsidR="008B2950" w:rsidRPr="005071A1">
              <w:t> </w:t>
            </w:r>
            <w:r w:rsidRPr="005071A1">
              <w:t>17, 1978</w:t>
            </w:r>
          </w:p>
        </w:tc>
      </w:tr>
      <w:tr w:rsidR="009B7AF5" w:rsidRPr="005071A1" w14:paraId="6FF09226" w14:textId="77777777" w:rsidTr="00962E93">
        <w:trPr>
          <w:cantSplit/>
        </w:trPr>
        <w:tc>
          <w:tcPr>
            <w:tcW w:w="2551" w:type="dxa"/>
          </w:tcPr>
          <w:p w14:paraId="3FFD4606" w14:textId="77777777" w:rsidR="009B7AF5" w:rsidRPr="005071A1" w:rsidRDefault="009B7AF5" w:rsidP="009B7AF5">
            <w:pPr>
              <w:pStyle w:val="ENoteTableText"/>
            </w:pPr>
            <w:r w:rsidRPr="005071A1">
              <w:rPr>
                <w:b/>
              </w:rPr>
              <w:t>Division</w:t>
            </w:r>
            <w:r w:rsidR="008B2950" w:rsidRPr="005071A1">
              <w:rPr>
                <w:b/>
              </w:rPr>
              <w:t> </w:t>
            </w:r>
            <w:r w:rsidRPr="005071A1">
              <w:rPr>
                <w:b/>
              </w:rPr>
              <w:t>4</w:t>
            </w:r>
          </w:p>
        </w:tc>
        <w:tc>
          <w:tcPr>
            <w:tcW w:w="4551" w:type="dxa"/>
          </w:tcPr>
          <w:p w14:paraId="72743A61" w14:textId="77777777" w:rsidR="009B7AF5" w:rsidRPr="005071A1" w:rsidRDefault="009B7AF5" w:rsidP="009B7AF5">
            <w:pPr>
              <w:pStyle w:val="ENoteTableText"/>
            </w:pPr>
          </w:p>
        </w:tc>
      </w:tr>
      <w:tr w:rsidR="009B7AF5" w:rsidRPr="005071A1" w14:paraId="3EC5FD80" w14:textId="77777777" w:rsidTr="00962E93">
        <w:trPr>
          <w:cantSplit/>
        </w:trPr>
        <w:tc>
          <w:tcPr>
            <w:tcW w:w="2551" w:type="dxa"/>
          </w:tcPr>
          <w:p w14:paraId="7B239FD5" w14:textId="77777777" w:rsidR="009B7AF5" w:rsidRPr="005071A1" w:rsidRDefault="009B7AF5" w:rsidP="0086505B">
            <w:pPr>
              <w:pStyle w:val="ENoteTableText"/>
              <w:tabs>
                <w:tab w:val="center" w:leader="dot" w:pos="2268"/>
              </w:tabs>
            </w:pPr>
            <w:r w:rsidRPr="005071A1">
              <w:t>Div. 4 of Part III</w:t>
            </w:r>
            <w:r w:rsidRPr="005071A1">
              <w:tab/>
            </w:r>
          </w:p>
        </w:tc>
        <w:tc>
          <w:tcPr>
            <w:tcW w:w="4551" w:type="dxa"/>
          </w:tcPr>
          <w:p w14:paraId="20B79B1A"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1A995D9C" w14:textId="77777777" w:rsidTr="00962E93">
        <w:trPr>
          <w:cantSplit/>
        </w:trPr>
        <w:tc>
          <w:tcPr>
            <w:tcW w:w="2551" w:type="dxa"/>
          </w:tcPr>
          <w:p w14:paraId="4C9AF529" w14:textId="77777777" w:rsidR="009B7AF5" w:rsidRPr="005071A1" w:rsidRDefault="002477D1" w:rsidP="002477D1">
            <w:pPr>
              <w:pStyle w:val="ENoteTableText"/>
              <w:tabs>
                <w:tab w:val="center" w:leader="dot" w:pos="2268"/>
              </w:tabs>
            </w:pPr>
            <w:r w:rsidRPr="005071A1">
              <w:t>s.</w:t>
            </w:r>
            <w:r w:rsidR="009B7AF5" w:rsidRPr="005071A1">
              <w:t xml:space="preserve"> 26</w:t>
            </w:r>
            <w:r w:rsidR="009B7AF5" w:rsidRPr="005071A1">
              <w:tab/>
            </w:r>
          </w:p>
        </w:tc>
        <w:tc>
          <w:tcPr>
            <w:tcW w:w="4551" w:type="dxa"/>
          </w:tcPr>
          <w:p w14:paraId="6FBC01AE"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1E8A9AC7" w14:textId="77777777" w:rsidTr="00962E93">
        <w:trPr>
          <w:cantSplit/>
        </w:trPr>
        <w:tc>
          <w:tcPr>
            <w:tcW w:w="2551" w:type="dxa"/>
          </w:tcPr>
          <w:p w14:paraId="08A8E4A5" w14:textId="77777777" w:rsidR="009B7AF5" w:rsidRPr="005071A1" w:rsidRDefault="009B7AF5" w:rsidP="009B7AF5">
            <w:pPr>
              <w:pStyle w:val="ENoteTableText"/>
            </w:pPr>
          </w:p>
        </w:tc>
        <w:tc>
          <w:tcPr>
            <w:tcW w:w="4551" w:type="dxa"/>
          </w:tcPr>
          <w:p w14:paraId="52583F8B" w14:textId="77777777" w:rsidR="009B7AF5" w:rsidRPr="005071A1" w:rsidRDefault="009B7AF5" w:rsidP="009B7AF5">
            <w:pPr>
              <w:pStyle w:val="ENoteTableText"/>
            </w:pPr>
            <w:r w:rsidRPr="005071A1">
              <w:t>am. No.</w:t>
            </w:r>
            <w:r w:rsidR="008B2950" w:rsidRPr="005071A1">
              <w:t> </w:t>
            </w:r>
            <w:r w:rsidRPr="005071A1">
              <w:t>97, 1965; No.</w:t>
            </w:r>
            <w:r w:rsidR="008B2950" w:rsidRPr="005071A1">
              <w:t> </w:t>
            </w:r>
            <w:r w:rsidRPr="005071A1">
              <w:t>17, 1978</w:t>
            </w:r>
          </w:p>
        </w:tc>
      </w:tr>
      <w:tr w:rsidR="009B7AF5" w:rsidRPr="005071A1" w14:paraId="21DEBBD5" w14:textId="77777777" w:rsidTr="00962E93">
        <w:trPr>
          <w:cantSplit/>
        </w:trPr>
        <w:tc>
          <w:tcPr>
            <w:tcW w:w="2551" w:type="dxa"/>
          </w:tcPr>
          <w:p w14:paraId="4660919E" w14:textId="77777777" w:rsidR="009B7AF5" w:rsidRPr="005071A1" w:rsidRDefault="002477D1" w:rsidP="002477D1">
            <w:pPr>
              <w:pStyle w:val="ENoteTableText"/>
              <w:tabs>
                <w:tab w:val="center" w:leader="dot" w:pos="2268"/>
              </w:tabs>
            </w:pPr>
            <w:r w:rsidRPr="005071A1">
              <w:t>s.</w:t>
            </w:r>
            <w:r w:rsidR="009B7AF5" w:rsidRPr="005071A1">
              <w:t xml:space="preserve"> 27</w:t>
            </w:r>
            <w:r w:rsidR="009B7AF5" w:rsidRPr="005071A1">
              <w:tab/>
            </w:r>
          </w:p>
        </w:tc>
        <w:tc>
          <w:tcPr>
            <w:tcW w:w="4551" w:type="dxa"/>
          </w:tcPr>
          <w:p w14:paraId="01BF45A0"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5EC8257A" w14:textId="77777777" w:rsidTr="00962E93">
        <w:trPr>
          <w:cantSplit/>
        </w:trPr>
        <w:tc>
          <w:tcPr>
            <w:tcW w:w="2551" w:type="dxa"/>
          </w:tcPr>
          <w:p w14:paraId="78D89067" w14:textId="77777777" w:rsidR="009B7AF5" w:rsidRPr="005071A1" w:rsidRDefault="009B7AF5" w:rsidP="009B7AF5">
            <w:pPr>
              <w:pStyle w:val="ENoteTableText"/>
            </w:pPr>
          </w:p>
        </w:tc>
        <w:tc>
          <w:tcPr>
            <w:tcW w:w="4551" w:type="dxa"/>
          </w:tcPr>
          <w:p w14:paraId="2728AED7"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17, 1978</w:t>
            </w:r>
          </w:p>
        </w:tc>
      </w:tr>
      <w:tr w:rsidR="009B7AF5" w:rsidRPr="005071A1" w14:paraId="5FA1960D" w14:textId="77777777" w:rsidTr="00962E93">
        <w:trPr>
          <w:cantSplit/>
        </w:trPr>
        <w:tc>
          <w:tcPr>
            <w:tcW w:w="2551" w:type="dxa"/>
          </w:tcPr>
          <w:p w14:paraId="3F529C13" w14:textId="77777777" w:rsidR="009B7AF5" w:rsidRPr="005071A1" w:rsidRDefault="002477D1" w:rsidP="002477D1">
            <w:pPr>
              <w:pStyle w:val="ENoteTableText"/>
              <w:tabs>
                <w:tab w:val="center" w:leader="dot" w:pos="2268"/>
              </w:tabs>
            </w:pPr>
            <w:r w:rsidRPr="005071A1">
              <w:t>s.</w:t>
            </w:r>
            <w:r w:rsidR="009B7AF5" w:rsidRPr="005071A1">
              <w:t xml:space="preserve"> 28</w:t>
            </w:r>
            <w:r w:rsidR="009B7AF5" w:rsidRPr="005071A1">
              <w:tab/>
            </w:r>
          </w:p>
        </w:tc>
        <w:tc>
          <w:tcPr>
            <w:tcW w:w="4551" w:type="dxa"/>
          </w:tcPr>
          <w:p w14:paraId="5F3A6E2D"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374767D4" w14:textId="77777777" w:rsidTr="00962E93">
        <w:trPr>
          <w:cantSplit/>
        </w:trPr>
        <w:tc>
          <w:tcPr>
            <w:tcW w:w="2551" w:type="dxa"/>
          </w:tcPr>
          <w:p w14:paraId="55066B87" w14:textId="77777777" w:rsidR="009B7AF5" w:rsidRPr="005071A1" w:rsidRDefault="009B7AF5" w:rsidP="009B7AF5">
            <w:pPr>
              <w:pStyle w:val="ENoteTableText"/>
            </w:pPr>
          </w:p>
        </w:tc>
        <w:tc>
          <w:tcPr>
            <w:tcW w:w="4551" w:type="dxa"/>
          </w:tcPr>
          <w:p w14:paraId="72580F14" w14:textId="77777777" w:rsidR="009B7AF5" w:rsidRPr="005071A1" w:rsidRDefault="009B7AF5" w:rsidP="009B7AF5">
            <w:pPr>
              <w:pStyle w:val="ENoteTableText"/>
            </w:pPr>
            <w:r w:rsidRPr="005071A1">
              <w:t>am. No.</w:t>
            </w:r>
            <w:r w:rsidR="008B2950" w:rsidRPr="005071A1">
              <w:t> </w:t>
            </w:r>
            <w:r w:rsidRPr="005071A1">
              <w:t>97, 1975; No.</w:t>
            </w:r>
            <w:r w:rsidR="008B2950" w:rsidRPr="005071A1">
              <w:t> </w:t>
            </w:r>
            <w:r w:rsidRPr="005071A1">
              <w:t>17, 1978</w:t>
            </w:r>
          </w:p>
        </w:tc>
      </w:tr>
      <w:tr w:rsidR="009B7AF5" w:rsidRPr="005071A1" w14:paraId="4EDA250B" w14:textId="77777777" w:rsidTr="00962E93">
        <w:trPr>
          <w:cantSplit/>
        </w:trPr>
        <w:tc>
          <w:tcPr>
            <w:tcW w:w="2551" w:type="dxa"/>
          </w:tcPr>
          <w:p w14:paraId="496709B4" w14:textId="77777777" w:rsidR="009B7AF5" w:rsidRPr="005071A1" w:rsidRDefault="009B7AF5" w:rsidP="009B7AF5">
            <w:pPr>
              <w:pStyle w:val="ENoteTableText"/>
            </w:pPr>
            <w:r w:rsidRPr="005071A1">
              <w:rPr>
                <w:b/>
              </w:rPr>
              <w:t>Division</w:t>
            </w:r>
            <w:r w:rsidR="008B2950" w:rsidRPr="005071A1">
              <w:rPr>
                <w:b/>
              </w:rPr>
              <w:t> </w:t>
            </w:r>
            <w:r w:rsidRPr="005071A1">
              <w:rPr>
                <w:b/>
              </w:rPr>
              <w:t>5</w:t>
            </w:r>
          </w:p>
        </w:tc>
        <w:tc>
          <w:tcPr>
            <w:tcW w:w="4551" w:type="dxa"/>
          </w:tcPr>
          <w:p w14:paraId="10EC287E" w14:textId="77777777" w:rsidR="009B7AF5" w:rsidRPr="005071A1" w:rsidRDefault="009B7AF5" w:rsidP="009B7AF5">
            <w:pPr>
              <w:pStyle w:val="ENoteTableText"/>
            </w:pPr>
          </w:p>
        </w:tc>
      </w:tr>
      <w:tr w:rsidR="009B7AF5" w:rsidRPr="005071A1" w14:paraId="3A0A62F0" w14:textId="77777777" w:rsidTr="00962E93">
        <w:trPr>
          <w:cantSplit/>
        </w:trPr>
        <w:tc>
          <w:tcPr>
            <w:tcW w:w="2551" w:type="dxa"/>
          </w:tcPr>
          <w:p w14:paraId="21CBE479" w14:textId="77777777" w:rsidR="009B7AF5" w:rsidRPr="005071A1" w:rsidRDefault="009B7AF5" w:rsidP="0086505B">
            <w:pPr>
              <w:pStyle w:val="ENoteTableText"/>
              <w:tabs>
                <w:tab w:val="center" w:leader="dot" w:pos="2268"/>
              </w:tabs>
            </w:pPr>
            <w:r w:rsidRPr="005071A1">
              <w:t>Div. 5 of Part III</w:t>
            </w:r>
            <w:r w:rsidRPr="005071A1">
              <w:tab/>
            </w:r>
          </w:p>
        </w:tc>
        <w:tc>
          <w:tcPr>
            <w:tcW w:w="4551" w:type="dxa"/>
          </w:tcPr>
          <w:p w14:paraId="2608C8C1" w14:textId="77777777" w:rsidR="009B7AF5" w:rsidRPr="005071A1" w:rsidRDefault="009B7AF5" w:rsidP="009B7AF5">
            <w:pPr>
              <w:pStyle w:val="ENoteTableText"/>
            </w:pPr>
            <w:r w:rsidRPr="005071A1">
              <w:t>ad. No.</w:t>
            </w:r>
            <w:r w:rsidR="008B2950" w:rsidRPr="005071A1">
              <w:t> </w:t>
            </w:r>
            <w:r w:rsidRPr="005071A1">
              <w:t>35, 1947</w:t>
            </w:r>
          </w:p>
        </w:tc>
      </w:tr>
      <w:tr w:rsidR="009B7AF5" w:rsidRPr="005071A1" w14:paraId="4991F38F" w14:textId="77777777" w:rsidTr="00962E93">
        <w:trPr>
          <w:cantSplit/>
        </w:trPr>
        <w:tc>
          <w:tcPr>
            <w:tcW w:w="2551" w:type="dxa"/>
          </w:tcPr>
          <w:p w14:paraId="3B826E53" w14:textId="77777777" w:rsidR="009B7AF5" w:rsidRPr="005071A1" w:rsidRDefault="002477D1" w:rsidP="002477D1">
            <w:pPr>
              <w:pStyle w:val="ENoteTableText"/>
              <w:tabs>
                <w:tab w:val="center" w:leader="dot" w:pos="2268"/>
              </w:tabs>
            </w:pPr>
            <w:r w:rsidRPr="005071A1">
              <w:t>s.</w:t>
            </w:r>
            <w:r w:rsidR="009B7AF5" w:rsidRPr="005071A1">
              <w:t xml:space="preserve"> 29</w:t>
            </w:r>
            <w:r w:rsidR="009B7AF5" w:rsidRPr="005071A1">
              <w:tab/>
            </w:r>
          </w:p>
        </w:tc>
        <w:tc>
          <w:tcPr>
            <w:tcW w:w="4551" w:type="dxa"/>
          </w:tcPr>
          <w:p w14:paraId="15CF3787" w14:textId="77777777" w:rsidR="009B7AF5" w:rsidRPr="005071A1" w:rsidRDefault="009B7AF5" w:rsidP="009B7AF5">
            <w:pPr>
              <w:pStyle w:val="ENoteTableText"/>
            </w:pPr>
            <w:r w:rsidRPr="005071A1">
              <w:t>ad. No.</w:t>
            </w:r>
            <w:r w:rsidR="008B2950" w:rsidRPr="005071A1">
              <w:t> </w:t>
            </w:r>
            <w:r w:rsidRPr="005071A1">
              <w:t>35, 1947</w:t>
            </w:r>
          </w:p>
        </w:tc>
      </w:tr>
      <w:tr w:rsidR="009B7AF5" w:rsidRPr="005071A1" w14:paraId="3307AE72" w14:textId="77777777" w:rsidTr="00962E93">
        <w:trPr>
          <w:cantSplit/>
        </w:trPr>
        <w:tc>
          <w:tcPr>
            <w:tcW w:w="2551" w:type="dxa"/>
          </w:tcPr>
          <w:p w14:paraId="7F3993A8" w14:textId="77777777" w:rsidR="009B7AF5" w:rsidRPr="005071A1" w:rsidRDefault="009B7AF5" w:rsidP="009B7AF5">
            <w:pPr>
              <w:pStyle w:val="ENoteTableText"/>
            </w:pPr>
          </w:p>
        </w:tc>
        <w:tc>
          <w:tcPr>
            <w:tcW w:w="4551" w:type="dxa"/>
          </w:tcPr>
          <w:p w14:paraId="5EE284A6"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2710CB23" w14:textId="77777777" w:rsidTr="00962E93">
        <w:trPr>
          <w:cantSplit/>
        </w:trPr>
        <w:tc>
          <w:tcPr>
            <w:tcW w:w="2551" w:type="dxa"/>
          </w:tcPr>
          <w:p w14:paraId="48BC1299" w14:textId="77777777" w:rsidR="009B7AF5" w:rsidRPr="005071A1" w:rsidRDefault="002477D1" w:rsidP="002477D1">
            <w:pPr>
              <w:pStyle w:val="ENoteTableText"/>
              <w:tabs>
                <w:tab w:val="center" w:leader="dot" w:pos="2268"/>
              </w:tabs>
            </w:pPr>
            <w:r w:rsidRPr="005071A1">
              <w:t>s.</w:t>
            </w:r>
            <w:r w:rsidR="009B7AF5" w:rsidRPr="005071A1">
              <w:t xml:space="preserve"> 30</w:t>
            </w:r>
            <w:r w:rsidR="009B7AF5" w:rsidRPr="005071A1">
              <w:tab/>
            </w:r>
          </w:p>
        </w:tc>
        <w:tc>
          <w:tcPr>
            <w:tcW w:w="4551" w:type="dxa"/>
          </w:tcPr>
          <w:p w14:paraId="7222407C" w14:textId="77777777" w:rsidR="009B7AF5" w:rsidRPr="005071A1" w:rsidRDefault="009B7AF5" w:rsidP="009B7AF5">
            <w:pPr>
              <w:pStyle w:val="ENoteTableText"/>
            </w:pPr>
            <w:r w:rsidRPr="005071A1">
              <w:t>ad. No.</w:t>
            </w:r>
            <w:r w:rsidR="008B2950" w:rsidRPr="005071A1">
              <w:t> </w:t>
            </w:r>
            <w:r w:rsidRPr="005071A1">
              <w:t>35, 1947</w:t>
            </w:r>
          </w:p>
        </w:tc>
      </w:tr>
      <w:tr w:rsidR="009B7AF5" w:rsidRPr="005071A1" w14:paraId="469D1A7A" w14:textId="77777777" w:rsidTr="00962E93">
        <w:trPr>
          <w:cantSplit/>
        </w:trPr>
        <w:tc>
          <w:tcPr>
            <w:tcW w:w="2551" w:type="dxa"/>
          </w:tcPr>
          <w:p w14:paraId="4A4DBB61" w14:textId="77777777" w:rsidR="009B7AF5" w:rsidRPr="005071A1" w:rsidRDefault="009B7AF5" w:rsidP="009B7AF5">
            <w:pPr>
              <w:pStyle w:val="ENoteTableText"/>
            </w:pPr>
          </w:p>
        </w:tc>
        <w:tc>
          <w:tcPr>
            <w:tcW w:w="4551" w:type="dxa"/>
          </w:tcPr>
          <w:p w14:paraId="231A64E3" w14:textId="77777777" w:rsidR="009B7AF5" w:rsidRPr="005071A1" w:rsidRDefault="009B7AF5" w:rsidP="009B7AF5">
            <w:pPr>
              <w:pStyle w:val="ENoteTableText"/>
            </w:pPr>
            <w:r w:rsidRPr="005071A1">
              <w:t>am. No.</w:t>
            </w:r>
            <w:r w:rsidR="008B2950" w:rsidRPr="005071A1">
              <w:t> </w:t>
            </w:r>
            <w:r w:rsidRPr="005071A1">
              <w:t>27, 1955; No.</w:t>
            </w:r>
            <w:r w:rsidR="008B2950" w:rsidRPr="005071A1">
              <w:t> </w:t>
            </w:r>
            <w:r w:rsidRPr="005071A1">
              <w:t>102, 1959; No.</w:t>
            </w:r>
            <w:r w:rsidR="008B2950" w:rsidRPr="005071A1">
              <w:t> </w:t>
            </w:r>
            <w:r w:rsidRPr="005071A1">
              <w:t>102, 1963; No.</w:t>
            </w:r>
            <w:r w:rsidR="008B2950" w:rsidRPr="005071A1">
              <w:t> </w:t>
            </w:r>
            <w:r w:rsidRPr="005071A1">
              <w:t>97, 1965; No.</w:t>
            </w:r>
            <w:r w:rsidR="008B2950" w:rsidRPr="005071A1">
              <w:t> </w:t>
            </w:r>
            <w:r w:rsidRPr="005071A1">
              <w:t>26, 1969; No.</w:t>
            </w:r>
            <w:r w:rsidR="008B2950" w:rsidRPr="005071A1">
              <w:t> </w:t>
            </w:r>
            <w:r w:rsidRPr="005071A1">
              <w:t>32, 1976; No.</w:t>
            </w:r>
            <w:r w:rsidR="008B2950" w:rsidRPr="005071A1">
              <w:t> </w:t>
            </w:r>
            <w:r w:rsidRPr="005071A1">
              <w:t>17, 1978</w:t>
            </w:r>
          </w:p>
        </w:tc>
      </w:tr>
      <w:tr w:rsidR="009B7AF5" w:rsidRPr="005071A1" w14:paraId="0C0A86A6" w14:textId="77777777" w:rsidTr="00962E93">
        <w:trPr>
          <w:cantSplit/>
        </w:trPr>
        <w:tc>
          <w:tcPr>
            <w:tcW w:w="2551" w:type="dxa"/>
          </w:tcPr>
          <w:p w14:paraId="140D9523" w14:textId="77777777" w:rsidR="009B7AF5" w:rsidRPr="005071A1" w:rsidRDefault="002477D1" w:rsidP="002477D1">
            <w:pPr>
              <w:pStyle w:val="ENoteTableText"/>
              <w:tabs>
                <w:tab w:val="center" w:leader="dot" w:pos="2268"/>
              </w:tabs>
            </w:pPr>
            <w:r w:rsidRPr="005071A1">
              <w:t>s.</w:t>
            </w:r>
            <w:r w:rsidR="009B7AF5" w:rsidRPr="005071A1">
              <w:t xml:space="preserve"> 30A</w:t>
            </w:r>
            <w:r w:rsidR="009B7AF5" w:rsidRPr="005071A1">
              <w:tab/>
            </w:r>
          </w:p>
        </w:tc>
        <w:tc>
          <w:tcPr>
            <w:tcW w:w="4551" w:type="dxa"/>
          </w:tcPr>
          <w:p w14:paraId="681F18E2"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30CBA0BF" w14:textId="77777777" w:rsidTr="00962E93">
        <w:trPr>
          <w:cantSplit/>
        </w:trPr>
        <w:tc>
          <w:tcPr>
            <w:tcW w:w="2551" w:type="dxa"/>
          </w:tcPr>
          <w:p w14:paraId="0ADC3B0A" w14:textId="77777777" w:rsidR="009B7AF5" w:rsidRPr="005071A1" w:rsidRDefault="009B7AF5" w:rsidP="009B7AF5">
            <w:pPr>
              <w:pStyle w:val="ENoteTableText"/>
            </w:pPr>
          </w:p>
        </w:tc>
        <w:tc>
          <w:tcPr>
            <w:tcW w:w="4551" w:type="dxa"/>
          </w:tcPr>
          <w:p w14:paraId="3DD1B2F8" w14:textId="77777777" w:rsidR="009B7AF5" w:rsidRPr="005071A1" w:rsidRDefault="009B7AF5" w:rsidP="009B7AF5">
            <w:pPr>
              <w:pStyle w:val="ENoteTableText"/>
            </w:pPr>
            <w:r w:rsidRPr="005071A1">
              <w:t>am. No.</w:t>
            </w:r>
            <w:r w:rsidR="008B2950" w:rsidRPr="005071A1">
              <w:t> </w:t>
            </w:r>
            <w:r w:rsidRPr="005071A1">
              <w:t xml:space="preserve">17, 1978 </w:t>
            </w:r>
          </w:p>
        </w:tc>
      </w:tr>
      <w:tr w:rsidR="009B7AF5" w:rsidRPr="005071A1" w14:paraId="35903595" w14:textId="77777777" w:rsidTr="00962E93">
        <w:trPr>
          <w:cantSplit/>
        </w:trPr>
        <w:tc>
          <w:tcPr>
            <w:tcW w:w="2551" w:type="dxa"/>
          </w:tcPr>
          <w:p w14:paraId="0EE29243"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31, 32</w:t>
            </w:r>
            <w:r w:rsidR="009B7AF5" w:rsidRPr="005071A1">
              <w:tab/>
            </w:r>
          </w:p>
        </w:tc>
        <w:tc>
          <w:tcPr>
            <w:tcW w:w="4551" w:type="dxa"/>
          </w:tcPr>
          <w:p w14:paraId="2511C3C5" w14:textId="77777777" w:rsidR="009B7AF5" w:rsidRPr="005071A1" w:rsidRDefault="009B7AF5" w:rsidP="009B7AF5">
            <w:pPr>
              <w:pStyle w:val="ENoteTableText"/>
            </w:pPr>
            <w:r w:rsidRPr="005071A1">
              <w:t>ad. No.</w:t>
            </w:r>
            <w:r w:rsidR="008B2950" w:rsidRPr="005071A1">
              <w:t> </w:t>
            </w:r>
            <w:r w:rsidRPr="005071A1">
              <w:t>35, 1947</w:t>
            </w:r>
          </w:p>
        </w:tc>
      </w:tr>
      <w:tr w:rsidR="009B7AF5" w:rsidRPr="005071A1" w14:paraId="1FF0198E" w14:textId="77777777" w:rsidTr="00962E93">
        <w:trPr>
          <w:cantSplit/>
        </w:trPr>
        <w:tc>
          <w:tcPr>
            <w:tcW w:w="2551" w:type="dxa"/>
          </w:tcPr>
          <w:p w14:paraId="786466DF" w14:textId="77777777" w:rsidR="009B7AF5" w:rsidRPr="005071A1" w:rsidRDefault="009B7AF5" w:rsidP="009B7AF5">
            <w:pPr>
              <w:pStyle w:val="ENoteTableText"/>
            </w:pPr>
          </w:p>
        </w:tc>
        <w:tc>
          <w:tcPr>
            <w:tcW w:w="4551" w:type="dxa"/>
          </w:tcPr>
          <w:p w14:paraId="3ECB7FBC" w14:textId="77777777" w:rsidR="009B7AF5" w:rsidRPr="005071A1" w:rsidRDefault="009B7AF5" w:rsidP="009B7AF5">
            <w:pPr>
              <w:pStyle w:val="ENoteTableText"/>
            </w:pPr>
            <w:r w:rsidRPr="005071A1">
              <w:t>am. No.</w:t>
            </w:r>
            <w:r w:rsidR="008B2950" w:rsidRPr="005071A1">
              <w:t> </w:t>
            </w:r>
            <w:r w:rsidRPr="005071A1">
              <w:t>26, 1969; No.</w:t>
            </w:r>
            <w:r w:rsidR="008B2950" w:rsidRPr="005071A1">
              <w:t> </w:t>
            </w:r>
            <w:r w:rsidRPr="005071A1">
              <w:t>32, 1976; No.</w:t>
            </w:r>
            <w:r w:rsidR="008B2950" w:rsidRPr="005071A1">
              <w:t> </w:t>
            </w:r>
            <w:r w:rsidRPr="005071A1">
              <w:t>17, 1978</w:t>
            </w:r>
          </w:p>
        </w:tc>
      </w:tr>
      <w:tr w:rsidR="009B7AF5" w:rsidRPr="005071A1" w14:paraId="73D9371B" w14:textId="77777777" w:rsidTr="00962E93">
        <w:trPr>
          <w:cantSplit/>
        </w:trPr>
        <w:tc>
          <w:tcPr>
            <w:tcW w:w="2551" w:type="dxa"/>
          </w:tcPr>
          <w:p w14:paraId="59111049" w14:textId="77777777" w:rsidR="009B7AF5" w:rsidRPr="005071A1" w:rsidRDefault="009B7AF5" w:rsidP="009B7AF5">
            <w:pPr>
              <w:pStyle w:val="ENoteTableText"/>
            </w:pPr>
            <w:r w:rsidRPr="005071A1">
              <w:rPr>
                <w:b/>
              </w:rPr>
              <w:t>Division</w:t>
            </w:r>
            <w:r w:rsidR="008B2950" w:rsidRPr="005071A1">
              <w:rPr>
                <w:b/>
              </w:rPr>
              <w:t> </w:t>
            </w:r>
            <w:r w:rsidRPr="005071A1">
              <w:rPr>
                <w:b/>
              </w:rPr>
              <w:t>6</w:t>
            </w:r>
          </w:p>
        </w:tc>
        <w:tc>
          <w:tcPr>
            <w:tcW w:w="4551" w:type="dxa"/>
          </w:tcPr>
          <w:p w14:paraId="7EAAA718" w14:textId="77777777" w:rsidR="009B7AF5" w:rsidRPr="005071A1" w:rsidRDefault="009B7AF5" w:rsidP="009B7AF5">
            <w:pPr>
              <w:pStyle w:val="ENoteTableText"/>
            </w:pPr>
          </w:p>
        </w:tc>
      </w:tr>
      <w:tr w:rsidR="009B7AF5" w:rsidRPr="005071A1" w14:paraId="2E093C7C" w14:textId="77777777" w:rsidTr="00962E93">
        <w:trPr>
          <w:cantSplit/>
        </w:trPr>
        <w:tc>
          <w:tcPr>
            <w:tcW w:w="2551" w:type="dxa"/>
          </w:tcPr>
          <w:p w14:paraId="6F23FC85" w14:textId="77777777" w:rsidR="009B7AF5" w:rsidRPr="005071A1" w:rsidRDefault="009B7AF5" w:rsidP="002477D1">
            <w:pPr>
              <w:pStyle w:val="ENoteTableText"/>
              <w:tabs>
                <w:tab w:val="center" w:leader="dot" w:pos="2268"/>
              </w:tabs>
            </w:pPr>
            <w:r w:rsidRPr="005071A1">
              <w:t>Div. 6 of Part III</w:t>
            </w:r>
            <w:r w:rsidRPr="005071A1">
              <w:tab/>
            </w:r>
          </w:p>
        </w:tc>
        <w:tc>
          <w:tcPr>
            <w:tcW w:w="4551" w:type="dxa"/>
          </w:tcPr>
          <w:p w14:paraId="529B61F1"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2FE73774" w14:textId="77777777" w:rsidTr="00962E93">
        <w:trPr>
          <w:cantSplit/>
        </w:trPr>
        <w:tc>
          <w:tcPr>
            <w:tcW w:w="2551" w:type="dxa"/>
          </w:tcPr>
          <w:p w14:paraId="33622409" w14:textId="77777777" w:rsidR="009B7AF5" w:rsidRPr="005071A1" w:rsidRDefault="002477D1" w:rsidP="002477D1">
            <w:pPr>
              <w:pStyle w:val="ENoteTableText"/>
              <w:tabs>
                <w:tab w:val="center" w:leader="dot" w:pos="2268"/>
              </w:tabs>
            </w:pPr>
            <w:r w:rsidRPr="005071A1">
              <w:t>s.</w:t>
            </w:r>
            <w:r w:rsidR="009B7AF5" w:rsidRPr="005071A1">
              <w:t xml:space="preserve"> 33</w:t>
            </w:r>
            <w:r w:rsidR="009B7AF5" w:rsidRPr="005071A1">
              <w:tab/>
            </w:r>
          </w:p>
        </w:tc>
        <w:tc>
          <w:tcPr>
            <w:tcW w:w="4551" w:type="dxa"/>
          </w:tcPr>
          <w:p w14:paraId="570D2F94"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79FF76B0" w14:textId="77777777" w:rsidTr="00962E93">
        <w:trPr>
          <w:cantSplit/>
        </w:trPr>
        <w:tc>
          <w:tcPr>
            <w:tcW w:w="2551" w:type="dxa"/>
          </w:tcPr>
          <w:p w14:paraId="54472C30" w14:textId="77777777" w:rsidR="009B7AF5" w:rsidRPr="005071A1" w:rsidRDefault="009B7AF5" w:rsidP="009B7AF5">
            <w:pPr>
              <w:pStyle w:val="ENoteTableText"/>
            </w:pPr>
          </w:p>
        </w:tc>
        <w:tc>
          <w:tcPr>
            <w:tcW w:w="4551" w:type="dxa"/>
          </w:tcPr>
          <w:p w14:paraId="49771F7A"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102, 1963; No.</w:t>
            </w:r>
            <w:r w:rsidR="008B2950" w:rsidRPr="005071A1">
              <w:t> </w:t>
            </w:r>
            <w:r w:rsidRPr="005071A1">
              <w:t>97, 1965; No.</w:t>
            </w:r>
            <w:r w:rsidR="008B2950" w:rsidRPr="005071A1">
              <w:t> </w:t>
            </w:r>
            <w:r w:rsidRPr="005071A1">
              <w:t>69, 1966; No.</w:t>
            </w:r>
            <w:r w:rsidR="008B2950" w:rsidRPr="005071A1">
              <w:t> </w:t>
            </w:r>
            <w:r w:rsidRPr="005071A1">
              <w:t>26, 1969; No.</w:t>
            </w:r>
            <w:r w:rsidR="008B2950" w:rsidRPr="005071A1">
              <w:t> </w:t>
            </w:r>
            <w:r w:rsidRPr="005071A1">
              <w:t>32, 1976; No.</w:t>
            </w:r>
            <w:r w:rsidR="008B2950" w:rsidRPr="005071A1">
              <w:t> </w:t>
            </w:r>
            <w:r w:rsidRPr="005071A1">
              <w:t>17, 1978</w:t>
            </w:r>
          </w:p>
        </w:tc>
      </w:tr>
      <w:tr w:rsidR="009B7AF5" w:rsidRPr="005071A1" w14:paraId="0FBE8CDA" w14:textId="77777777" w:rsidTr="00962E93">
        <w:trPr>
          <w:cantSplit/>
        </w:trPr>
        <w:tc>
          <w:tcPr>
            <w:tcW w:w="2551" w:type="dxa"/>
          </w:tcPr>
          <w:p w14:paraId="5879494E" w14:textId="77777777" w:rsidR="009B7AF5" w:rsidRPr="005071A1" w:rsidRDefault="009B7AF5" w:rsidP="009B7AF5">
            <w:pPr>
              <w:pStyle w:val="ENoteTableText"/>
            </w:pPr>
            <w:r w:rsidRPr="005071A1">
              <w:rPr>
                <w:b/>
              </w:rPr>
              <w:t>Division</w:t>
            </w:r>
            <w:r w:rsidR="008B2950" w:rsidRPr="005071A1">
              <w:rPr>
                <w:b/>
              </w:rPr>
              <w:t> </w:t>
            </w:r>
            <w:r w:rsidRPr="005071A1">
              <w:rPr>
                <w:b/>
              </w:rPr>
              <w:t>7</w:t>
            </w:r>
          </w:p>
        </w:tc>
        <w:tc>
          <w:tcPr>
            <w:tcW w:w="4551" w:type="dxa"/>
          </w:tcPr>
          <w:p w14:paraId="3FFE097B" w14:textId="77777777" w:rsidR="009B7AF5" w:rsidRPr="005071A1" w:rsidRDefault="009B7AF5" w:rsidP="009B7AF5">
            <w:pPr>
              <w:pStyle w:val="ENoteTableText"/>
            </w:pPr>
          </w:p>
        </w:tc>
      </w:tr>
      <w:tr w:rsidR="009B7AF5" w:rsidRPr="005071A1" w14:paraId="5339DD64" w14:textId="77777777" w:rsidTr="00962E93">
        <w:trPr>
          <w:cantSplit/>
        </w:trPr>
        <w:tc>
          <w:tcPr>
            <w:tcW w:w="2551" w:type="dxa"/>
          </w:tcPr>
          <w:p w14:paraId="1C2E4085"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34, 35</w:t>
            </w:r>
            <w:r w:rsidR="009B7AF5" w:rsidRPr="005071A1">
              <w:tab/>
            </w:r>
          </w:p>
        </w:tc>
        <w:tc>
          <w:tcPr>
            <w:tcW w:w="4551" w:type="dxa"/>
          </w:tcPr>
          <w:p w14:paraId="356DE012" w14:textId="77777777" w:rsidR="009B7AF5" w:rsidRPr="005071A1" w:rsidRDefault="009B7AF5" w:rsidP="009B7AF5">
            <w:pPr>
              <w:pStyle w:val="ENoteTableText"/>
            </w:pPr>
            <w:r w:rsidRPr="005071A1">
              <w:t>am. No.</w:t>
            </w:r>
            <w:r w:rsidR="008B2950" w:rsidRPr="005071A1">
              <w:t> </w:t>
            </w:r>
            <w:r w:rsidRPr="005071A1">
              <w:t>49, 1968; No.</w:t>
            </w:r>
            <w:r w:rsidR="008B2950" w:rsidRPr="005071A1">
              <w:t> </w:t>
            </w:r>
            <w:r w:rsidRPr="005071A1">
              <w:t>17, 1978</w:t>
            </w:r>
          </w:p>
        </w:tc>
      </w:tr>
      <w:tr w:rsidR="009B7AF5" w:rsidRPr="005071A1" w14:paraId="034EF905" w14:textId="77777777" w:rsidTr="00962E93">
        <w:trPr>
          <w:cantSplit/>
        </w:trPr>
        <w:tc>
          <w:tcPr>
            <w:tcW w:w="2551" w:type="dxa"/>
          </w:tcPr>
          <w:p w14:paraId="6DEF30C6" w14:textId="77777777" w:rsidR="009B7AF5" w:rsidRPr="005071A1" w:rsidRDefault="002477D1" w:rsidP="002477D1">
            <w:pPr>
              <w:pStyle w:val="ENoteTableText"/>
              <w:tabs>
                <w:tab w:val="center" w:leader="dot" w:pos="2268"/>
              </w:tabs>
            </w:pPr>
            <w:r w:rsidRPr="005071A1">
              <w:t>s.</w:t>
            </w:r>
            <w:r w:rsidR="009B7AF5" w:rsidRPr="005071A1">
              <w:t xml:space="preserve"> 35A</w:t>
            </w:r>
            <w:r w:rsidR="009B7AF5" w:rsidRPr="005071A1">
              <w:tab/>
            </w:r>
          </w:p>
        </w:tc>
        <w:tc>
          <w:tcPr>
            <w:tcW w:w="4551" w:type="dxa"/>
          </w:tcPr>
          <w:p w14:paraId="0C2F07E8" w14:textId="77777777" w:rsidR="009B7AF5" w:rsidRPr="005071A1" w:rsidRDefault="009B7AF5" w:rsidP="009B7AF5">
            <w:pPr>
              <w:pStyle w:val="ENoteTableText"/>
            </w:pPr>
            <w:r w:rsidRPr="005071A1">
              <w:t>ad. No.</w:t>
            </w:r>
            <w:r w:rsidR="008B2950" w:rsidRPr="005071A1">
              <w:t> </w:t>
            </w:r>
            <w:r w:rsidRPr="005071A1">
              <w:t>49, 1968</w:t>
            </w:r>
          </w:p>
        </w:tc>
      </w:tr>
      <w:tr w:rsidR="009B7AF5" w:rsidRPr="005071A1" w14:paraId="52053606" w14:textId="77777777" w:rsidTr="00962E93">
        <w:trPr>
          <w:cantSplit/>
        </w:trPr>
        <w:tc>
          <w:tcPr>
            <w:tcW w:w="2551" w:type="dxa"/>
          </w:tcPr>
          <w:p w14:paraId="07B3EEF7" w14:textId="77777777" w:rsidR="009B7AF5" w:rsidRPr="005071A1" w:rsidRDefault="009B7AF5" w:rsidP="009B7AF5">
            <w:pPr>
              <w:pStyle w:val="ENoteTableText"/>
            </w:pPr>
          </w:p>
        </w:tc>
        <w:tc>
          <w:tcPr>
            <w:tcW w:w="4551" w:type="dxa"/>
          </w:tcPr>
          <w:p w14:paraId="1CE32B6A" w14:textId="77777777" w:rsidR="009B7AF5" w:rsidRPr="005071A1" w:rsidRDefault="009B7AF5" w:rsidP="009B7AF5">
            <w:pPr>
              <w:pStyle w:val="ENoteTableText"/>
            </w:pPr>
            <w:r w:rsidRPr="005071A1">
              <w:t>rs. No.</w:t>
            </w:r>
            <w:r w:rsidR="008B2950" w:rsidRPr="005071A1">
              <w:t> </w:t>
            </w:r>
            <w:r w:rsidRPr="005071A1">
              <w:t>83, 1973</w:t>
            </w:r>
          </w:p>
        </w:tc>
      </w:tr>
      <w:tr w:rsidR="009B7AF5" w:rsidRPr="005071A1" w14:paraId="68ED3A81" w14:textId="77777777" w:rsidTr="00962E93">
        <w:trPr>
          <w:cantSplit/>
        </w:trPr>
        <w:tc>
          <w:tcPr>
            <w:tcW w:w="2551" w:type="dxa"/>
          </w:tcPr>
          <w:p w14:paraId="2CF65B6F" w14:textId="77777777" w:rsidR="009B7AF5" w:rsidRPr="005071A1" w:rsidRDefault="009B7AF5" w:rsidP="009B7AF5">
            <w:pPr>
              <w:pStyle w:val="ENoteTableText"/>
            </w:pPr>
          </w:p>
        </w:tc>
        <w:tc>
          <w:tcPr>
            <w:tcW w:w="4551" w:type="dxa"/>
          </w:tcPr>
          <w:p w14:paraId="021E8BFE"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5BDD8B7E" w14:textId="77777777" w:rsidTr="00962E93">
        <w:trPr>
          <w:cantSplit/>
        </w:trPr>
        <w:tc>
          <w:tcPr>
            <w:tcW w:w="2551" w:type="dxa"/>
          </w:tcPr>
          <w:p w14:paraId="6FEA5FA6" w14:textId="77777777" w:rsidR="009B7AF5" w:rsidRPr="005071A1" w:rsidRDefault="002477D1" w:rsidP="002477D1">
            <w:pPr>
              <w:pStyle w:val="ENoteTableText"/>
              <w:tabs>
                <w:tab w:val="center" w:leader="dot" w:pos="2268"/>
              </w:tabs>
            </w:pPr>
            <w:r w:rsidRPr="005071A1">
              <w:t>s.</w:t>
            </w:r>
            <w:r w:rsidR="009B7AF5" w:rsidRPr="005071A1">
              <w:t xml:space="preserve"> 35B</w:t>
            </w:r>
            <w:r w:rsidR="009B7AF5" w:rsidRPr="005071A1">
              <w:tab/>
            </w:r>
          </w:p>
        </w:tc>
        <w:tc>
          <w:tcPr>
            <w:tcW w:w="4551" w:type="dxa"/>
          </w:tcPr>
          <w:p w14:paraId="0D644CA8"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758AE2B1" w14:textId="77777777" w:rsidTr="00962E93">
        <w:trPr>
          <w:cantSplit/>
        </w:trPr>
        <w:tc>
          <w:tcPr>
            <w:tcW w:w="2551" w:type="dxa"/>
          </w:tcPr>
          <w:p w14:paraId="5D3D3F08" w14:textId="77777777" w:rsidR="009B7AF5" w:rsidRPr="005071A1" w:rsidRDefault="009B7AF5" w:rsidP="009B7AF5">
            <w:pPr>
              <w:pStyle w:val="ENoteTableText"/>
            </w:pPr>
          </w:p>
        </w:tc>
        <w:tc>
          <w:tcPr>
            <w:tcW w:w="4551" w:type="dxa"/>
          </w:tcPr>
          <w:p w14:paraId="11A80314"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0960CFC8" w14:textId="77777777" w:rsidTr="00962E93">
        <w:trPr>
          <w:cantSplit/>
        </w:trPr>
        <w:tc>
          <w:tcPr>
            <w:tcW w:w="2551" w:type="dxa"/>
          </w:tcPr>
          <w:p w14:paraId="6C2784A1" w14:textId="77777777" w:rsidR="009B7AF5" w:rsidRPr="005071A1" w:rsidRDefault="002477D1" w:rsidP="002477D1">
            <w:pPr>
              <w:pStyle w:val="ENoteTableText"/>
              <w:tabs>
                <w:tab w:val="center" w:leader="dot" w:pos="2268"/>
              </w:tabs>
            </w:pPr>
            <w:r w:rsidRPr="005071A1">
              <w:t>s.</w:t>
            </w:r>
            <w:r w:rsidR="009B7AF5" w:rsidRPr="005071A1">
              <w:t xml:space="preserve"> 36</w:t>
            </w:r>
            <w:r w:rsidR="009B7AF5" w:rsidRPr="005071A1">
              <w:tab/>
            </w:r>
          </w:p>
        </w:tc>
        <w:tc>
          <w:tcPr>
            <w:tcW w:w="4551" w:type="dxa"/>
          </w:tcPr>
          <w:p w14:paraId="4317F6B8"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45EC36CE" w14:textId="77777777" w:rsidTr="00962E93">
        <w:trPr>
          <w:cantSplit/>
        </w:trPr>
        <w:tc>
          <w:tcPr>
            <w:tcW w:w="2551" w:type="dxa"/>
          </w:tcPr>
          <w:p w14:paraId="620FE473" w14:textId="77777777" w:rsidR="009B7AF5" w:rsidRPr="005071A1" w:rsidRDefault="009B7AF5" w:rsidP="009B7AF5">
            <w:pPr>
              <w:pStyle w:val="ENoteTableText"/>
            </w:pPr>
          </w:p>
        </w:tc>
        <w:tc>
          <w:tcPr>
            <w:tcW w:w="4551" w:type="dxa"/>
          </w:tcPr>
          <w:p w14:paraId="16BC03D8" w14:textId="77777777" w:rsidR="009B7AF5" w:rsidRPr="005071A1" w:rsidRDefault="009B7AF5" w:rsidP="009B7AF5">
            <w:pPr>
              <w:pStyle w:val="ENoteTableText"/>
            </w:pPr>
            <w:r w:rsidRPr="005071A1">
              <w:t>am. No.</w:t>
            </w:r>
            <w:r w:rsidR="008B2950" w:rsidRPr="005071A1">
              <w:t> </w:t>
            </w:r>
            <w:r w:rsidRPr="005071A1">
              <w:t>49, 1968; No.</w:t>
            </w:r>
            <w:r w:rsidR="008B2950" w:rsidRPr="005071A1">
              <w:t> </w:t>
            </w:r>
            <w:r w:rsidRPr="005071A1">
              <w:t>26, 1969; No.</w:t>
            </w:r>
            <w:r w:rsidR="008B2950" w:rsidRPr="005071A1">
              <w:t> </w:t>
            </w:r>
            <w:r w:rsidRPr="005071A1">
              <w:t>17, 1978</w:t>
            </w:r>
          </w:p>
        </w:tc>
      </w:tr>
      <w:tr w:rsidR="009B7AF5" w:rsidRPr="005071A1" w14:paraId="2D630DD7" w14:textId="77777777" w:rsidTr="00962E93">
        <w:trPr>
          <w:cantSplit/>
        </w:trPr>
        <w:tc>
          <w:tcPr>
            <w:tcW w:w="2551" w:type="dxa"/>
          </w:tcPr>
          <w:p w14:paraId="11FF65AA" w14:textId="77777777" w:rsidR="009B7AF5" w:rsidRPr="005071A1" w:rsidRDefault="009B7AF5" w:rsidP="009B7AF5">
            <w:pPr>
              <w:pStyle w:val="ENoteTableText"/>
            </w:pPr>
            <w:r w:rsidRPr="005071A1">
              <w:rPr>
                <w:b/>
              </w:rPr>
              <w:t>Part</w:t>
            </w:r>
            <w:r w:rsidR="002477D1" w:rsidRPr="005071A1">
              <w:rPr>
                <w:b/>
              </w:rPr>
              <w:t> </w:t>
            </w:r>
            <w:r w:rsidRPr="005071A1">
              <w:rPr>
                <w:b/>
              </w:rPr>
              <w:t>IV</w:t>
            </w:r>
          </w:p>
        </w:tc>
        <w:tc>
          <w:tcPr>
            <w:tcW w:w="4551" w:type="dxa"/>
          </w:tcPr>
          <w:p w14:paraId="0DEBE2A8" w14:textId="77777777" w:rsidR="009B7AF5" w:rsidRPr="005071A1" w:rsidRDefault="009B7AF5" w:rsidP="009B7AF5">
            <w:pPr>
              <w:pStyle w:val="ENoteTableText"/>
            </w:pPr>
          </w:p>
        </w:tc>
      </w:tr>
      <w:tr w:rsidR="009B7AF5" w:rsidRPr="005071A1" w14:paraId="70E08473" w14:textId="77777777" w:rsidTr="00962E93">
        <w:trPr>
          <w:cantSplit/>
        </w:trPr>
        <w:tc>
          <w:tcPr>
            <w:tcW w:w="2551" w:type="dxa"/>
          </w:tcPr>
          <w:p w14:paraId="4C16BD88" w14:textId="77777777" w:rsidR="009B7AF5" w:rsidRPr="005071A1" w:rsidRDefault="009B7AF5" w:rsidP="009B7AF5">
            <w:pPr>
              <w:pStyle w:val="ENoteTableText"/>
            </w:pPr>
            <w:r w:rsidRPr="005071A1">
              <w:rPr>
                <w:b/>
              </w:rPr>
              <w:t>Division</w:t>
            </w:r>
            <w:r w:rsidR="008B2950" w:rsidRPr="005071A1">
              <w:rPr>
                <w:b/>
              </w:rPr>
              <w:t> </w:t>
            </w:r>
            <w:r w:rsidRPr="005071A1">
              <w:rPr>
                <w:b/>
              </w:rPr>
              <w:t>1</w:t>
            </w:r>
          </w:p>
        </w:tc>
        <w:tc>
          <w:tcPr>
            <w:tcW w:w="4551" w:type="dxa"/>
          </w:tcPr>
          <w:p w14:paraId="1F71EEBD" w14:textId="77777777" w:rsidR="009B7AF5" w:rsidRPr="005071A1" w:rsidRDefault="009B7AF5" w:rsidP="009B7AF5">
            <w:pPr>
              <w:pStyle w:val="ENoteTableText"/>
            </w:pPr>
          </w:p>
        </w:tc>
      </w:tr>
      <w:tr w:rsidR="009B7AF5" w:rsidRPr="005071A1" w14:paraId="4E7DA6BC" w14:textId="77777777" w:rsidTr="00962E93">
        <w:trPr>
          <w:cantSplit/>
        </w:trPr>
        <w:tc>
          <w:tcPr>
            <w:tcW w:w="2551" w:type="dxa"/>
          </w:tcPr>
          <w:p w14:paraId="70462E07" w14:textId="77777777" w:rsidR="009B7AF5" w:rsidRPr="005071A1" w:rsidRDefault="002477D1" w:rsidP="002477D1">
            <w:pPr>
              <w:pStyle w:val="ENoteTableText"/>
              <w:tabs>
                <w:tab w:val="center" w:leader="dot" w:pos="2268"/>
              </w:tabs>
            </w:pPr>
            <w:r w:rsidRPr="005071A1">
              <w:t>s.</w:t>
            </w:r>
            <w:r w:rsidR="009B7AF5" w:rsidRPr="005071A1">
              <w:t xml:space="preserve"> 37</w:t>
            </w:r>
            <w:r w:rsidR="009B7AF5" w:rsidRPr="005071A1">
              <w:tab/>
            </w:r>
          </w:p>
        </w:tc>
        <w:tc>
          <w:tcPr>
            <w:tcW w:w="4551" w:type="dxa"/>
          </w:tcPr>
          <w:p w14:paraId="4F60C54B" w14:textId="77777777" w:rsidR="009B7AF5" w:rsidRPr="005071A1" w:rsidRDefault="009B7AF5" w:rsidP="009B7AF5">
            <w:pPr>
              <w:pStyle w:val="ENoteTableText"/>
            </w:pPr>
            <w:r w:rsidRPr="005071A1">
              <w:t>am. No.</w:t>
            </w:r>
            <w:r w:rsidR="008B2950" w:rsidRPr="005071A1">
              <w:t> </w:t>
            </w:r>
            <w:r w:rsidRPr="005071A1">
              <w:t>32, 1976</w:t>
            </w:r>
          </w:p>
        </w:tc>
      </w:tr>
      <w:tr w:rsidR="009B7AF5" w:rsidRPr="005071A1" w14:paraId="60B71061" w14:textId="77777777" w:rsidTr="00962E93">
        <w:trPr>
          <w:cantSplit/>
        </w:trPr>
        <w:tc>
          <w:tcPr>
            <w:tcW w:w="2551" w:type="dxa"/>
          </w:tcPr>
          <w:p w14:paraId="457267FE" w14:textId="77777777" w:rsidR="009B7AF5" w:rsidRPr="005071A1" w:rsidRDefault="002477D1" w:rsidP="002477D1">
            <w:pPr>
              <w:pStyle w:val="ENoteTableText"/>
              <w:tabs>
                <w:tab w:val="center" w:leader="dot" w:pos="2268"/>
              </w:tabs>
            </w:pPr>
            <w:r w:rsidRPr="005071A1">
              <w:t>s.</w:t>
            </w:r>
            <w:r w:rsidR="009B7AF5" w:rsidRPr="005071A1">
              <w:t xml:space="preserve"> 38</w:t>
            </w:r>
            <w:r w:rsidR="009B7AF5" w:rsidRPr="005071A1">
              <w:tab/>
            </w:r>
          </w:p>
        </w:tc>
        <w:tc>
          <w:tcPr>
            <w:tcW w:w="4551" w:type="dxa"/>
          </w:tcPr>
          <w:p w14:paraId="510C521D"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97, 1965; No.</w:t>
            </w:r>
            <w:r w:rsidR="008B2950" w:rsidRPr="005071A1">
              <w:t> </w:t>
            </w:r>
            <w:r w:rsidRPr="005071A1">
              <w:t>32, 1976</w:t>
            </w:r>
          </w:p>
        </w:tc>
      </w:tr>
      <w:tr w:rsidR="009B7AF5" w:rsidRPr="005071A1" w14:paraId="22A2CF9E" w14:textId="77777777" w:rsidTr="00962E93">
        <w:trPr>
          <w:cantSplit/>
        </w:trPr>
        <w:tc>
          <w:tcPr>
            <w:tcW w:w="2551" w:type="dxa"/>
          </w:tcPr>
          <w:p w14:paraId="69FC3E04" w14:textId="77777777" w:rsidR="009B7AF5" w:rsidRPr="005071A1" w:rsidRDefault="002477D1" w:rsidP="002477D1">
            <w:pPr>
              <w:pStyle w:val="ENoteTableText"/>
              <w:tabs>
                <w:tab w:val="center" w:leader="dot" w:pos="2268"/>
              </w:tabs>
            </w:pPr>
            <w:r w:rsidRPr="005071A1">
              <w:t>s.</w:t>
            </w:r>
            <w:r w:rsidR="009B7AF5" w:rsidRPr="005071A1">
              <w:t xml:space="preserve"> 39</w:t>
            </w:r>
            <w:r w:rsidR="009B7AF5" w:rsidRPr="005071A1">
              <w:tab/>
            </w:r>
          </w:p>
        </w:tc>
        <w:tc>
          <w:tcPr>
            <w:tcW w:w="4551" w:type="dxa"/>
          </w:tcPr>
          <w:p w14:paraId="0CE4050F" w14:textId="77777777" w:rsidR="009B7AF5" w:rsidRPr="005071A1" w:rsidRDefault="009B7AF5" w:rsidP="009B7AF5">
            <w:pPr>
              <w:pStyle w:val="ENoteTableText"/>
            </w:pPr>
            <w:r w:rsidRPr="005071A1">
              <w:t>am. No.</w:t>
            </w:r>
            <w:r w:rsidR="008B2950" w:rsidRPr="005071A1">
              <w:t> </w:t>
            </w:r>
            <w:r w:rsidRPr="005071A1">
              <w:t>53, 1942</w:t>
            </w:r>
          </w:p>
        </w:tc>
      </w:tr>
      <w:tr w:rsidR="009B7AF5" w:rsidRPr="005071A1" w14:paraId="474416DC" w14:textId="77777777" w:rsidTr="00962E93">
        <w:trPr>
          <w:cantSplit/>
        </w:trPr>
        <w:tc>
          <w:tcPr>
            <w:tcW w:w="2551" w:type="dxa"/>
          </w:tcPr>
          <w:p w14:paraId="5B039898" w14:textId="77777777" w:rsidR="009B7AF5" w:rsidRPr="005071A1" w:rsidRDefault="009B7AF5" w:rsidP="009B7AF5">
            <w:pPr>
              <w:pStyle w:val="ENoteTableText"/>
            </w:pPr>
          </w:p>
        </w:tc>
        <w:tc>
          <w:tcPr>
            <w:tcW w:w="4551" w:type="dxa"/>
          </w:tcPr>
          <w:p w14:paraId="3401E1E6" w14:textId="77777777" w:rsidR="009B7AF5" w:rsidRPr="005071A1" w:rsidRDefault="009B7AF5" w:rsidP="009B7AF5">
            <w:pPr>
              <w:pStyle w:val="ENoteTableText"/>
            </w:pPr>
            <w:r w:rsidRPr="005071A1">
              <w:t>rs. No.</w:t>
            </w:r>
            <w:r w:rsidR="008B2950" w:rsidRPr="005071A1">
              <w:t> </w:t>
            </w:r>
            <w:r w:rsidRPr="005071A1">
              <w:t>97, 1965; No.</w:t>
            </w:r>
            <w:r w:rsidR="008B2950" w:rsidRPr="005071A1">
              <w:t> </w:t>
            </w:r>
            <w:r w:rsidRPr="005071A1">
              <w:t>57, 1968</w:t>
            </w:r>
          </w:p>
        </w:tc>
      </w:tr>
      <w:tr w:rsidR="009B7AF5" w:rsidRPr="005071A1" w14:paraId="73AED27C" w14:textId="77777777" w:rsidTr="00962E93">
        <w:trPr>
          <w:cantSplit/>
        </w:trPr>
        <w:tc>
          <w:tcPr>
            <w:tcW w:w="2551" w:type="dxa"/>
          </w:tcPr>
          <w:p w14:paraId="1A2DDBC1" w14:textId="77777777" w:rsidR="009B7AF5" w:rsidRPr="005071A1" w:rsidRDefault="009B7AF5" w:rsidP="009B7AF5">
            <w:pPr>
              <w:pStyle w:val="ENoteTableText"/>
            </w:pPr>
          </w:p>
        </w:tc>
        <w:tc>
          <w:tcPr>
            <w:tcW w:w="4551" w:type="dxa"/>
          </w:tcPr>
          <w:p w14:paraId="6C5428D1" w14:textId="77777777" w:rsidR="009B7AF5" w:rsidRPr="005071A1" w:rsidRDefault="009B7AF5" w:rsidP="009B7AF5">
            <w:pPr>
              <w:pStyle w:val="ENoteTableText"/>
            </w:pPr>
            <w:r w:rsidRPr="005071A1">
              <w:t>am. No.</w:t>
            </w:r>
            <w:r w:rsidR="008B2950" w:rsidRPr="005071A1">
              <w:t> </w:t>
            </w:r>
            <w:r w:rsidRPr="005071A1">
              <w:t xml:space="preserve">17, 1978 </w:t>
            </w:r>
          </w:p>
        </w:tc>
      </w:tr>
      <w:tr w:rsidR="009B7AF5" w:rsidRPr="005071A1" w14:paraId="26159B53" w14:textId="77777777" w:rsidTr="00962E93">
        <w:trPr>
          <w:cantSplit/>
        </w:trPr>
        <w:tc>
          <w:tcPr>
            <w:tcW w:w="2551" w:type="dxa"/>
          </w:tcPr>
          <w:p w14:paraId="14CDC2EE" w14:textId="77777777" w:rsidR="009B7AF5" w:rsidRPr="005071A1" w:rsidRDefault="002477D1" w:rsidP="002477D1">
            <w:pPr>
              <w:pStyle w:val="ENoteTableText"/>
              <w:tabs>
                <w:tab w:val="center" w:leader="dot" w:pos="2268"/>
              </w:tabs>
            </w:pPr>
            <w:r w:rsidRPr="005071A1">
              <w:t>s.</w:t>
            </w:r>
            <w:r w:rsidR="009B7AF5" w:rsidRPr="005071A1">
              <w:t xml:space="preserve"> 40</w:t>
            </w:r>
            <w:r w:rsidR="009B7AF5" w:rsidRPr="005071A1">
              <w:tab/>
            </w:r>
          </w:p>
        </w:tc>
        <w:tc>
          <w:tcPr>
            <w:tcW w:w="4551" w:type="dxa"/>
          </w:tcPr>
          <w:p w14:paraId="34BBDCE2"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6D08AFFD" w14:textId="77777777" w:rsidTr="00962E93">
        <w:trPr>
          <w:cantSplit/>
        </w:trPr>
        <w:tc>
          <w:tcPr>
            <w:tcW w:w="2551" w:type="dxa"/>
          </w:tcPr>
          <w:p w14:paraId="25F49519" w14:textId="77777777" w:rsidR="009B7AF5" w:rsidRPr="005071A1" w:rsidRDefault="009B7AF5" w:rsidP="009B7AF5">
            <w:pPr>
              <w:pStyle w:val="ENoteTableText"/>
            </w:pPr>
          </w:p>
        </w:tc>
        <w:tc>
          <w:tcPr>
            <w:tcW w:w="4551" w:type="dxa"/>
          </w:tcPr>
          <w:p w14:paraId="3308A0AC" w14:textId="77777777" w:rsidR="009B7AF5" w:rsidRPr="005071A1" w:rsidRDefault="009B7AF5" w:rsidP="009B7AF5">
            <w:pPr>
              <w:pStyle w:val="ENoteTableText"/>
            </w:pPr>
            <w:r w:rsidRPr="005071A1">
              <w:t>am. No.</w:t>
            </w:r>
            <w:r w:rsidR="008B2950" w:rsidRPr="005071A1">
              <w:t> </w:t>
            </w:r>
            <w:r w:rsidRPr="005071A1">
              <w:t>57, 1968; No.</w:t>
            </w:r>
            <w:r w:rsidR="008B2950" w:rsidRPr="005071A1">
              <w:t> </w:t>
            </w:r>
            <w:r w:rsidRPr="005071A1">
              <w:t>17, 1978</w:t>
            </w:r>
          </w:p>
        </w:tc>
      </w:tr>
      <w:tr w:rsidR="009B7AF5" w:rsidRPr="005071A1" w14:paraId="67068904" w14:textId="77777777" w:rsidTr="00962E93">
        <w:trPr>
          <w:cantSplit/>
        </w:trPr>
        <w:tc>
          <w:tcPr>
            <w:tcW w:w="2551" w:type="dxa"/>
          </w:tcPr>
          <w:p w14:paraId="01545E05" w14:textId="77777777" w:rsidR="009B7AF5" w:rsidRPr="005071A1" w:rsidRDefault="002477D1" w:rsidP="002477D1">
            <w:pPr>
              <w:pStyle w:val="ENoteTableText"/>
              <w:tabs>
                <w:tab w:val="center" w:leader="dot" w:pos="2268"/>
              </w:tabs>
            </w:pPr>
            <w:r w:rsidRPr="005071A1">
              <w:t>s.</w:t>
            </w:r>
            <w:r w:rsidR="009B7AF5" w:rsidRPr="005071A1">
              <w:t xml:space="preserve"> 41</w:t>
            </w:r>
            <w:r w:rsidR="009B7AF5" w:rsidRPr="005071A1">
              <w:tab/>
            </w:r>
          </w:p>
        </w:tc>
        <w:tc>
          <w:tcPr>
            <w:tcW w:w="4551" w:type="dxa"/>
          </w:tcPr>
          <w:p w14:paraId="1CA7A8E1" w14:textId="77777777" w:rsidR="009B7AF5" w:rsidRPr="005071A1" w:rsidRDefault="009B7AF5" w:rsidP="009B7AF5">
            <w:pPr>
              <w:pStyle w:val="ENoteTableText"/>
            </w:pPr>
            <w:r w:rsidRPr="005071A1">
              <w:t>am. No.</w:t>
            </w:r>
            <w:r w:rsidR="008B2950" w:rsidRPr="005071A1">
              <w:t> </w:t>
            </w:r>
            <w:r w:rsidRPr="005071A1">
              <w:t>53, 1942</w:t>
            </w:r>
          </w:p>
        </w:tc>
      </w:tr>
      <w:tr w:rsidR="009B7AF5" w:rsidRPr="005071A1" w14:paraId="4C9E8CD5" w14:textId="77777777" w:rsidTr="00962E93">
        <w:trPr>
          <w:cantSplit/>
        </w:trPr>
        <w:tc>
          <w:tcPr>
            <w:tcW w:w="2551" w:type="dxa"/>
          </w:tcPr>
          <w:p w14:paraId="00C35C86" w14:textId="77777777" w:rsidR="009B7AF5" w:rsidRPr="005071A1" w:rsidRDefault="009B7AF5" w:rsidP="009B7AF5">
            <w:pPr>
              <w:pStyle w:val="ENoteTableText"/>
            </w:pPr>
          </w:p>
        </w:tc>
        <w:tc>
          <w:tcPr>
            <w:tcW w:w="4551" w:type="dxa"/>
          </w:tcPr>
          <w:p w14:paraId="61C1386D"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65F138CE" w14:textId="77777777" w:rsidTr="00962E93">
        <w:trPr>
          <w:cantSplit/>
        </w:trPr>
        <w:tc>
          <w:tcPr>
            <w:tcW w:w="2551" w:type="dxa"/>
          </w:tcPr>
          <w:p w14:paraId="798DA782" w14:textId="77777777" w:rsidR="009B7AF5" w:rsidRPr="005071A1" w:rsidRDefault="009B7AF5" w:rsidP="009B7AF5">
            <w:pPr>
              <w:pStyle w:val="ENoteTableText"/>
            </w:pPr>
          </w:p>
        </w:tc>
        <w:tc>
          <w:tcPr>
            <w:tcW w:w="4551" w:type="dxa"/>
          </w:tcPr>
          <w:p w14:paraId="4A602827" w14:textId="77777777" w:rsidR="009B7AF5" w:rsidRPr="005071A1" w:rsidRDefault="009B7AF5" w:rsidP="009B7AF5">
            <w:pPr>
              <w:pStyle w:val="ENoteTableText"/>
            </w:pPr>
            <w:r w:rsidRPr="005071A1">
              <w:t>am. No.</w:t>
            </w:r>
            <w:r w:rsidR="008B2950" w:rsidRPr="005071A1">
              <w:t> </w:t>
            </w:r>
            <w:r w:rsidRPr="005071A1">
              <w:t>216, 1973; No.</w:t>
            </w:r>
            <w:r w:rsidR="008B2950" w:rsidRPr="005071A1">
              <w:t> </w:t>
            </w:r>
            <w:r w:rsidRPr="005071A1">
              <w:t>32, 1976; No.</w:t>
            </w:r>
            <w:r w:rsidR="008B2950" w:rsidRPr="005071A1">
              <w:t> </w:t>
            </w:r>
            <w:r w:rsidRPr="005071A1">
              <w:t>17, 1978</w:t>
            </w:r>
          </w:p>
        </w:tc>
      </w:tr>
      <w:tr w:rsidR="009B7AF5" w:rsidRPr="005071A1" w14:paraId="7C15EA77" w14:textId="77777777" w:rsidTr="00962E93">
        <w:trPr>
          <w:cantSplit/>
        </w:trPr>
        <w:tc>
          <w:tcPr>
            <w:tcW w:w="2551" w:type="dxa"/>
          </w:tcPr>
          <w:p w14:paraId="721D3277" w14:textId="77777777" w:rsidR="009B7AF5" w:rsidRPr="005071A1" w:rsidRDefault="002477D1" w:rsidP="002477D1">
            <w:pPr>
              <w:pStyle w:val="ENoteTableText"/>
              <w:tabs>
                <w:tab w:val="center" w:leader="dot" w:pos="2268"/>
              </w:tabs>
            </w:pPr>
            <w:r w:rsidRPr="005071A1">
              <w:t>s.</w:t>
            </w:r>
            <w:r w:rsidR="009B7AF5" w:rsidRPr="005071A1">
              <w:t xml:space="preserve"> 41A</w:t>
            </w:r>
            <w:r w:rsidR="009B7AF5" w:rsidRPr="005071A1">
              <w:tab/>
            </w:r>
          </w:p>
        </w:tc>
        <w:tc>
          <w:tcPr>
            <w:tcW w:w="4551" w:type="dxa"/>
          </w:tcPr>
          <w:p w14:paraId="6525F431"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2C8DA040" w14:textId="77777777" w:rsidTr="00962E93">
        <w:trPr>
          <w:cantSplit/>
        </w:trPr>
        <w:tc>
          <w:tcPr>
            <w:tcW w:w="2551" w:type="dxa"/>
          </w:tcPr>
          <w:p w14:paraId="6FD0E24B" w14:textId="77777777" w:rsidR="009B7AF5" w:rsidRPr="005071A1" w:rsidRDefault="002477D1" w:rsidP="002477D1">
            <w:pPr>
              <w:pStyle w:val="ENoteTableText"/>
              <w:tabs>
                <w:tab w:val="center" w:leader="dot" w:pos="2268"/>
              </w:tabs>
            </w:pPr>
            <w:r w:rsidRPr="005071A1">
              <w:t>s.</w:t>
            </w:r>
            <w:r w:rsidR="009B7AF5" w:rsidRPr="005071A1">
              <w:t xml:space="preserve"> 41B</w:t>
            </w:r>
            <w:r w:rsidR="009B7AF5" w:rsidRPr="005071A1">
              <w:tab/>
            </w:r>
          </w:p>
        </w:tc>
        <w:tc>
          <w:tcPr>
            <w:tcW w:w="4551" w:type="dxa"/>
          </w:tcPr>
          <w:p w14:paraId="3B865C3F"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61932067" w14:textId="77777777" w:rsidTr="00962E93">
        <w:trPr>
          <w:cantSplit/>
        </w:trPr>
        <w:tc>
          <w:tcPr>
            <w:tcW w:w="2551" w:type="dxa"/>
          </w:tcPr>
          <w:p w14:paraId="5049760A" w14:textId="77777777" w:rsidR="009B7AF5" w:rsidRPr="005071A1" w:rsidRDefault="009B7AF5" w:rsidP="009B7AF5">
            <w:pPr>
              <w:pStyle w:val="ENoteTableText"/>
            </w:pPr>
          </w:p>
        </w:tc>
        <w:tc>
          <w:tcPr>
            <w:tcW w:w="4551" w:type="dxa"/>
          </w:tcPr>
          <w:p w14:paraId="2D423FB7" w14:textId="77777777" w:rsidR="009B7AF5" w:rsidRPr="005071A1" w:rsidRDefault="009B7AF5" w:rsidP="009B7AF5">
            <w:pPr>
              <w:pStyle w:val="ENoteTableText"/>
            </w:pPr>
            <w:r w:rsidRPr="005071A1">
              <w:t>am. No.</w:t>
            </w:r>
            <w:r w:rsidR="008B2950" w:rsidRPr="005071A1">
              <w:t> </w:t>
            </w:r>
            <w:r w:rsidRPr="005071A1">
              <w:t>57, 1968</w:t>
            </w:r>
          </w:p>
        </w:tc>
      </w:tr>
      <w:tr w:rsidR="009B7AF5" w:rsidRPr="005071A1" w14:paraId="1471D213" w14:textId="77777777" w:rsidTr="00962E93">
        <w:trPr>
          <w:cantSplit/>
        </w:trPr>
        <w:tc>
          <w:tcPr>
            <w:tcW w:w="2551" w:type="dxa"/>
          </w:tcPr>
          <w:p w14:paraId="644EEFD9" w14:textId="77777777" w:rsidR="009B7AF5" w:rsidRPr="005071A1" w:rsidRDefault="009B7AF5" w:rsidP="009113A7">
            <w:pPr>
              <w:pStyle w:val="ENoteTableText"/>
              <w:keepNext/>
            </w:pPr>
            <w:r w:rsidRPr="005071A1">
              <w:rPr>
                <w:b/>
              </w:rPr>
              <w:t>Division</w:t>
            </w:r>
            <w:r w:rsidR="008B2950" w:rsidRPr="005071A1">
              <w:rPr>
                <w:b/>
              </w:rPr>
              <w:t> </w:t>
            </w:r>
            <w:r w:rsidRPr="005071A1">
              <w:rPr>
                <w:b/>
              </w:rPr>
              <w:t>2</w:t>
            </w:r>
          </w:p>
        </w:tc>
        <w:tc>
          <w:tcPr>
            <w:tcW w:w="4551" w:type="dxa"/>
          </w:tcPr>
          <w:p w14:paraId="43544F45" w14:textId="77777777" w:rsidR="009B7AF5" w:rsidRPr="005071A1" w:rsidRDefault="009B7AF5" w:rsidP="009113A7">
            <w:pPr>
              <w:pStyle w:val="ENoteTableText"/>
              <w:keepNext/>
            </w:pPr>
          </w:p>
        </w:tc>
      </w:tr>
      <w:tr w:rsidR="009B7AF5" w:rsidRPr="005071A1" w14:paraId="5DB95EF2" w14:textId="77777777" w:rsidTr="00962E93">
        <w:trPr>
          <w:cantSplit/>
        </w:trPr>
        <w:tc>
          <w:tcPr>
            <w:tcW w:w="2551" w:type="dxa"/>
          </w:tcPr>
          <w:p w14:paraId="6D94EBBB" w14:textId="77777777" w:rsidR="009B7AF5" w:rsidRPr="005071A1" w:rsidRDefault="002477D1" w:rsidP="002477D1">
            <w:pPr>
              <w:pStyle w:val="ENoteTableText"/>
              <w:tabs>
                <w:tab w:val="center" w:leader="dot" w:pos="2268"/>
              </w:tabs>
            </w:pPr>
            <w:r w:rsidRPr="005071A1">
              <w:t>s.</w:t>
            </w:r>
            <w:r w:rsidR="009B7AF5" w:rsidRPr="005071A1">
              <w:t xml:space="preserve"> 42</w:t>
            </w:r>
            <w:r w:rsidR="009B7AF5" w:rsidRPr="005071A1">
              <w:tab/>
            </w:r>
          </w:p>
        </w:tc>
        <w:tc>
          <w:tcPr>
            <w:tcW w:w="4551" w:type="dxa"/>
          </w:tcPr>
          <w:p w14:paraId="0524540E" w14:textId="77777777" w:rsidR="009B7AF5" w:rsidRPr="005071A1" w:rsidRDefault="009B7AF5" w:rsidP="009B7AF5">
            <w:pPr>
              <w:pStyle w:val="ENoteTableText"/>
            </w:pPr>
            <w:r w:rsidRPr="005071A1">
              <w:t>am. No.</w:t>
            </w:r>
            <w:r w:rsidR="008B2950" w:rsidRPr="005071A1">
              <w:t> </w:t>
            </w:r>
            <w:r w:rsidRPr="005071A1">
              <w:t>35, 1947; No.</w:t>
            </w:r>
            <w:r w:rsidR="008B2950" w:rsidRPr="005071A1">
              <w:t> </w:t>
            </w:r>
            <w:r w:rsidRPr="005071A1">
              <w:t>76, 1950; No.</w:t>
            </w:r>
            <w:r w:rsidR="008B2950" w:rsidRPr="005071A1">
              <w:t> </w:t>
            </w:r>
            <w:r w:rsidRPr="005071A1">
              <w:t>49, 1951; No.</w:t>
            </w:r>
            <w:r w:rsidR="008B2950" w:rsidRPr="005071A1">
              <w:t> </w:t>
            </w:r>
            <w:r w:rsidRPr="005071A1">
              <w:t>11, 1954; No.</w:t>
            </w:r>
            <w:r w:rsidR="008B2950" w:rsidRPr="005071A1">
              <w:t> </w:t>
            </w:r>
            <w:r w:rsidRPr="005071A1">
              <w:t>102, 1959; No.</w:t>
            </w:r>
            <w:r w:rsidR="008B2950" w:rsidRPr="005071A1">
              <w:t> </w:t>
            </w:r>
            <w:r w:rsidRPr="005071A1">
              <w:t>154, 1965</w:t>
            </w:r>
          </w:p>
        </w:tc>
      </w:tr>
      <w:tr w:rsidR="009B7AF5" w:rsidRPr="005071A1" w14:paraId="11A87559" w14:textId="77777777" w:rsidTr="00962E93">
        <w:trPr>
          <w:cantSplit/>
        </w:trPr>
        <w:tc>
          <w:tcPr>
            <w:tcW w:w="2551" w:type="dxa"/>
          </w:tcPr>
          <w:p w14:paraId="2B7C5D28" w14:textId="77777777" w:rsidR="009B7AF5" w:rsidRPr="005071A1" w:rsidRDefault="009B7AF5" w:rsidP="009B7AF5">
            <w:pPr>
              <w:pStyle w:val="ENoteTableText"/>
            </w:pPr>
          </w:p>
        </w:tc>
        <w:tc>
          <w:tcPr>
            <w:tcW w:w="4551" w:type="dxa"/>
          </w:tcPr>
          <w:p w14:paraId="5D0E88F1" w14:textId="77777777" w:rsidR="009B7AF5" w:rsidRPr="005071A1" w:rsidRDefault="009B7AF5" w:rsidP="009B7AF5">
            <w:pPr>
              <w:pStyle w:val="ENoteTableText"/>
            </w:pPr>
            <w:r w:rsidRPr="005071A1">
              <w:t>rs. No.</w:t>
            </w:r>
            <w:r w:rsidR="008B2950" w:rsidRPr="005071A1">
              <w:t> </w:t>
            </w:r>
            <w:r w:rsidRPr="005071A1">
              <w:t>26, 1969</w:t>
            </w:r>
          </w:p>
        </w:tc>
      </w:tr>
      <w:tr w:rsidR="009B7AF5" w:rsidRPr="005071A1" w14:paraId="4EC103F7" w14:textId="77777777" w:rsidTr="00962E93">
        <w:trPr>
          <w:cantSplit/>
        </w:trPr>
        <w:tc>
          <w:tcPr>
            <w:tcW w:w="2551" w:type="dxa"/>
          </w:tcPr>
          <w:p w14:paraId="06AA8B1C" w14:textId="77777777" w:rsidR="009B7AF5" w:rsidRPr="005071A1" w:rsidRDefault="009B7AF5" w:rsidP="009B7AF5">
            <w:pPr>
              <w:pStyle w:val="ENoteTableText"/>
            </w:pPr>
          </w:p>
        </w:tc>
        <w:tc>
          <w:tcPr>
            <w:tcW w:w="4551" w:type="dxa"/>
          </w:tcPr>
          <w:p w14:paraId="57A7785A"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0798644" w14:textId="77777777" w:rsidTr="00962E93">
        <w:trPr>
          <w:cantSplit/>
        </w:trPr>
        <w:tc>
          <w:tcPr>
            <w:tcW w:w="2551" w:type="dxa"/>
          </w:tcPr>
          <w:p w14:paraId="5DC1EA74" w14:textId="77777777" w:rsidR="009B7AF5" w:rsidRPr="005071A1" w:rsidRDefault="002477D1" w:rsidP="002477D1">
            <w:pPr>
              <w:pStyle w:val="ENoteTableText"/>
              <w:tabs>
                <w:tab w:val="center" w:leader="dot" w:pos="2268"/>
              </w:tabs>
            </w:pPr>
            <w:r w:rsidRPr="005071A1">
              <w:t>s.</w:t>
            </w:r>
            <w:r w:rsidR="009B7AF5" w:rsidRPr="005071A1">
              <w:t xml:space="preserve"> 43</w:t>
            </w:r>
            <w:r w:rsidR="009B7AF5" w:rsidRPr="005071A1">
              <w:tab/>
            </w:r>
          </w:p>
        </w:tc>
        <w:tc>
          <w:tcPr>
            <w:tcW w:w="4551" w:type="dxa"/>
          </w:tcPr>
          <w:p w14:paraId="734C482B"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102, 1959; No.</w:t>
            </w:r>
            <w:r w:rsidR="008B2950" w:rsidRPr="005071A1">
              <w:t> </w:t>
            </w:r>
            <w:r w:rsidRPr="005071A1">
              <w:t>102, 1963; No.</w:t>
            </w:r>
            <w:r w:rsidR="008B2950" w:rsidRPr="005071A1">
              <w:t> </w:t>
            </w:r>
            <w:r w:rsidRPr="005071A1">
              <w:t>26, 1969; No.</w:t>
            </w:r>
            <w:r w:rsidR="008B2950" w:rsidRPr="005071A1">
              <w:t> </w:t>
            </w:r>
            <w:r w:rsidRPr="005071A1">
              <w:t>32, 1976</w:t>
            </w:r>
          </w:p>
        </w:tc>
      </w:tr>
      <w:tr w:rsidR="009B7AF5" w:rsidRPr="005071A1" w14:paraId="15622395" w14:textId="77777777" w:rsidTr="00962E93">
        <w:trPr>
          <w:cantSplit/>
        </w:trPr>
        <w:tc>
          <w:tcPr>
            <w:tcW w:w="2551" w:type="dxa"/>
          </w:tcPr>
          <w:p w14:paraId="6120C73A" w14:textId="77777777" w:rsidR="009B7AF5" w:rsidRPr="005071A1" w:rsidRDefault="002477D1" w:rsidP="002477D1">
            <w:pPr>
              <w:pStyle w:val="ENoteTableText"/>
              <w:tabs>
                <w:tab w:val="center" w:leader="dot" w:pos="2268"/>
              </w:tabs>
            </w:pPr>
            <w:r w:rsidRPr="005071A1">
              <w:t>s.</w:t>
            </w:r>
            <w:r w:rsidR="009B7AF5" w:rsidRPr="005071A1">
              <w:t xml:space="preserve"> 43A</w:t>
            </w:r>
            <w:r w:rsidR="009B7AF5" w:rsidRPr="005071A1">
              <w:tab/>
            </w:r>
          </w:p>
        </w:tc>
        <w:tc>
          <w:tcPr>
            <w:tcW w:w="4551" w:type="dxa"/>
          </w:tcPr>
          <w:p w14:paraId="4187E4D2" w14:textId="77777777" w:rsidR="009B7AF5" w:rsidRPr="005071A1" w:rsidRDefault="009B7AF5" w:rsidP="009B7AF5">
            <w:pPr>
              <w:pStyle w:val="ENoteTableText"/>
            </w:pPr>
            <w:r w:rsidRPr="005071A1">
              <w:t>ad. No.</w:t>
            </w:r>
            <w:r w:rsidR="008B2950" w:rsidRPr="005071A1">
              <w:t> </w:t>
            </w:r>
            <w:r w:rsidRPr="005071A1">
              <w:t>26, 1969</w:t>
            </w:r>
          </w:p>
        </w:tc>
      </w:tr>
      <w:tr w:rsidR="009B7AF5" w:rsidRPr="005071A1" w14:paraId="77F21B6C" w14:textId="77777777" w:rsidTr="00962E93">
        <w:trPr>
          <w:cantSplit/>
        </w:trPr>
        <w:tc>
          <w:tcPr>
            <w:tcW w:w="2551" w:type="dxa"/>
          </w:tcPr>
          <w:p w14:paraId="70FBD60E" w14:textId="77777777" w:rsidR="009B7AF5" w:rsidRPr="005071A1" w:rsidRDefault="009B7AF5" w:rsidP="009B7AF5">
            <w:pPr>
              <w:pStyle w:val="ENoteTableText"/>
            </w:pPr>
          </w:p>
        </w:tc>
        <w:tc>
          <w:tcPr>
            <w:tcW w:w="4551" w:type="dxa"/>
          </w:tcPr>
          <w:p w14:paraId="084FC981"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47191C29" w14:textId="77777777" w:rsidTr="00962E93">
        <w:trPr>
          <w:cantSplit/>
        </w:trPr>
        <w:tc>
          <w:tcPr>
            <w:tcW w:w="2551" w:type="dxa"/>
          </w:tcPr>
          <w:p w14:paraId="1E12FBF7" w14:textId="77777777" w:rsidR="009B7AF5" w:rsidRPr="005071A1" w:rsidRDefault="002477D1" w:rsidP="002477D1">
            <w:pPr>
              <w:pStyle w:val="ENoteTableText"/>
              <w:tabs>
                <w:tab w:val="center" w:leader="dot" w:pos="2268"/>
              </w:tabs>
            </w:pPr>
            <w:r w:rsidRPr="005071A1">
              <w:t>s.</w:t>
            </w:r>
            <w:r w:rsidR="009B7AF5" w:rsidRPr="005071A1">
              <w:t xml:space="preserve"> 44</w:t>
            </w:r>
            <w:r w:rsidR="009B7AF5" w:rsidRPr="005071A1">
              <w:tab/>
            </w:r>
          </w:p>
        </w:tc>
        <w:tc>
          <w:tcPr>
            <w:tcW w:w="4551" w:type="dxa"/>
          </w:tcPr>
          <w:p w14:paraId="595904C7" w14:textId="77777777" w:rsidR="009B7AF5" w:rsidRPr="005071A1" w:rsidRDefault="009B7AF5" w:rsidP="009B7AF5">
            <w:pPr>
              <w:pStyle w:val="ENoteTableText"/>
            </w:pPr>
            <w:r w:rsidRPr="005071A1">
              <w:t>ad. No.</w:t>
            </w:r>
            <w:r w:rsidR="008B2950" w:rsidRPr="005071A1">
              <w:t> </w:t>
            </w:r>
            <w:r w:rsidRPr="005071A1">
              <w:t>35, 1947</w:t>
            </w:r>
          </w:p>
        </w:tc>
      </w:tr>
      <w:tr w:rsidR="009B7AF5" w:rsidRPr="005071A1" w14:paraId="3FFED185" w14:textId="77777777" w:rsidTr="00962E93">
        <w:trPr>
          <w:cantSplit/>
        </w:trPr>
        <w:tc>
          <w:tcPr>
            <w:tcW w:w="2551" w:type="dxa"/>
          </w:tcPr>
          <w:p w14:paraId="295A30E1" w14:textId="77777777" w:rsidR="009B7AF5" w:rsidRPr="005071A1" w:rsidRDefault="009B7AF5" w:rsidP="009B7AF5">
            <w:pPr>
              <w:pStyle w:val="ENoteTableText"/>
            </w:pPr>
          </w:p>
        </w:tc>
        <w:tc>
          <w:tcPr>
            <w:tcW w:w="4551" w:type="dxa"/>
          </w:tcPr>
          <w:p w14:paraId="0411F55E" w14:textId="77777777" w:rsidR="009B7AF5" w:rsidRPr="005071A1" w:rsidRDefault="009B7AF5" w:rsidP="009B7AF5">
            <w:pPr>
              <w:pStyle w:val="ENoteTableText"/>
            </w:pPr>
            <w:r w:rsidRPr="005071A1">
              <w:t>rs. No.</w:t>
            </w:r>
            <w:r w:rsidR="008B2950" w:rsidRPr="005071A1">
              <w:t> </w:t>
            </w:r>
            <w:r w:rsidRPr="005071A1">
              <w:t>112, 1956</w:t>
            </w:r>
          </w:p>
        </w:tc>
      </w:tr>
      <w:tr w:rsidR="009B7AF5" w:rsidRPr="005071A1" w14:paraId="55C10361" w14:textId="77777777" w:rsidTr="00962E93">
        <w:trPr>
          <w:cantSplit/>
        </w:trPr>
        <w:tc>
          <w:tcPr>
            <w:tcW w:w="2551" w:type="dxa"/>
          </w:tcPr>
          <w:p w14:paraId="2DB8A1E6" w14:textId="77777777" w:rsidR="009B7AF5" w:rsidRPr="005071A1" w:rsidRDefault="009B7AF5" w:rsidP="009B7AF5">
            <w:pPr>
              <w:pStyle w:val="ENoteTableText"/>
            </w:pPr>
          </w:p>
        </w:tc>
        <w:tc>
          <w:tcPr>
            <w:tcW w:w="4551" w:type="dxa"/>
          </w:tcPr>
          <w:p w14:paraId="1F27D271"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86, 1966; No.</w:t>
            </w:r>
            <w:r w:rsidR="008B2950" w:rsidRPr="005071A1">
              <w:t> </w:t>
            </w:r>
            <w:r w:rsidRPr="005071A1">
              <w:t>52, 1967; No.</w:t>
            </w:r>
            <w:r w:rsidR="008B2950" w:rsidRPr="005071A1">
              <w:t> </w:t>
            </w:r>
            <w:r w:rsidRPr="005071A1">
              <w:t>26, 1969; No.</w:t>
            </w:r>
            <w:r w:rsidR="008B2950" w:rsidRPr="005071A1">
              <w:t> </w:t>
            </w:r>
            <w:r w:rsidRPr="005071A1">
              <w:t>17, 1978</w:t>
            </w:r>
          </w:p>
        </w:tc>
      </w:tr>
      <w:tr w:rsidR="009B7AF5" w:rsidRPr="005071A1" w14:paraId="70EBE014" w14:textId="77777777" w:rsidTr="00962E93">
        <w:trPr>
          <w:cantSplit/>
        </w:trPr>
        <w:tc>
          <w:tcPr>
            <w:tcW w:w="2551" w:type="dxa"/>
          </w:tcPr>
          <w:p w14:paraId="68AB8145" w14:textId="77777777" w:rsidR="009B7AF5" w:rsidRPr="005071A1" w:rsidRDefault="002477D1" w:rsidP="002477D1">
            <w:pPr>
              <w:pStyle w:val="ENoteTableText"/>
              <w:tabs>
                <w:tab w:val="center" w:leader="dot" w:pos="2268"/>
              </w:tabs>
            </w:pPr>
            <w:r w:rsidRPr="005071A1">
              <w:t>s.</w:t>
            </w:r>
            <w:r w:rsidR="009B7AF5" w:rsidRPr="005071A1">
              <w:t xml:space="preserve"> 45</w:t>
            </w:r>
            <w:r w:rsidR="009B7AF5" w:rsidRPr="005071A1">
              <w:tab/>
            </w:r>
          </w:p>
        </w:tc>
        <w:tc>
          <w:tcPr>
            <w:tcW w:w="4551" w:type="dxa"/>
          </w:tcPr>
          <w:p w14:paraId="168B1686"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22, 1930; No.</w:t>
            </w:r>
            <w:r w:rsidR="008B2950" w:rsidRPr="005071A1">
              <w:t> </w:t>
            </w:r>
            <w:r w:rsidRPr="005071A1">
              <w:t>28, 1937</w:t>
            </w:r>
          </w:p>
        </w:tc>
      </w:tr>
      <w:tr w:rsidR="009B7AF5" w:rsidRPr="005071A1" w14:paraId="65B3C089" w14:textId="77777777" w:rsidTr="00962E93">
        <w:trPr>
          <w:cantSplit/>
        </w:trPr>
        <w:tc>
          <w:tcPr>
            <w:tcW w:w="2551" w:type="dxa"/>
          </w:tcPr>
          <w:p w14:paraId="24005175" w14:textId="77777777" w:rsidR="009B7AF5" w:rsidRPr="005071A1" w:rsidRDefault="009B7AF5" w:rsidP="009B7AF5">
            <w:pPr>
              <w:pStyle w:val="ENoteTableText"/>
            </w:pPr>
          </w:p>
        </w:tc>
        <w:tc>
          <w:tcPr>
            <w:tcW w:w="4551" w:type="dxa"/>
          </w:tcPr>
          <w:p w14:paraId="3B41C873" w14:textId="77777777" w:rsidR="009B7AF5" w:rsidRPr="005071A1" w:rsidRDefault="009B7AF5" w:rsidP="009B7AF5">
            <w:pPr>
              <w:pStyle w:val="ENoteTableText"/>
            </w:pPr>
            <w:r w:rsidRPr="005071A1">
              <w:t>rs. No.</w:t>
            </w:r>
            <w:r w:rsidR="008B2950" w:rsidRPr="005071A1">
              <w:t> </w:t>
            </w:r>
            <w:r w:rsidRPr="005071A1">
              <w:t>53, 1942</w:t>
            </w:r>
          </w:p>
        </w:tc>
      </w:tr>
      <w:tr w:rsidR="009B7AF5" w:rsidRPr="005071A1" w14:paraId="70AD9797" w14:textId="77777777" w:rsidTr="00962E93">
        <w:trPr>
          <w:cantSplit/>
        </w:trPr>
        <w:tc>
          <w:tcPr>
            <w:tcW w:w="2551" w:type="dxa"/>
          </w:tcPr>
          <w:p w14:paraId="3BEE4307" w14:textId="77777777" w:rsidR="009B7AF5" w:rsidRPr="005071A1" w:rsidRDefault="009B7AF5" w:rsidP="009B7AF5">
            <w:pPr>
              <w:pStyle w:val="ENoteTableText"/>
            </w:pPr>
          </w:p>
        </w:tc>
        <w:tc>
          <w:tcPr>
            <w:tcW w:w="4551" w:type="dxa"/>
          </w:tcPr>
          <w:p w14:paraId="3E8E35AA" w14:textId="77777777" w:rsidR="009B7AF5" w:rsidRPr="005071A1" w:rsidRDefault="009B7AF5" w:rsidP="009B7AF5">
            <w:pPr>
              <w:pStyle w:val="ENoteTableText"/>
            </w:pPr>
            <w:r w:rsidRPr="005071A1">
              <w:t>am. No.</w:t>
            </w:r>
            <w:r w:rsidR="008B2950" w:rsidRPr="005071A1">
              <w:t> </w:t>
            </w:r>
            <w:r w:rsidRPr="005071A1">
              <w:t>11, 1954; No.</w:t>
            </w:r>
            <w:r w:rsidR="008B2950" w:rsidRPr="005071A1">
              <w:t> </w:t>
            </w:r>
            <w:r w:rsidRPr="005071A1">
              <w:t>86, 1966; No.</w:t>
            </w:r>
            <w:r w:rsidR="008B2950" w:rsidRPr="005071A1">
              <w:t> </w:t>
            </w:r>
            <w:r w:rsidRPr="005071A1">
              <w:t>26, 1969; No.</w:t>
            </w:r>
            <w:r w:rsidR="008B2950" w:rsidRPr="005071A1">
              <w:t> </w:t>
            </w:r>
            <w:r w:rsidRPr="005071A1">
              <w:t>32, 1976; No.</w:t>
            </w:r>
            <w:r w:rsidR="008B2950" w:rsidRPr="005071A1">
              <w:t> </w:t>
            </w:r>
            <w:r w:rsidRPr="005071A1">
              <w:t xml:space="preserve">17, 1978 </w:t>
            </w:r>
          </w:p>
        </w:tc>
      </w:tr>
      <w:tr w:rsidR="009B7AF5" w:rsidRPr="005071A1" w14:paraId="4FB5F271" w14:textId="77777777" w:rsidTr="00962E93">
        <w:trPr>
          <w:cantSplit/>
        </w:trPr>
        <w:tc>
          <w:tcPr>
            <w:tcW w:w="2551" w:type="dxa"/>
          </w:tcPr>
          <w:p w14:paraId="4E9D7E15" w14:textId="77777777" w:rsidR="009B7AF5" w:rsidRPr="005071A1" w:rsidRDefault="002477D1" w:rsidP="002477D1">
            <w:pPr>
              <w:pStyle w:val="ENoteTableText"/>
              <w:tabs>
                <w:tab w:val="center" w:leader="dot" w:pos="2268"/>
              </w:tabs>
            </w:pPr>
            <w:r w:rsidRPr="005071A1">
              <w:t>s.</w:t>
            </w:r>
            <w:r w:rsidR="009B7AF5" w:rsidRPr="005071A1">
              <w:t xml:space="preserve"> 46</w:t>
            </w:r>
            <w:r w:rsidR="009B7AF5" w:rsidRPr="005071A1">
              <w:tab/>
            </w:r>
          </w:p>
        </w:tc>
        <w:tc>
          <w:tcPr>
            <w:tcW w:w="4551" w:type="dxa"/>
          </w:tcPr>
          <w:p w14:paraId="0AFAB9C8"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49, 1951; No.</w:t>
            </w:r>
            <w:r w:rsidR="008B2950" w:rsidRPr="005071A1">
              <w:t> </w:t>
            </w:r>
            <w:r w:rsidRPr="005071A1">
              <w:t>11, 1954; No.</w:t>
            </w:r>
            <w:r w:rsidR="008B2950" w:rsidRPr="005071A1">
              <w:t> </w:t>
            </w:r>
            <w:r w:rsidRPr="005071A1">
              <w:t>94, 1957; No.</w:t>
            </w:r>
            <w:r w:rsidR="008B2950" w:rsidRPr="005071A1">
              <w:t> </w:t>
            </w:r>
            <w:r w:rsidRPr="005071A1">
              <w:t>45, 1958; No.</w:t>
            </w:r>
            <w:r w:rsidR="008B2950" w:rsidRPr="005071A1">
              <w:t> </w:t>
            </w:r>
            <w:r w:rsidRPr="005071A1">
              <w:t>102, 1959; Nos. 97 and 154, 1965; Nos. 69 and 86, 1966</w:t>
            </w:r>
          </w:p>
        </w:tc>
      </w:tr>
      <w:tr w:rsidR="009B7AF5" w:rsidRPr="005071A1" w14:paraId="1D7F901B" w14:textId="77777777" w:rsidTr="00962E93">
        <w:trPr>
          <w:cantSplit/>
        </w:trPr>
        <w:tc>
          <w:tcPr>
            <w:tcW w:w="2551" w:type="dxa"/>
          </w:tcPr>
          <w:p w14:paraId="1222A927" w14:textId="77777777" w:rsidR="009B7AF5" w:rsidRPr="005071A1" w:rsidRDefault="009B7AF5" w:rsidP="009B7AF5">
            <w:pPr>
              <w:pStyle w:val="ENoteTableText"/>
            </w:pPr>
          </w:p>
        </w:tc>
        <w:tc>
          <w:tcPr>
            <w:tcW w:w="4551" w:type="dxa"/>
          </w:tcPr>
          <w:p w14:paraId="56BFF750" w14:textId="77777777" w:rsidR="009B7AF5" w:rsidRPr="005071A1" w:rsidRDefault="009B7AF5" w:rsidP="009B7AF5">
            <w:pPr>
              <w:pStyle w:val="ENoteTableText"/>
            </w:pPr>
            <w:r w:rsidRPr="005071A1">
              <w:t>rs. No.</w:t>
            </w:r>
            <w:r w:rsidR="008B2950" w:rsidRPr="005071A1">
              <w:t> </w:t>
            </w:r>
            <w:r w:rsidRPr="005071A1">
              <w:t>52, 1967</w:t>
            </w:r>
          </w:p>
        </w:tc>
      </w:tr>
      <w:tr w:rsidR="009B7AF5" w:rsidRPr="005071A1" w14:paraId="59E5083F" w14:textId="77777777" w:rsidTr="00962E93">
        <w:trPr>
          <w:cantSplit/>
        </w:trPr>
        <w:tc>
          <w:tcPr>
            <w:tcW w:w="2551" w:type="dxa"/>
          </w:tcPr>
          <w:p w14:paraId="41C81FB2" w14:textId="77777777" w:rsidR="009B7AF5" w:rsidRPr="005071A1" w:rsidRDefault="009B7AF5" w:rsidP="009B7AF5">
            <w:pPr>
              <w:pStyle w:val="ENoteTableText"/>
            </w:pPr>
          </w:p>
        </w:tc>
        <w:tc>
          <w:tcPr>
            <w:tcW w:w="4551" w:type="dxa"/>
          </w:tcPr>
          <w:p w14:paraId="3574B8DF" w14:textId="77777777" w:rsidR="009B7AF5" w:rsidRPr="005071A1" w:rsidRDefault="009B7AF5" w:rsidP="009B7AF5">
            <w:pPr>
              <w:pStyle w:val="ENoteTableText"/>
            </w:pPr>
            <w:r w:rsidRPr="005071A1">
              <w:t>am. No.</w:t>
            </w:r>
            <w:r w:rsidR="008B2950" w:rsidRPr="005071A1">
              <w:t> </w:t>
            </w:r>
            <w:r w:rsidRPr="005071A1">
              <w:t>26, 1969; No.</w:t>
            </w:r>
            <w:r w:rsidR="008B2950" w:rsidRPr="005071A1">
              <w:t> </w:t>
            </w:r>
            <w:r w:rsidRPr="005071A1">
              <w:t>32, 1976; No.</w:t>
            </w:r>
            <w:r w:rsidR="008B2950" w:rsidRPr="005071A1">
              <w:t> </w:t>
            </w:r>
            <w:r w:rsidRPr="005071A1">
              <w:t>17, 1978; No.</w:t>
            </w:r>
            <w:r w:rsidR="008B2950" w:rsidRPr="005071A1">
              <w:t> </w:t>
            </w:r>
            <w:r w:rsidRPr="005071A1">
              <w:t>151, 1986</w:t>
            </w:r>
          </w:p>
        </w:tc>
      </w:tr>
      <w:tr w:rsidR="009B7AF5" w:rsidRPr="005071A1" w14:paraId="0AE4F41A" w14:textId="77777777" w:rsidTr="00962E93">
        <w:trPr>
          <w:cantSplit/>
        </w:trPr>
        <w:tc>
          <w:tcPr>
            <w:tcW w:w="2551" w:type="dxa"/>
          </w:tcPr>
          <w:p w14:paraId="427A2C6F" w14:textId="77777777" w:rsidR="009B7AF5" w:rsidRPr="005071A1" w:rsidRDefault="002477D1" w:rsidP="002477D1">
            <w:pPr>
              <w:pStyle w:val="ENoteTableText"/>
              <w:tabs>
                <w:tab w:val="center" w:leader="dot" w:pos="2268"/>
              </w:tabs>
            </w:pPr>
            <w:r w:rsidRPr="005071A1">
              <w:t>s.</w:t>
            </w:r>
            <w:r w:rsidR="009B7AF5" w:rsidRPr="005071A1">
              <w:t xml:space="preserve"> 47</w:t>
            </w:r>
            <w:r w:rsidR="009B7AF5" w:rsidRPr="005071A1">
              <w:tab/>
            </w:r>
          </w:p>
        </w:tc>
        <w:tc>
          <w:tcPr>
            <w:tcW w:w="4551" w:type="dxa"/>
          </w:tcPr>
          <w:p w14:paraId="6407661B"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53, 1942; No.</w:t>
            </w:r>
            <w:r w:rsidR="008B2950" w:rsidRPr="005071A1">
              <w:t> </w:t>
            </w:r>
            <w:r w:rsidRPr="005071A1">
              <w:t>35, 1947; No.</w:t>
            </w:r>
            <w:r w:rsidR="008B2950" w:rsidRPr="005071A1">
              <w:t> </w:t>
            </w:r>
            <w:r w:rsidRPr="005071A1">
              <w:t>76, 1950; No.</w:t>
            </w:r>
            <w:r w:rsidR="008B2950" w:rsidRPr="005071A1">
              <w:t> </w:t>
            </w:r>
            <w:r w:rsidRPr="005071A1">
              <w:t>49, 1951; No.</w:t>
            </w:r>
            <w:r w:rsidR="008B2950" w:rsidRPr="005071A1">
              <w:t> </w:t>
            </w:r>
            <w:r w:rsidRPr="005071A1">
              <w:t>11, 1954; No.</w:t>
            </w:r>
            <w:r w:rsidR="008B2950" w:rsidRPr="005071A1">
              <w:t> </w:t>
            </w:r>
            <w:r w:rsidRPr="005071A1">
              <w:t>94, 1957; No.</w:t>
            </w:r>
            <w:r w:rsidR="008B2950" w:rsidRPr="005071A1">
              <w:t> </w:t>
            </w:r>
            <w:r w:rsidRPr="005071A1">
              <w:t>45, 1958; No.</w:t>
            </w:r>
            <w:r w:rsidR="008B2950" w:rsidRPr="005071A1">
              <w:t> </w:t>
            </w:r>
            <w:r w:rsidRPr="005071A1">
              <w:t>102, 1959; Nos. 97 and 154, 1965; Nos. 69 and 86, 1966</w:t>
            </w:r>
          </w:p>
        </w:tc>
      </w:tr>
      <w:tr w:rsidR="009B7AF5" w:rsidRPr="005071A1" w14:paraId="189B8F10" w14:textId="77777777" w:rsidTr="00962E93">
        <w:trPr>
          <w:cantSplit/>
        </w:trPr>
        <w:tc>
          <w:tcPr>
            <w:tcW w:w="2551" w:type="dxa"/>
          </w:tcPr>
          <w:p w14:paraId="0C753834" w14:textId="77777777" w:rsidR="009B7AF5" w:rsidRPr="005071A1" w:rsidRDefault="009B7AF5" w:rsidP="009B7AF5">
            <w:pPr>
              <w:pStyle w:val="ENoteTableText"/>
            </w:pPr>
          </w:p>
        </w:tc>
        <w:tc>
          <w:tcPr>
            <w:tcW w:w="4551" w:type="dxa"/>
          </w:tcPr>
          <w:p w14:paraId="07F9E38F" w14:textId="77777777" w:rsidR="009B7AF5" w:rsidRPr="005071A1" w:rsidRDefault="009B7AF5" w:rsidP="009B7AF5">
            <w:pPr>
              <w:pStyle w:val="ENoteTableText"/>
            </w:pPr>
            <w:r w:rsidRPr="005071A1">
              <w:t>rs. No.</w:t>
            </w:r>
            <w:r w:rsidR="008B2950" w:rsidRPr="005071A1">
              <w:t> </w:t>
            </w:r>
            <w:r w:rsidRPr="005071A1">
              <w:t>52, 1967</w:t>
            </w:r>
          </w:p>
        </w:tc>
      </w:tr>
      <w:tr w:rsidR="009B7AF5" w:rsidRPr="005071A1" w14:paraId="01E03463" w14:textId="77777777" w:rsidTr="00962E93">
        <w:trPr>
          <w:cantSplit/>
        </w:trPr>
        <w:tc>
          <w:tcPr>
            <w:tcW w:w="2551" w:type="dxa"/>
          </w:tcPr>
          <w:p w14:paraId="22CC0F70" w14:textId="77777777" w:rsidR="009B7AF5" w:rsidRPr="005071A1" w:rsidRDefault="009B7AF5" w:rsidP="009B7AF5">
            <w:pPr>
              <w:pStyle w:val="ENoteTableText"/>
            </w:pPr>
          </w:p>
        </w:tc>
        <w:tc>
          <w:tcPr>
            <w:tcW w:w="4551" w:type="dxa"/>
          </w:tcPr>
          <w:p w14:paraId="0978FF20"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 No.</w:t>
            </w:r>
            <w:r w:rsidR="008B2950" w:rsidRPr="005071A1">
              <w:t> </w:t>
            </w:r>
            <w:r w:rsidRPr="005071A1">
              <w:t>151, 1986; No.</w:t>
            </w:r>
            <w:r w:rsidR="008B2950" w:rsidRPr="005071A1">
              <w:t> </w:t>
            </w:r>
            <w:r w:rsidRPr="005071A1">
              <w:t>58, 2004</w:t>
            </w:r>
          </w:p>
        </w:tc>
      </w:tr>
      <w:tr w:rsidR="009B7AF5" w:rsidRPr="005071A1" w14:paraId="725CBE95" w14:textId="77777777" w:rsidTr="00962E93">
        <w:trPr>
          <w:cantSplit/>
        </w:trPr>
        <w:tc>
          <w:tcPr>
            <w:tcW w:w="2551" w:type="dxa"/>
          </w:tcPr>
          <w:p w14:paraId="11467191" w14:textId="77777777" w:rsidR="009B7AF5" w:rsidRPr="005071A1" w:rsidRDefault="002477D1" w:rsidP="002477D1">
            <w:pPr>
              <w:pStyle w:val="ENoteTableText"/>
              <w:tabs>
                <w:tab w:val="center" w:leader="dot" w:pos="2268"/>
              </w:tabs>
            </w:pPr>
            <w:r w:rsidRPr="005071A1">
              <w:t>s.</w:t>
            </w:r>
            <w:r w:rsidR="009B7AF5" w:rsidRPr="005071A1">
              <w:t xml:space="preserve"> 48</w:t>
            </w:r>
            <w:r w:rsidR="009B7AF5" w:rsidRPr="005071A1">
              <w:tab/>
            </w:r>
          </w:p>
        </w:tc>
        <w:tc>
          <w:tcPr>
            <w:tcW w:w="4551" w:type="dxa"/>
          </w:tcPr>
          <w:p w14:paraId="567F729C"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53, 1942; No.</w:t>
            </w:r>
            <w:r w:rsidR="008B2950" w:rsidRPr="005071A1">
              <w:t> </w:t>
            </w:r>
            <w:r w:rsidRPr="005071A1">
              <w:t>49, 1951; No.</w:t>
            </w:r>
            <w:r w:rsidR="008B2950" w:rsidRPr="005071A1">
              <w:t> </w:t>
            </w:r>
            <w:r w:rsidRPr="005071A1">
              <w:t>11, 1954; No.</w:t>
            </w:r>
            <w:r w:rsidR="008B2950" w:rsidRPr="005071A1">
              <w:t> </w:t>
            </w:r>
            <w:r w:rsidRPr="005071A1">
              <w:t>94, 1957; No.</w:t>
            </w:r>
            <w:r w:rsidR="008B2950" w:rsidRPr="005071A1">
              <w:t> </w:t>
            </w:r>
            <w:r w:rsidRPr="005071A1">
              <w:t>45, 1958; Nos. 97 and 154, 1965; Nos. 69 and 86, 1966</w:t>
            </w:r>
          </w:p>
        </w:tc>
      </w:tr>
      <w:tr w:rsidR="009B7AF5" w:rsidRPr="005071A1" w14:paraId="2A3E908A" w14:textId="77777777" w:rsidTr="00962E93">
        <w:trPr>
          <w:cantSplit/>
        </w:trPr>
        <w:tc>
          <w:tcPr>
            <w:tcW w:w="2551" w:type="dxa"/>
          </w:tcPr>
          <w:p w14:paraId="6B085A41" w14:textId="77777777" w:rsidR="009B7AF5" w:rsidRPr="005071A1" w:rsidRDefault="009B7AF5" w:rsidP="009B7AF5">
            <w:pPr>
              <w:pStyle w:val="ENoteTableText"/>
            </w:pPr>
          </w:p>
        </w:tc>
        <w:tc>
          <w:tcPr>
            <w:tcW w:w="4551" w:type="dxa"/>
          </w:tcPr>
          <w:p w14:paraId="3A7B60D5" w14:textId="77777777" w:rsidR="009B7AF5" w:rsidRPr="005071A1" w:rsidRDefault="009B7AF5" w:rsidP="009B7AF5">
            <w:pPr>
              <w:pStyle w:val="ENoteTableText"/>
            </w:pPr>
            <w:r w:rsidRPr="005071A1">
              <w:t>rs. No.</w:t>
            </w:r>
            <w:r w:rsidR="008B2950" w:rsidRPr="005071A1">
              <w:t> </w:t>
            </w:r>
            <w:r w:rsidRPr="005071A1">
              <w:t>52, 1967</w:t>
            </w:r>
          </w:p>
        </w:tc>
      </w:tr>
      <w:tr w:rsidR="009B7AF5" w:rsidRPr="005071A1" w14:paraId="595BBDBB" w14:textId="77777777" w:rsidTr="00962E93">
        <w:trPr>
          <w:cantSplit/>
        </w:trPr>
        <w:tc>
          <w:tcPr>
            <w:tcW w:w="2551" w:type="dxa"/>
          </w:tcPr>
          <w:p w14:paraId="3D3BCAB6" w14:textId="77777777" w:rsidR="009B7AF5" w:rsidRPr="005071A1" w:rsidRDefault="009B7AF5" w:rsidP="009B7AF5">
            <w:pPr>
              <w:pStyle w:val="ENoteTableText"/>
            </w:pPr>
          </w:p>
        </w:tc>
        <w:tc>
          <w:tcPr>
            <w:tcW w:w="4551" w:type="dxa"/>
          </w:tcPr>
          <w:p w14:paraId="39DC7405"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 No.</w:t>
            </w:r>
            <w:r w:rsidR="008B2950" w:rsidRPr="005071A1">
              <w:t> </w:t>
            </w:r>
            <w:r w:rsidRPr="005071A1">
              <w:t>151, 1986</w:t>
            </w:r>
          </w:p>
        </w:tc>
      </w:tr>
      <w:tr w:rsidR="009B7AF5" w:rsidRPr="005071A1" w14:paraId="75E78015" w14:textId="77777777" w:rsidTr="00962E93">
        <w:trPr>
          <w:cantSplit/>
        </w:trPr>
        <w:tc>
          <w:tcPr>
            <w:tcW w:w="2551" w:type="dxa"/>
          </w:tcPr>
          <w:p w14:paraId="2F8A8793" w14:textId="77777777" w:rsidR="009B7AF5" w:rsidRPr="005071A1" w:rsidRDefault="002477D1" w:rsidP="002477D1">
            <w:pPr>
              <w:pStyle w:val="ENoteTableText"/>
              <w:tabs>
                <w:tab w:val="center" w:leader="dot" w:pos="2268"/>
              </w:tabs>
            </w:pPr>
            <w:r w:rsidRPr="005071A1">
              <w:t>s.</w:t>
            </w:r>
            <w:r w:rsidR="009B7AF5" w:rsidRPr="005071A1">
              <w:t xml:space="preserve"> 48AA</w:t>
            </w:r>
            <w:r w:rsidR="009B7AF5" w:rsidRPr="005071A1">
              <w:tab/>
            </w:r>
          </w:p>
        </w:tc>
        <w:tc>
          <w:tcPr>
            <w:tcW w:w="4551" w:type="dxa"/>
          </w:tcPr>
          <w:p w14:paraId="707FE7AB"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41871791" w14:textId="77777777" w:rsidTr="00962E93">
        <w:trPr>
          <w:cantSplit/>
        </w:trPr>
        <w:tc>
          <w:tcPr>
            <w:tcW w:w="2551" w:type="dxa"/>
          </w:tcPr>
          <w:p w14:paraId="4D29944C" w14:textId="77777777" w:rsidR="009B7AF5" w:rsidRPr="005071A1" w:rsidRDefault="009B7AF5" w:rsidP="009B7AF5">
            <w:pPr>
              <w:pStyle w:val="ENoteTableText"/>
            </w:pPr>
          </w:p>
        </w:tc>
        <w:tc>
          <w:tcPr>
            <w:tcW w:w="4551" w:type="dxa"/>
          </w:tcPr>
          <w:p w14:paraId="4F2B0C63"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07A0969D" w14:textId="77777777" w:rsidTr="00962E93">
        <w:trPr>
          <w:cantSplit/>
        </w:trPr>
        <w:tc>
          <w:tcPr>
            <w:tcW w:w="2551" w:type="dxa"/>
          </w:tcPr>
          <w:p w14:paraId="769FFB33" w14:textId="77777777" w:rsidR="009B7AF5" w:rsidRPr="005071A1" w:rsidRDefault="009B7AF5" w:rsidP="009B7AF5">
            <w:pPr>
              <w:pStyle w:val="ENoteTableText"/>
            </w:pPr>
          </w:p>
        </w:tc>
        <w:tc>
          <w:tcPr>
            <w:tcW w:w="4551" w:type="dxa"/>
          </w:tcPr>
          <w:p w14:paraId="7274D873" w14:textId="77777777" w:rsidR="009B7AF5" w:rsidRPr="005071A1" w:rsidRDefault="009B7AF5" w:rsidP="009B7AF5">
            <w:pPr>
              <w:pStyle w:val="ENoteTableText"/>
            </w:pPr>
            <w:r w:rsidRPr="005071A1">
              <w:t>rs. No.</w:t>
            </w:r>
            <w:r w:rsidR="008B2950" w:rsidRPr="005071A1">
              <w:t> </w:t>
            </w:r>
            <w:r w:rsidRPr="005071A1">
              <w:t>165, 2007</w:t>
            </w:r>
          </w:p>
        </w:tc>
      </w:tr>
      <w:tr w:rsidR="009B7AF5" w:rsidRPr="005071A1" w14:paraId="063971EA" w14:textId="77777777" w:rsidTr="00962E93">
        <w:trPr>
          <w:cantSplit/>
        </w:trPr>
        <w:tc>
          <w:tcPr>
            <w:tcW w:w="2551" w:type="dxa"/>
          </w:tcPr>
          <w:p w14:paraId="36BEA8A1" w14:textId="77777777" w:rsidR="009B7AF5" w:rsidRPr="005071A1" w:rsidRDefault="002477D1" w:rsidP="002477D1">
            <w:pPr>
              <w:pStyle w:val="ENoteTableText"/>
              <w:tabs>
                <w:tab w:val="center" w:leader="dot" w:pos="2268"/>
              </w:tabs>
            </w:pPr>
            <w:r w:rsidRPr="005071A1">
              <w:t>s.</w:t>
            </w:r>
            <w:r w:rsidR="009B7AF5" w:rsidRPr="005071A1">
              <w:t xml:space="preserve"> 48AB</w:t>
            </w:r>
            <w:r w:rsidR="009B7AF5" w:rsidRPr="005071A1">
              <w:tab/>
            </w:r>
          </w:p>
        </w:tc>
        <w:tc>
          <w:tcPr>
            <w:tcW w:w="4551" w:type="dxa"/>
          </w:tcPr>
          <w:p w14:paraId="4B57E6AE"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52C7921E" w14:textId="77777777" w:rsidTr="00962E93">
        <w:trPr>
          <w:cantSplit/>
        </w:trPr>
        <w:tc>
          <w:tcPr>
            <w:tcW w:w="2551" w:type="dxa"/>
          </w:tcPr>
          <w:p w14:paraId="64D3C32C" w14:textId="77777777" w:rsidR="009B7AF5" w:rsidRPr="005071A1" w:rsidRDefault="009B7AF5" w:rsidP="009B7AF5">
            <w:pPr>
              <w:pStyle w:val="ENoteTableText"/>
            </w:pPr>
          </w:p>
        </w:tc>
        <w:tc>
          <w:tcPr>
            <w:tcW w:w="4551" w:type="dxa"/>
          </w:tcPr>
          <w:p w14:paraId="2AF34C6C"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151, 1986; No.</w:t>
            </w:r>
            <w:r w:rsidR="008B2950" w:rsidRPr="005071A1">
              <w:t> </w:t>
            </w:r>
            <w:r w:rsidRPr="005071A1">
              <w:t>185, 1992; No.</w:t>
            </w:r>
            <w:r w:rsidR="008B2950" w:rsidRPr="005071A1">
              <w:t> </w:t>
            </w:r>
            <w:r w:rsidRPr="005071A1">
              <w:t>134, 2008</w:t>
            </w:r>
          </w:p>
        </w:tc>
      </w:tr>
      <w:tr w:rsidR="009B7AF5" w:rsidRPr="005071A1" w14:paraId="1D4809AC" w14:textId="77777777" w:rsidTr="00962E93">
        <w:trPr>
          <w:cantSplit/>
        </w:trPr>
        <w:tc>
          <w:tcPr>
            <w:tcW w:w="2551" w:type="dxa"/>
          </w:tcPr>
          <w:p w14:paraId="4D3D5C4B" w14:textId="77777777" w:rsidR="009B7AF5" w:rsidRPr="005071A1" w:rsidRDefault="002477D1" w:rsidP="002477D1">
            <w:pPr>
              <w:pStyle w:val="ENoteTableText"/>
              <w:tabs>
                <w:tab w:val="center" w:leader="dot" w:pos="2268"/>
              </w:tabs>
            </w:pPr>
            <w:r w:rsidRPr="005071A1">
              <w:t>s.</w:t>
            </w:r>
            <w:r w:rsidR="009B7AF5" w:rsidRPr="005071A1">
              <w:t xml:space="preserve"> 48ABA</w:t>
            </w:r>
            <w:r w:rsidR="009B7AF5" w:rsidRPr="005071A1">
              <w:tab/>
            </w:r>
          </w:p>
        </w:tc>
        <w:tc>
          <w:tcPr>
            <w:tcW w:w="4551" w:type="dxa"/>
          </w:tcPr>
          <w:p w14:paraId="460A8974" w14:textId="77777777" w:rsidR="009B7AF5" w:rsidRPr="005071A1" w:rsidRDefault="009B7AF5" w:rsidP="009B7AF5">
            <w:pPr>
              <w:pStyle w:val="ENoteTableText"/>
            </w:pPr>
            <w:r w:rsidRPr="005071A1">
              <w:t>ad. No.</w:t>
            </w:r>
            <w:r w:rsidR="008B2950" w:rsidRPr="005071A1">
              <w:t> </w:t>
            </w:r>
            <w:r w:rsidRPr="005071A1">
              <w:t>185, 1992</w:t>
            </w:r>
          </w:p>
        </w:tc>
      </w:tr>
      <w:tr w:rsidR="009B7AF5" w:rsidRPr="005071A1" w14:paraId="3ACEB019" w14:textId="77777777" w:rsidTr="00962E93">
        <w:trPr>
          <w:cantSplit/>
        </w:trPr>
        <w:tc>
          <w:tcPr>
            <w:tcW w:w="2551" w:type="dxa"/>
          </w:tcPr>
          <w:p w14:paraId="6FA7DFDA" w14:textId="77777777" w:rsidR="009B7AF5" w:rsidRPr="005071A1" w:rsidRDefault="009B7AF5" w:rsidP="009B7AF5">
            <w:pPr>
              <w:pStyle w:val="ENoteTableText"/>
            </w:pPr>
          </w:p>
        </w:tc>
        <w:tc>
          <w:tcPr>
            <w:tcW w:w="4551" w:type="dxa"/>
          </w:tcPr>
          <w:p w14:paraId="16439C45" w14:textId="77777777" w:rsidR="009B7AF5" w:rsidRPr="005071A1" w:rsidRDefault="009B7AF5" w:rsidP="009B7AF5">
            <w:pPr>
              <w:pStyle w:val="ENoteTableText"/>
            </w:pPr>
            <w:r w:rsidRPr="005071A1">
              <w:t>am. No.</w:t>
            </w:r>
            <w:r w:rsidR="008B2950" w:rsidRPr="005071A1">
              <w:t> </w:t>
            </w:r>
            <w:r w:rsidRPr="005071A1">
              <w:t>134, 2008</w:t>
            </w:r>
          </w:p>
        </w:tc>
      </w:tr>
      <w:tr w:rsidR="009B7AF5" w:rsidRPr="005071A1" w14:paraId="57C172E0" w14:textId="77777777" w:rsidTr="00962E93">
        <w:trPr>
          <w:cantSplit/>
        </w:trPr>
        <w:tc>
          <w:tcPr>
            <w:tcW w:w="2551" w:type="dxa"/>
          </w:tcPr>
          <w:p w14:paraId="26468F4B"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48AC, 48AD</w:t>
            </w:r>
            <w:r w:rsidR="009B7AF5" w:rsidRPr="005071A1">
              <w:tab/>
            </w:r>
          </w:p>
        </w:tc>
        <w:tc>
          <w:tcPr>
            <w:tcW w:w="4551" w:type="dxa"/>
          </w:tcPr>
          <w:p w14:paraId="7BF3EC69"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7C1F1251" w14:textId="77777777" w:rsidTr="00962E93">
        <w:trPr>
          <w:cantSplit/>
        </w:trPr>
        <w:tc>
          <w:tcPr>
            <w:tcW w:w="2551" w:type="dxa"/>
          </w:tcPr>
          <w:p w14:paraId="3360E998" w14:textId="77777777" w:rsidR="009B7AF5" w:rsidRPr="005071A1" w:rsidRDefault="009B7AF5" w:rsidP="009B7AF5">
            <w:pPr>
              <w:pStyle w:val="ENoteTableText"/>
            </w:pPr>
          </w:p>
        </w:tc>
        <w:tc>
          <w:tcPr>
            <w:tcW w:w="4551" w:type="dxa"/>
          </w:tcPr>
          <w:p w14:paraId="27EE4D7A"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99ED379" w14:textId="77777777" w:rsidTr="00962E93">
        <w:trPr>
          <w:cantSplit/>
        </w:trPr>
        <w:tc>
          <w:tcPr>
            <w:tcW w:w="2551" w:type="dxa"/>
          </w:tcPr>
          <w:p w14:paraId="4F0E94D4" w14:textId="77777777" w:rsidR="009B7AF5" w:rsidRPr="005071A1" w:rsidRDefault="002477D1" w:rsidP="002477D1">
            <w:pPr>
              <w:pStyle w:val="ENoteTableText"/>
              <w:tabs>
                <w:tab w:val="center" w:leader="dot" w:pos="2268"/>
              </w:tabs>
            </w:pPr>
            <w:r w:rsidRPr="005071A1">
              <w:t>s.</w:t>
            </w:r>
            <w:r w:rsidR="009B7AF5" w:rsidRPr="005071A1">
              <w:t xml:space="preserve"> 48A</w:t>
            </w:r>
            <w:r w:rsidR="009B7AF5" w:rsidRPr="005071A1">
              <w:tab/>
            </w:r>
          </w:p>
        </w:tc>
        <w:tc>
          <w:tcPr>
            <w:tcW w:w="4551" w:type="dxa"/>
          </w:tcPr>
          <w:p w14:paraId="7D7055F7"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7A3740CD" w14:textId="77777777" w:rsidTr="00962E93">
        <w:trPr>
          <w:cantSplit/>
        </w:trPr>
        <w:tc>
          <w:tcPr>
            <w:tcW w:w="2551" w:type="dxa"/>
          </w:tcPr>
          <w:p w14:paraId="3D23B4C8" w14:textId="77777777" w:rsidR="009B7AF5" w:rsidRPr="005071A1" w:rsidRDefault="009B7AF5" w:rsidP="009B7AF5">
            <w:pPr>
              <w:pStyle w:val="ENoteTableText"/>
            </w:pPr>
          </w:p>
        </w:tc>
        <w:tc>
          <w:tcPr>
            <w:tcW w:w="4551" w:type="dxa"/>
          </w:tcPr>
          <w:p w14:paraId="1DDB1EBF" w14:textId="77777777" w:rsidR="009B7AF5" w:rsidRPr="005071A1" w:rsidRDefault="009B7AF5" w:rsidP="009B7AF5">
            <w:pPr>
              <w:pStyle w:val="ENoteTableText"/>
            </w:pPr>
            <w:r w:rsidRPr="005071A1">
              <w:t>am. No.</w:t>
            </w:r>
            <w:r w:rsidR="008B2950" w:rsidRPr="005071A1">
              <w:t> </w:t>
            </w:r>
            <w:r w:rsidRPr="005071A1">
              <w:t>83, 1973</w:t>
            </w:r>
          </w:p>
        </w:tc>
      </w:tr>
      <w:tr w:rsidR="009B7AF5" w:rsidRPr="005071A1" w14:paraId="756E3568" w14:textId="77777777" w:rsidTr="00962E93">
        <w:trPr>
          <w:cantSplit/>
        </w:trPr>
        <w:tc>
          <w:tcPr>
            <w:tcW w:w="2551" w:type="dxa"/>
          </w:tcPr>
          <w:p w14:paraId="34BDFA40" w14:textId="77777777" w:rsidR="009B7AF5" w:rsidRPr="005071A1" w:rsidRDefault="002477D1" w:rsidP="002477D1">
            <w:pPr>
              <w:pStyle w:val="ENoteTableText"/>
              <w:tabs>
                <w:tab w:val="center" w:leader="dot" w:pos="2268"/>
              </w:tabs>
            </w:pPr>
            <w:r w:rsidRPr="005071A1">
              <w:t>s.</w:t>
            </w:r>
            <w:r w:rsidR="009B7AF5" w:rsidRPr="005071A1">
              <w:t xml:space="preserve"> 48B</w:t>
            </w:r>
            <w:r w:rsidR="009B7AF5" w:rsidRPr="005071A1">
              <w:tab/>
            </w:r>
          </w:p>
        </w:tc>
        <w:tc>
          <w:tcPr>
            <w:tcW w:w="4551" w:type="dxa"/>
          </w:tcPr>
          <w:p w14:paraId="773633CD"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736369D9" w14:textId="77777777" w:rsidTr="00962E93">
        <w:trPr>
          <w:cantSplit/>
        </w:trPr>
        <w:tc>
          <w:tcPr>
            <w:tcW w:w="2551" w:type="dxa"/>
          </w:tcPr>
          <w:p w14:paraId="2003D364" w14:textId="77777777" w:rsidR="009B7AF5" w:rsidRPr="005071A1" w:rsidRDefault="009B7AF5" w:rsidP="009B7AF5">
            <w:pPr>
              <w:pStyle w:val="ENoteTableText"/>
            </w:pPr>
          </w:p>
        </w:tc>
        <w:tc>
          <w:tcPr>
            <w:tcW w:w="4551" w:type="dxa"/>
          </w:tcPr>
          <w:p w14:paraId="4DD15980"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618A3808" w14:textId="77777777" w:rsidTr="00962E93">
        <w:trPr>
          <w:cantSplit/>
        </w:trPr>
        <w:tc>
          <w:tcPr>
            <w:tcW w:w="2551" w:type="dxa"/>
          </w:tcPr>
          <w:p w14:paraId="47E0AEAE" w14:textId="77777777" w:rsidR="009B7AF5" w:rsidRPr="005071A1" w:rsidRDefault="002477D1" w:rsidP="002477D1">
            <w:pPr>
              <w:pStyle w:val="ENoteTableText"/>
              <w:tabs>
                <w:tab w:val="center" w:leader="dot" w:pos="2268"/>
              </w:tabs>
            </w:pPr>
            <w:r w:rsidRPr="005071A1">
              <w:t>s.</w:t>
            </w:r>
            <w:r w:rsidR="009B7AF5" w:rsidRPr="005071A1">
              <w:t xml:space="preserve"> 48C</w:t>
            </w:r>
            <w:r w:rsidR="009B7AF5" w:rsidRPr="005071A1">
              <w:tab/>
            </w:r>
          </w:p>
        </w:tc>
        <w:tc>
          <w:tcPr>
            <w:tcW w:w="4551" w:type="dxa"/>
          </w:tcPr>
          <w:p w14:paraId="119A2500" w14:textId="77777777" w:rsidR="009B7AF5" w:rsidRPr="005071A1" w:rsidRDefault="009B7AF5" w:rsidP="009B7AF5">
            <w:pPr>
              <w:pStyle w:val="ENoteTableText"/>
            </w:pPr>
            <w:r w:rsidRPr="005071A1">
              <w:t>ad. No.</w:t>
            </w:r>
            <w:r w:rsidR="008B2950" w:rsidRPr="005071A1">
              <w:t> </w:t>
            </w:r>
            <w:r w:rsidRPr="005071A1">
              <w:t>49, 1968</w:t>
            </w:r>
          </w:p>
        </w:tc>
      </w:tr>
      <w:tr w:rsidR="009B7AF5" w:rsidRPr="005071A1" w14:paraId="4FBB06E8" w14:textId="77777777" w:rsidTr="00962E93">
        <w:trPr>
          <w:cantSplit/>
        </w:trPr>
        <w:tc>
          <w:tcPr>
            <w:tcW w:w="2551" w:type="dxa"/>
          </w:tcPr>
          <w:p w14:paraId="0E946C3E" w14:textId="77777777" w:rsidR="009B7AF5" w:rsidRPr="005071A1" w:rsidRDefault="009B7AF5" w:rsidP="009B7AF5">
            <w:pPr>
              <w:pStyle w:val="ENoteTableText"/>
            </w:pPr>
          </w:p>
        </w:tc>
        <w:tc>
          <w:tcPr>
            <w:tcW w:w="4551" w:type="dxa"/>
          </w:tcPr>
          <w:p w14:paraId="6F093820" w14:textId="77777777" w:rsidR="009B7AF5" w:rsidRPr="005071A1" w:rsidRDefault="009B7AF5" w:rsidP="009B7AF5">
            <w:pPr>
              <w:pStyle w:val="ENoteTableText"/>
            </w:pPr>
            <w:r w:rsidRPr="005071A1">
              <w:t>am. No.</w:t>
            </w:r>
            <w:r w:rsidR="008B2950" w:rsidRPr="005071A1">
              <w:t> </w:t>
            </w:r>
            <w:r w:rsidRPr="005071A1">
              <w:t>26, 1969</w:t>
            </w:r>
          </w:p>
        </w:tc>
      </w:tr>
      <w:tr w:rsidR="009B7AF5" w:rsidRPr="005071A1" w14:paraId="05C40A5E" w14:textId="77777777" w:rsidTr="00962E93">
        <w:trPr>
          <w:cantSplit/>
        </w:trPr>
        <w:tc>
          <w:tcPr>
            <w:tcW w:w="2551" w:type="dxa"/>
          </w:tcPr>
          <w:p w14:paraId="5504BFAE" w14:textId="77777777" w:rsidR="009B7AF5" w:rsidRPr="005071A1" w:rsidRDefault="009B7AF5" w:rsidP="009B7AF5">
            <w:pPr>
              <w:pStyle w:val="ENoteTableText"/>
            </w:pPr>
          </w:p>
        </w:tc>
        <w:tc>
          <w:tcPr>
            <w:tcW w:w="4551" w:type="dxa"/>
          </w:tcPr>
          <w:p w14:paraId="323A6867" w14:textId="77777777" w:rsidR="009B7AF5" w:rsidRPr="005071A1" w:rsidRDefault="009B7AF5" w:rsidP="009B7AF5">
            <w:pPr>
              <w:pStyle w:val="ENoteTableText"/>
            </w:pPr>
            <w:r w:rsidRPr="005071A1">
              <w:t>rs. No.</w:t>
            </w:r>
            <w:r w:rsidR="008B2950" w:rsidRPr="005071A1">
              <w:t> </w:t>
            </w:r>
            <w:r w:rsidRPr="005071A1">
              <w:t>83, 1973</w:t>
            </w:r>
          </w:p>
        </w:tc>
      </w:tr>
      <w:tr w:rsidR="009B7AF5" w:rsidRPr="005071A1" w14:paraId="42764F3C" w14:textId="77777777" w:rsidTr="00962E93">
        <w:trPr>
          <w:cantSplit/>
        </w:trPr>
        <w:tc>
          <w:tcPr>
            <w:tcW w:w="2551" w:type="dxa"/>
          </w:tcPr>
          <w:p w14:paraId="4CCE6E8C" w14:textId="77777777" w:rsidR="009B7AF5" w:rsidRPr="005071A1" w:rsidRDefault="009B7AF5" w:rsidP="009B7AF5">
            <w:pPr>
              <w:pStyle w:val="ENoteTableText"/>
            </w:pPr>
          </w:p>
        </w:tc>
        <w:tc>
          <w:tcPr>
            <w:tcW w:w="4551" w:type="dxa"/>
          </w:tcPr>
          <w:p w14:paraId="2673C5C1"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DD3497B" w14:textId="77777777" w:rsidTr="00962E93">
        <w:trPr>
          <w:cantSplit/>
        </w:trPr>
        <w:tc>
          <w:tcPr>
            <w:tcW w:w="2551" w:type="dxa"/>
          </w:tcPr>
          <w:p w14:paraId="4FCA8DA2" w14:textId="77777777" w:rsidR="009B7AF5" w:rsidRPr="005071A1" w:rsidRDefault="002477D1" w:rsidP="002477D1">
            <w:pPr>
              <w:pStyle w:val="ENoteTableText"/>
              <w:tabs>
                <w:tab w:val="center" w:leader="dot" w:pos="2268"/>
              </w:tabs>
            </w:pPr>
            <w:r w:rsidRPr="005071A1">
              <w:t>s.</w:t>
            </w:r>
            <w:r w:rsidR="009B7AF5" w:rsidRPr="005071A1">
              <w:t xml:space="preserve"> 49</w:t>
            </w:r>
            <w:r w:rsidR="009B7AF5" w:rsidRPr="005071A1">
              <w:tab/>
            </w:r>
          </w:p>
        </w:tc>
        <w:tc>
          <w:tcPr>
            <w:tcW w:w="4551" w:type="dxa"/>
          </w:tcPr>
          <w:p w14:paraId="28A85BB7" w14:textId="77777777" w:rsidR="009B7AF5" w:rsidRPr="005071A1" w:rsidRDefault="009B7AF5" w:rsidP="009B7AF5">
            <w:pPr>
              <w:pStyle w:val="ENoteTableText"/>
            </w:pPr>
            <w:r w:rsidRPr="005071A1">
              <w:t>rs. No.</w:t>
            </w:r>
            <w:r w:rsidR="008B2950" w:rsidRPr="005071A1">
              <w:t> </w:t>
            </w:r>
            <w:r w:rsidRPr="005071A1">
              <w:t>22, 1930; No.</w:t>
            </w:r>
            <w:r w:rsidR="008B2950" w:rsidRPr="005071A1">
              <w:t> </w:t>
            </w:r>
            <w:r w:rsidRPr="005071A1">
              <w:t>102, 1959</w:t>
            </w:r>
          </w:p>
        </w:tc>
      </w:tr>
      <w:tr w:rsidR="009B7AF5" w:rsidRPr="005071A1" w14:paraId="6772762A" w14:textId="77777777" w:rsidTr="00962E93">
        <w:trPr>
          <w:cantSplit/>
        </w:trPr>
        <w:tc>
          <w:tcPr>
            <w:tcW w:w="2551" w:type="dxa"/>
          </w:tcPr>
          <w:p w14:paraId="0DB6D0E6" w14:textId="77777777" w:rsidR="009B7AF5" w:rsidRPr="005071A1" w:rsidRDefault="009B7AF5" w:rsidP="009B7AF5">
            <w:pPr>
              <w:pStyle w:val="ENoteTableText"/>
            </w:pPr>
          </w:p>
        </w:tc>
        <w:tc>
          <w:tcPr>
            <w:tcW w:w="4551" w:type="dxa"/>
          </w:tcPr>
          <w:p w14:paraId="3978B988" w14:textId="77777777" w:rsidR="009B7AF5" w:rsidRPr="005071A1" w:rsidRDefault="009B7AF5" w:rsidP="009B7AF5">
            <w:pPr>
              <w:pStyle w:val="ENoteTableText"/>
            </w:pPr>
            <w:r w:rsidRPr="005071A1">
              <w:t>am. No.</w:t>
            </w:r>
            <w:r w:rsidR="008B2950" w:rsidRPr="005071A1">
              <w:t> </w:t>
            </w:r>
            <w:r w:rsidRPr="005071A1">
              <w:t>97, 1965</w:t>
            </w:r>
          </w:p>
        </w:tc>
      </w:tr>
      <w:tr w:rsidR="009B7AF5" w:rsidRPr="005071A1" w14:paraId="3F9464D9" w14:textId="77777777" w:rsidTr="00962E93">
        <w:trPr>
          <w:cantSplit/>
        </w:trPr>
        <w:tc>
          <w:tcPr>
            <w:tcW w:w="2551" w:type="dxa"/>
          </w:tcPr>
          <w:p w14:paraId="2D2C0858" w14:textId="77777777" w:rsidR="009B7AF5" w:rsidRPr="005071A1" w:rsidRDefault="009B7AF5" w:rsidP="009B7AF5">
            <w:pPr>
              <w:pStyle w:val="ENoteTableText"/>
            </w:pPr>
          </w:p>
        </w:tc>
        <w:tc>
          <w:tcPr>
            <w:tcW w:w="4551" w:type="dxa"/>
          </w:tcPr>
          <w:p w14:paraId="0D48DEB4" w14:textId="77777777" w:rsidR="009B7AF5" w:rsidRPr="005071A1" w:rsidRDefault="009B7AF5" w:rsidP="009B7AF5">
            <w:pPr>
              <w:pStyle w:val="ENoteTableText"/>
            </w:pPr>
            <w:r w:rsidRPr="005071A1">
              <w:t>rs. No.</w:t>
            </w:r>
            <w:r w:rsidR="008B2950" w:rsidRPr="005071A1">
              <w:t> </w:t>
            </w:r>
            <w:r w:rsidRPr="005071A1">
              <w:t>86, 1966; No.</w:t>
            </w:r>
            <w:r w:rsidR="008B2950" w:rsidRPr="005071A1">
              <w:t> </w:t>
            </w:r>
            <w:r w:rsidRPr="005071A1">
              <w:t>52, 1967</w:t>
            </w:r>
          </w:p>
        </w:tc>
      </w:tr>
      <w:tr w:rsidR="009B7AF5" w:rsidRPr="005071A1" w14:paraId="41557A9A" w14:textId="77777777" w:rsidTr="00962E93">
        <w:trPr>
          <w:cantSplit/>
        </w:trPr>
        <w:tc>
          <w:tcPr>
            <w:tcW w:w="2551" w:type="dxa"/>
          </w:tcPr>
          <w:p w14:paraId="3AEDC148" w14:textId="77777777" w:rsidR="009B7AF5" w:rsidRPr="005071A1" w:rsidRDefault="009B7AF5" w:rsidP="009B7AF5">
            <w:pPr>
              <w:pStyle w:val="ENoteTableText"/>
            </w:pPr>
          </w:p>
        </w:tc>
        <w:tc>
          <w:tcPr>
            <w:tcW w:w="4551" w:type="dxa"/>
          </w:tcPr>
          <w:p w14:paraId="4E1CC8F0" w14:textId="77777777" w:rsidR="009B7AF5" w:rsidRPr="005071A1" w:rsidRDefault="009B7AF5" w:rsidP="009B7AF5">
            <w:pPr>
              <w:pStyle w:val="ENoteTableText"/>
            </w:pPr>
            <w:r w:rsidRPr="005071A1">
              <w:t>am. No.</w:t>
            </w:r>
            <w:r w:rsidR="008B2950" w:rsidRPr="005071A1">
              <w:t> </w:t>
            </w:r>
            <w:r w:rsidRPr="005071A1">
              <w:t>49, 1968; No.</w:t>
            </w:r>
            <w:r w:rsidR="008B2950" w:rsidRPr="005071A1">
              <w:t> </w:t>
            </w:r>
            <w:r w:rsidRPr="005071A1">
              <w:t>32, 1976; No.</w:t>
            </w:r>
            <w:r w:rsidR="008B2950" w:rsidRPr="005071A1">
              <w:t> </w:t>
            </w:r>
            <w:r w:rsidRPr="005071A1">
              <w:t>17, 1978</w:t>
            </w:r>
          </w:p>
        </w:tc>
      </w:tr>
      <w:tr w:rsidR="009B7AF5" w:rsidRPr="005071A1" w14:paraId="3D6DA4FF" w14:textId="77777777" w:rsidTr="00962E93">
        <w:trPr>
          <w:cantSplit/>
        </w:trPr>
        <w:tc>
          <w:tcPr>
            <w:tcW w:w="2551" w:type="dxa"/>
          </w:tcPr>
          <w:p w14:paraId="074D3081" w14:textId="77777777" w:rsidR="009B7AF5" w:rsidRPr="005071A1" w:rsidRDefault="002477D1" w:rsidP="002477D1">
            <w:pPr>
              <w:pStyle w:val="ENoteTableText"/>
              <w:tabs>
                <w:tab w:val="center" w:leader="dot" w:pos="2268"/>
              </w:tabs>
            </w:pPr>
            <w:r w:rsidRPr="005071A1">
              <w:t>s.</w:t>
            </w:r>
            <w:r w:rsidR="009B7AF5" w:rsidRPr="005071A1">
              <w:t xml:space="preserve"> 50</w:t>
            </w:r>
            <w:r w:rsidR="009B7AF5" w:rsidRPr="005071A1">
              <w:tab/>
            </w:r>
          </w:p>
        </w:tc>
        <w:tc>
          <w:tcPr>
            <w:tcW w:w="4551" w:type="dxa"/>
          </w:tcPr>
          <w:p w14:paraId="374A6E13"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53, 1942; No.</w:t>
            </w:r>
            <w:r w:rsidR="008B2950" w:rsidRPr="005071A1">
              <w:t> </w:t>
            </w:r>
            <w:r w:rsidRPr="005071A1">
              <w:t>26, 1969; No.</w:t>
            </w:r>
            <w:r w:rsidR="008B2950" w:rsidRPr="005071A1">
              <w:t> </w:t>
            </w:r>
            <w:r w:rsidRPr="005071A1">
              <w:t>46, 1971; No.</w:t>
            </w:r>
            <w:r w:rsidR="008B2950" w:rsidRPr="005071A1">
              <w:t> </w:t>
            </w:r>
            <w:r w:rsidRPr="005071A1">
              <w:t>32, 1976; No.</w:t>
            </w:r>
            <w:r w:rsidR="008B2950" w:rsidRPr="005071A1">
              <w:t> </w:t>
            </w:r>
            <w:r w:rsidRPr="005071A1">
              <w:t>17, 1978</w:t>
            </w:r>
          </w:p>
        </w:tc>
      </w:tr>
      <w:tr w:rsidR="009B7AF5" w:rsidRPr="005071A1" w14:paraId="0CD84D2D" w14:textId="77777777" w:rsidTr="00962E93">
        <w:trPr>
          <w:cantSplit/>
        </w:trPr>
        <w:tc>
          <w:tcPr>
            <w:tcW w:w="2551" w:type="dxa"/>
          </w:tcPr>
          <w:p w14:paraId="325F992A" w14:textId="77777777" w:rsidR="009B7AF5" w:rsidRPr="005071A1" w:rsidRDefault="002477D1" w:rsidP="002477D1">
            <w:pPr>
              <w:pStyle w:val="ENoteTableText"/>
              <w:tabs>
                <w:tab w:val="center" w:leader="dot" w:pos="2268"/>
              </w:tabs>
            </w:pPr>
            <w:r w:rsidRPr="005071A1">
              <w:t>s.</w:t>
            </w:r>
            <w:r w:rsidR="009B7AF5" w:rsidRPr="005071A1">
              <w:t xml:space="preserve"> 51</w:t>
            </w:r>
            <w:r w:rsidR="009B7AF5" w:rsidRPr="005071A1">
              <w:tab/>
            </w:r>
          </w:p>
        </w:tc>
        <w:tc>
          <w:tcPr>
            <w:tcW w:w="4551" w:type="dxa"/>
          </w:tcPr>
          <w:p w14:paraId="1883A186" w14:textId="77777777" w:rsidR="009B7AF5" w:rsidRPr="005071A1" w:rsidRDefault="009B7AF5" w:rsidP="009B7AF5">
            <w:pPr>
              <w:pStyle w:val="ENoteTableText"/>
            </w:pPr>
            <w:r w:rsidRPr="005071A1">
              <w:t>am. No.</w:t>
            </w:r>
            <w:r w:rsidR="008B2950" w:rsidRPr="005071A1">
              <w:t> </w:t>
            </w:r>
            <w:r w:rsidRPr="005071A1">
              <w:t>53, 1942</w:t>
            </w:r>
          </w:p>
        </w:tc>
      </w:tr>
      <w:tr w:rsidR="009B7AF5" w:rsidRPr="005071A1" w14:paraId="4D4B5B14" w14:textId="77777777" w:rsidTr="00962E93">
        <w:trPr>
          <w:cantSplit/>
        </w:trPr>
        <w:tc>
          <w:tcPr>
            <w:tcW w:w="2551" w:type="dxa"/>
          </w:tcPr>
          <w:p w14:paraId="6115735D" w14:textId="77777777" w:rsidR="009B7AF5" w:rsidRPr="005071A1" w:rsidRDefault="009B7AF5" w:rsidP="009B7AF5">
            <w:pPr>
              <w:pStyle w:val="ENoteTableText"/>
            </w:pPr>
          </w:p>
        </w:tc>
        <w:tc>
          <w:tcPr>
            <w:tcW w:w="4551" w:type="dxa"/>
          </w:tcPr>
          <w:p w14:paraId="0EF7A396" w14:textId="77777777" w:rsidR="009B7AF5" w:rsidRPr="005071A1" w:rsidRDefault="009B7AF5" w:rsidP="009B7AF5">
            <w:pPr>
              <w:pStyle w:val="ENoteTableText"/>
            </w:pPr>
            <w:r w:rsidRPr="005071A1">
              <w:t>rs. No.</w:t>
            </w:r>
            <w:r w:rsidR="008B2950" w:rsidRPr="005071A1">
              <w:t> </w:t>
            </w:r>
            <w:r w:rsidRPr="005071A1">
              <w:t>46, 1971</w:t>
            </w:r>
          </w:p>
        </w:tc>
      </w:tr>
      <w:tr w:rsidR="009B7AF5" w:rsidRPr="005071A1" w14:paraId="649699AD" w14:textId="77777777" w:rsidTr="00962E93">
        <w:trPr>
          <w:cantSplit/>
        </w:trPr>
        <w:tc>
          <w:tcPr>
            <w:tcW w:w="2551" w:type="dxa"/>
          </w:tcPr>
          <w:p w14:paraId="5EF1E0D6" w14:textId="77777777" w:rsidR="009B7AF5" w:rsidRPr="005071A1" w:rsidRDefault="009B7AF5" w:rsidP="009B7AF5">
            <w:pPr>
              <w:pStyle w:val="ENoteTableText"/>
            </w:pPr>
          </w:p>
        </w:tc>
        <w:tc>
          <w:tcPr>
            <w:tcW w:w="4551" w:type="dxa"/>
          </w:tcPr>
          <w:p w14:paraId="004B5207" w14:textId="77777777" w:rsidR="009B7AF5" w:rsidRPr="005071A1" w:rsidRDefault="009B7AF5" w:rsidP="009B7AF5">
            <w:pPr>
              <w:pStyle w:val="ENoteTableText"/>
            </w:pPr>
            <w:r w:rsidRPr="005071A1">
              <w:t>am. No.</w:t>
            </w:r>
            <w:r w:rsidR="008B2950" w:rsidRPr="005071A1">
              <w:t> </w:t>
            </w:r>
            <w:r w:rsidRPr="005071A1">
              <w:t>32, 1976</w:t>
            </w:r>
          </w:p>
        </w:tc>
      </w:tr>
      <w:tr w:rsidR="009B7AF5" w:rsidRPr="005071A1" w14:paraId="1A863740" w14:textId="77777777" w:rsidTr="00962E93">
        <w:trPr>
          <w:cantSplit/>
        </w:trPr>
        <w:tc>
          <w:tcPr>
            <w:tcW w:w="2551" w:type="dxa"/>
          </w:tcPr>
          <w:p w14:paraId="00927877" w14:textId="77777777" w:rsidR="009B7AF5" w:rsidRPr="005071A1" w:rsidRDefault="002477D1" w:rsidP="002477D1">
            <w:pPr>
              <w:pStyle w:val="ENoteTableText"/>
              <w:tabs>
                <w:tab w:val="center" w:leader="dot" w:pos="2268"/>
              </w:tabs>
            </w:pPr>
            <w:r w:rsidRPr="005071A1">
              <w:t>s.</w:t>
            </w:r>
            <w:r w:rsidR="009B7AF5" w:rsidRPr="005071A1">
              <w:t xml:space="preserve"> 52</w:t>
            </w:r>
            <w:r w:rsidR="009B7AF5" w:rsidRPr="005071A1">
              <w:tab/>
            </w:r>
          </w:p>
        </w:tc>
        <w:tc>
          <w:tcPr>
            <w:tcW w:w="4551" w:type="dxa"/>
          </w:tcPr>
          <w:p w14:paraId="0E241D56" w14:textId="77777777" w:rsidR="009B7AF5" w:rsidRPr="005071A1" w:rsidRDefault="009B7AF5" w:rsidP="009B7AF5">
            <w:pPr>
              <w:pStyle w:val="ENoteTableText"/>
            </w:pPr>
            <w:r w:rsidRPr="005071A1">
              <w:t>ad. No.</w:t>
            </w:r>
            <w:r w:rsidR="008B2950" w:rsidRPr="005071A1">
              <w:t> </w:t>
            </w:r>
            <w:r w:rsidRPr="005071A1">
              <w:t>53, 1942</w:t>
            </w:r>
          </w:p>
        </w:tc>
      </w:tr>
      <w:tr w:rsidR="009B7AF5" w:rsidRPr="005071A1" w14:paraId="130E7815" w14:textId="77777777" w:rsidTr="00962E93">
        <w:trPr>
          <w:cantSplit/>
        </w:trPr>
        <w:tc>
          <w:tcPr>
            <w:tcW w:w="2551" w:type="dxa"/>
          </w:tcPr>
          <w:p w14:paraId="2A024A69" w14:textId="77777777" w:rsidR="009B7AF5" w:rsidRPr="005071A1" w:rsidRDefault="009B7AF5" w:rsidP="009B7AF5">
            <w:pPr>
              <w:pStyle w:val="ENoteTableText"/>
            </w:pPr>
          </w:p>
        </w:tc>
        <w:tc>
          <w:tcPr>
            <w:tcW w:w="4551" w:type="dxa"/>
          </w:tcPr>
          <w:p w14:paraId="34ED6A29" w14:textId="77777777" w:rsidR="009B7AF5" w:rsidRPr="005071A1" w:rsidRDefault="009B7AF5" w:rsidP="009B7AF5">
            <w:pPr>
              <w:pStyle w:val="ENoteTableText"/>
            </w:pPr>
            <w:r w:rsidRPr="005071A1">
              <w:t>rs. No.</w:t>
            </w:r>
            <w:r w:rsidR="008B2950" w:rsidRPr="005071A1">
              <w:t> </w:t>
            </w:r>
            <w:r w:rsidRPr="005071A1">
              <w:t>102, 1963; No.</w:t>
            </w:r>
            <w:r w:rsidR="008B2950" w:rsidRPr="005071A1">
              <w:t> </w:t>
            </w:r>
            <w:r w:rsidRPr="005071A1">
              <w:t>46, 1971</w:t>
            </w:r>
          </w:p>
        </w:tc>
      </w:tr>
      <w:tr w:rsidR="009B7AF5" w:rsidRPr="005071A1" w14:paraId="380E6FDA" w14:textId="77777777" w:rsidTr="00962E93">
        <w:trPr>
          <w:cantSplit/>
        </w:trPr>
        <w:tc>
          <w:tcPr>
            <w:tcW w:w="2551" w:type="dxa"/>
          </w:tcPr>
          <w:p w14:paraId="2D217CE8" w14:textId="77777777" w:rsidR="009B7AF5" w:rsidRPr="005071A1" w:rsidRDefault="009B7AF5" w:rsidP="009B7AF5">
            <w:pPr>
              <w:pStyle w:val="ENoteTableText"/>
            </w:pPr>
          </w:p>
        </w:tc>
        <w:tc>
          <w:tcPr>
            <w:tcW w:w="4551" w:type="dxa"/>
          </w:tcPr>
          <w:p w14:paraId="78C1A61C" w14:textId="77777777" w:rsidR="009B7AF5" w:rsidRPr="005071A1" w:rsidRDefault="009B7AF5" w:rsidP="009B7AF5">
            <w:pPr>
              <w:pStyle w:val="ENoteTableText"/>
            </w:pPr>
            <w:r w:rsidRPr="005071A1">
              <w:t>am. No.</w:t>
            </w:r>
            <w:r w:rsidR="008B2950" w:rsidRPr="005071A1">
              <w:t> </w:t>
            </w:r>
            <w:r w:rsidRPr="005071A1">
              <w:t>59, 1974; No.</w:t>
            </w:r>
            <w:r w:rsidR="008B2950" w:rsidRPr="005071A1">
              <w:t> </w:t>
            </w:r>
            <w:r w:rsidRPr="005071A1">
              <w:t>32, 1976; No.</w:t>
            </w:r>
            <w:r w:rsidR="008B2950" w:rsidRPr="005071A1">
              <w:t> </w:t>
            </w:r>
            <w:r w:rsidRPr="005071A1">
              <w:t>17, 1978; No.</w:t>
            </w:r>
            <w:r w:rsidR="008B2950" w:rsidRPr="005071A1">
              <w:t> </w:t>
            </w:r>
            <w:r w:rsidRPr="005071A1">
              <w:t>8, 2005</w:t>
            </w:r>
            <w:r w:rsidR="00F83505" w:rsidRPr="005071A1">
              <w:t>; No 31, 2014</w:t>
            </w:r>
          </w:p>
        </w:tc>
      </w:tr>
      <w:tr w:rsidR="009B7AF5" w:rsidRPr="005071A1" w14:paraId="200F479A" w14:textId="77777777" w:rsidTr="00962E93">
        <w:trPr>
          <w:cantSplit/>
        </w:trPr>
        <w:tc>
          <w:tcPr>
            <w:tcW w:w="2551" w:type="dxa"/>
          </w:tcPr>
          <w:p w14:paraId="1CE5E12E" w14:textId="77777777" w:rsidR="009B7AF5" w:rsidRPr="005071A1" w:rsidRDefault="002477D1" w:rsidP="002477D1">
            <w:pPr>
              <w:pStyle w:val="ENoteTableText"/>
              <w:tabs>
                <w:tab w:val="center" w:leader="dot" w:pos="2268"/>
              </w:tabs>
            </w:pPr>
            <w:r w:rsidRPr="005071A1">
              <w:t>s.</w:t>
            </w:r>
            <w:r w:rsidR="009B7AF5" w:rsidRPr="005071A1">
              <w:t xml:space="preserve"> 53</w:t>
            </w:r>
            <w:r w:rsidR="009B7AF5" w:rsidRPr="005071A1">
              <w:tab/>
            </w:r>
          </w:p>
        </w:tc>
        <w:tc>
          <w:tcPr>
            <w:tcW w:w="4551" w:type="dxa"/>
          </w:tcPr>
          <w:p w14:paraId="39FC532A" w14:textId="77777777" w:rsidR="009B7AF5" w:rsidRPr="005071A1" w:rsidRDefault="009B7AF5" w:rsidP="009B7AF5">
            <w:pPr>
              <w:pStyle w:val="ENoteTableText"/>
            </w:pPr>
            <w:r w:rsidRPr="005071A1">
              <w:t>ad. No.</w:t>
            </w:r>
            <w:r w:rsidR="008B2950" w:rsidRPr="005071A1">
              <w:t> </w:t>
            </w:r>
            <w:r w:rsidRPr="005071A1">
              <w:t>49, 1951</w:t>
            </w:r>
          </w:p>
        </w:tc>
      </w:tr>
      <w:tr w:rsidR="009B7AF5" w:rsidRPr="005071A1" w14:paraId="08A573ED" w14:textId="77777777" w:rsidTr="00962E93">
        <w:trPr>
          <w:cantSplit/>
        </w:trPr>
        <w:tc>
          <w:tcPr>
            <w:tcW w:w="2551" w:type="dxa"/>
          </w:tcPr>
          <w:p w14:paraId="053AB484" w14:textId="77777777" w:rsidR="009B7AF5" w:rsidRPr="005071A1" w:rsidRDefault="009B7AF5" w:rsidP="009B7AF5">
            <w:pPr>
              <w:pStyle w:val="ENoteTableText"/>
            </w:pPr>
          </w:p>
        </w:tc>
        <w:tc>
          <w:tcPr>
            <w:tcW w:w="4551" w:type="dxa"/>
          </w:tcPr>
          <w:p w14:paraId="382BF010" w14:textId="77777777" w:rsidR="009B7AF5" w:rsidRPr="005071A1" w:rsidRDefault="009B7AF5" w:rsidP="009B7AF5">
            <w:pPr>
              <w:pStyle w:val="ENoteTableText"/>
            </w:pPr>
            <w:r w:rsidRPr="005071A1">
              <w:t>rs. No.</w:t>
            </w:r>
            <w:r w:rsidR="008B2950" w:rsidRPr="005071A1">
              <w:t> </w:t>
            </w:r>
            <w:r w:rsidRPr="005071A1">
              <w:t>112, 1956</w:t>
            </w:r>
          </w:p>
        </w:tc>
      </w:tr>
      <w:tr w:rsidR="009B7AF5" w:rsidRPr="005071A1" w14:paraId="5745BD6B" w14:textId="77777777" w:rsidTr="00962E93">
        <w:trPr>
          <w:cantSplit/>
        </w:trPr>
        <w:tc>
          <w:tcPr>
            <w:tcW w:w="2551" w:type="dxa"/>
          </w:tcPr>
          <w:p w14:paraId="4E5D03F8" w14:textId="77777777" w:rsidR="009B7AF5" w:rsidRPr="005071A1" w:rsidRDefault="009B7AF5" w:rsidP="009B7AF5">
            <w:pPr>
              <w:pStyle w:val="ENoteTableText"/>
            </w:pPr>
          </w:p>
        </w:tc>
        <w:tc>
          <w:tcPr>
            <w:tcW w:w="4551" w:type="dxa"/>
          </w:tcPr>
          <w:p w14:paraId="616E15C3"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102, 1963; No.</w:t>
            </w:r>
            <w:r w:rsidR="008B2950" w:rsidRPr="005071A1">
              <w:t> </w:t>
            </w:r>
            <w:r w:rsidRPr="005071A1">
              <w:t>69, 1966</w:t>
            </w:r>
          </w:p>
        </w:tc>
      </w:tr>
      <w:tr w:rsidR="009B7AF5" w:rsidRPr="005071A1" w14:paraId="6C14685B" w14:textId="77777777" w:rsidTr="00962E93">
        <w:trPr>
          <w:cantSplit/>
        </w:trPr>
        <w:tc>
          <w:tcPr>
            <w:tcW w:w="2551" w:type="dxa"/>
          </w:tcPr>
          <w:p w14:paraId="29809B12" w14:textId="77777777" w:rsidR="009B7AF5" w:rsidRPr="005071A1" w:rsidRDefault="009B7AF5" w:rsidP="009B7AF5">
            <w:pPr>
              <w:pStyle w:val="ENoteTableText"/>
            </w:pPr>
          </w:p>
        </w:tc>
        <w:tc>
          <w:tcPr>
            <w:tcW w:w="4551" w:type="dxa"/>
          </w:tcPr>
          <w:p w14:paraId="45C9DC47" w14:textId="77777777" w:rsidR="009B7AF5" w:rsidRPr="005071A1" w:rsidRDefault="009B7AF5" w:rsidP="009B7AF5">
            <w:pPr>
              <w:pStyle w:val="ENoteTableText"/>
            </w:pPr>
            <w:r w:rsidRPr="005071A1">
              <w:t>rs. No.</w:t>
            </w:r>
            <w:r w:rsidR="008B2950" w:rsidRPr="005071A1">
              <w:t> </w:t>
            </w:r>
            <w:r w:rsidRPr="005071A1">
              <w:t>46, 1971</w:t>
            </w:r>
          </w:p>
        </w:tc>
      </w:tr>
      <w:tr w:rsidR="009B7AF5" w:rsidRPr="005071A1" w14:paraId="55916830" w14:textId="77777777" w:rsidTr="00962E93">
        <w:trPr>
          <w:cantSplit/>
        </w:trPr>
        <w:tc>
          <w:tcPr>
            <w:tcW w:w="2551" w:type="dxa"/>
          </w:tcPr>
          <w:p w14:paraId="65F45FB8" w14:textId="77777777" w:rsidR="009B7AF5" w:rsidRPr="005071A1" w:rsidRDefault="002477D1" w:rsidP="002477D1">
            <w:pPr>
              <w:pStyle w:val="ENoteTableText"/>
              <w:tabs>
                <w:tab w:val="center" w:leader="dot" w:pos="2268"/>
              </w:tabs>
            </w:pPr>
            <w:r w:rsidRPr="005071A1">
              <w:t>s.</w:t>
            </w:r>
            <w:r w:rsidR="009B7AF5" w:rsidRPr="005071A1">
              <w:t xml:space="preserve"> 54</w:t>
            </w:r>
            <w:r w:rsidR="009B7AF5" w:rsidRPr="005071A1">
              <w:tab/>
            </w:r>
          </w:p>
        </w:tc>
        <w:tc>
          <w:tcPr>
            <w:tcW w:w="4551" w:type="dxa"/>
          </w:tcPr>
          <w:p w14:paraId="6B090F00" w14:textId="77777777" w:rsidR="009B7AF5" w:rsidRPr="005071A1" w:rsidRDefault="009B7AF5" w:rsidP="009B7AF5">
            <w:pPr>
              <w:pStyle w:val="ENoteTableText"/>
            </w:pPr>
            <w:r w:rsidRPr="005071A1">
              <w:t>rs. No.</w:t>
            </w:r>
            <w:r w:rsidR="008B2950" w:rsidRPr="005071A1">
              <w:t> </w:t>
            </w:r>
            <w:r w:rsidRPr="005071A1">
              <w:t>15, 1945</w:t>
            </w:r>
          </w:p>
        </w:tc>
      </w:tr>
      <w:tr w:rsidR="009B7AF5" w:rsidRPr="005071A1" w14:paraId="230F0DD0" w14:textId="77777777" w:rsidTr="00962E93">
        <w:trPr>
          <w:cantSplit/>
        </w:trPr>
        <w:tc>
          <w:tcPr>
            <w:tcW w:w="2551" w:type="dxa"/>
          </w:tcPr>
          <w:p w14:paraId="4656D693" w14:textId="77777777" w:rsidR="009B7AF5" w:rsidRPr="005071A1" w:rsidRDefault="009B7AF5" w:rsidP="009B7AF5">
            <w:pPr>
              <w:pStyle w:val="ENoteTableText"/>
            </w:pPr>
          </w:p>
        </w:tc>
        <w:tc>
          <w:tcPr>
            <w:tcW w:w="4551" w:type="dxa"/>
          </w:tcPr>
          <w:p w14:paraId="0C7296C7"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52, 1967; No.</w:t>
            </w:r>
            <w:r w:rsidR="008B2950" w:rsidRPr="005071A1">
              <w:t> </w:t>
            </w:r>
            <w:r w:rsidRPr="005071A1">
              <w:t>32, 1976; No.</w:t>
            </w:r>
            <w:r w:rsidR="008B2950" w:rsidRPr="005071A1">
              <w:t> </w:t>
            </w:r>
            <w:r w:rsidRPr="005071A1">
              <w:t>17, 1978</w:t>
            </w:r>
          </w:p>
        </w:tc>
      </w:tr>
      <w:tr w:rsidR="009B7AF5" w:rsidRPr="005071A1" w14:paraId="51BB319E" w14:textId="77777777" w:rsidTr="00962E93">
        <w:trPr>
          <w:cantSplit/>
        </w:trPr>
        <w:tc>
          <w:tcPr>
            <w:tcW w:w="2551" w:type="dxa"/>
          </w:tcPr>
          <w:p w14:paraId="13919CE9" w14:textId="77777777" w:rsidR="009B7AF5" w:rsidRPr="005071A1" w:rsidRDefault="002477D1" w:rsidP="002477D1">
            <w:pPr>
              <w:pStyle w:val="ENoteTableText"/>
              <w:tabs>
                <w:tab w:val="center" w:leader="dot" w:pos="2268"/>
              </w:tabs>
            </w:pPr>
            <w:r w:rsidRPr="005071A1">
              <w:t>s.</w:t>
            </w:r>
            <w:r w:rsidR="009B7AF5" w:rsidRPr="005071A1">
              <w:t xml:space="preserve"> 55</w:t>
            </w:r>
            <w:r w:rsidR="009B7AF5" w:rsidRPr="005071A1">
              <w:tab/>
            </w:r>
          </w:p>
        </w:tc>
        <w:tc>
          <w:tcPr>
            <w:tcW w:w="4551" w:type="dxa"/>
          </w:tcPr>
          <w:p w14:paraId="543D60E6"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29900B2F" w14:textId="77777777" w:rsidTr="00962E93">
        <w:trPr>
          <w:cantSplit/>
        </w:trPr>
        <w:tc>
          <w:tcPr>
            <w:tcW w:w="2551" w:type="dxa"/>
          </w:tcPr>
          <w:p w14:paraId="156B60FA" w14:textId="77777777" w:rsidR="009B7AF5" w:rsidRPr="005071A1" w:rsidRDefault="009B7AF5" w:rsidP="009B7AF5">
            <w:pPr>
              <w:pStyle w:val="ENoteTableText"/>
            </w:pPr>
          </w:p>
        </w:tc>
        <w:tc>
          <w:tcPr>
            <w:tcW w:w="4551" w:type="dxa"/>
          </w:tcPr>
          <w:p w14:paraId="537423D9" w14:textId="77777777" w:rsidR="009B7AF5" w:rsidRPr="005071A1" w:rsidRDefault="009B7AF5" w:rsidP="009B7AF5">
            <w:pPr>
              <w:pStyle w:val="ENoteTableText"/>
            </w:pPr>
            <w:r w:rsidRPr="005071A1">
              <w:t>rs. No.</w:t>
            </w:r>
            <w:r w:rsidR="008B2950" w:rsidRPr="005071A1">
              <w:t> </w:t>
            </w:r>
            <w:r w:rsidRPr="005071A1">
              <w:t>52, 1967</w:t>
            </w:r>
          </w:p>
        </w:tc>
      </w:tr>
      <w:tr w:rsidR="009B7AF5" w:rsidRPr="005071A1" w14:paraId="55F42B92" w14:textId="77777777" w:rsidTr="00962E93">
        <w:trPr>
          <w:cantSplit/>
        </w:trPr>
        <w:tc>
          <w:tcPr>
            <w:tcW w:w="2551" w:type="dxa"/>
          </w:tcPr>
          <w:p w14:paraId="1609CB44" w14:textId="77777777" w:rsidR="009B7AF5" w:rsidRPr="005071A1" w:rsidRDefault="009B7AF5" w:rsidP="009B7AF5">
            <w:pPr>
              <w:pStyle w:val="ENoteTableText"/>
            </w:pPr>
          </w:p>
        </w:tc>
        <w:tc>
          <w:tcPr>
            <w:tcW w:w="4551" w:type="dxa"/>
          </w:tcPr>
          <w:p w14:paraId="10C7A43B"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F83D06B" w14:textId="77777777" w:rsidTr="00962E93">
        <w:trPr>
          <w:cantSplit/>
        </w:trPr>
        <w:tc>
          <w:tcPr>
            <w:tcW w:w="2551" w:type="dxa"/>
          </w:tcPr>
          <w:p w14:paraId="13386C77" w14:textId="77777777" w:rsidR="009B7AF5" w:rsidRPr="005071A1" w:rsidRDefault="009B7AF5" w:rsidP="009B7AF5">
            <w:pPr>
              <w:pStyle w:val="ENoteTableText"/>
            </w:pPr>
          </w:p>
        </w:tc>
        <w:tc>
          <w:tcPr>
            <w:tcW w:w="4551" w:type="dxa"/>
          </w:tcPr>
          <w:p w14:paraId="76A5BE56" w14:textId="77777777" w:rsidR="009B7AF5" w:rsidRPr="005071A1" w:rsidRDefault="009B7AF5" w:rsidP="009B7AF5">
            <w:pPr>
              <w:pStyle w:val="ENoteTableText"/>
            </w:pPr>
            <w:r w:rsidRPr="005071A1">
              <w:t>rep. No.</w:t>
            </w:r>
            <w:r w:rsidR="008B2950" w:rsidRPr="005071A1">
              <w:t> </w:t>
            </w:r>
            <w:r w:rsidRPr="005071A1">
              <w:t>40, 1990</w:t>
            </w:r>
          </w:p>
        </w:tc>
      </w:tr>
      <w:tr w:rsidR="009B7AF5" w:rsidRPr="005071A1" w14:paraId="53CDA0FE" w14:textId="77777777" w:rsidTr="00962E93">
        <w:trPr>
          <w:cantSplit/>
        </w:trPr>
        <w:tc>
          <w:tcPr>
            <w:tcW w:w="2551" w:type="dxa"/>
          </w:tcPr>
          <w:p w14:paraId="0EDF775C" w14:textId="77777777" w:rsidR="009B7AF5" w:rsidRPr="005071A1" w:rsidRDefault="002477D1" w:rsidP="002477D1">
            <w:pPr>
              <w:pStyle w:val="ENoteTableText"/>
              <w:tabs>
                <w:tab w:val="center" w:leader="dot" w:pos="2268"/>
              </w:tabs>
            </w:pPr>
            <w:r w:rsidRPr="005071A1">
              <w:t>s.</w:t>
            </w:r>
            <w:r w:rsidR="009B7AF5" w:rsidRPr="005071A1">
              <w:t xml:space="preserve"> 56</w:t>
            </w:r>
            <w:r w:rsidR="009B7AF5" w:rsidRPr="005071A1">
              <w:tab/>
            </w:r>
          </w:p>
        </w:tc>
        <w:tc>
          <w:tcPr>
            <w:tcW w:w="4551" w:type="dxa"/>
          </w:tcPr>
          <w:p w14:paraId="2DF2B9C6"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102, 1959; No.</w:t>
            </w:r>
            <w:r w:rsidR="008B2950" w:rsidRPr="005071A1">
              <w:t> </w:t>
            </w:r>
            <w:r w:rsidRPr="005071A1">
              <w:t>97, 1965</w:t>
            </w:r>
          </w:p>
        </w:tc>
      </w:tr>
      <w:tr w:rsidR="009B7AF5" w:rsidRPr="005071A1" w14:paraId="70EF03B2" w14:textId="77777777" w:rsidTr="00962E93">
        <w:trPr>
          <w:cantSplit/>
        </w:trPr>
        <w:tc>
          <w:tcPr>
            <w:tcW w:w="2551" w:type="dxa"/>
          </w:tcPr>
          <w:p w14:paraId="12A615BB" w14:textId="77777777" w:rsidR="009B7AF5" w:rsidRPr="005071A1" w:rsidRDefault="009B7AF5" w:rsidP="009B7AF5">
            <w:pPr>
              <w:pStyle w:val="ENoteTableText"/>
            </w:pPr>
          </w:p>
        </w:tc>
        <w:tc>
          <w:tcPr>
            <w:tcW w:w="4551" w:type="dxa"/>
          </w:tcPr>
          <w:p w14:paraId="089C582A" w14:textId="77777777" w:rsidR="009B7AF5" w:rsidRPr="005071A1" w:rsidRDefault="009B7AF5" w:rsidP="009B7AF5">
            <w:pPr>
              <w:pStyle w:val="ENoteTableText"/>
            </w:pPr>
            <w:r w:rsidRPr="005071A1">
              <w:t>rs. No.</w:t>
            </w:r>
            <w:r w:rsidR="008B2950" w:rsidRPr="005071A1">
              <w:t> </w:t>
            </w:r>
            <w:r w:rsidRPr="005071A1">
              <w:t>52, 1967</w:t>
            </w:r>
          </w:p>
        </w:tc>
      </w:tr>
      <w:tr w:rsidR="009B7AF5" w:rsidRPr="005071A1" w14:paraId="23240039" w14:textId="77777777" w:rsidTr="00962E93">
        <w:trPr>
          <w:cantSplit/>
        </w:trPr>
        <w:tc>
          <w:tcPr>
            <w:tcW w:w="2551" w:type="dxa"/>
          </w:tcPr>
          <w:p w14:paraId="1C6DA599" w14:textId="77777777" w:rsidR="009B7AF5" w:rsidRPr="005071A1" w:rsidRDefault="009B7AF5" w:rsidP="009B7AF5">
            <w:pPr>
              <w:pStyle w:val="ENoteTableText"/>
            </w:pPr>
          </w:p>
        </w:tc>
        <w:tc>
          <w:tcPr>
            <w:tcW w:w="4551" w:type="dxa"/>
          </w:tcPr>
          <w:p w14:paraId="3576A1A5"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0EF492B3" w14:textId="77777777" w:rsidTr="00962E93">
        <w:trPr>
          <w:cantSplit/>
        </w:trPr>
        <w:tc>
          <w:tcPr>
            <w:tcW w:w="2551" w:type="dxa"/>
          </w:tcPr>
          <w:p w14:paraId="372956E9" w14:textId="77777777" w:rsidR="009B7AF5" w:rsidRPr="005071A1" w:rsidRDefault="002477D1" w:rsidP="002477D1">
            <w:pPr>
              <w:pStyle w:val="ENoteTableText"/>
              <w:tabs>
                <w:tab w:val="center" w:leader="dot" w:pos="2268"/>
              </w:tabs>
            </w:pPr>
            <w:r w:rsidRPr="005071A1">
              <w:t>s.</w:t>
            </w:r>
            <w:r w:rsidR="009B7AF5" w:rsidRPr="005071A1">
              <w:t xml:space="preserve"> 57</w:t>
            </w:r>
            <w:r w:rsidR="009B7AF5" w:rsidRPr="005071A1">
              <w:tab/>
            </w:r>
          </w:p>
        </w:tc>
        <w:tc>
          <w:tcPr>
            <w:tcW w:w="4551" w:type="dxa"/>
          </w:tcPr>
          <w:p w14:paraId="47F7F812"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3EF949A4" w14:textId="77777777" w:rsidTr="00962E93">
        <w:trPr>
          <w:cantSplit/>
        </w:trPr>
        <w:tc>
          <w:tcPr>
            <w:tcW w:w="2551" w:type="dxa"/>
          </w:tcPr>
          <w:p w14:paraId="57AC8D6E" w14:textId="77777777" w:rsidR="009B7AF5" w:rsidRPr="005071A1" w:rsidRDefault="009B7AF5" w:rsidP="009B7AF5">
            <w:pPr>
              <w:pStyle w:val="ENoteTableText"/>
            </w:pPr>
          </w:p>
        </w:tc>
        <w:tc>
          <w:tcPr>
            <w:tcW w:w="4551" w:type="dxa"/>
          </w:tcPr>
          <w:p w14:paraId="11BA9BD7" w14:textId="77777777" w:rsidR="009B7AF5" w:rsidRPr="005071A1" w:rsidRDefault="009B7AF5" w:rsidP="009B7AF5">
            <w:pPr>
              <w:pStyle w:val="ENoteTableText"/>
            </w:pPr>
            <w:r w:rsidRPr="005071A1">
              <w:t>rep. No.</w:t>
            </w:r>
            <w:r w:rsidR="008B2950" w:rsidRPr="005071A1">
              <w:t> </w:t>
            </w:r>
            <w:r w:rsidRPr="005071A1">
              <w:t>52, 1967</w:t>
            </w:r>
          </w:p>
        </w:tc>
      </w:tr>
      <w:tr w:rsidR="009B7AF5" w:rsidRPr="005071A1" w14:paraId="2289C16B" w14:textId="77777777" w:rsidTr="00962E93">
        <w:trPr>
          <w:cantSplit/>
        </w:trPr>
        <w:tc>
          <w:tcPr>
            <w:tcW w:w="2551" w:type="dxa"/>
          </w:tcPr>
          <w:p w14:paraId="7C8AFDCE" w14:textId="77777777" w:rsidR="009B7AF5" w:rsidRPr="005071A1" w:rsidRDefault="002477D1" w:rsidP="002477D1">
            <w:pPr>
              <w:pStyle w:val="ENoteTableText"/>
              <w:tabs>
                <w:tab w:val="center" w:leader="dot" w:pos="2268"/>
              </w:tabs>
            </w:pPr>
            <w:r w:rsidRPr="005071A1">
              <w:t>s.</w:t>
            </w:r>
            <w:r w:rsidR="009B7AF5" w:rsidRPr="005071A1">
              <w:t xml:space="preserve"> 57A</w:t>
            </w:r>
            <w:r w:rsidR="009B7AF5" w:rsidRPr="005071A1">
              <w:tab/>
            </w:r>
          </w:p>
        </w:tc>
        <w:tc>
          <w:tcPr>
            <w:tcW w:w="4551" w:type="dxa"/>
          </w:tcPr>
          <w:p w14:paraId="7B37B0E2" w14:textId="77777777" w:rsidR="009B7AF5" w:rsidRPr="005071A1" w:rsidRDefault="009B7AF5" w:rsidP="009B7AF5">
            <w:pPr>
              <w:pStyle w:val="ENoteTableText"/>
            </w:pPr>
            <w:r w:rsidRPr="005071A1">
              <w:t>ad. No.</w:t>
            </w:r>
            <w:r w:rsidR="008B2950" w:rsidRPr="005071A1">
              <w:t> </w:t>
            </w:r>
            <w:r w:rsidRPr="005071A1">
              <w:t>86, 1966</w:t>
            </w:r>
          </w:p>
        </w:tc>
      </w:tr>
      <w:tr w:rsidR="009B7AF5" w:rsidRPr="005071A1" w14:paraId="1555BA24" w14:textId="77777777" w:rsidTr="00962E93">
        <w:trPr>
          <w:cantSplit/>
        </w:trPr>
        <w:tc>
          <w:tcPr>
            <w:tcW w:w="2551" w:type="dxa"/>
          </w:tcPr>
          <w:p w14:paraId="19CDEE54" w14:textId="77777777" w:rsidR="009B7AF5" w:rsidRPr="005071A1" w:rsidRDefault="009B7AF5" w:rsidP="009B7AF5">
            <w:pPr>
              <w:pStyle w:val="ENoteTableText"/>
            </w:pPr>
          </w:p>
        </w:tc>
        <w:tc>
          <w:tcPr>
            <w:tcW w:w="4551" w:type="dxa"/>
          </w:tcPr>
          <w:p w14:paraId="0C3CD8CC" w14:textId="77777777" w:rsidR="009B7AF5" w:rsidRPr="005071A1" w:rsidRDefault="009B7AF5" w:rsidP="009B7AF5">
            <w:pPr>
              <w:pStyle w:val="ENoteTableText"/>
            </w:pPr>
            <w:r w:rsidRPr="005071A1">
              <w:t>rep. No.</w:t>
            </w:r>
            <w:r w:rsidR="008B2950" w:rsidRPr="005071A1">
              <w:t> </w:t>
            </w:r>
            <w:r w:rsidRPr="005071A1">
              <w:t>52, 1967</w:t>
            </w:r>
          </w:p>
        </w:tc>
      </w:tr>
      <w:tr w:rsidR="009B7AF5" w:rsidRPr="005071A1" w14:paraId="6FE2B633" w14:textId="77777777" w:rsidTr="00962E93">
        <w:trPr>
          <w:cantSplit/>
        </w:trPr>
        <w:tc>
          <w:tcPr>
            <w:tcW w:w="2551" w:type="dxa"/>
          </w:tcPr>
          <w:p w14:paraId="14D2BB1E" w14:textId="77777777" w:rsidR="009B7AF5" w:rsidRPr="005071A1" w:rsidRDefault="002477D1" w:rsidP="002477D1">
            <w:pPr>
              <w:pStyle w:val="ENoteTableText"/>
              <w:tabs>
                <w:tab w:val="center" w:leader="dot" w:pos="2268"/>
              </w:tabs>
            </w:pPr>
            <w:r w:rsidRPr="005071A1">
              <w:t>s.</w:t>
            </w:r>
            <w:r w:rsidR="009B7AF5" w:rsidRPr="005071A1">
              <w:t xml:space="preserve"> 58</w:t>
            </w:r>
            <w:r w:rsidR="009B7AF5" w:rsidRPr="005071A1">
              <w:tab/>
            </w:r>
          </w:p>
        </w:tc>
        <w:tc>
          <w:tcPr>
            <w:tcW w:w="4551" w:type="dxa"/>
          </w:tcPr>
          <w:p w14:paraId="73611EAD" w14:textId="77777777" w:rsidR="009B7AF5" w:rsidRPr="005071A1" w:rsidRDefault="009B7AF5" w:rsidP="009B7AF5">
            <w:pPr>
              <w:pStyle w:val="ENoteTableText"/>
            </w:pPr>
            <w:r w:rsidRPr="005071A1">
              <w:t>am. No.</w:t>
            </w:r>
            <w:r w:rsidR="008B2950" w:rsidRPr="005071A1">
              <w:t> </w:t>
            </w:r>
            <w:r w:rsidRPr="005071A1">
              <w:t>97, 1965; No.</w:t>
            </w:r>
            <w:r w:rsidR="008B2950" w:rsidRPr="005071A1">
              <w:t> </w:t>
            </w:r>
            <w:r w:rsidRPr="005071A1">
              <w:t>86, 1966; No.</w:t>
            </w:r>
            <w:r w:rsidR="008B2950" w:rsidRPr="005071A1">
              <w:t> </w:t>
            </w:r>
            <w:r w:rsidRPr="005071A1">
              <w:t>32, 1976</w:t>
            </w:r>
          </w:p>
        </w:tc>
      </w:tr>
      <w:tr w:rsidR="009B7AF5" w:rsidRPr="005071A1" w14:paraId="30FF9871" w14:textId="77777777" w:rsidTr="00962E93">
        <w:trPr>
          <w:cantSplit/>
        </w:trPr>
        <w:tc>
          <w:tcPr>
            <w:tcW w:w="2551" w:type="dxa"/>
          </w:tcPr>
          <w:p w14:paraId="6774BD55" w14:textId="77777777" w:rsidR="009B7AF5" w:rsidRPr="005071A1" w:rsidRDefault="002477D1" w:rsidP="002477D1">
            <w:pPr>
              <w:pStyle w:val="ENoteTableText"/>
              <w:tabs>
                <w:tab w:val="center" w:leader="dot" w:pos="2268"/>
              </w:tabs>
            </w:pPr>
            <w:r w:rsidRPr="005071A1">
              <w:t>s.</w:t>
            </w:r>
            <w:r w:rsidR="009B7AF5" w:rsidRPr="005071A1">
              <w:t xml:space="preserve"> 59</w:t>
            </w:r>
            <w:r w:rsidR="009B7AF5" w:rsidRPr="005071A1">
              <w:tab/>
            </w:r>
          </w:p>
        </w:tc>
        <w:tc>
          <w:tcPr>
            <w:tcW w:w="4551" w:type="dxa"/>
          </w:tcPr>
          <w:p w14:paraId="04905AFF" w14:textId="77777777" w:rsidR="009B7AF5" w:rsidRPr="005071A1" w:rsidRDefault="009B7AF5" w:rsidP="009B7AF5">
            <w:pPr>
              <w:pStyle w:val="ENoteTableText"/>
            </w:pPr>
            <w:r w:rsidRPr="005071A1">
              <w:t>am. No.</w:t>
            </w:r>
            <w:r w:rsidR="008B2950" w:rsidRPr="005071A1">
              <w:t> </w:t>
            </w:r>
            <w:r w:rsidRPr="005071A1">
              <w:t>97, 1965; No.</w:t>
            </w:r>
            <w:r w:rsidR="008B2950" w:rsidRPr="005071A1">
              <w:t> </w:t>
            </w:r>
            <w:r w:rsidRPr="005071A1">
              <w:t>151, 1986</w:t>
            </w:r>
          </w:p>
        </w:tc>
      </w:tr>
      <w:tr w:rsidR="009B7AF5" w:rsidRPr="005071A1" w14:paraId="636D963B" w14:textId="77777777" w:rsidTr="00962E93">
        <w:trPr>
          <w:cantSplit/>
        </w:trPr>
        <w:tc>
          <w:tcPr>
            <w:tcW w:w="2551" w:type="dxa"/>
          </w:tcPr>
          <w:p w14:paraId="5887FC8B" w14:textId="77777777" w:rsidR="009B7AF5" w:rsidRPr="005071A1" w:rsidRDefault="002477D1" w:rsidP="002477D1">
            <w:pPr>
              <w:pStyle w:val="ENoteTableText"/>
              <w:tabs>
                <w:tab w:val="center" w:leader="dot" w:pos="2268"/>
              </w:tabs>
            </w:pPr>
            <w:r w:rsidRPr="005071A1">
              <w:t>s.</w:t>
            </w:r>
            <w:r w:rsidR="009B7AF5" w:rsidRPr="005071A1">
              <w:t xml:space="preserve"> 60</w:t>
            </w:r>
            <w:r w:rsidR="009B7AF5" w:rsidRPr="005071A1">
              <w:tab/>
            </w:r>
          </w:p>
        </w:tc>
        <w:tc>
          <w:tcPr>
            <w:tcW w:w="4551" w:type="dxa"/>
          </w:tcPr>
          <w:p w14:paraId="73F043FF" w14:textId="77777777" w:rsidR="009B7AF5" w:rsidRPr="005071A1" w:rsidRDefault="009B7AF5" w:rsidP="009B7AF5">
            <w:pPr>
              <w:pStyle w:val="ENoteTableText"/>
            </w:pPr>
            <w:r w:rsidRPr="005071A1">
              <w:t>rs. No.</w:t>
            </w:r>
            <w:r w:rsidR="008B2950" w:rsidRPr="005071A1">
              <w:t> </w:t>
            </w:r>
            <w:r w:rsidRPr="005071A1">
              <w:t>45, 1924</w:t>
            </w:r>
          </w:p>
        </w:tc>
      </w:tr>
      <w:tr w:rsidR="009B7AF5" w:rsidRPr="005071A1" w14:paraId="39FF798D" w14:textId="77777777" w:rsidTr="00962E93">
        <w:trPr>
          <w:cantSplit/>
        </w:trPr>
        <w:tc>
          <w:tcPr>
            <w:tcW w:w="2551" w:type="dxa"/>
          </w:tcPr>
          <w:p w14:paraId="7E29345D" w14:textId="77777777" w:rsidR="009B7AF5" w:rsidRPr="005071A1" w:rsidRDefault="002477D1" w:rsidP="002477D1">
            <w:pPr>
              <w:pStyle w:val="ENoteTableText"/>
              <w:tabs>
                <w:tab w:val="center" w:leader="dot" w:pos="2268"/>
              </w:tabs>
            </w:pPr>
            <w:r w:rsidRPr="005071A1">
              <w:t>s.</w:t>
            </w:r>
            <w:r w:rsidR="009B7AF5" w:rsidRPr="005071A1">
              <w:t xml:space="preserve"> 61</w:t>
            </w:r>
            <w:r w:rsidR="009B7AF5" w:rsidRPr="005071A1">
              <w:tab/>
            </w:r>
          </w:p>
        </w:tc>
        <w:tc>
          <w:tcPr>
            <w:tcW w:w="4551" w:type="dxa"/>
          </w:tcPr>
          <w:p w14:paraId="0DCAD950" w14:textId="77777777" w:rsidR="009B7AF5" w:rsidRPr="005071A1" w:rsidRDefault="009B7AF5" w:rsidP="009B7AF5">
            <w:pPr>
              <w:pStyle w:val="ENoteTableText"/>
            </w:pPr>
            <w:r w:rsidRPr="005071A1">
              <w:t>rs. No.</w:t>
            </w:r>
            <w:r w:rsidR="008B2950" w:rsidRPr="005071A1">
              <w:t> </w:t>
            </w:r>
            <w:r w:rsidRPr="005071A1">
              <w:t>102, 1959</w:t>
            </w:r>
          </w:p>
        </w:tc>
      </w:tr>
      <w:tr w:rsidR="009B7AF5" w:rsidRPr="005071A1" w14:paraId="118A86DB" w14:textId="77777777" w:rsidTr="00962E93">
        <w:trPr>
          <w:cantSplit/>
        </w:trPr>
        <w:tc>
          <w:tcPr>
            <w:tcW w:w="2551" w:type="dxa"/>
          </w:tcPr>
          <w:p w14:paraId="18E6E580" w14:textId="77777777" w:rsidR="009B7AF5" w:rsidRPr="005071A1" w:rsidRDefault="009B7AF5" w:rsidP="009B7AF5">
            <w:pPr>
              <w:pStyle w:val="ENoteTableText"/>
            </w:pPr>
          </w:p>
        </w:tc>
        <w:tc>
          <w:tcPr>
            <w:tcW w:w="4551" w:type="dxa"/>
          </w:tcPr>
          <w:p w14:paraId="6CFF19B8"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32, 1976; No.</w:t>
            </w:r>
            <w:r w:rsidR="008B2950" w:rsidRPr="005071A1">
              <w:t> </w:t>
            </w:r>
            <w:r w:rsidRPr="005071A1">
              <w:t>17, 1978; No.</w:t>
            </w:r>
            <w:r w:rsidR="008B2950" w:rsidRPr="005071A1">
              <w:t> </w:t>
            </w:r>
            <w:r w:rsidRPr="005071A1">
              <w:t>58, 2004</w:t>
            </w:r>
          </w:p>
        </w:tc>
      </w:tr>
      <w:tr w:rsidR="009B7AF5" w:rsidRPr="005071A1" w14:paraId="5E011A02" w14:textId="77777777" w:rsidTr="00962E93">
        <w:trPr>
          <w:cantSplit/>
        </w:trPr>
        <w:tc>
          <w:tcPr>
            <w:tcW w:w="2551" w:type="dxa"/>
          </w:tcPr>
          <w:p w14:paraId="0A643F53" w14:textId="77777777" w:rsidR="009B7AF5" w:rsidRPr="005071A1" w:rsidRDefault="002477D1" w:rsidP="002477D1">
            <w:pPr>
              <w:pStyle w:val="ENoteTableText"/>
              <w:tabs>
                <w:tab w:val="center" w:leader="dot" w:pos="2268"/>
              </w:tabs>
            </w:pPr>
            <w:r w:rsidRPr="005071A1">
              <w:t>s.</w:t>
            </w:r>
            <w:r w:rsidR="009B7AF5" w:rsidRPr="005071A1">
              <w:t xml:space="preserve"> 62</w:t>
            </w:r>
            <w:r w:rsidR="009B7AF5" w:rsidRPr="005071A1">
              <w:tab/>
            </w:r>
          </w:p>
        </w:tc>
        <w:tc>
          <w:tcPr>
            <w:tcW w:w="4551" w:type="dxa"/>
          </w:tcPr>
          <w:p w14:paraId="42DE1CBB" w14:textId="77777777" w:rsidR="009B7AF5" w:rsidRPr="005071A1" w:rsidRDefault="009B7AF5" w:rsidP="009B7AF5">
            <w:pPr>
              <w:pStyle w:val="ENoteTableText"/>
            </w:pPr>
            <w:r w:rsidRPr="005071A1">
              <w:t>ad. No.</w:t>
            </w:r>
            <w:r w:rsidR="008B2950" w:rsidRPr="005071A1">
              <w:t> </w:t>
            </w:r>
            <w:r w:rsidRPr="005071A1">
              <w:t>22, 1930</w:t>
            </w:r>
          </w:p>
        </w:tc>
      </w:tr>
      <w:tr w:rsidR="009B7AF5" w:rsidRPr="005071A1" w14:paraId="6C3AAD11" w14:textId="77777777" w:rsidTr="00962E93">
        <w:trPr>
          <w:cantSplit/>
        </w:trPr>
        <w:tc>
          <w:tcPr>
            <w:tcW w:w="2551" w:type="dxa"/>
          </w:tcPr>
          <w:p w14:paraId="6B4FA407" w14:textId="77777777" w:rsidR="009B7AF5" w:rsidRPr="005071A1" w:rsidRDefault="009B7AF5" w:rsidP="009B7AF5">
            <w:pPr>
              <w:pStyle w:val="ENoteTableText"/>
            </w:pPr>
          </w:p>
        </w:tc>
        <w:tc>
          <w:tcPr>
            <w:tcW w:w="4551" w:type="dxa"/>
          </w:tcPr>
          <w:p w14:paraId="6954908F"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40, 1990</w:t>
            </w:r>
          </w:p>
        </w:tc>
      </w:tr>
      <w:tr w:rsidR="009B7AF5" w:rsidRPr="005071A1" w14:paraId="7614BBDF" w14:textId="77777777" w:rsidTr="00962E93">
        <w:trPr>
          <w:cantSplit/>
        </w:trPr>
        <w:tc>
          <w:tcPr>
            <w:tcW w:w="2551" w:type="dxa"/>
          </w:tcPr>
          <w:p w14:paraId="220E4D54" w14:textId="77777777" w:rsidR="009B7AF5" w:rsidRPr="005071A1" w:rsidRDefault="002477D1" w:rsidP="002477D1">
            <w:pPr>
              <w:pStyle w:val="ENoteTableText"/>
              <w:tabs>
                <w:tab w:val="center" w:leader="dot" w:pos="2268"/>
              </w:tabs>
            </w:pPr>
            <w:r w:rsidRPr="005071A1">
              <w:t>s.</w:t>
            </w:r>
            <w:r w:rsidR="009B7AF5" w:rsidRPr="005071A1">
              <w:t xml:space="preserve"> 63</w:t>
            </w:r>
            <w:r w:rsidR="009B7AF5" w:rsidRPr="005071A1">
              <w:tab/>
            </w:r>
          </w:p>
        </w:tc>
        <w:tc>
          <w:tcPr>
            <w:tcW w:w="4551" w:type="dxa"/>
          </w:tcPr>
          <w:p w14:paraId="19B95594" w14:textId="77777777" w:rsidR="009B7AF5" w:rsidRPr="005071A1" w:rsidRDefault="009B7AF5" w:rsidP="009B7AF5">
            <w:pPr>
              <w:pStyle w:val="ENoteTableText"/>
            </w:pPr>
            <w:r w:rsidRPr="005071A1">
              <w:t>ad. No.</w:t>
            </w:r>
            <w:r w:rsidR="008B2950" w:rsidRPr="005071A1">
              <w:t> </w:t>
            </w:r>
            <w:r w:rsidRPr="005071A1">
              <w:t>53, 1942</w:t>
            </w:r>
          </w:p>
        </w:tc>
      </w:tr>
      <w:tr w:rsidR="009B7AF5" w:rsidRPr="005071A1" w14:paraId="451BB572" w14:textId="77777777" w:rsidTr="00962E93">
        <w:trPr>
          <w:cantSplit/>
        </w:trPr>
        <w:tc>
          <w:tcPr>
            <w:tcW w:w="2551" w:type="dxa"/>
          </w:tcPr>
          <w:p w14:paraId="14784131" w14:textId="77777777" w:rsidR="009B7AF5" w:rsidRPr="005071A1" w:rsidRDefault="009B7AF5" w:rsidP="009B7AF5">
            <w:pPr>
              <w:pStyle w:val="ENoteTableText"/>
            </w:pPr>
          </w:p>
        </w:tc>
        <w:tc>
          <w:tcPr>
            <w:tcW w:w="4551" w:type="dxa"/>
          </w:tcPr>
          <w:p w14:paraId="6469ACEC" w14:textId="77777777" w:rsidR="009B7AF5" w:rsidRPr="005071A1" w:rsidRDefault="009B7AF5" w:rsidP="009B7AF5">
            <w:pPr>
              <w:pStyle w:val="ENoteTableText"/>
            </w:pPr>
            <w:r w:rsidRPr="005071A1">
              <w:t>rs. No.</w:t>
            </w:r>
            <w:r w:rsidR="008B2950" w:rsidRPr="005071A1">
              <w:t> </w:t>
            </w:r>
            <w:r w:rsidRPr="005071A1">
              <w:t>102, 1959</w:t>
            </w:r>
          </w:p>
        </w:tc>
      </w:tr>
      <w:tr w:rsidR="009B7AF5" w:rsidRPr="005071A1" w14:paraId="0C9F6A8B" w14:textId="77777777" w:rsidTr="00962E93">
        <w:trPr>
          <w:cantSplit/>
        </w:trPr>
        <w:tc>
          <w:tcPr>
            <w:tcW w:w="2551" w:type="dxa"/>
          </w:tcPr>
          <w:p w14:paraId="530CBCD7" w14:textId="77777777" w:rsidR="009B7AF5" w:rsidRPr="005071A1" w:rsidRDefault="009B7AF5" w:rsidP="009B7AF5">
            <w:pPr>
              <w:pStyle w:val="ENoteTableText"/>
            </w:pPr>
          </w:p>
        </w:tc>
        <w:tc>
          <w:tcPr>
            <w:tcW w:w="4551" w:type="dxa"/>
          </w:tcPr>
          <w:p w14:paraId="2AB5698F" w14:textId="77777777" w:rsidR="009B7AF5" w:rsidRPr="005071A1" w:rsidRDefault="009B7AF5" w:rsidP="009B7AF5">
            <w:pPr>
              <w:pStyle w:val="ENoteTableText"/>
            </w:pPr>
            <w:r w:rsidRPr="005071A1">
              <w:t>rep. No.</w:t>
            </w:r>
            <w:r w:rsidR="008B2950" w:rsidRPr="005071A1">
              <w:t> </w:t>
            </w:r>
            <w:r w:rsidRPr="005071A1">
              <w:t>97, 1965</w:t>
            </w:r>
          </w:p>
        </w:tc>
      </w:tr>
      <w:tr w:rsidR="009B7AF5" w:rsidRPr="005071A1" w14:paraId="61D4C576" w14:textId="77777777" w:rsidTr="00962E93">
        <w:trPr>
          <w:cantSplit/>
        </w:trPr>
        <w:tc>
          <w:tcPr>
            <w:tcW w:w="2551" w:type="dxa"/>
          </w:tcPr>
          <w:p w14:paraId="5AC716EF" w14:textId="77777777" w:rsidR="009B7AF5" w:rsidRPr="005071A1" w:rsidRDefault="009B7AF5" w:rsidP="0086505B">
            <w:pPr>
              <w:pStyle w:val="ENoteTableText"/>
              <w:tabs>
                <w:tab w:val="center" w:leader="dot" w:pos="2268"/>
              </w:tabs>
            </w:pPr>
            <w:r w:rsidRPr="005071A1">
              <w:t>Div. 3 of Part IV</w:t>
            </w:r>
            <w:r w:rsidRPr="005071A1">
              <w:tab/>
            </w:r>
          </w:p>
        </w:tc>
        <w:tc>
          <w:tcPr>
            <w:tcW w:w="4551" w:type="dxa"/>
          </w:tcPr>
          <w:p w14:paraId="22C7B0C2"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004C4358" w14:textId="77777777" w:rsidTr="00962E93">
        <w:trPr>
          <w:cantSplit/>
        </w:trPr>
        <w:tc>
          <w:tcPr>
            <w:tcW w:w="2551" w:type="dxa"/>
          </w:tcPr>
          <w:p w14:paraId="3AA8288B" w14:textId="77777777" w:rsidR="009B7AF5" w:rsidRPr="005071A1" w:rsidRDefault="002477D1" w:rsidP="002477D1">
            <w:pPr>
              <w:pStyle w:val="ENoteTableText"/>
              <w:tabs>
                <w:tab w:val="center" w:leader="dot" w:pos="2268"/>
              </w:tabs>
            </w:pPr>
            <w:r w:rsidRPr="005071A1">
              <w:t>s.</w:t>
            </w:r>
            <w:r w:rsidR="009B7AF5" w:rsidRPr="005071A1">
              <w:t xml:space="preserve"> 64</w:t>
            </w:r>
            <w:r w:rsidR="009B7AF5" w:rsidRPr="005071A1">
              <w:tab/>
            </w:r>
          </w:p>
        </w:tc>
        <w:tc>
          <w:tcPr>
            <w:tcW w:w="4551" w:type="dxa"/>
          </w:tcPr>
          <w:p w14:paraId="60282CD1" w14:textId="77777777" w:rsidR="009B7AF5" w:rsidRPr="005071A1" w:rsidRDefault="009B7AF5" w:rsidP="009B7AF5">
            <w:pPr>
              <w:pStyle w:val="ENoteTableText"/>
            </w:pPr>
            <w:r w:rsidRPr="005071A1">
              <w:t>am. No.</w:t>
            </w:r>
            <w:r w:rsidR="008B2950" w:rsidRPr="005071A1">
              <w:t> </w:t>
            </w:r>
            <w:r w:rsidRPr="005071A1">
              <w:t>53, 1942; No.</w:t>
            </w:r>
            <w:r w:rsidR="008B2950" w:rsidRPr="005071A1">
              <w:t> </w:t>
            </w:r>
            <w:r w:rsidRPr="005071A1">
              <w:t>112, 1956; No.</w:t>
            </w:r>
            <w:r w:rsidR="008B2950" w:rsidRPr="005071A1">
              <w:t> </w:t>
            </w:r>
            <w:r w:rsidRPr="005071A1">
              <w:t>102, 1959; No.</w:t>
            </w:r>
            <w:r w:rsidR="008B2950" w:rsidRPr="005071A1">
              <w:t> </w:t>
            </w:r>
            <w:r w:rsidRPr="005071A1">
              <w:t>102, 1963</w:t>
            </w:r>
          </w:p>
        </w:tc>
      </w:tr>
      <w:tr w:rsidR="009B7AF5" w:rsidRPr="005071A1" w14:paraId="0AFA7B6D" w14:textId="77777777" w:rsidTr="00962E93">
        <w:trPr>
          <w:cantSplit/>
        </w:trPr>
        <w:tc>
          <w:tcPr>
            <w:tcW w:w="2551" w:type="dxa"/>
          </w:tcPr>
          <w:p w14:paraId="08C02C49" w14:textId="77777777" w:rsidR="009B7AF5" w:rsidRPr="005071A1" w:rsidRDefault="009B7AF5" w:rsidP="009B7AF5">
            <w:pPr>
              <w:pStyle w:val="ENoteTableText"/>
            </w:pPr>
          </w:p>
        </w:tc>
        <w:tc>
          <w:tcPr>
            <w:tcW w:w="4551" w:type="dxa"/>
          </w:tcPr>
          <w:p w14:paraId="4F6FB188"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59B2986C" w14:textId="77777777" w:rsidTr="00962E93">
        <w:trPr>
          <w:cantSplit/>
        </w:trPr>
        <w:tc>
          <w:tcPr>
            <w:tcW w:w="2551" w:type="dxa"/>
          </w:tcPr>
          <w:p w14:paraId="465DC4A9" w14:textId="77777777" w:rsidR="009B7AF5" w:rsidRPr="005071A1" w:rsidRDefault="009B7AF5" w:rsidP="009B7AF5">
            <w:pPr>
              <w:pStyle w:val="ENoteTableText"/>
            </w:pPr>
          </w:p>
        </w:tc>
        <w:tc>
          <w:tcPr>
            <w:tcW w:w="4551" w:type="dxa"/>
          </w:tcPr>
          <w:p w14:paraId="164E6CDA"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48533AE0" w14:textId="77777777" w:rsidTr="00962E93">
        <w:trPr>
          <w:cantSplit/>
        </w:trPr>
        <w:tc>
          <w:tcPr>
            <w:tcW w:w="2551" w:type="dxa"/>
          </w:tcPr>
          <w:p w14:paraId="338E4E09" w14:textId="77777777" w:rsidR="009B7AF5" w:rsidRPr="005071A1" w:rsidRDefault="002477D1" w:rsidP="002477D1">
            <w:pPr>
              <w:pStyle w:val="ENoteTableText"/>
              <w:tabs>
                <w:tab w:val="center" w:leader="dot" w:pos="2268"/>
              </w:tabs>
            </w:pPr>
            <w:r w:rsidRPr="005071A1">
              <w:t>s.</w:t>
            </w:r>
            <w:r w:rsidR="009B7AF5" w:rsidRPr="005071A1">
              <w:t xml:space="preserve"> 64A</w:t>
            </w:r>
            <w:r w:rsidR="009B7AF5" w:rsidRPr="005071A1">
              <w:tab/>
            </w:r>
          </w:p>
        </w:tc>
        <w:tc>
          <w:tcPr>
            <w:tcW w:w="4551" w:type="dxa"/>
          </w:tcPr>
          <w:p w14:paraId="75549133" w14:textId="77777777" w:rsidR="009B7AF5" w:rsidRPr="005071A1" w:rsidRDefault="009B7AF5" w:rsidP="009B7AF5">
            <w:pPr>
              <w:pStyle w:val="ENoteTableText"/>
            </w:pPr>
            <w:r w:rsidRPr="005071A1">
              <w:t>ad. No.</w:t>
            </w:r>
            <w:r w:rsidR="008B2950" w:rsidRPr="005071A1">
              <w:t> </w:t>
            </w:r>
            <w:r w:rsidRPr="005071A1">
              <w:t>102, 1963</w:t>
            </w:r>
          </w:p>
        </w:tc>
      </w:tr>
      <w:tr w:rsidR="009B7AF5" w:rsidRPr="005071A1" w14:paraId="676A3230" w14:textId="77777777" w:rsidTr="00962E93">
        <w:trPr>
          <w:cantSplit/>
        </w:trPr>
        <w:tc>
          <w:tcPr>
            <w:tcW w:w="2551" w:type="dxa"/>
          </w:tcPr>
          <w:p w14:paraId="3C068C33" w14:textId="77777777" w:rsidR="009B7AF5" w:rsidRPr="005071A1" w:rsidRDefault="009B7AF5" w:rsidP="009B7AF5">
            <w:pPr>
              <w:pStyle w:val="ENoteTableText"/>
            </w:pPr>
          </w:p>
        </w:tc>
        <w:tc>
          <w:tcPr>
            <w:tcW w:w="4551" w:type="dxa"/>
          </w:tcPr>
          <w:p w14:paraId="623D5EC9" w14:textId="77777777" w:rsidR="009B7AF5" w:rsidRPr="005071A1" w:rsidRDefault="009B7AF5" w:rsidP="009B7AF5">
            <w:pPr>
              <w:pStyle w:val="ENoteTableText"/>
            </w:pPr>
            <w:r w:rsidRPr="005071A1">
              <w:t>am. No.</w:t>
            </w:r>
            <w:r w:rsidR="008B2950" w:rsidRPr="005071A1">
              <w:t> </w:t>
            </w:r>
            <w:r w:rsidRPr="005071A1">
              <w:t>97, 1965; No.</w:t>
            </w:r>
            <w:r w:rsidR="008B2950" w:rsidRPr="005071A1">
              <w:t> </w:t>
            </w:r>
            <w:r w:rsidRPr="005071A1">
              <w:t>46, 1971</w:t>
            </w:r>
          </w:p>
        </w:tc>
      </w:tr>
      <w:tr w:rsidR="009B7AF5" w:rsidRPr="005071A1" w14:paraId="55988A49" w14:textId="77777777" w:rsidTr="00962E93">
        <w:trPr>
          <w:cantSplit/>
        </w:trPr>
        <w:tc>
          <w:tcPr>
            <w:tcW w:w="2551" w:type="dxa"/>
          </w:tcPr>
          <w:p w14:paraId="70144E3A" w14:textId="77777777" w:rsidR="009B7AF5" w:rsidRPr="005071A1" w:rsidRDefault="009B7AF5" w:rsidP="009B7AF5">
            <w:pPr>
              <w:pStyle w:val="ENoteTableText"/>
            </w:pPr>
          </w:p>
        </w:tc>
        <w:tc>
          <w:tcPr>
            <w:tcW w:w="4551" w:type="dxa"/>
          </w:tcPr>
          <w:p w14:paraId="5609EB66"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64C4C3C8" w14:textId="77777777" w:rsidTr="00962E93">
        <w:trPr>
          <w:cantSplit/>
        </w:trPr>
        <w:tc>
          <w:tcPr>
            <w:tcW w:w="2551" w:type="dxa"/>
          </w:tcPr>
          <w:p w14:paraId="57FDF161" w14:textId="77777777" w:rsidR="009B7AF5" w:rsidRPr="005071A1" w:rsidRDefault="002477D1" w:rsidP="002477D1">
            <w:pPr>
              <w:pStyle w:val="ENoteTableText"/>
              <w:tabs>
                <w:tab w:val="center" w:leader="dot" w:pos="2268"/>
              </w:tabs>
            </w:pPr>
            <w:r w:rsidRPr="005071A1">
              <w:t>s.</w:t>
            </w:r>
            <w:r w:rsidR="009B7AF5" w:rsidRPr="005071A1">
              <w:t xml:space="preserve"> 65</w:t>
            </w:r>
            <w:r w:rsidR="009B7AF5" w:rsidRPr="005071A1">
              <w:tab/>
            </w:r>
          </w:p>
        </w:tc>
        <w:tc>
          <w:tcPr>
            <w:tcW w:w="4551" w:type="dxa"/>
          </w:tcPr>
          <w:p w14:paraId="4421EE6E"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53, 1942; No.</w:t>
            </w:r>
            <w:r w:rsidR="008B2950" w:rsidRPr="005071A1">
              <w:t> </w:t>
            </w:r>
            <w:r w:rsidRPr="005071A1">
              <w:t>15, 1945; No.</w:t>
            </w:r>
            <w:r w:rsidR="008B2950" w:rsidRPr="005071A1">
              <w:t> </w:t>
            </w:r>
            <w:r w:rsidRPr="005071A1">
              <w:t>112, 1956; No.</w:t>
            </w:r>
            <w:r w:rsidR="008B2950" w:rsidRPr="005071A1">
              <w:t> </w:t>
            </w:r>
            <w:r w:rsidRPr="005071A1">
              <w:t>102, 1959; No.</w:t>
            </w:r>
            <w:r w:rsidR="008B2950" w:rsidRPr="005071A1">
              <w:t> </w:t>
            </w:r>
            <w:r w:rsidRPr="005071A1">
              <w:t>102, 1963</w:t>
            </w:r>
          </w:p>
        </w:tc>
      </w:tr>
      <w:tr w:rsidR="009B7AF5" w:rsidRPr="005071A1" w14:paraId="424ED90F" w14:textId="77777777" w:rsidTr="00962E93">
        <w:trPr>
          <w:cantSplit/>
        </w:trPr>
        <w:tc>
          <w:tcPr>
            <w:tcW w:w="2551" w:type="dxa"/>
          </w:tcPr>
          <w:p w14:paraId="6B97B6FB" w14:textId="77777777" w:rsidR="009B7AF5" w:rsidRPr="005071A1" w:rsidRDefault="009B7AF5" w:rsidP="009B7AF5">
            <w:pPr>
              <w:pStyle w:val="ENoteTableText"/>
            </w:pPr>
          </w:p>
        </w:tc>
        <w:tc>
          <w:tcPr>
            <w:tcW w:w="4551" w:type="dxa"/>
          </w:tcPr>
          <w:p w14:paraId="3653A788"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3B0ECF25" w14:textId="77777777" w:rsidTr="00962E93">
        <w:trPr>
          <w:cantSplit/>
        </w:trPr>
        <w:tc>
          <w:tcPr>
            <w:tcW w:w="2551" w:type="dxa"/>
          </w:tcPr>
          <w:p w14:paraId="65E9E751" w14:textId="77777777" w:rsidR="009B7AF5" w:rsidRPr="005071A1" w:rsidRDefault="009B7AF5" w:rsidP="009B7AF5">
            <w:pPr>
              <w:pStyle w:val="ENoteTableText"/>
            </w:pPr>
          </w:p>
        </w:tc>
        <w:tc>
          <w:tcPr>
            <w:tcW w:w="4551" w:type="dxa"/>
          </w:tcPr>
          <w:p w14:paraId="595C0A95"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75119936" w14:textId="77777777" w:rsidTr="00962E93">
        <w:trPr>
          <w:cantSplit/>
        </w:trPr>
        <w:tc>
          <w:tcPr>
            <w:tcW w:w="2551" w:type="dxa"/>
          </w:tcPr>
          <w:p w14:paraId="422D9030" w14:textId="77777777" w:rsidR="009B7AF5" w:rsidRPr="005071A1" w:rsidRDefault="009B7AF5" w:rsidP="002477D1">
            <w:pPr>
              <w:pStyle w:val="ENoteTableText"/>
              <w:tabs>
                <w:tab w:val="center" w:leader="dot" w:pos="2268"/>
              </w:tabs>
            </w:pPr>
            <w:r w:rsidRPr="005071A1">
              <w:t>Heading to Div. 4 of Part IV</w:t>
            </w:r>
            <w:r w:rsidRPr="005071A1">
              <w:tab/>
            </w:r>
          </w:p>
        </w:tc>
        <w:tc>
          <w:tcPr>
            <w:tcW w:w="4551" w:type="dxa"/>
          </w:tcPr>
          <w:p w14:paraId="690161CB"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5B3295C4" w14:textId="77777777" w:rsidTr="00962E93">
        <w:trPr>
          <w:cantSplit/>
        </w:trPr>
        <w:tc>
          <w:tcPr>
            <w:tcW w:w="2551" w:type="dxa"/>
          </w:tcPr>
          <w:p w14:paraId="3F2F9F1C" w14:textId="77777777" w:rsidR="009B7AF5" w:rsidRPr="005071A1" w:rsidRDefault="009B7AF5" w:rsidP="009B7AF5">
            <w:pPr>
              <w:pStyle w:val="ENoteTableText"/>
            </w:pPr>
          </w:p>
        </w:tc>
        <w:tc>
          <w:tcPr>
            <w:tcW w:w="4551" w:type="dxa"/>
          </w:tcPr>
          <w:p w14:paraId="20F7BDA1" w14:textId="77777777" w:rsidR="009B7AF5" w:rsidRPr="005071A1" w:rsidRDefault="009B7AF5" w:rsidP="009B7AF5">
            <w:pPr>
              <w:pStyle w:val="ENoteTableText"/>
            </w:pPr>
            <w:r w:rsidRPr="005071A1">
              <w:t>rep. No.</w:t>
            </w:r>
            <w:r w:rsidR="008B2950" w:rsidRPr="005071A1">
              <w:t> </w:t>
            </w:r>
            <w:r w:rsidRPr="005071A1">
              <w:t>97, 1965</w:t>
            </w:r>
          </w:p>
        </w:tc>
      </w:tr>
      <w:tr w:rsidR="009B7AF5" w:rsidRPr="005071A1" w14:paraId="670B578A" w14:textId="77777777" w:rsidTr="00962E93">
        <w:trPr>
          <w:cantSplit/>
        </w:trPr>
        <w:tc>
          <w:tcPr>
            <w:tcW w:w="2551" w:type="dxa"/>
          </w:tcPr>
          <w:p w14:paraId="3EA85699" w14:textId="77777777" w:rsidR="009B7AF5" w:rsidRPr="005071A1" w:rsidRDefault="009B7AF5" w:rsidP="0086505B">
            <w:pPr>
              <w:pStyle w:val="ENoteTableText"/>
              <w:tabs>
                <w:tab w:val="center" w:leader="dot" w:pos="2268"/>
              </w:tabs>
            </w:pPr>
            <w:r w:rsidRPr="005071A1">
              <w:t>Div. 4 of Part IV</w:t>
            </w:r>
            <w:r w:rsidRPr="005071A1">
              <w:tab/>
            </w:r>
          </w:p>
        </w:tc>
        <w:tc>
          <w:tcPr>
            <w:tcW w:w="4551" w:type="dxa"/>
          </w:tcPr>
          <w:p w14:paraId="5B0EEF9E" w14:textId="77777777" w:rsidR="009B7AF5" w:rsidRPr="005071A1" w:rsidRDefault="009B7AF5" w:rsidP="009B7AF5">
            <w:pPr>
              <w:pStyle w:val="ENoteTableText"/>
            </w:pPr>
            <w:r w:rsidRPr="005071A1">
              <w:t>rep. No.</w:t>
            </w:r>
            <w:r w:rsidR="008B2950" w:rsidRPr="005071A1">
              <w:t> </w:t>
            </w:r>
            <w:r w:rsidRPr="005071A1">
              <w:t>97, 1965</w:t>
            </w:r>
          </w:p>
        </w:tc>
      </w:tr>
      <w:tr w:rsidR="009B7AF5" w:rsidRPr="005071A1" w14:paraId="7D715F7D" w14:textId="77777777" w:rsidTr="00962E93">
        <w:trPr>
          <w:cantSplit/>
        </w:trPr>
        <w:tc>
          <w:tcPr>
            <w:tcW w:w="2551" w:type="dxa"/>
          </w:tcPr>
          <w:p w14:paraId="392A2C7D" w14:textId="77777777" w:rsidR="009B7AF5" w:rsidRPr="005071A1" w:rsidRDefault="009B7AF5" w:rsidP="009B7AF5">
            <w:pPr>
              <w:pStyle w:val="ENoteTableText"/>
            </w:pPr>
            <w:r w:rsidRPr="005071A1">
              <w:rPr>
                <w:b/>
              </w:rPr>
              <w:t>Division</w:t>
            </w:r>
            <w:r w:rsidR="008B2950" w:rsidRPr="005071A1">
              <w:rPr>
                <w:b/>
              </w:rPr>
              <w:t> </w:t>
            </w:r>
            <w:r w:rsidRPr="005071A1">
              <w:rPr>
                <w:b/>
              </w:rPr>
              <w:t>5</w:t>
            </w:r>
          </w:p>
        </w:tc>
        <w:tc>
          <w:tcPr>
            <w:tcW w:w="4551" w:type="dxa"/>
          </w:tcPr>
          <w:p w14:paraId="21F98BB5" w14:textId="77777777" w:rsidR="009B7AF5" w:rsidRPr="005071A1" w:rsidRDefault="009B7AF5" w:rsidP="009B7AF5">
            <w:pPr>
              <w:pStyle w:val="ENoteTableText"/>
            </w:pPr>
          </w:p>
        </w:tc>
      </w:tr>
      <w:tr w:rsidR="009B7AF5" w:rsidRPr="005071A1" w14:paraId="24094284" w14:textId="77777777" w:rsidTr="00962E93">
        <w:trPr>
          <w:cantSplit/>
        </w:trPr>
        <w:tc>
          <w:tcPr>
            <w:tcW w:w="2551" w:type="dxa"/>
          </w:tcPr>
          <w:p w14:paraId="01693C38" w14:textId="77777777" w:rsidR="009B7AF5" w:rsidRPr="005071A1" w:rsidRDefault="002477D1" w:rsidP="002477D1">
            <w:pPr>
              <w:pStyle w:val="ENoteTableText"/>
              <w:tabs>
                <w:tab w:val="center" w:leader="dot" w:pos="2268"/>
              </w:tabs>
            </w:pPr>
            <w:r w:rsidRPr="005071A1">
              <w:t>s.</w:t>
            </w:r>
            <w:r w:rsidR="009B7AF5" w:rsidRPr="005071A1">
              <w:t xml:space="preserve"> 66</w:t>
            </w:r>
            <w:r w:rsidR="009B7AF5" w:rsidRPr="005071A1">
              <w:tab/>
            </w:r>
          </w:p>
        </w:tc>
        <w:tc>
          <w:tcPr>
            <w:tcW w:w="4551" w:type="dxa"/>
          </w:tcPr>
          <w:p w14:paraId="3D37E2EC" w14:textId="77777777" w:rsidR="009B7AF5" w:rsidRPr="005071A1" w:rsidRDefault="009B7AF5" w:rsidP="009B7AF5">
            <w:pPr>
              <w:pStyle w:val="ENoteTableText"/>
            </w:pPr>
            <w:r w:rsidRPr="005071A1">
              <w:t>ad. No.</w:t>
            </w:r>
            <w:r w:rsidR="008B2950" w:rsidRPr="005071A1">
              <w:t> </w:t>
            </w:r>
            <w:r w:rsidRPr="005071A1">
              <w:t>22, 1930</w:t>
            </w:r>
          </w:p>
        </w:tc>
      </w:tr>
      <w:tr w:rsidR="009B7AF5" w:rsidRPr="005071A1" w14:paraId="4369FBFD" w14:textId="77777777" w:rsidTr="00962E93">
        <w:trPr>
          <w:cantSplit/>
        </w:trPr>
        <w:tc>
          <w:tcPr>
            <w:tcW w:w="2551" w:type="dxa"/>
          </w:tcPr>
          <w:p w14:paraId="12498B89" w14:textId="77777777" w:rsidR="009B7AF5" w:rsidRPr="005071A1" w:rsidRDefault="009B7AF5" w:rsidP="009B7AF5">
            <w:pPr>
              <w:pStyle w:val="ENoteTableText"/>
            </w:pPr>
          </w:p>
        </w:tc>
        <w:tc>
          <w:tcPr>
            <w:tcW w:w="4551" w:type="dxa"/>
          </w:tcPr>
          <w:p w14:paraId="2A7AC87C" w14:textId="77777777" w:rsidR="009B7AF5" w:rsidRPr="005071A1" w:rsidRDefault="009B7AF5" w:rsidP="009B7AF5">
            <w:pPr>
              <w:pStyle w:val="ENoteTableText"/>
            </w:pPr>
            <w:r w:rsidRPr="005071A1">
              <w:t>rs. No.</w:t>
            </w:r>
            <w:r w:rsidR="008B2950" w:rsidRPr="005071A1">
              <w:t> </w:t>
            </w:r>
            <w:r w:rsidRPr="005071A1">
              <w:t>53, 1942</w:t>
            </w:r>
          </w:p>
        </w:tc>
      </w:tr>
      <w:tr w:rsidR="009B7AF5" w:rsidRPr="005071A1" w14:paraId="6A358D3D" w14:textId="77777777" w:rsidTr="00962E93">
        <w:trPr>
          <w:cantSplit/>
        </w:trPr>
        <w:tc>
          <w:tcPr>
            <w:tcW w:w="2551" w:type="dxa"/>
          </w:tcPr>
          <w:p w14:paraId="53F4E290" w14:textId="77777777" w:rsidR="009B7AF5" w:rsidRPr="005071A1" w:rsidRDefault="009B7AF5" w:rsidP="009B7AF5">
            <w:pPr>
              <w:pStyle w:val="ENoteTableText"/>
            </w:pPr>
          </w:p>
        </w:tc>
        <w:tc>
          <w:tcPr>
            <w:tcW w:w="4551" w:type="dxa"/>
          </w:tcPr>
          <w:p w14:paraId="74A49D5A" w14:textId="77777777" w:rsidR="009B7AF5" w:rsidRPr="005071A1" w:rsidRDefault="009B7AF5" w:rsidP="009B7AF5">
            <w:pPr>
              <w:pStyle w:val="ENoteTableText"/>
            </w:pPr>
            <w:r w:rsidRPr="005071A1">
              <w:t>am. No.</w:t>
            </w:r>
            <w:r w:rsidR="008B2950" w:rsidRPr="005071A1">
              <w:t> </w:t>
            </w:r>
            <w:r w:rsidRPr="005071A1">
              <w:t>49, 1951; No.</w:t>
            </w:r>
            <w:r w:rsidR="008B2950" w:rsidRPr="005071A1">
              <w:t> </w:t>
            </w:r>
            <w:r w:rsidRPr="005071A1">
              <w:t>11, 1954; No.</w:t>
            </w:r>
            <w:r w:rsidR="008B2950" w:rsidRPr="005071A1">
              <w:t> </w:t>
            </w:r>
            <w:r w:rsidRPr="005071A1">
              <w:t>102, 1959</w:t>
            </w:r>
          </w:p>
        </w:tc>
      </w:tr>
      <w:tr w:rsidR="009B7AF5" w:rsidRPr="005071A1" w14:paraId="0FE3A6DB" w14:textId="77777777" w:rsidTr="00962E93">
        <w:trPr>
          <w:cantSplit/>
        </w:trPr>
        <w:tc>
          <w:tcPr>
            <w:tcW w:w="2551" w:type="dxa"/>
          </w:tcPr>
          <w:p w14:paraId="23784DA1" w14:textId="77777777" w:rsidR="009B7AF5" w:rsidRPr="005071A1" w:rsidRDefault="009B7AF5" w:rsidP="009B7AF5">
            <w:pPr>
              <w:pStyle w:val="ENoteTableText"/>
            </w:pPr>
          </w:p>
        </w:tc>
        <w:tc>
          <w:tcPr>
            <w:tcW w:w="4551" w:type="dxa"/>
          </w:tcPr>
          <w:p w14:paraId="5946E59D"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46ADCDC0" w14:textId="77777777" w:rsidTr="00962E93">
        <w:trPr>
          <w:cantSplit/>
        </w:trPr>
        <w:tc>
          <w:tcPr>
            <w:tcW w:w="2551" w:type="dxa"/>
          </w:tcPr>
          <w:p w14:paraId="2B84EBD6" w14:textId="77777777" w:rsidR="009B7AF5" w:rsidRPr="005071A1" w:rsidRDefault="009B7AF5" w:rsidP="009B7AF5">
            <w:pPr>
              <w:pStyle w:val="ENoteTableText"/>
            </w:pPr>
          </w:p>
        </w:tc>
        <w:tc>
          <w:tcPr>
            <w:tcW w:w="4551" w:type="dxa"/>
          </w:tcPr>
          <w:p w14:paraId="25584723" w14:textId="77777777" w:rsidR="009B7AF5" w:rsidRPr="005071A1" w:rsidRDefault="009B7AF5" w:rsidP="009B7AF5">
            <w:pPr>
              <w:pStyle w:val="ENoteTableText"/>
            </w:pPr>
            <w:r w:rsidRPr="005071A1">
              <w:t>rep. No.</w:t>
            </w:r>
            <w:r w:rsidR="008B2950" w:rsidRPr="005071A1">
              <w:t> </w:t>
            </w:r>
            <w:r w:rsidRPr="005071A1">
              <w:t>86, 1966</w:t>
            </w:r>
          </w:p>
        </w:tc>
      </w:tr>
      <w:tr w:rsidR="009B7AF5" w:rsidRPr="005071A1" w14:paraId="07A4725F" w14:textId="77777777" w:rsidTr="00962E93">
        <w:trPr>
          <w:cantSplit/>
        </w:trPr>
        <w:tc>
          <w:tcPr>
            <w:tcW w:w="2551" w:type="dxa"/>
          </w:tcPr>
          <w:p w14:paraId="14BB15E5" w14:textId="77777777" w:rsidR="009B7AF5" w:rsidRPr="005071A1" w:rsidRDefault="009B7AF5" w:rsidP="009B7AF5">
            <w:pPr>
              <w:pStyle w:val="ENoteTableText"/>
            </w:pPr>
          </w:p>
        </w:tc>
        <w:tc>
          <w:tcPr>
            <w:tcW w:w="4551" w:type="dxa"/>
          </w:tcPr>
          <w:p w14:paraId="6843AF2E"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53E1342A" w14:textId="77777777" w:rsidTr="00962E93">
        <w:trPr>
          <w:cantSplit/>
        </w:trPr>
        <w:tc>
          <w:tcPr>
            <w:tcW w:w="2551" w:type="dxa"/>
          </w:tcPr>
          <w:p w14:paraId="4AC46740" w14:textId="77777777" w:rsidR="009B7AF5" w:rsidRPr="005071A1" w:rsidRDefault="009B7AF5" w:rsidP="009B7AF5">
            <w:pPr>
              <w:pStyle w:val="ENoteTableText"/>
            </w:pPr>
          </w:p>
        </w:tc>
        <w:tc>
          <w:tcPr>
            <w:tcW w:w="4551" w:type="dxa"/>
          </w:tcPr>
          <w:p w14:paraId="6BB9D9B0" w14:textId="77777777" w:rsidR="009B7AF5" w:rsidRPr="005071A1" w:rsidRDefault="009B7AF5" w:rsidP="009B7AF5">
            <w:pPr>
              <w:pStyle w:val="ENoteTableText"/>
            </w:pPr>
            <w:r w:rsidRPr="005071A1">
              <w:t>am. No.</w:t>
            </w:r>
            <w:r w:rsidR="008B2950" w:rsidRPr="005071A1">
              <w:t> </w:t>
            </w:r>
            <w:r w:rsidRPr="005071A1">
              <w:t xml:space="preserve">17, 1978 </w:t>
            </w:r>
          </w:p>
        </w:tc>
      </w:tr>
      <w:tr w:rsidR="009B7AF5" w:rsidRPr="005071A1" w14:paraId="19702674" w14:textId="77777777" w:rsidTr="00962E93">
        <w:trPr>
          <w:cantSplit/>
        </w:trPr>
        <w:tc>
          <w:tcPr>
            <w:tcW w:w="2551" w:type="dxa"/>
          </w:tcPr>
          <w:p w14:paraId="019B1996" w14:textId="77777777" w:rsidR="009B7AF5" w:rsidRPr="005071A1" w:rsidRDefault="002477D1" w:rsidP="002477D1">
            <w:pPr>
              <w:pStyle w:val="ENoteTableText"/>
              <w:tabs>
                <w:tab w:val="center" w:leader="dot" w:pos="2268"/>
              </w:tabs>
            </w:pPr>
            <w:r w:rsidRPr="005071A1">
              <w:t>s.</w:t>
            </w:r>
            <w:r w:rsidR="009B7AF5" w:rsidRPr="005071A1">
              <w:t xml:space="preserve"> 67</w:t>
            </w:r>
            <w:r w:rsidR="009B7AF5" w:rsidRPr="005071A1">
              <w:tab/>
            </w:r>
          </w:p>
        </w:tc>
        <w:tc>
          <w:tcPr>
            <w:tcW w:w="4551" w:type="dxa"/>
          </w:tcPr>
          <w:p w14:paraId="3631394E"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5C8685D6" w14:textId="77777777" w:rsidTr="00962E93">
        <w:trPr>
          <w:cantSplit/>
        </w:trPr>
        <w:tc>
          <w:tcPr>
            <w:tcW w:w="2551" w:type="dxa"/>
          </w:tcPr>
          <w:p w14:paraId="7E7FE928" w14:textId="77777777" w:rsidR="009B7AF5" w:rsidRPr="005071A1" w:rsidRDefault="009B7AF5" w:rsidP="009B7AF5">
            <w:pPr>
              <w:pStyle w:val="ENoteTableText"/>
            </w:pPr>
          </w:p>
        </w:tc>
        <w:tc>
          <w:tcPr>
            <w:tcW w:w="4551" w:type="dxa"/>
          </w:tcPr>
          <w:p w14:paraId="0C20AC81"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25DD0D5B" w14:textId="77777777" w:rsidTr="00962E93">
        <w:trPr>
          <w:cantSplit/>
        </w:trPr>
        <w:tc>
          <w:tcPr>
            <w:tcW w:w="2551" w:type="dxa"/>
          </w:tcPr>
          <w:p w14:paraId="2FC94CB1" w14:textId="77777777" w:rsidR="009B7AF5" w:rsidRPr="005071A1" w:rsidRDefault="009B7AF5" w:rsidP="009B7AF5">
            <w:pPr>
              <w:pStyle w:val="ENoteTableText"/>
            </w:pPr>
          </w:p>
        </w:tc>
        <w:tc>
          <w:tcPr>
            <w:tcW w:w="4551" w:type="dxa"/>
          </w:tcPr>
          <w:p w14:paraId="588FF5FF"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334EA7D5" w14:textId="77777777" w:rsidTr="00962E93">
        <w:trPr>
          <w:cantSplit/>
        </w:trPr>
        <w:tc>
          <w:tcPr>
            <w:tcW w:w="2551" w:type="dxa"/>
          </w:tcPr>
          <w:p w14:paraId="2C562E1B" w14:textId="77777777" w:rsidR="009B7AF5" w:rsidRPr="005071A1" w:rsidRDefault="009B7AF5" w:rsidP="009B7AF5">
            <w:pPr>
              <w:pStyle w:val="ENoteTableText"/>
            </w:pPr>
          </w:p>
        </w:tc>
        <w:tc>
          <w:tcPr>
            <w:tcW w:w="4551" w:type="dxa"/>
          </w:tcPr>
          <w:p w14:paraId="013397AE" w14:textId="77777777" w:rsidR="009B7AF5" w:rsidRPr="005071A1" w:rsidRDefault="009B7AF5" w:rsidP="009B7AF5">
            <w:pPr>
              <w:pStyle w:val="ENoteTableText"/>
            </w:pPr>
            <w:r w:rsidRPr="005071A1">
              <w:t>am. No.</w:t>
            </w:r>
            <w:r w:rsidR="008B2950" w:rsidRPr="005071A1">
              <w:t> </w:t>
            </w:r>
            <w:r w:rsidRPr="005071A1">
              <w:t>32, 1967; No.</w:t>
            </w:r>
            <w:r w:rsidR="008B2950" w:rsidRPr="005071A1">
              <w:t> </w:t>
            </w:r>
            <w:r w:rsidRPr="005071A1">
              <w:t>17, 1978</w:t>
            </w:r>
          </w:p>
        </w:tc>
      </w:tr>
      <w:tr w:rsidR="009B7AF5" w:rsidRPr="005071A1" w14:paraId="5942D0ED" w14:textId="77777777" w:rsidTr="00962E93">
        <w:trPr>
          <w:cantSplit/>
        </w:trPr>
        <w:tc>
          <w:tcPr>
            <w:tcW w:w="2551" w:type="dxa"/>
          </w:tcPr>
          <w:p w14:paraId="6B896401" w14:textId="77777777" w:rsidR="009B7AF5" w:rsidRPr="005071A1" w:rsidRDefault="002477D1" w:rsidP="002477D1">
            <w:pPr>
              <w:pStyle w:val="ENoteTableText"/>
              <w:tabs>
                <w:tab w:val="center" w:leader="dot" w:pos="2268"/>
              </w:tabs>
            </w:pPr>
            <w:r w:rsidRPr="005071A1">
              <w:t>s.</w:t>
            </w:r>
            <w:r w:rsidR="009B7AF5" w:rsidRPr="005071A1">
              <w:t xml:space="preserve"> 68</w:t>
            </w:r>
            <w:r w:rsidR="009B7AF5" w:rsidRPr="005071A1">
              <w:tab/>
            </w:r>
          </w:p>
        </w:tc>
        <w:tc>
          <w:tcPr>
            <w:tcW w:w="4551" w:type="dxa"/>
          </w:tcPr>
          <w:p w14:paraId="10CE669A"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19, 1948; No.</w:t>
            </w:r>
            <w:r w:rsidR="008B2950" w:rsidRPr="005071A1">
              <w:t> </w:t>
            </w:r>
            <w:r w:rsidRPr="005071A1">
              <w:t>112, 1956; No.</w:t>
            </w:r>
            <w:r w:rsidR="008B2950" w:rsidRPr="005071A1">
              <w:t> </w:t>
            </w:r>
            <w:r w:rsidRPr="005071A1">
              <w:t>94, 1957; No.</w:t>
            </w:r>
            <w:r w:rsidR="008B2950" w:rsidRPr="005071A1">
              <w:t> </w:t>
            </w:r>
            <w:r w:rsidRPr="005071A1">
              <w:t>102, 1959; No.</w:t>
            </w:r>
            <w:r w:rsidR="008B2950" w:rsidRPr="005071A1">
              <w:t> </w:t>
            </w:r>
            <w:r w:rsidRPr="005071A1">
              <w:t>83, 1973</w:t>
            </w:r>
          </w:p>
        </w:tc>
      </w:tr>
      <w:tr w:rsidR="009B7AF5" w:rsidRPr="005071A1" w14:paraId="7D58FA9D" w14:textId="77777777" w:rsidTr="00962E93">
        <w:trPr>
          <w:cantSplit/>
        </w:trPr>
        <w:tc>
          <w:tcPr>
            <w:tcW w:w="2551" w:type="dxa"/>
          </w:tcPr>
          <w:p w14:paraId="7355E9AA" w14:textId="77777777" w:rsidR="009B7AF5" w:rsidRPr="005071A1" w:rsidRDefault="002477D1" w:rsidP="002477D1">
            <w:pPr>
              <w:pStyle w:val="ENoteTableText"/>
              <w:tabs>
                <w:tab w:val="center" w:leader="dot" w:pos="2268"/>
              </w:tabs>
            </w:pPr>
            <w:r w:rsidRPr="005071A1">
              <w:t>s.</w:t>
            </w:r>
            <w:r w:rsidR="009B7AF5" w:rsidRPr="005071A1">
              <w:t xml:space="preserve"> 69</w:t>
            </w:r>
            <w:r w:rsidR="009B7AF5" w:rsidRPr="005071A1">
              <w:tab/>
            </w:r>
          </w:p>
        </w:tc>
        <w:tc>
          <w:tcPr>
            <w:tcW w:w="4551" w:type="dxa"/>
          </w:tcPr>
          <w:p w14:paraId="41F2093B"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22, 1930; No.</w:t>
            </w:r>
            <w:r w:rsidR="008B2950" w:rsidRPr="005071A1">
              <w:t> </w:t>
            </w:r>
            <w:r w:rsidRPr="005071A1">
              <w:t>53, 1942; No.</w:t>
            </w:r>
            <w:r w:rsidR="008B2950" w:rsidRPr="005071A1">
              <w:t> </w:t>
            </w:r>
            <w:r w:rsidRPr="005071A1">
              <w:t>102, 1959; No.</w:t>
            </w:r>
            <w:r w:rsidR="008B2950" w:rsidRPr="005071A1">
              <w:t> </w:t>
            </w:r>
            <w:r w:rsidRPr="005071A1">
              <w:t>32, 1976; No.</w:t>
            </w:r>
            <w:r w:rsidR="008B2950" w:rsidRPr="005071A1">
              <w:t> </w:t>
            </w:r>
            <w:r w:rsidRPr="005071A1">
              <w:t>17, 1978</w:t>
            </w:r>
          </w:p>
        </w:tc>
      </w:tr>
      <w:tr w:rsidR="009B7AF5" w:rsidRPr="005071A1" w14:paraId="4C4CE6BA" w14:textId="77777777" w:rsidTr="00962E93">
        <w:trPr>
          <w:cantSplit/>
        </w:trPr>
        <w:tc>
          <w:tcPr>
            <w:tcW w:w="2551" w:type="dxa"/>
          </w:tcPr>
          <w:p w14:paraId="59936599" w14:textId="77777777" w:rsidR="009B7AF5" w:rsidRPr="005071A1" w:rsidRDefault="002477D1" w:rsidP="002477D1">
            <w:pPr>
              <w:pStyle w:val="ENoteTableText"/>
              <w:tabs>
                <w:tab w:val="center" w:leader="dot" w:pos="2268"/>
              </w:tabs>
            </w:pPr>
            <w:r w:rsidRPr="005071A1">
              <w:t>s.</w:t>
            </w:r>
            <w:r w:rsidR="009B7AF5" w:rsidRPr="005071A1">
              <w:t xml:space="preserve"> 70</w:t>
            </w:r>
            <w:r w:rsidR="009B7AF5" w:rsidRPr="005071A1">
              <w:tab/>
            </w:r>
          </w:p>
        </w:tc>
        <w:tc>
          <w:tcPr>
            <w:tcW w:w="4551" w:type="dxa"/>
          </w:tcPr>
          <w:p w14:paraId="06AD957F"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94, 1957; No.</w:t>
            </w:r>
            <w:r w:rsidR="008B2950" w:rsidRPr="005071A1">
              <w:t> </w:t>
            </w:r>
            <w:r w:rsidRPr="005071A1">
              <w:t>102, 1959; No.</w:t>
            </w:r>
            <w:r w:rsidR="008B2950" w:rsidRPr="005071A1">
              <w:t> </w:t>
            </w:r>
            <w:r w:rsidRPr="005071A1">
              <w:t>97, 1965; No.</w:t>
            </w:r>
            <w:r w:rsidR="008B2950" w:rsidRPr="005071A1">
              <w:t> </w:t>
            </w:r>
            <w:r w:rsidRPr="005071A1">
              <w:t>17, 1978</w:t>
            </w:r>
          </w:p>
        </w:tc>
      </w:tr>
      <w:tr w:rsidR="009B7AF5" w:rsidRPr="005071A1" w14:paraId="4EAD7E0A" w14:textId="77777777" w:rsidTr="00962E93">
        <w:trPr>
          <w:cantSplit/>
        </w:trPr>
        <w:tc>
          <w:tcPr>
            <w:tcW w:w="2551" w:type="dxa"/>
          </w:tcPr>
          <w:p w14:paraId="3D3C5340" w14:textId="77777777" w:rsidR="009B7AF5" w:rsidRPr="005071A1" w:rsidRDefault="002477D1" w:rsidP="002477D1">
            <w:pPr>
              <w:pStyle w:val="ENoteTableText"/>
              <w:tabs>
                <w:tab w:val="center" w:leader="dot" w:pos="2268"/>
              </w:tabs>
            </w:pPr>
            <w:r w:rsidRPr="005071A1">
              <w:t>s.</w:t>
            </w:r>
            <w:r w:rsidR="009B7AF5" w:rsidRPr="005071A1">
              <w:t xml:space="preserve"> 71</w:t>
            </w:r>
            <w:r w:rsidR="009B7AF5" w:rsidRPr="005071A1">
              <w:tab/>
            </w:r>
          </w:p>
        </w:tc>
        <w:tc>
          <w:tcPr>
            <w:tcW w:w="4551" w:type="dxa"/>
          </w:tcPr>
          <w:p w14:paraId="4E528462"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53, 1942; No.</w:t>
            </w:r>
            <w:r w:rsidR="008B2950" w:rsidRPr="005071A1">
              <w:t> </w:t>
            </w:r>
            <w:r w:rsidRPr="005071A1">
              <w:t>15, 1945; No.</w:t>
            </w:r>
            <w:r w:rsidR="008B2950" w:rsidRPr="005071A1">
              <w:t> </w:t>
            </w:r>
            <w:r w:rsidRPr="005071A1">
              <w:t>94, 1957; No.</w:t>
            </w:r>
            <w:r w:rsidR="008B2950" w:rsidRPr="005071A1">
              <w:t> </w:t>
            </w:r>
            <w:r w:rsidRPr="005071A1">
              <w:t>102, 1959; Nos. 97 and 154, 1965; No.</w:t>
            </w:r>
            <w:r w:rsidR="008B2950" w:rsidRPr="005071A1">
              <w:t> </w:t>
            </w:r>
            <w:r w:rsidRPr="005071A1">
              <w:t>32, 1976; No.</w:t>
            </w:r>
            <w:r w:rsidR="008B2950" w:rsidRPr="005071A1">
              <w:t> </w:t>
            </w:r>
            <w:r w:rsidRPr="005071A1">
              <w:t>17, 1978</w:t>
            </w:r>
          </w:p>
        </w:tc>
      </w:tr>
      <w:tr w:rsidR="009B7AF5" w:rsidRPr="005071A1" w14:paraId="34167881" w14:textId="77777777" w:rsidTr="00962E93">
        <w:trPr>
          <w:cantSplit/>
        </w:trPr>
        <w:tc>
          <w:tcPr>
            <w:tcW w:w="2551" w:type="dxa"/>
          </w:tcPr>
          <w:p w14:paraId="70C928AF" w14:textId="77777777" w:rsidR="009B7AF5" w:rsidRPr="005071A1" w:rsidRDefault="002477D1" w:rsidP="002477D1">
            <w:pPr>
              <w:pStyle w:val="ENoteTableText"/>
              <w:tabs>
                <w:tab w:val="center" w:leader="dot" w:pos="2268"/>
              </w:tabs>
            </w:pPr>
            <w:r w:rsidRPr="005071A1">
              <w:t>s.</w:t>
            </w:r>
            <w:r w:rsidR="009B7AF5" w:rsidRPr="005071A1">
              <w:t xml:space="preserve"> 72</w:t>
            </w:r>
            <w:r w:rsidR="009B7AF5" w:rsidRPr="005071A1">
              <w:tab/>
            </w:r>
          </w:p>
        </w:tc>
        <w:tc>
          <w:tcPr>
            <w:tcW w:w="4551" w:type="dxa"/>
          </w:tcPr>
          <w:p w14:paraId="702AC6B8"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45, 1934; No.</w:t>
            </w:r>
            <w:r w:rsidR="008B2950" w:rsidRPr="005071A1">
              <w:t> </w:t>
            </w:r>
            <w:r w:rsidRPr="005071A1">
              <w:t>53, 1942; No.</w:t>
            </w:r>
            <w:r w:rsidR="008B2950" w:rsidRPr="005071A1">
              <w:t> </w:t>
            </w:r>
            <w:r w:rsidRPr="005071A1">
              <w:t>97, 1965; No.</w:t>
            </w:r>
            <w:r w:rsidR="008B2950" w:rsidRPr="005071A1">
              <w:t> </w:t>
            </w:r>
            <w:r w:rsidRPr="005071A1">
              <w:t>32, 1976; No.</w:t>
            </w:r>
            <w:r w:rsidR="008B2950" w:rsidRPr="005071A1">
              <w:t> </w:t>
            </w:r>
            <w:r w:rsidRPr="005071A1">
              <w:t>17, 1978</w:t>
            </w:r>
          </w:p>
        </w:tc>
      </w:tr>
      <w:tr w:rsidR="009B7AF5" w:rsidRPr="005071A1" w14:paraId="529DD39C" w14:textId="77777777" w:rsidTr="00962E93">
        <w:trPr>
          <w:cantSplit/>
        </w:trPr>
        <w:tc>
          <w:tcPr>
            <w:tcW w:w="2551" w:type="dxa"/>
          </w:tcPr>
          <w:p w14:paraId="5D19C9D9" w14:textId="77777777" w:rsidR="009B7AF5" w:rsidRPr="005071A1" w:rsidRDefault="002477D1" w:rsidP="002477D1">
            <w:pPr>
              <w:pStyle w:val="ENoteTableText"/>
              <w:tabs>
                <w:tab w:val="center" w:leader="dot" w:pos="2268"/>
              </w:tabs>
            </w:pPr>
            <w:r w:rsidRPr="005071A1">
              <w:t>s.</w:t>
            </w:r>
            <w:r w:rsidR="009B7AF5" w:rsidRPr="005071A1">
              <w:t xml:space="preserve"> 73</w:t>
            </w:r>
            <w:r w:rsidR="009B7AF5" w:rsidRPr="005071A1">
              <w:tab/>
            </w:r>
          </w:p>
        </w:tc>
        <w:tc>
          <w:tcPr>
            <w:tcW w:w="4551" w:type="dxa"/>
          </w:tcPr>
          <w:p w14:paraId="416173A2" w14:textId="77777777" w:rsidR="009B7AF5" w:rsidRPr="005071A1" w:rsidRDefault="009B7AF5" w:rsidP="009B7AF5">
            <w:pPr>
              <w:pStyle w:val="ENoteTableText"/>
            </w:pPr>
            <w:r w:rsidRPr="005071A1">
              <w:t>rep. No.</w:t>
            </w:r>
            <w:r w:rsidR="008B2950" w:rsidRPr="005071A1">
              <w:t> </w:t>
            </w:r>
            <w:r w:rsidRPr="005071A1">
              <w:t>35, 1947</w:t>
            </w:r>
          </w:p>
        </w:tc>
      </w:tr>
      <w:tr w:rsidR="009B7AF5" w:rsidRPr="005071A1" w14:paraId="1F4413B8" w14:textId="77777777" w:rsidTr="00962E93">
        <w:trPr>
          <w:cantSplit/>
        </w:trPr>
        <w:tc>
          <w:tcPr>
            <w:tcW w:w="2551" w:type="dxa"/>
          </w:tcPr>
          <w:p w14:paraId="0BCBE5A3" w14:textId="77777777" w:rsidR="009B7AF5" w:rsidRPr="005071A1" w:rsidRDefault="009B7AF5" w:rsidP="009B7AF5">
            <w:pPr>
              <w:pStyle w:val="ENoteTableText"/>
            </w:pPr>
          </w:p>
        </w:tc>
        <w:tc>
          <w:tcPr>
            <w:tcW w:w="4551" w:type="dxa"/>
          </w:tcPr>
          <w:p w14:paraId="28354927" w14:textId="77777777" w:rsidR="009B7AF5" w:rsidRPr="005071A1" w:rsidRDefault="009B7AF5" w:rsidP="009B7AF5">
            <w:pPr>
              <w:pStyle w:val="ENoteTableText"/>
            </w:pPr>
            <w:r w:rsidRPr="005071A1">
              <w:t>ad. No.</w:t>
            </w:r>
            <w:r w:rsidR="008B2950" w:rsidRPr="005071A1">
              <w:t> </w:t>
            </w:r>
            <w:r w:rsidRPr="005071A1">
              <w:t>62, 1951</w:t>
            </w:r>
          </w:p>
        </w:tc>
      </w:tr>
      <w:tr w:rsidR="009B7AF5" w:rsidRPr="005071A1" w14:paraId="1ABA4F24" w14:textId="77777777" w:rsidTr="00962E93">
        <w:trPr>
          <w:cantSplit/>
        </w:trPr>
        <w:tc>
          <w:tcPr>
            <w:tcW w:w="2551" w:type="dxa"/>
          </w:tcPr>
          <w:p w14:paraId="11B53650" w14:textId="77777777" w:rsidR="009B7AF5" w:rsidRPr="005071A1" w:rsidRDefault="009B7AF5" w:rsidP="009B7AF5">
            <w:pPr>
              <w:pStyle w:val="ENoteTableText"/>
            </w:pPr>
          </w:p>
        </w:tc>
        <w:tc>
          <w:tcPr>
            <w:tcW w:w="4551" w:type="dxa"/>
          </w:tcPr>
          <w:p w14:paraId="6FF164F0"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154, 1965; No.</w:t>
            </w:r>
            <w:r w:rsidR="008B2950" w:rsidRPr="005071A1">
              <w:t> </w:t>
            </w:r>
            <w:r w:rsidRPr="005071A1">
              <w:t>17, 1978</w:t>
            </w:r>
          </w:p>
        </w:tc>
      </w:tr>
      <w:tr w:rsidR="009B7AF5" w:rsidRPr="005071A1" w14:paraId="4D50E895" w14:textId="77777777" w:rsidTr="00962E93">
        <w:trPr>
          <w:cantSplit/>
        </w:trPr>
        <w:tc>
          <w:tcPr>
            <w:tcW w:w="2551" w:type="dxa"/>
          </w:tcPr>
          <w:p w14:paraId="787AC69B" w14:textId="77777777" w:rsidR="009B7AF5" w:rsidRPr="005071A1" w:rsidRDefault="009B7AF5" w:rsidP="009B7AF5">
            <w:pPr>
              <w:pStyle w:val="ENoteTableText"/>
            </w:pPr>
            <w:r w:rsidRPr="005071A1">
              <w:rPr>
                <w:b/>
              </w:rPr>
              <w:t>Division</w:t>
            </w:r>
            <w:r w:rsidR="008B2950" w:rsidRPr="005071A1">
              <w:rPr>
                <w:b/>
              </w:rPr>
              <w:t> </w:t>
            </w:r>
            <w:r w:rsidRPr="005071A1">
              <w:rPr>
                <w:b/>
              </w:rPr>
              <w:t>6</w:t>
            </w:r>
          </w:p>
        </w:tc>
        <w:tc>
          <w:tcPr>
            <w:tcW w:w="4551" w:type="dxa"/>
          </w:tcPr>
          <w:p w14:paraId="192220CC" w14:textId="77777777" w:rsidR="009B7AF5" w:rsidRPr="005071A1" w:rsidRDefault="009B7AF5" w:rsidP="009B7AF5">
            <w:pPr>
              <w:pStyle w:val="ENoteTableText"/>
            </w:pPr>
          </w:p>
        </w:tc>
      </w:tr>
      <w:tr w:rsidR="009B7AF5" w:rsidRPr="005071A1" w14:paraId="52AD6FA4" w14:textId="77777777" w:rsidTr="00962E93">
        <w:trPr>
          <w:cantSplit/>
        </w:trPr>
        <w:tc>
          <w:tcPr>
            <w:tcW w:w="2551" w:type="dxa"/>
          </w:tcPr>
          <w:p w14:paraId="33F777FE" w14:textId="77777777" w:rsidR="009B7AF5" w:rsidRPr="005071A1" w:rsidRDefault="00A16B68" w:rsidP="002477D1">
            <w:pPr>
              <w:pStyle w:val="ENoteTableText"/>
              <w:tabs>
                <w:tab w:val="center" w:leader="dot" w:pos="2268"/>
              </w:tabs>
            </w:pPr>
            <w:r w:rsidRPr="005071A1">
              <w:t>Division</w:t>
            </w:r>
            <w:r w:rsidR="008B2950" w:rsidRPr="005071A1">
              <w:t> </w:t>
            </w:r>
            <w:r w:rsidRPr="005071A1">
              <w:t>6 heading</w:t>
            </w:r>
            <w:r w:rsidR="009B7AF5" w:rsidRPr="005071A1">
              <w:tab/>
            </w:r>
          </w:p>
        </w:tc>
        <w:tc>
          <w:tcPr>
            <w:tcW w:w="4551" w:type="dxa"/>
          </w:tcPr>
          <w:p w14:paraId="37C31946" w14:textId="77777777" w:rsidR="009B7AF5" w:rsidRPr="005071A1" w:rsidRDefault="00A16B68" w:rsidP="00A16B68">
            <w:pPr>
              <w:pStyle w:val="ENoteTableText"/>
            </w:pPr>
            <w:r w:rsidRPr="005071A1">
              <w:t>am</w:t>
            </w:r>
            <w:r w:rsidR="009B7AF5" w:rsidRPr="005071A1">
              <w:t xml:space="preserve"> No</w:t>
            </w:r>
            <w:r w:rsidR="00CB2F6A" w:rsidRPr="005071A1">
              <w:t> </w:t>
            </w:r>
            <w:r w:rsidR="009B7AF5" w:rsidRPr="005071A1">
              <w:t>35, 1947</w:t>
            </w:r>
          </w:p>
        </w:tc>
      </w:tr>
      <w:tr w:rsidR="009B7AF5" w:rsidRPr="005071A1" w14:paraId="7D6F5A12" w14:textId="77777777" w:rsidTr="00962E93">
        <w:trPr>
          <w:cantSplit/>
        </w:trPr>
        <w:tc>
          <w:tcPr>
            <w:tcW w:w="2551" w:type="dxa"/>
          </w:tcPr>
          <w:p w14:paraId="62A0BEEB" w14:textId="77777777" w:rsidR="009B7AF5" w:rsidRPr="005071A1" w:rsidRDefault="002477D1" w:rsidP="00BE745A">
            <w:pPr>
              <w:pStyle w:val="ENoteTableText"/>
              <w:tabs>
                <w:tab w:val="center" w:leader="dot" w:pos="2268"/>
              </w:tabs>
            </w:pPr>
            <w:r w:rsidRPr="005071A1">
              <w:t>s</w:t>
            </w:r>
            <w:r w:rsidR="009B7AF5" w:rsidRPr="005071A1">
              <w:t xml:space="preserve"> 74</w:t>
            </w:r>
            <w:r w:rsidR="009B7AF5" w:rsidRPr="005071A1">
              <w:tab/>
            </w:r>
          </w:p>
        </w:tc>
        <w:tc>
          <w:tcPr>
            <w:tcW w:w="4551" w:type="dxa"/>
          </w:tcPr>
          <w:p w14:paraId="4BC91D21" w14:textId="77777777" w:rsidR="009B7AF5" w:rsidRPr="005071A1" w:rsidRDefault="009B7AF5" w:rsidP="00835A19">
            <w:pPr>
              <w:pStyle w:val="ENoteTableText"/>
            </w:pPr>
            <w:r w:rsidRPr="005071A1">
              <w:t>am No</w:t>
            </w:r>
            <w:r w:rsidR="00CB2F6A" w:rsidRPr="005071A1">
              <w:t> </w:t>
            </w:r>
            <w:r w:rsidRPr="005071A1">
              <w:t>22, 1930; No</w:t>
            </w:r>
            <w:r w:rsidR="00CB2F6A" w:rsidRPr="005071A1">
              <w:t> </w:t>
            </w:r>
            <w:r w:rsidRPr="005071A1">
              <w:t>35, 1947; No</w:t>
            </w:r>
            <w:r w:rsidR="00CB2F6A" w:rsidRPr="005071A1">
              <w:t> </w:t>
            </w:r>
            <w:r w:rsidRPr="005071A1">
              <w:t>154, 1965; No</w:t>
            </w:r>
            <w:r w:rsidR="00CB2F6A" w:rsidRPr="005071A1">
              <w:t> </w:t>
            </w:r>
            <w:r w:rsidRPr="005071A1">
              <w:t>32, 1976</w:t>
            </w:r>
          </w:p>
        </w:tc>
      </w:tr>
      <w:tr w:rsidR="00A16B68" w:rsidRPr="005071A1" w14:paraId="053971F0" w14:textId="77777777" w:rsidTr="00962E93">
        <w:trPr>
          <w:cantSplit/>
        </w:trPr>
        <w:tc>
          <w:tcPr>
            <w:tcW w:w="2551" w:type="dxa"/>
          </w:tcPr>
          <w:p w14:paraId="33DF51A3" w14:textId="77777777" w:rsidR="00A16B68" w:rsidRPr="005071A1" w:rsidRDefault="00A16B68" w:rsidP="002477D1">
            <w:pPr>
              <w:pStyle w:val="ENoteTableText"/>
              <w:tabs>
                <w:tab w:val="center" w:leader="dot" w:pos="2268"/>
              </w:tabs>
            </w:pPr>
          </w:p>
        </w:tc>
        <w:tc>
          <w:tcPr>
            <w:tcW w:w="4551" w:type="dxa"/>
          </w:tcPr>
          <w:p w14:paraId="194B9FAD" w14:textId="77777777" w:rsidR="00A16B68" w:rsidRPr="005071A1" w:rsidRDefault="00A16B68" w:rsidP="009B7AF5">
            <w:pPr>
              <w:pStyle w:val="ENoteTableText"/>
            </w:pPr>
            <w:r w:rsidRPr="005071A1">
              <w:t>(1) exp 1</w:t>
            </w:r>
            <w:r w:rsidR="008B2950" w:rsidRPr="005071A1">
              <w:t> </w:t>
            </w:r>
            <w:r w:rsidRPr="005071A1">
              <w:t>July 1976 (s 74(5))</w:t>
            </w:r>
          </w:p>
        </w:tc>
      </w:tr>
      <w:tr w:rsidR="00A16B68" w:rsidRPr="005071A1" w14:paraId="0A6F1BC4" w14:textId="77777777" w:rsidTr="00962E93">
        <w:trPr>
          <w:cantSplit/>
        </w:trPr>
        <w:tc>
          <w:tcPr>
            <w:tcW w:w="2551" w:type="dxa"/>
          </w:tcPr>
          <w:p w14:paraId="07D4BF9C" w14:textId="77777777" w:rsidR="00A16B68" w:rsidRPr="005071A1" w:rsidRDefault="00A16B68" w:rsidP="002477D1">
            <w:pPr>
              <w:pStyle w:val="ENoteTableText"/>
              <w:tabs>
                <w:tab w:val="center" w:leader="dot" w:pos="2268"/>
              </w:tabs>
            </w:pPr>
          </w:p>
        </w:tc>
        <w:tc>
          <w:tcPr>
            <w:tcW w:w="4551" w:type="dxa"/>
          </w:tcPr>
          <w:p w14:paraId="07C778BA" w14:textId="77777777" w:rsidR="00A16B68" w:rsidRPr="005071A1" w:rsidRDefault="00A16B68" w:rsidP="009B7AF5">
            <w:pPr>
              <w:pStyle w:val="ENoteTableText"/>
            </w:pPr>
            <w:r w:rsidRPr="005071A1">
              <w:t xml:space="preserve">am </w:t>
            </w:r>
            <w:r w:rsidR="00835A19" w:rsidRPr="005071A1">
              <w:t>No 17, 1978</w:t>
            </w:r>
          </w:p>
        </w:tc>
      </w:tr>
      <w:tr w:rsidR="009B7AF5" w:rsidRPr="005071A1" w14:paraId="4E0E8978" w14:textId="77777777" w:rsidTr="00962E93">
        <w:trPr>
          <w:cantSplit/>
        </w:trPr>
        <w:tc>
          <w:tcPr>
            <w:tcW w:w="2551" w:type="dxa"/>
          </w:tcPr>
          <w:p w14:paraId="6388D769" w14:textId="77777777" w:rsidR="009B7AF5" w:rsidRPr="005071A1" w:rsidRDefault="009B7AF5" w:rsidP="009B7AF5">
            <w:pPr>
              <w:pStyle w:val="ENoteTableText"/>
            </w:pPr>
            <w:r w:rsidRPr="005071A1">
              <w:rPr>
                <w:b/>
              </w:rPr>
              <w:t>Part</w:t>
            </w:r>
            <w:r w:rsidR="002477D1" w:rsidRPr="005071A1">
              <w:rPr>
                <w:b/>
              </w:rPr>
              <w:t> </w:t>
            </w:r>
            <w:r w:rsidRPr="005071A1">
              <w:rPr>
                <w:b/>
              </w:rPr>
              <w:t>V</w:t>
            </w:r>
          </w:p>
        </w:tc>
        <w:tc>
          <w:tcPr>
            <w:tcW w:w="4551" w:type="dxa"/>
          </w:tcPr>
          <w:p w14:paraId="13BCD39A" w14:textId="77777777" w:rsidR="009B7AF5" w:rsidRPr="005071A1" w:rsidRDefault="009B7AF5" w:rsidP="009B7AF5">
            <w:pPr>
              <w:pStyle w:val="ENoteTableText"/>
            </w:pPr>
          </w:p>
        </w:tc>
      </w:tr>
      <w:tr w:rsidR="009B7AF5" w:rsidRPr="005071A1" w14:paraId="5C5ADCE8" w14:textId="77777777" w:rsidTr="00962E93">
        <w:trPr>
          <w:cantSplit/>
        </w:trPr>
        <w:tc>
          <w:tcPr>
            <w:tcW w:w="2551" w:type="dxa"/>
          </w:tcPr>
          <w:p w14:paraId="1EBCA839" w14:textId="77777777" w:rsidR="009B7AF5" w:rsidRPr="005071A1" w:rsidRDefault="00835A19" w:rsidP="002477D1">
            <w:pPr>
              <w:pStyle w:val="ENoteTableText"/>
              <w:tabs>
                <w:tab w:val="center" w:leader="dot" w:pos="2268"/>
              </w:tabs>
            </w:pPr>
            <w:r w:rsidRPr="005071A1">
              <w:t>Part V</w:t>
            </w:r>
            <w:r w:rsidR="009B7AF5" w:rsidRPr="005071A1">
              <w:tab/>
            </w:r>
          </w:p>
        </w:tc>
        <w:tc>
          <w:tcPr>
            <w:tcW w:w="4551" w:type="dxa"/>
          </w:tcPr>
          <w:p w14:paraId="468E4E33"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0352888E" w14:textId="77777777" w:rsidTr="00962E93">
        <w:trPr>
          <w:cantSplit/>
        </w:trPr>
        <w:tc>
          <w:tcPr>
            <w:tcW w:w="2551" w:type="dxa"/>
          </w:tcPr>
          <w:p w14:paraId="24D99D14" w14:textId="77777777" w:rsidR="009B7AF5" w:rsidRPr="005071A1" w:rsidRDefault="002477D1" w:rsidP="002477D1">
            <w:pPr>
              <w:pStyle w:val="ENoteTableText"/>
              <w:tabs>
                <w:tab w:val="center" w:leader="dot" w:pos="2268"/>
              </w:tabs>
            </w:pPr>
            <w:r w:rsidRPr="005071A1">
              <w:t>s.</w:t>
            </w:r>
            <w:r w:rsidR="009B7AF5" w:rsidRPr="005071A1">
              <w:t xml:space="preserve"> 75</w:t>
            </w:r>
            <w:r w:rsidR="009B7AF5" w:rsidRPr="005071A1">
              <w:tab/>
            </w:r>
          </w:p>
        </w:tc>
        <w:tc>
          <w:tcPr>
            <w:tcW w:w="4551" w:type="dxa"/>
          </w:tcPr>
          <w:p w14:paraId="4B6BD837"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0951CE0A" w14:textId="77777777" w:rsidTr="00962E93">
        <w:trPr>
          <w:cantSplit/>
        </w:trPr>
        <w:tc>
          <w:tcPr>
            <w:tcW w:w="2551" w:type="dxa"/>
          </w:tcPr>
          <w:p w14:paraId="104D6982" w14:textId="77777777" w:rsidR="009B7AF5" w:rsidRPr="005071A1" w:rsidRDefault="009B7AF5" w:rsidP="009B7AF5">
            <w:pPr>
              <w:pStyle w:val="ENoteTableText"/>
            </w:pPr>
          </w:p>
        </w:tc>
        <w:tc>
          <w:tcPr>
            <w:tcW w:w="4551" w:type="dxa"/>
          </w:tcPr>
          <w:p w14:paraId="04D5635E"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757F1304" w14:textId="77777777" w:rsidTr="00962E93">
        <w:trPr>
          <w:cantSplit/>
        </w:trPr>
        <w:tc>
          <w:tcPr>
            <w:tcW w:w="2551" w:type="dxa"/>
          </w:tcPr>
          <w:p w14:paraId="225A14A6" w14:textId="77777777" w:rsidR="009B7AF5" w:rsidRPr="005071A1" w:rsidRDefault="009B7AF5" w:rsidP="009B7AF5">
            <w:pPr>
              <w:pStyle w:val="ENoteTableText"/>
            </w:pPr>
          </w:p>
        </w:tc>
        <w:tc>
          <w:tcPr>
            <w:tcW w:w="4551" w:type="dxa"/>
          </w:tcPr>
          <w:p w14:paraId="74D6F4ED"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123C7D48" w14:textId="77777777" w:rsidTr="00962E93">
        <w:trPr>
          <w:cantSplit/>
        </w:trPr>
        <w:tc>
          <w:tcPr>
            <w:tcW w:w="2551" w:type="dxa"/>
          </w:tcPr>
          <w:p w14:paraId="27098873"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76–78</w:t>
            </w:r>
            <w:r w:rsidR="009B7AF5" w:rsidRPr="005071A1">
              <w:tab/>
            </w:r>
          </w:p>
        </w:tc>
        <w:tc>
          <w:tcPr>
            <w:tcW w:w="4551" w:type="dxa"/>
          </w:tcPr>
          <w:p w14:paraId="33C47154"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05FF762E" w14:textId="77777777" w:rsidTr="00962E93">
        <w:trPr>
          <w:cantSplit/>
        </w:trPr>
        <w:tc>
          <w:tcPr>
            <w:tcW w:w="2551" w:type="dxa"/>
          </w:tcPr>
          <w:p w14:paraId="359EFDDC" w14:textId="77777777" w:rsidR="009B7AF5" w:rsidRPr="005071A1" w:rsidRDefault="009B7AF5" w:rsidP="009B7AF5">
            <w:pPr>
              <w:pStyle w:val="ENoteTableText"/>
            </w:pPr>
          </w:p>
        </w:tc>
        <w:tc>
          <w:tcPr>
            <w:tcW w:w="4551" w:type="dxa"/>
          </w:tcPr>
          <w:p w14:paraId="2F7DBE6F"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42C775FA" w14:textId="77777777" w:rsidTr="00962E93">
        <w:trPr>
          <w:cantSplit/>
        </w:trPr>
        <w:tc>
          <w:tcPr>
            <w:tcW w:w="2551" w:type="dxa"/>
          </w:tcPr>
          <w:p w14:paraId="34656B9F" w14:textId="77777777" w:rsidR="009B7AF5" w:rsidRPr="005071A1" w:rsidRDefault="002477D1" w:rsidP="002477D1">
            <w:pPr>
              <w:pStyle w:val="ENoteTableText"/>
              <w:tabs>
                <w:tab w:val="center" w:leader="dot" w:pos="2268"/>
              </w:tabs>
            </w:pPr>
            <w:r w:rsidRPr="005071A1">
              <w:t>s.</w:t>
            </w:r>
            <w:r w:rsidR="009B7AF5" w:rsidRPr="005071A1">
              <w:t xml:space="preserve"> 79</w:t>
            </w:r>
            <w:r w:rsidR="009B7AF5" w:rsidRPr="005071A1">
              <w:tab/>
            </w:r>
          </w:p>
        </w:tc>
        <w:tc>
          <w:tcPr>
            <w:tcW w:w="4551" w:type="dxa"/>
          </w:tcPr>
          <w:p w14:paraId="31DE9358"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0662C5CA" w14:textId="77777777" w:rsidTr="00962E93">
        <w:trPr>
          <w:cantSplit/>
        </w:trPr>
        <w:tc>
          <w:tcPr>
            <w:tcW w:w="2551" w:type="dxa"/>
          </w:tcPr>
          <w:p w14:paraId="7905DDF2" w14:textId="77777777" w:rsidR="009B7AF5" w:rsidRPr="005071A1" w:rsidRDefault="009B7AF5" w:rsidP="009B7AF5">
            <w:pPr>
              <w:pStyle w:val="ENoteTableText"/>
            </w:pPr>
          </w:p>
        </w:tc>
        <w:tc>
          <w:tcPr>
            <w:tcW w:w="4551" w:type="dxa"/>
          </w:tcPr>
          <w:p w14:paraId="71207CDB" w14:textId="77777777" w:rsidR="009B7AF5" w:rsidRPr="005071A1" w:rsidRDefault="009B7AF5" w:rsidP="009B7AF5">
            <w:pPr>
              <w:pStyle w:val="ENoteTableText"/>
            </w:pPr>
            <w:r w:rsidRPr="005071A1">
              <w:t>rs. No.</w:t>
            </w:r>
            <w:r w:rsidR="008B2950" w:rsidRPr="005071A1">
              <w:t> </w:t>
            </w:r>
            <w:r w:rsidRPr="005071A1">
              <w:t>11, 1954</w:t>
            </w:r>
          </w:p>
        </w:tc>
      </w:tr>
      <w:tr w:rsidR="009B7AF5" w:rsidRPr="005071A1" w14:paraId="6DF71169" w14:textId="77777777" w:rsidTr="00962E93">
        <w:trPr>
          <w:cantSplit/>
        </w:trPr>
        <w:tc>
          <w:tcPr>
            <w:tcW w:w="2551" w:type="dxa"/>
          </w:tcPr>
          <w:p w14:paraId="164A7CF9" w14:textId="77777777" w:rsidR="009B7AF5" w:rsidRPr="005071A1" w:rsidRDefault="009B7AF5" w:rsidP="009B7AF5">
            <w:pPr>
              <w:pStyle w:val="ENoteTableText"/>
            </w:pPr>
          </w:p>
        </w:tc>
        <w:tc>
          <w:tcPr>
            <w:tcW w:w="4551" w:type="dxa"/>
          </w:tcPr>
          <w:p w14:paraId="42A924D7"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97, 1965; No.</w:t>
            </w:r>
            <w:r w:rsidR="008B2950" w:rsidRPr="005071A1">
              <w:t> </w:t>
            </w:r>
            <w:r w:rsidRPr="005071A1">
              <w:t>46, 1971; No.</w:t>
            </w:r>
            <w:r w:rsidR="008B2950" w:rsidRPr="005071A1">
              <w:t> </w:t>
            </w:r>
            <w:r w:rsidRPr="005071A1">
              <w:t>32, 1976; No.</w:t>
            </w:r>
            <w:r w:rsidR="008B2950" w:rsidRPr="005071A1">
              <w:t> </w:t>
            </w:r>
            <w:r w:rsidRPr="005071A1">
              <w:t>17, 1978</w:t>
            </w:r>
          </w:p>
        </w:tc>
      </w:tr>
      <w:tr w:rsidR="009B7AF5" w:rsidRPr="005071A1" w14:paraId="286E31C5" w14:textId="77777777" w:rsidTr="00962E93">
        <w:trPr>
          <w:cantSplit/>
        </w:trPr>
        <w:tc>
          <w:tcPr>
            <w:tcW w:w="2551" w:type="dxa"/>
          </w:tcPr>
          <w:p w14:paraId="3A63EA06" w14:textId="77777777" w:rsidR="009B7AF5" w:rsidRPr="005071A1" w:rsidRDefault="002477D1" w:rsidP="002477D1">
            <w:pPr>
              <w:pStyle w:val="ENoteTableText"/>
              <w:tabs>
                <w:tab w:val="center" w:leader="dot" w:pos="2268"/>
              </w:tabs>
            </w:pPr>
            <w:r w:rsidRPr="005071A1">
              <w:t>s.</w:t>
            </w:r>
            <w:r w:rsidR="009B7AF5" w:rsidRPr="005071A1">
              <w:t xml:space="preserve"> 79A</w:t>
            </w:r>
            <w:r w:rsidR="009B7AF5" w:rsidRPr="005071A1">
              <w:tab/>
            </w:r>
          </w:p>
        </w:tc>
        <w:tc>
          <w:tcPr>
            <w:tcW w:w="4551" w:type="dxa"/>
          </w:tcPr>
          <w:p w14:paraId="2615ABD8"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0A4EB290" w14:textId="77777777" w:rsidTr="00962E93">
        <w:trPr>
          <w:cantSplit/>
        </w:trPr>
        <w:tc>
          <w:tcPr>
            <w:tcW w:w="2551" w:type="dxa"/>
          </w:tcPr>
          <w:p w14:paraId="2678242A" w14:textId="77777777" w:rsidR="009B7AF5" w:rsidRPr="005071A1" w:rsidRDefault="002477D1" w:rsidP="002477D1">
            <w:pPr>
              <w:pStyle w:val="ENoteTableText"/>
              <w:tabs>
                <w:tab w:val="center" w:leader="dot" w:pos="2268"/>
              </w:tabs>
            </w:pPr>
            <w:r w:rsidRPr="005071A1">
              <w:t>s.</w:t>
            </w:r>
            <w:r w:rsidR="009B7AF5" w:rsidRPr="005071A1">
              <w:t xml:space="preserve"> 80</w:t>
            </w:r>
            <w:r w:rsidR="009B7AF5" w:rsidRPr="005071A1">
              <w:tab/>
            </w:r>
          </w:p>
        </w:tc>
        <w:tc>
          <w:tcPr>
            <w:tcW w:w="4551" w:type="dxa"/>
          </w:tcPr>
          <w:p w14:paraId="6A1031AD"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35F8B194" w14:textId="77777777" w:rsidTr="00962E93">
        <w:trPr>
          <w:cantSplit/>
        </w:trPr>
        <w:tc>
          <w:tcPr>
            <w:tcW w:w="2551" w:type="dxa"/>
          </w:tcPr>
          <w:p w14:paraId="0824E355" w14:textId="77777777" w:rsidR="009B7AF5" w:rsidRPr="005071A1" w:rsidRDefault="009B7AF5" w:rsidP="009B7AF5">
            <w:pPr>
              <w:pStyle w:val="ENoteTableText"/>
            </w:pPr>
          </w:p>
        </w:tc>
        <w:tc>
          <w:tcPr>
            <w:tcW w:w="4551" w:type="dxa"/>
          </w:tcPr>
          <w:p w14:paraId="0A31DD05" w14:textId="77777777" w:rsidR="009B7AF5" w:rsidRPr="005071A1" w:rsidRDefault="009B7AF5" w:rsidP="009B7AF5">
            <w:pPr>
              <w:pStyle w:val="ENoteTableText"/>
            </w:pPr>
            <w:r w:rsidRPr="005071A1">
              <w:t>rs. No.</w:t>
            </w:r>
            <w:r w:rsidR="008B2950" w:rsidRPr="005071A1">
              <w:t> </w:t>
            </w:r>
            <w:r w:rsidRPr="005071A1">
              <w:t>49, 1951</w:t>
            </w:r>
          </w:p>
        </w:tc>
      </w:tr>
      <w:tr w:rsidR="009B7AF5" w:rsidRPr="005071A1" w14:paraId="1553B413" w14:textId="77777777" w:rsidTr="00962E93">
        <w:trPr>
          <w:cantSplit/>
        </w:trPr>
        <w:tc>
          <w:tcPr>
            <w:tcW w:w="2551" w:type="dxa"/>
          </w:tcPr>
          <w:p w14:paraId="20C14D6A" w14:textId="77777777" w:rsidR="009B7AF5" w:rsidRPr="005071A1" w:rsidRDefault="009B7AF5" w:rsidP="009B7AF5">
            <w:pPr>
              <w:pStyle w:val="ENoteTableText"/>
            </w:pPr>
          </w:p>
        </w:tc>
        <w:tc>
          <w:tcPr>
            <w:tcW w:w="4551" w:type="dxa"/>
          </w:tcPr>
          <w:p w14:paraId="32C39C66" w14:textId="77777777" w:rsidR="009B7AF5" w:rsidRPr="005071A1" w:rsidRDefault="009B7AF5" w:rsidP="009B7AF5">
            <w:pPr>
              <w:pStyle w:val="ENoteTableText"/>
            </w:pPr>
            <w:r w:rsidRPr="005071A1">
              <w:t>am. No.</w:t>
            </w:r>
            <w:r w:rsidR="008B2950" w:rsidRPr="005071A1">
              <w:t> </w:t>
            </w:r>
            <w:r w:rsidRPr="005071A1">
              <w:t>11, 1954; No.</w:t>
            </w:r>
            <w:r w:rsidR="008B2950" w:rsidRPr="005071A1">
              <w:t> </w:t>
            </w:r>
            <w:r w:rsidRPr="005071A1">
              <w:t>102, 1959; No.</w:t>
            </w:r>
            <w:r w:rsidR="008B2950" w:rsidRPr="005071A1">
              <w:t> </w:t>
            </w:r>
            <w:r w:rsidRPr="005071A1">
              <w:t>154, 1965; No.</w:t>
            </w:r>
            <w:r w:rsidR="008B2950" w:rsidRPr="005071A1">
              <w:t> </w:t>
            </w:r>
            <w:r w:rsidRPr="005071A1">
              <w:t>17, 1978</w:t>
            </w:r>
          </w:p>
        </w:tc>
      </w:tr>
      <w:tr w:rsidR="009B7AF5" w:rsidRPr="005071A1" w14:paraId="607A057B" w14:textId="77777777" w:rsidTr="00962E93">
        <w:trPr>
          <w:cantSplit/>
        </w:trPr>
        <w:tc>
          <w:tcPr>
            <w:tcW w:w="2551" w:type="dxa"/>
          </w:tcPr>
          <w:p w14:paraId="472FE729" w14:textId="77777777" w:rsidR="009B7AF5" w:rsidRPr="005071A1" w:rsidRDefault="002477D1" w:rsidP="002477D1">
            <w:pPr>
              <w:pStyle w:val="ENoteTableText"/>
              <w:tabs>
                <w:tab w:val="center" w:leader="dot" w:pos="2268"/>
              </w:tabs>
            </w:pPr>
            <w:r w:rsidRPr="005071A1">
              <w:t>s.</w:t>
            </w:r>
            <w:r w:rsidR="009B7AF5" w:rsidRPr="005071A1">
              <w:t xml:space="preserve"> 80A</w:t>
            </w:r>
            <w:r w:rsidR="009B7AF5" w:rsidRPr="005071A1">
              <w:tab/>
            </w:r>
          </w:p>
        </w:tc>
        <w:tc>
          <w:tcPr>
            <w:tcW w:w="4551" w:type="dxa"/>
          </w:tcPr>
          <w:p w14:paraId="13C3FAD2"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33109550" w14:textId="77777777" w:rsidTr="00962E93">
        <w:trPr>
          <w:cantSplit/>
        </w:trPr>
        <w:tc>
          <w:tcPr>
            <w:tcW w:w="2551" w:type="dxa"/>
          </w:tcPr>
          <w:p w14:paraId="44312C8E" w14:textId="77777777" w:rsidR="009B7AF5" w:rsidRPr="005071A1" w:rsidRDefault="009B7AF5" w:rsidP="009B7AF5">
            <w:pPr>
              <w:pStyle w:val="ENoteTableText"/>
            </w:pPr>
          </w:p>
        </w:tc>
        <w:tc>
          <w:tcPr>
            <w:tcW w:w="4551" w:type="dxa"/>
          </w:tcPr>
          <w:p w14:paraId="2D871A81"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219604C" w14:textId="77777777" w:rsidTr="00962E93">
        <w:trPr>
          <w:cantSplit/>
        </w:trPr>
        <w:tc>
          <w:tcPr>
            <w:tcW w:w="2551" w:type="dxa"/>
          </w:tcPr>
          <w:p w14:paraId="1E3CFEB9" w14:textId="77777777" w:rsidR="009B7AF5" w:rsidRPr="005071A1" w:rsidRDefault="002477D1" w:rsidP="002477D1">
            <w:pPr>
              <w:pStyle w:val="ENoteTableText"/>
              <w:tabs>
                <w:tab w:val="center" w:leader="dot" w:pos="2268"/>
              </w:tabs>
            </w:pPr>
            <w:r w:rsidRPr="005071A1">
              <w:t>s.</w:t>
            </w:r>
            <w:r w:rsidR="009B7AF5" w:rsidRPr="005071A1">
              <w:t xml:space="preserve"> 81</w:t>
            </w:r>
            <w:r w:rsidR="009B7AF5" w:rsidRPr="005071A1">
              <w:tab/>
            </w:r>
          </w:p>
        </w:tc>
        <w:tc>
          <w:tcPr>
            <w:tcW w:w="4551" w:type="dxa"/>
          </w:tcPr>
          <w:p w14:paraId="2504BED3"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0436E25A" w14:textId="77777777" w:rsidTr="00962E93">
        <w:trPr>
          <w:cantSplit/>
        </w:trPr>
        <w:tc>
          <w:tcPr>
            <w:tcW w:w="2551" w:type="dxa"/>
          </w:tcPr>
          <w:p w14:paraId="62900D90" w14:textId="77777777" w:rsidR="009B7AF5" w:rsidRPr="005071A1" w:rsidRDefault="009B7AF5" w:rsidP="009B7AF5">
            <w:pPr>
              <w:pStyle w:val="ENoteTableText"/>
            </w:pPr>
          </w:p>
        </w:tc>
        <w:tc>
          <w:tcPr>
            <w:tcW w:w="4551" w:type="dxa"/>
          </w:tcPr>
          <w:p w14:paraId="4B6531DE" w14:textId="77777777" w:rsidR="009B7AF5" w:rsidRPr="005071A1" w:rsidRDefault="009B7AF5" w:rsidP="009B7AF5">
            <w:pPr>
              <w:pStyle w:val="ENoteTableText"/>
            </w:pPr>
            <w:r w:rsidRPr="005071A1">
              <w:t>am. No.</w:t>
            </w:r>
            <w:r w:rsidR="008B2950" w:rsidRPr="005071A1">
              <w:t> </w:t>
            </w:r>
            <w:r w:rsidRPr="005071A1">
              <w:t>53, 1942; No.</w:t>
            </w:r>
            <w:r w:rsidR="008B2950" w:rsidRPr="005071A1">
              <w:t> </w:t>
            </w:r>
            <w:r w:rsidRPr="005071A1">
              <w:t>32, 1976; No.</w:t>
            </w:r>
            <w:r w:rsidR="008B2950" w:rsidRPr="005071A1">
              <w:t> </w:t>
            </w:r>
            <w:r w:rsidRPr="005071A1">
              <w:t>17, 1978</w:t>
            </w:r>
          </w:p>
        </w:tc>
      </w:tr>
      <w:tr w:rsidR="009B7AF5" w:rsidRPr="005071A1" w14:paraId="34E2444E" w14:textId="77777777" w:rsidTr="00962E93">
        <w:trPr>
          <w:cantSplit/>
        </w:trPr>
        <w:tc>
          <w:tcPr>
            <w:tcW w:w="2551" w:type="dxa"/>
          </w:tcPr>
          <w:p w14:paraId="48963BDC" w14:textId="77777777" w:rsidR="009B7AF5" w:rsidRPr="005071A1" w:rsidRDefault="002477D1" w:rsidP="002477D1">
            <w:pPr>
              <w:pStyle w:val="ENoteTableText"/>
              <w:tabs>
                <w:tab w:val="center" w:leader="dot" w:pos="2268"/>
              </w:tabs>
            </w:pPr>
            <w:r w:rsidRPr="005071A1">
              <w:t>s.</w:t>
            </w:r>
            <w:r w:rsidR="009B7AF5" w:rsidRPr="005071A1">
              <w:t xml:space="preserve"> 82</w:t>
            </w:r>
            <w:r w:rsidR="009B7AF5" w:rsidRPr="005071A1">
              <w:tab/>
            </w:r>
          </w:p>
        </w:tc>
        <w:tc>
          <w:tcPr>
            <w:tcW w:w="4551" w:type="dxa"/>
          </w:tcPr>
          <w:p w14:paraId="4683445B"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0093049D" w14:textId="77777777" w:rsidTr="00962E93">
        <w:trPr>
          <w:cantSplit/>
        </w:trPr>
        <w:tc>
          <w:tcPr>
            <w:tcW w:w="2551" w:type="dxa"/>
          </w:tcPr>
          <w:p w14:paraId="676337BB" w14:textId="77777777" w:rsidR="009B7AF5" w:rsidRPr="005071A1" w:rsidRDefault="009B7AF5" w:rsidP="009B7AF5">
            <w:pPr>
              <w:pStyle w:val="ENoteTableText"/>
            </w:pPr>
          </w:p>
        </w:tc>
        <w:tc>
          <w:tcPr>
            <w:tcW w:w="4551" w:type="dxa"/>
          </w:tcPr>
          <w:p w14:paraId="645DE124" w14:textId="77777777" w:rsidR="009B7AF5" w:rsidRPr="005071A1" w:rsidRDefault="009B7AF5" w:rsidP="009B7AF5">
            <w:pPr>
              <w:pStyle w:val="ENoteTableText"/>
            </w:pPr>
            <w:r w:rsidRPr="005071A1">
              <w:t>am. No.</w:t>
            </w:r>
            <w:r w:rsidR="008B2950" w:rsidRPr="005071A1">
              <w:t> </w:t>
            </w:r>
            <w:r w:rsidRPr="005071A1">
              <w:t>53, 1942; No.</w:t>
            </w:r>
            <w:r w:rsidR="008B2950" w:rsidRPr="005071A1">
              <w:t> </w:t>
            </w:r>
            <w:r w:rsidRPr="005071A1">
              <w:t>2, 1946; No.</w:t>
            </w:r>
            <w:r w:rsidR="008B2950" w:rsidRPr="005071A1">
              <w:t> </w:t>
            </w:r>
            <w:r w:rsidRPr="005071A1">
              <w:t>35, 1947</w:t>
            </w:r>
          </w:p>
        </w:tc>
      </w:tr>
      <w:tr w:rsidR="009B7AF5" w:rsidRPr="005071A1" w14:paraId="53212236" w14:textId="77777777" w:rsidTr="00962E93">
        <w:trPr>
          <w:cantSplit/>
        </w:trPr>
        <w:tc>
          <w:tcPr>
            <w:tcW w:w="2551" w:type="dxa"/>
          </w:tcPr>
          <w:p w14:paraId="2324A90B" w14:textId="77777777" w:rsidR="009B7AF5" w:rsidRPr="005071A1" w:rsidRDefault="009B7AF5" w:rsidP="009B7AF5">
            <w:pPr>
              <w:pStyle w:val="ENoteTableText"/>
            </w:pPr>
          </w:p>
        </w:tc>
        <w:tc>
          <w:tcPr>
            <w:tcW w:w="4551" w:type="dxa"/>
          </w:tcPr>
          <w:p w14:paraId="5075D2B4" w14:textId="77777777" w:rsidR="009B7AF5" w:rsidRPr="005071A1" w:rsidRDefault="009B7AF5" w:rsidP="009B7AF5">
            <w:pPr>
              <w:pStyle w:val="ENoteTableText"/>
            </w:pPr>
            <w:r w:rsidRPr="005071A1">
              <w:t>rs. No.</w:t>
            </w:r>
            <w:r w:rsidR="008B2950" w:rsidRPr="005071A1">
              <w:t> </w:t>
            </w:r>
            <w:r w:rsidRPr="005071A1">
              <w:t>76, 1950</w:t>
            </w:r>
          </w:p>
        </w:tc>
      </w:tr>
      <w:tr w:rsidR="009B7AF5" w:rsidRPr="005071A1" w14:paraId="1479864B" w14:textId="77777777" w:rsidTr="00962E93">
        <w:trPr>
          <w:cantSplit/>
        </w:trPr>
        <w:tc>
          <w:tcPr>
            <w:tcW w:w="2551" w:type="dxa"/>
          </w:tcPr>
          <w:p w14:paraId="392A5978" w14:textId="77777777" w:rsidR="009B7AF5" w:rsidRPr="005071A1" w:rsidRDefault="009B7AF5" w:rsidP="009B7AF5">
            <w:pPr>
              <w:pStyle w:val="ENoteTableText"/>
            </w:pPr>
          </w:p>
        </w:tc>
        <w:tc>
          <w:tcPr>
            <w:tcW w:w="4551" w:type="dxa"/>
          </w:tcPr>
          <w:p w14:paraId="28B720FE" w14:textId="77777777" w:rsidR="009B7AF5" w:rsidRPr="005071A1" w:rsidRDefault="009B7AF5" w:rsidP="009B7AF5">
            <w:pPr>
              <w:pStyle w:val="ENoteTableText"/>
            </w:pPr>
            <w:r w:rsidRPr="005071A1">
              <w:t>am. No.</w:t>
            </w:r>
            <w:r w:rsidR="008B2950" w:rsidRPr="005071A1">
              <w:t> </w:t>
            </w:r>
            <w:r w:rsidRPr="005071A1">
              <w:t>49, 1951; No.</w:t>
            </w:r>
            <w:r w:rsidR="008B2950" w:rsidRPr="005071A1">
              <w:t> </w:t>
            </w:r>
            <w:r w:rsidRPr="005071A1">
              <w:t>11, 1954; No.</w:t>
            </w:r>
            <w:r w:rsidR="008B2950" w:rsidRPr="005071A1">
              <w:t> </w:t>
            </w:r>
            <w:r w:rsidRPr="005071A1">
              <w:t>102, 1959; No.</w:t>
            </w:r>
            <w:r w:rsidR="008B2950" w:rsidRPr="005071A1">
              <w:t> </w:t>
            </w:r>
            <w:r w:rsidRPr="005071A1">
              <w:t>97, 1965; No.</w:t>
            </w:r>
            <w:r w:rsidR="008B2950" w:rsidRPr="005071A1">
              <w:t> </w:t>
            </w:r>
            <w:r w:rsidRPr="005071A1">
              <w:t>86, 1966; No.</w:t>
            </w:r>
            <w:r w:rsidR="008B2950" w:rsidRPr="005071A1">
              <w:t> </w:t>
            </w:r>
            <w:r w:rsidRPr="005071A1">
              <w:t>32, 1976; No.</w:t>
            </w:r>
            <w:r w:rsidR="008B2950" w:rsidRPr="005071A1">
              <w:t> </w:t>
            </w:r>
            <w:r w:rsidRPr="005071A1">
              <w:t xml:space="preserve">17, 1978 </w:t>
            </w:r>
          </w:p>
        </w:tc>
      </w:tr>
      <w:tr w:rsidR="009B7AF5" w:rsidRPr="005071A1" w14:paraId="3A269BD3" w14:textId="77777777" w:rsidTr="00962E93">
        <w:trPr>
          <w:cantSplit/>
        </w:trPr>
        <w:tc>
          <w:tcPr>
            <w:tcW w:w="2551" w:type="dxa"/>
          </w:tcPr>
          <w:p w14:paraId="1521B2CE" w14:textId="77777777" w:rsidR="009B7AF5" w:rsidRPr="005071A1" w:rsidRDefault="002477D1" w:rsidP="002477D1">
            <w:pPr>
              <w:pStyle w:val="ENoteTableText"/>
              <w:tabs>
                <w:tab w:val="center" w:leader="dot" w:pos="2268"/>
              </w:tabs>
            </w:pPr>
            <w:r w:rsidRPr="005071A1">
              <w:t>s.</w:t>
            </w:r>
            <w:r w:rsidR="009B7AF5" w:rsidRPr="005071A1">
              <w:t xml:space="preserve"> 83</w:t>
            </w:r>
            <w:r w:rsidR="009B7AF5" w:rsidRPr="005071A1">
              <w:tab/>
            </w:r>
          </w:p>
        </w:tc>
        <w:tc>
          <w:tcPr>
            <w:tcW w:w="4551" w:type="dxa"/>
          </w:tcPr>
          <w:p w14:paraId="48D54E38"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43D7CD46" w14:textId="77777777" w:rsidTr="00962E93">
        <w:trPr>
          <w:cantSplit/>
        </w:trPr>
        <w:tc>
          <w:tcPr>
            <w:tcW w:w="2551" w:type="dxa"/>
          </w:tcPr>
          <w:p w14:paraId="7634D38D" w14:textId="77777777" w:rsidR="009B7AF5" w:rsidRPr="005071A1" w:rsidRDefault="009B7AF5" w:rsidP="009B7AF5">
            <w:pPr>
              <w:pStyle w:val="ENoteTableText"/>
            </w:pPr>
          </w:p>
        </w:tc>
        <w:tc>
          <w:tcPr>
            <w:tcW w:w="4551" w:type="dxa"/>
          </w:tcPr>
          <w:p w14:paraId="63A4C99F" w14:textId="77777777" w:rsidR="009B7AF5" w:rsidRPr="005071A1" w:rsidRDefault="009B7AF5" w:rsidP="009B7AF5">
            <w:pPr>
              <w:pStyle w:val="ENoteTableText"/>
            </w:pPr>
            <w:r w:rsidRPr="005071A1">
              <w:t>am. No.</w:t>
            </w:r>
            <w:r w:rsidR="008B2950" w:rsidRPr="005071A1">
              <w:t> </w:t>
            </w:r>
            <w:r w:rsidRPr="005071A1">
              <w:t>35, 1947</w:t>
            </w:r>
          </w:p>
        </w:tc>
      </w:tr>
      <w:tr w:rsidR="009B7AF5" w:rsidRPr="005071A1" w14:paraId="2FF990CB" w14:textId="77777777" w:rsidTr="00962E93">
        <w:trPr>
          <w:cantSplit/>
        </w:trPr>
        <w:tc>
          <w:tcPr>
            <w:tcW w:w="2551" w:type="dxa"/>
          </w:tcPr>
          <w:p w14:paraId="48EAE194" w14:textId="77777777" w:rsidR="009B7AF5" w:rsidRPr="005071A1" w:rsidRDefault="009B7AF5" w:rsidP="009B7AF5">
            <w:pPr>
              <w:pStyle w:val="ENoteTableText"/>
            </w:pPr>
          </w:p>
        </w:tc>
        <w:tc>
          <w:tcPr>
            <w:tcW w:w="4551" w:type="dxa"/>
          </w:tcPr>
          <w:p w14:paraId="75DCBADC" w14:textId="77777777" w:rsidR="009B7AF5" w:rsidRPr="005071A1" w:rsidRDefault="009B7AF5" w:rsidP="009B7AF5">
            <w:pPr>
              <w:pStyle w:val="ENoteTableText"/>
            </w:pPr>
            <w:r w:rsidRPr="005071A1">
              <w:t>rs. No.</w:t>
            </w:r>
            <w:r w:rsidR="008B2950" w:rsidRPr="005071A1">
              <w:t> </w:t>
            </w:r>
            <w:r w:rsidRPr="005071A1">
              <w:t>76, 1950</w:t>
            </w:r>
          </w:p>
        </w:tc>
      </w:tr>
      <w:tr w:rsidR="009B7AF5" w:rsidRPr="005071A1" w14:paraId="37DDD046" w14:textId="77777777" w:rsidTr="00962E93">
        <w:trPr>
          <w:cantSplit/>
        </w:trPr>
        <w:tc>
          <w:tcPr>
            <w:tcW w:w="2551" w:type="dxa"/>
          </w:tcPr>
          <w:p w14:paraId="143493CA" w14:textId="77777777" w:rsidR="009B7AF5" w:rsidRPr="005071A1" w:rsidRDefault="009B7AF5" w:rsidP="009B7AF5">
            <w:pPr>
              <w:pStyle w:val="ENoteTableText"/>
            </w:pPr>
          </w:p>
        </w:tc>
        <w:tc>
          <w:tcPr>
            <w:tcW w:w="4551" w:type="dxa"/>
          </w:tcPr>
          <w:p w14:paraId="40167045" w14:textId="77777777" w:rsidR="009B7AF5" w:rsidRPr="005071A1" w:rsidRDefault="009B7AF5" w:rsidP="009B7AF5">
            <w:pPr>
              <w:pStyle w:val="ENoteTableText"/>
            </w:pPr>
            <w:r w:rsidRPr="005071A1">
              <w:t>am. No.</w:t>
            </w:r>
            <w:r w:rsidR="008B2950" w:rsidRPr="005071A1">
              <w:t> </w:t>
            </w:r>
            <w:r w:rsidRPr="005071A1">
              <w:t>49, 1951; No.</w:t>
            </w:r>
            <w:r w:rsidR="008B2950" w:rsidRPr="005071A1">
              <w:t> </w:t>
            </w:r>
            <w:r w:rsidRPr="005071A1">
              <w:t>11, 1954; No.</w:t>
            </w:r>
            <w:r w:rsidR="008B2950" w:rsidRPr="005071A1">
              <w:t> </w:t>
            </w:r>
            <w:r w:rsidRPr="005071A1">
              <w:t>102, 1959; No.</w:t>
            </w:r>
            <w:r w:rsidR="008B2950" w:rsidRPr="005071A1">
              <w:t> </w:t>
            </w:r>
            <w:r w:rsidRPr="005071A1">
              <w:t>97, 1965</w:t>
            </w:r>
          </w:p>
        </w:tc>
      </w:tr>
      <w:tr w:rsidR="009B7AF5" w:rsidRPr="005071A1" w14:paraId="2842531E" w14:textId="77777777" w:rsidTr="00962E93">
        <w:trPr>
          <w:cantSplit/>
        </w:trPr>
        <w:tc>
          <w:tcPr>
            <w:tcW w:w="2551" w:type="dxa"/>
          </w:tcPr>
          <w:p w14:paraId="538BD2AA" w14:textId="77777777" w:rsidR="009B7AF5" w:rsidRPr="005071A1" w:rsidRDefault="009B7AF5" w:rsidP="009B7AF5">
            <w:pPr>
              <w:pStyle w:val="ENoteTableText"/>
            </w:pPr>
          </w:p>
        </w:tc>
        <w:tc>
          <w:tcPr>
            <w:tcW w:w="4551" w:type="dxa"/>
          </w:tcPr>
          <w:p w14:paraId="361D974E" w14:textId="77777777" w:rsidR="009B7AF5" w:rsidRPr="005071A1" w:rsidRDefault="009B7AF5" w:rsidP="009B7AF5">
            <w:pPr>
              <w:pStyle w:val="ENoteTableText"/>
            </w:pPr>
            <w:r w:rsidRPr="005071A1">
              <w:t>rs. No.</w:t>
            </w:r>
            <w:r w:rsidR="008B2950" w:rsidRPr="005071A1">
              <w:t> </w:t>
            </w:r>
            <w:r w:rsidRPr="005071A1">
              <w:t>86, 1966</w:t>
            </w:r>
          </w:p>
        </w:tc>
      </w:tr>
      <w:tr w:rsidR="009B7AF5" w:rsidRPr="005071A1" w14:paraId="63C3DC9C" w14:textId="77777777" w:rsidTr="00962E93">
        <w:trPr>
          <w:cantSplit/>
        </w:trPr>
        <w:tc>
          <w:tcPr>
            <w:tcW w:w="2551" w:type="dxa"/>
          </w:tcPr>
          <w:p w14:paraId="137B8031" w14:textId="77777777" w:rsidR="009B7AF5" w:rsidRPr="005071A1" w:rsidRDefault="009B7AF5" w:rsidP="009B7AF5">
            <w:pPr>
              <w:pStyle w:val="ENoteTableText"/>
            </w:pPr>
          </w:p>
        </w:tc>
        <w:tc>
          <w:tcPr>
            <w:tcW w:w="4551" w:type="dxa"/>
          </w:tcPr>
          <w:p w14:paraId="03F1868F"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1A5B947E" w14:textId="77777777" w:rsidTr="00962E93">
        <w:trPr>
          <w:cantSplit/>
        </w:trPr>
        <w:tc>
          <w:tcPr>
            <w:tcW w:w="2551" w:type="dxa"/>
          </w:tcPr>
          <w:p w14:paraId="6BF34381" w14:textId="77777777" w:rsidR="009B7AF5" w:rsidRPr="005071A1" w:rsidRDefault="002477D1" w:rsidP="002477D1">
            <w:pPr>
              <w:pStyle w:val="ENoteTableText"/>
              <w:tabs>
                <w:tab w:val="center" w:leader="dot" w:pos="2268"/>
              </w:tabs>
            </w:pPr>
            <w:r w:rsidRPr="005071A1">
              <w:t>s.</w:t>
            </w:r>
            <w:r w:rsidR="009B7AF5" w:rsidRPr="005071A1">
              <w:t xml:space="preserve"> 83A</w:t>
            </w:r>
            <w:r w:rsidR="009B7AF5" w:rsidRPr="005071A1">
              <w:tab/>
            </w:r>
          </w:p>
        </w:tc>
        <w:tc>
          <w:tcPr>
            <w:tcW w:w="4551" w:type="dxa"/>
          </w:tcPr>
          <w:p w14:paraId="6E71AF36"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31F2AF2B" w14:textId="77777777" w:rsidTr="00962E93">
        <w:trPr>
          <w:cantSplit/>
        </w:trPr>
        <w:tc>
          <w:tcPr>
            <w:tcW w:w="2551" w:type="dxa"/>
          </w:tcPr>
          <w:p w14:paraId="465C7293" w14:textId="77777777" w:rsidR="009B7AF5" w:rsidRPr="005071A1" w:rsidRDefault="009B7AF5" w:rsidP="009B7AF5">
            <w:pPr>
              <w:pStyle w:val="ENoteTableText"/>
            </w:pPr>
          </w:p>
        </w:tc>
        <w:tc>
          <w:tcPr>
            <w:tcW w:w="4551" w:type="dxa"/>
          </w:tcPr>
          <w:p w14:paraId="63A45235"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52E9EBA1" w14:textId="77777777" w:rsidTr="00962E93">
        <w:trPr>
          <w:cantSplit/>
        </w:trPr>
        <w:tc>
          <w:tcPr>
            <w:tcW w:w="2551" w:type="dxa"/>
          </w:tcPr>
          <w:p w14:paraId="4636DE63" w14:textId="77777777" w:rsidR="009B7AF5" w:rsidRPr="005071A1" w:rsidRDefault="002477D1" w:rsidP="002477D1">
            <w:pPr>
              <w:pStyle w:val="ENoteTableText"/>
              <w:tabs>
                <w:tab w:val="center" w:leader="dot" w:pos="2268"/>
              </w:tabs>
            </w:pPr>
            <w:r w:rsidRPr="005071A1">
              <w:t>s.</w:t>
            </w:r>
            <w:r w:rsidR="009B7AF5" w:rsidRPr="005071A1">
              <w:t xml:space="preserve"> 84</w:t>
            </w:r>
            <w:r w:rsidR="009B7AF5" w:rsidRPr="005071A1">
              <w:tab/>
            </w:r>
          </w:p>
        </w:tc>
        <w:tc>
          <w:tcPr>
            <w:tcW w:w="4551" w:type="dxa"/>
          </w:tcPr>
          <w:p w14:paraId="41FE46AB"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0B544D7E" w14:textId="77777777" w:rsidTr="00962E93">
        <w:trPr>
          <w:cantSplit/>
        </w:trPr>
        <w:tc>
          <w:tcPr>
            <w:tcW w:w="2551" w:type="dxa"/>
          </w:tcPr>
          <w:p w14:paraId="730173B3" w14:textId="77777777" w:rsidR="009B7AF5" w:rsidRPr="005071A1" w:rsidRDefault="009B7AF5" w:rsidP="009B7AF5">
            <w:pPr>
              <w:pStyle w:val="ENoteTableText"/>
            </w:pPr>
          </w:p>
        </w:tc>
        <w:tc>
          <w:tcPr>
            <w:tcW w:w="4551" w:type="dxa"/>
          </w:tcPr>
          <w:p w14:paraId="19C08FAB" w14:textId="77777777" w:rsidR="009B7AF5" w:rsidRPr="005071A1" w:rsidRDefault="009B7AF5" w:rsidP="009B7AF5">
            <w:pPr>
              <w:pStyle w:val="ENoteTableText"/>
            </w:pPr>
            <w:r w:rsidRPr="005071A1">
              <w:t>rs. No.</w:t>
            </w:r>
            <w:r w:rsidR="008B2950" w:rsidRPr="005071A1">
              <w:t> </w:t>
            </w:r>
            <w:r w:rsidRPr="005071A1">
              <w:t>102, 1959</w:t>
            </w:r>
          </w:p>
        </w:tc>
      </w:tr>
      <w:tr w:rsidR="009B7AF5" w:rsidRPr="005071A1" w14:paraId="7181F73D" w14:textId="77777777" w:rsidTr="00962E93">
        <w:trPr>
          <w:cantSplit/>
        </w:trPr>
        <w:tc>
          <w:tcPr>
            <w:tcW w:w="2551" w:type="dxa"/>
          </w:tcPr>
          <w:p w14:paraId="3C2DA15B" w14:textId="77777777" w:rsidR="009B7AF5" w:rsidRPr="005071A1" w:rsidRDefault="009B7AF5" w:rsidP="009B7AF5">
            <w:pPr>
              <w:pStyle w:val="ENoteTableText"/>
            </w:pPr>
          </w:p>
        </w:tc>
        <w:tc>
          <w:tcPr>
            <w:tcW w:w="4551" w:type="dxa"/>
          </w:tcPr>
          <w:p w14:paraId="3D93FDF2" w14:textId="77777777" w:rsidR="009B7AF5" w:rsidRPr="005071A1" w:rsidRDefault="009B7AF5" w:rsidP="009B7AF5">
            <w:pPr>
              <w:pStyle w:val="ENoteTableText"/>
            </w:pPr>
            <w:r w:rsidRPr="005071A1">
              <w:t>am. No.</w:t>
            </w:r>
            <w:r w:rsidR="008B2950" w:rsidRPr="005071A1">
              <w:t> </w:t>
            </w:r>
            <w:r w:rsidRPr="005071A1">
              <w:t>97, 1965</w:t>
            </w:r>
          </w:p>
        </w:tc>
      </w:tr>
      <w:tr w:rsidR="009B7AF5" w:rsidRPr="005071A1" w14:paraId="155F2B45" w14:textId="77777777" w:rsidTr="00962E93">
        <w:trPr>
          <w:cantSplit/>
        </w:trPr>
        <w:tc>
          <w:tcPr>
            <w:tcW w:w="2551" w:type="dxa"/>
          </w:tcPr>
          <w:p w14:paraId="21F6E68F" w14:textId="77777777" w:rsidR="009B7AF5" w:rsidRPr="005071A1" w:rsidRDefault="009B7AF5" w:rsidP="009B7AF5">
            <w:pPr>
              <w:pStyle w:val="ENoteTableText"/>
            </w:pPr>
          </w:p>
        </w:tc>
        <w:tc>
          <w:tcPr>
            <w:tcW w:w="4551" w:type="dxa"/>
          </w:tcPr>
          <w:p w14:paraId="17F7B81F" w14:textId="77777777" w:rsidR="009B7AF5" w:rsidRPr="005071A1" w:rsidRDefault="009B7AF5" w:rsidP="009B7AF5">
            <w:pPr>
              <w:pStyle w:val="ENoteTableText"/>
            </w:pPr>
            <w:r w:rsidRPr="005071A1">
              <w:t>rs. No.</w:t>
            </w:r>
            <w:r w:rsidR="008B2950" w:rsidRPr="005071A1">
              <w:t> </w:t>
            </w:r>
            <w:r w:rsidRPr="005071A1">
              <w:t>86, 1966; No.</w:t>
            </w:r>
            <w:r w:rsidR="008B2950" w:rsidRPr="005071A1">
              <w:t> </w:t>
            </w:r>
            <w:r w:rsidRPr="005071A1">
              <w:t>52, 1967</w:t>
            </w:r>
          </w:p>
        </w:tc>
      </w:tr>
      <w:tr w:rsidR="009B7AF5" w:rsidRPr="005071A1" w14:paraId="3620F87E" w14:textId="77777777" w:rsidTr="00962E93">
        <w:trPr>
          <w:cantSplit/>
        </w:trPr>
        <w:tc>
          <w:tcPr>
            <w:tcW w:w="2551" w:type="dxa"/>
          </w:tcPr>
          <w:p w14:paraId="7F0BBDC5" w14:textId="77777777" w:rsidR="009B7AF5" w:rsidRPr="005071A1" w:rsidRDefault="009B7AF5" w:rsidP="009B7AF5">
            <w:pPr>
              <w:pStyle w:val="ENoteTableText"/>
            </w:pPr>
          </w:p>
        </w:tc>
        <w:tc>
          <w:tcPr>
            <w:tcW w:w="4551" w:type="dxa"/>
          </w:tcPr>
          <w:p w14:paraId="007C2841"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70B65BA3" w14:textId="77777777" w:rsidTr="00962E93">
        <w:trPr>
          <w:cantSplit/>
        </w:trPr>
        <w:tc>
          <w:tcPr>
            <w:tcW w:w="2551" w:type="dxa"/>
          </w:tcPr>
          <w:p w14:paraId="29E9BA11" w14:textId="77777777" w:rsidR="009B7AF5" w:rsidRPr="005071A1" w:rsidRDefault="002477D1" w:rsidP="002477D1">
            <w:pPr>
              <w:pStyle w:val="ENoteTableText"/>
              <w:tabs>
                <w:tab w:val="center" w:leader="dot" w:pos="2268"/>
              </w:tabs>
            </w:pPr>
            <w:r w:rsidRPr="005071A1">
              <w:t>s.</w:t>
            </w:r>
            <w:r w:rsidR="009B7AF5" w:rsidRPr="005071A1">
              <w:t xml:space="preserve"> 85</w:t>
            </w:r>
            <w:r w:rsidR="009B7AF5" w:rsidRPr="005071A1">
              <w:tab/>
            </w:r>
          </w:p>
        </w:tc>
        <w:tc>
          <w:tcPr>
            <w:tcW w:w="4551" w:type="dxa"/>
          </w:tcPr>
          <w:p w14:paraId="0693D746"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19DBC1B7" w14:textId="77777777" w:rsidTr="00962E93">
        <w:trPr>
          <w:cantSplit/>
        </w:trPr>
        <w:tc>
          <w:tcPr>
            <w:tcW w:w="2551" w:type="dxa"/>
          </w:tcPr>
          <w:p w14:paraId="1EE679CC" w14:textId="77777777" w:rsidR="009B7AF5" w:rsidRPr="005071A1" w:rsidRDefault="009B7AF5" w:rsidP="009B7AF5">
            <w:pPr>
              <w:pStyle w:val="ENoteTableText"/>
            </w:pPr>
          </w:p>
        </w:tc>
        <w:tc>
          <w:tcPr>
            <w:tcW w:w="4551" w:type="dxa"/>
          </w:tcPr>
          <w:p w14:paraId="0ADB4B13"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32, 1976</w:t>
            </w:r>
          </w:p>
        </w:tc>
      </w:tr>
      <w:tr w:rsidR="009B7AF5" w:rsidRPr="005071A1" w14:paraId="11DA9257" w14:textId="77777777" w:rsidTr="00962E93">
        <w:trPr>
          <w:cantSplit/>
        </w:trPr>
        <w:tc>
          <w:tcPr>
            <w:tcW w:w="2551" w:type="dxa"/>
          </w:tcPr>
          <w:p w14:paraId="1EA34A98" w14:textId="77777777" w:rsidR="009B7AF5" w:rsidRPr="005071A1" w:rsidRDefault="002477D1" w:rsidP="002477D1">
            <w:pPr>
              <w:pStyle w:val="ENoteTableText"/>
              <w:tabs>
                <w:tab w:val="center" w:leader="dot" w:pos="2268"/>
              </w:tabs>
            </w:pPr>
            <w:r w:rsidRPr="005071A1">
              <w:t>s.</w:t>
            </w:r>
            <w:r w:rsidR="009B7AF5" w:rsidRPr="005071A1">
              <w:t xml:space="preserve"> 86</w:t>
            </w:r>
            <w:r w:rsidR="009B7AF5" w:rsidRPr="005071A1">
              <w:tab/>
            </w:r>
          </w:p>
        </w:tc>
        <w:tc>
          <w:tcPr>
            <w:tcW w:w="4551" w:type="dxa"/>
          </w:tcPr>
          <w:p w14:paraId="79717D23" w14:textId="77777777" w:rsidR="009B7AF5" w:rsidRPr="005071A1" w:rsidRDefault="009B7AF5" w:rsidP="009B7AF5">
            <w:pPr>
              <w:pStyle w:val="ENoteTableText"/>
            </w:pPr>
            <w:r w:rsidRPr="005071A1">
              <w:t>ad. No.</w:t>
            </w:r>
            <w:r w:rsidR="008B2950" w:rsidRPr="005071A1">
              <w:t> </w:t>
            </w:r>
            <w:r w:rsidRPr="005071A1">
              <w:t>49, 1951</w:t>
            </w:r>
          </w:p>
        </w:tc>
      </w:tr>
      <w:tr w:rsidR="009B7AF5" w:rsidRPr="005071A1" w14:paraId="25BF4AB0" w14:textId="77777777" w:rsidTr="00962E93">
        <w:trPr>
          <w:cantSplit/>
        </w:trPr>
        <w:tc>
          <w:tcPr>
            <w:tcW w:w="2551" w:type="dxa"/>
          </w:tcPr>
          <w:p w14:paraId="092CD95E" w14:textId="77777777" w:rsidR="009B7AF5" w:rsidRPr="005071A1" w:rsidRDefault="009B7AF5" w:rsidP="009B7AF5">
            <w:pPr>
              <w:pStyle w:val="ENoteTableText"/>
            </w:pPr>
          </w:p>
        </w:tc>
        <w:tc>
          <w:tcPr>
            <w:tcW w:w="4551" w:type="dxa"/>
          </w:tcPr>
          <w:p w14:paraId="189BA2BF" w14:textId="77777777" w:rsidR="009B7AF5" w:rsidRPr="005071A1" w:rsidRDefault="009B7AF5" w:rsidP="009B7AF5">
            <w:pPr>
              <w:pStyle w:val="ENoteTableText"/>
            </w:pPr>
            <w:r w:rsidRPr="005071A1">
              <w:t>rs. No.</w:t>
            </w:r>
            <w:r w:rsidR="008B2950" w:rsidRPr="005071A1">
              <w:t> </w:t>
            </w:r>
            <w:r w:rsidRPr="005071A1">
              <w:t>112, 1956</w:t>
            </w:r>
          </w:p>
        </w:tc>
      </w:tr>
      <w:tr w:rsidR="009B7AF5" w:rsidRPr="005071A1" w14:paraId="64C1749E" w14:textId="77777777" w:rsidTr="00962E93">
        <w:trPr>
          <w:cantSplit/>
        </w:trPr>
        <w:tc>
          <w:tcPr>
            <w:tcW w:w="2551" w:type="dxa"/>
          </w:tcPr>
          <w:p w14:paraId="36A0F87C" w14:textId="77777777" w:rsidR="009B7AF5" w:rsidRPr="005071A1" w:rsidRDefault="009B7AF5" w:rsidP="009B7AF5">
            <w:pPr>
              <w:pStyle w:val="ENoteTableText"/>
            </w:pPr>
          </w:p>
        </w:tc>
        <w:tc>
          <w:tcPr>
            <w:tcW w:w="4551" w:type="dxa"/>
          </w:tcPr>
          <w:p w14:paraId="58698FE0"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102, 1963; No.</w:t>
            </w:r>
            <w:r w:rsidR="008B2950" w:rsidRPr="005071A1">
              <w:t> </w:t>
            </w:r>
            <w:r w:rsidRPr="005071A1">
              <w:t>69, 1966</w:t>
            </w:r>
          </w:p>
        </w:tc>
      </w:tr>
      <w:tr w:rsidR="009B7AF5" w:rsidRPr="005071A1" w14:paraId="7505B74C" w14:textId="77777777" w:rsidTr="00962E93">
        <w:trPr>
          <w:cantSplit/>
        </w:trPr>
        <w:tc>
          <w:tcPr>
            <w:tcW w:w="2551" w:type="dxa"/>
          </w:tcPr>
          <w:p w14:paraId="6CA3AEFB" w14:textId="77777777" w:rsidR="009B7AF5" w:rsidRPr="005071A1" w:rsidRDefault="009B7AF5" w:rsidP="009B7AF5">
            <w:pPr>
              <w:pStyle w:val="ENoteTableText"/>
            </w:pPr>
          </w:p>
        </w:tc>
        <w:tc>
          <w:tcPr>
            <w:tcW w:w="4551" w:type="dxa"/>
          </w:tcPr>
          <w:p w14:paraId="5E7CCE5D" w14:textId="77777777" w:rsidR="009B7AF5" w:rsidRPr="005071A1" w:rsidRDefault="009B7AF5" w:rsidP="009B7AF5">
            <w:pPr>
              <w:pStyle w:val="ENoteTableText"/>
            </w:pPr>
            <w:r w:rsidRPr="005071A1">
              <w:t>rs. No.</w:t>
            </w:r>
            <w:r w:rsidR="008B2950" w:rsidRPr="005071A1">
              <w:t> </w:t>
            </w:r>
            <w:r w:rsidRPr="005071A1">
              <w:t>46, 1971</w:t>
            </w:r>
          </w:p>
        </w:tc>
      </w:tr>
      <w:tr w:rsidR="009B7AF5" w:rsidRPr="005071A1" w14:paraId="2717199E" w14:textId="77777777" w:rsidTr="00962E93">
        <w:trPr>
          <w:cantSplit/>
        </w:trPr>
        <w:tc>
          <w:tcPr>
            <w:tcW w:w="2551" w:type="dxa"/>
          </w:tcPr>
          <w:p w14:paraId="7755E5ED" w14:textId="77777777" w:rsidR="009B7AF5" w:rsidRPr="005071A1" w:rsidRDefault="002477D1" w:rsidP="002477D1">
            <w:pPr>
              <w:pStyle w:val="ENoteTableText"/>
              <w:tabs>
                <w:tab w:val="center" w:leader="dot" w:pos="2268"/>
              </w:tabs>
            </w:pPr>
            <w:r w:rsidRPr="005071A1">
              <w:t>s.</w:t>
            </w:r>
            <w:r w:rsidR="009B7AF5" w:rsidRPr="005071A1">
              <w:t xml:space="preserve"> 87</w:t>
            </w:r>
            <w:r w:rsidR="009B7AF5" w:rsidRPr="005071A1">
              <w:tab/>
            </w:r>
          </w:p>
        </w:tc>
        <w:tc>
          <w:tcPr>
            <w:tcW w:w="4551" w:type="dxa"/>
          </w:tcPr>
          <w:p w14:paraId="3562B719"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175CCE9F" w14:textId="77777777" w:rsidTr="00962E93">
        <w:trPr>
          <w:cantSplit/>
        </w:trPr>
        <w:tc>
          <w:tcPr>
            <w:tcW w:w="2551" w:type="dxa"/>
          </w:tcPr>
          <w:p w14:paraId="3C3E8C94" w14:textId="77777777" w:rsidR="009B7AF5" w:rsidRPr="005071A1" w:rsidRDefault="009B7AF5" w:rsidP="009B7AF5">
            <w:pPr>
              <w:pStyle w:val="ENoteTableText"/>
            </w:pPr>
          </w:p>
        </w:tc>
        <w:tc>
          <w:tcPr>
            <w:tcW w:w="4551" w:type="dxa"/>
          </w:tcPr>
          <w:p w14:paraId="46A3DCDC"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3108C608" w14:textId="77777777" w:rsidTr="00962E93">
        <w:trPr>
          <w:cantSplit/>
        </w:trPr>
        <w:tc>
          <w:tcPr>
            <w:tcW w:w="2551" w:type="dxa"/>
          </w:tcPr>
          <w:p w14:paraId="5E6F7669" w14:textId="77777777" w:rsidR="009B7AF5" w:rsidRPr="005071A1" w:rsidRDefault="009B7AF5" w:rsidP="009B7AF5">
            <w:pPr>
              <w:pStyle w:val="ENoteTableText"/>
            </w:pPr>
          </w:p>
        </w:tc>
        <w:tc>
          <w:tcPr>
            <w:tcW w:w="4551" w:type="dxa"/>
          </w:tcPr>
          <w:p w14:paraId="751E9360" w14:textId="77777777" w:rsidR="009B7AF5" w:rsidRPr="005071A1" w:rsidRDefault="009B7AF5" w:rsidP="009B7AF5">
            <w:pPr>
              <w:pStyle w:val="ENoteTableText"/>
            </w:pPr>
            <w:r w:rsidRPr="005071A1">
              <w:t>rs. No.</w:t>
            </w:r>
            <w:r w:rsidR="008B2950" w:rsidRPr="005071A1">
              <w:t> </w:t>
            </w:r>
            <w:r w:rsidRPr="005071A1">
              <w:t>97, 1965; No.</w:t>
            </w:r>
            <w:r w:rsidR="008B2950" w:rsidRPr="005071A1">
              <w:t> </w:t>
            </w:r>
            <w:r w:rsidRPr="005071A1">
              <w:t>57, 1968</w:t>
            </w:r>
          </w:p>
        </w:tc>
      </w:tr>
      <w:tr w:rsidR="009B7AF5" w:rsidRPr="005071A1" w14:paraId="63E24CEE" w14:textId="77777777" w:rsidTr="00962E93">
        <w:trPr>
          <w:cantSplit/>
        </w:trPr>
        <w:tc>
          <w:tcPr>
            <w:tcW w:w="2551" w:type="dxa"/>
          </w:tcPr>
          <w:p w14:paraId="38A1F9FF" w14:textId="77777777" w:rsidR="009B7AF5" w:rsidRPr="005071A1" w:rsidRDefault="009B7AF5" w:rsidP="009B7AF5">
            <w:pPr>
              <w:pStyle w:val="ENoteTableText"/>
            </w:pPr>
          </w:p>
        </w:tc>
        <w:tc>
          <w:tcPr>
            <w:tcW w:w="4551" w:type="dxa"/>
          </w:tcPr>
          <w:p w14:paraId="3900845A"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848BED7" w14:textId="77777777" w:rsidTr="00962E93">
        <w:trPr>
          <w:cantSplit/>
        </w:trPr>
        <w:tc>
          <w:tcPr>
            <w:tcW w:w="2551" w:type="dxa"/>
          </w:tcPr>
          <w:p w14:paraId="7BAE374D" w14:textId="77777777" w:rsidR="009B7AF5" w:rsidRPr="005071A1" w:rsidRDefault="002477D1" w:rsidP="002477D1">
            <w:pPr>
              <w:pStyle w:val="ENoteTableText"/>
              <w:tabs>
                <w:tab w:val="center" w:leader="dot" w:pos="2268"/>
              </w:tabs>
            </w:pPr>
            <w:r w:rsidRPr="005071A1">
              <w:t>s.</w:t>
            </w:r>
            <w:r w:rsidR="009B7AF5" w:rsidRPr="005071A1">
              <w:t xml:space="preserve"> 87A</w:t>
            </w:r>
            <w:r w:rsidR="009B7AF5" w:rsidRPr="005071A1">
              <w:tab/>
            </w:r>
          </w:p>
        </w:tc>
        <w:tc>
          <w:tcPr>
            <w:tcW w:w="4551" w:type="dxa"/>
          </w:tcPr>
          <w:p w14:paraId="658C73F1"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148CF4D9" w14:textId="77777777" w:rsidTr="00962E93">
        <w:trPr>
          <w:cantSplit/>
        </w:trPr>
        <w:tc>
          <w:tcPr>
            <w:tcW w:w="2551" w:type="dxa"/>
          </w:tcPr>
          <w:p w14:paraId="79CE1339" w14:textId="77777777" w:rsidR="009B7AF5" w:rsidRPr="005071A1" w:rsidRDefault="009B7AF5" w:rsidP="009B7AF5">
            <w:pPr>
              <w:pStyle w:val="ENoteTableText"/>
            </w:pPr>
          </w:p>
        </w:tc>
        <w:tc>
          <w:tcPr>
            <w:tcW w:w="4551" w:type="dxa"/>
          </w:tcPr>
          <w:p w14:paraId="71C458BB" w14:textId="77777777" w:rsidR="009B7AF5" w:rsidRPr="005071A1" w:rsidRDefault="009B7AF5" w:rsidP="009B7AF5">
            <w:pPr>
              <w:pStyle w:val="ENoteTableText"/>
            </w:pPr>
            <w:r w:rsidRPr="005071A1">
              <w:t>am. No.</w:t>
            </w:r>
            <w:r w:rsidR="008B2950" w:rsidRPr="005071A1">
              <w:t> </w:t>
            </w:r>
            <w:r w:rsidRPr="005071A1">
              <w:t>57, 1968; No.</w:t>
            </w:r>
            <w:r w:rsidR="008B2950" w:rsidRPr="005071A1">
              <w:t> </w:t>
            </w:r>
            <w:r w:rsidRPr="005071A1">
              <w:t>17, 1978</w:t>
            </w:r>
          </w:p>
        </w:tc>
      </w:tr>
      <w:tr w:rsidR="009B7AF5" w:rsidRPr="005071A1" w14:paraId="53A21B2E" w14:textId="77777777" w:rsidTr="00962E93">
        <w:trPr>
          <w:cantSplit/>
        </w:trPr>
        <w:tc>
          <w:tcPr>
            <w:tcW w:w="2551" w:type="dxa"/>
          </w:tcPr>
          <w:p w14:paraId="7E99E67F" w14:textId="77777777" w:rsidR="009B7AF5" w:rsidRPr="005071A1" w:rsidRDefault="002477D1" w:rsidP="002477D1">
            <w:pPr>
              <w:pStyle w:val="ENoteTableText"/>
              <w:tabs>
                <w:tab w:val="center" w:leader="dot" w:pos="2268"/>
              </w:tabs>
            </w:pPr>
            <w:r w:rsidRPr="005071A1">
              <w:t>s.</w:t>
            </w:r>
            <w:r w:rsidR="009B7AF5" w:rsidRPr="005071A1">
              <w:t xml:space="preserve"> 87B</w:t>
            </w:r>
            <w:r w:rsidR="009B7AF5" w:rsidRPr="005071A1">
              <w:tab/>
            </w:r>
          </w:p>
        </w:tc>
        <w:tc>
          <w:tcPr>
            <w:tcW w:w="4551" w:type="dxa"/>
          </w:tcPr>
          <w:p w14:paraId="712C82C8"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477B83B7" w14:textId="77777777" w:rsidTr="00962E93">
        <w:trPr>
          <w:cantSplit/>
        </w:trPr>
        <w:tc>
          <w:tcPr>
            <w:tcW w:w="2551" w:type="dxa"/>
          </w:tcPr>
          <w:p w14:paraId="0CF99C8A" w14:textId="77777777" w:rsidR="009B7AF5" w:rsidRPr="005071A1" w:rsidRDefault="009B7AF5" w:rsidP="009B7AF5">
            <w:pPr>
              <w:pStyle w:val="ENoteTableText"/>
            </w:pPr>
          </w:p>
        </w:tc>
        <w:tc>
          <w:tcPr>
            <w:tcW w:w="4551" w:type="dxa"/>
          </w:tcPr>
          <w:p w14:paraId="5EF71207" w14:textId="77777777" w:rsidR="009B7AF5" w:rsidRPr="005071A1" w:rsidRDefault="009B7AF5" w:rsidP="009B7AF5">
            <w:pPr>
              <w:pStyle w:val="ENoteTableText"/>
            </w:pPr>
            <w:r w:rsidRPr="005071A1">
              <w:t>am. No.</w:t>
            </w:r>
            <w:r w:rsidR="008B2950" w:rsidRPr="005071A1">
              <w:t> </w:t>
            </w:r>
            <w:r w:rsidRPr="005071A1">
              <w:t>216, 1973; No.</w:t>
            </w:r>
            <w:r w:rsidR="008B2950" w:rsidRPr="005071A1">
              <w:t> </w:t>
            </w:r>
            <w:r w:rsidRPr="005071A1">
              <w:t>32, 1976; No.</w:t>
            </w:r>
            <w:r w:rsidR="008B2950" w:rsidRPr="005071A1">
              <w:t> </w:t>
            </w:r>
            <w:r w:rsidRPr="005071A1">
              <w:t>17, 1978</w:t>
            </w:r>
          </w:p>
        </w:tc>
      </w:tr>
      <w:tr w:rsidR="009B7AF5" w:rsidRPr="005071A1" w14:paraId="3711D1D4" w14:textId="77777777" w:rsidTr="00962E93">
        <w:trPr>
          <w:cantSplit/>
        </w:trPr>
        <w:tc>
          <w:tcPr>
            <w:tcW w:w="2551" w:type="dxa"/>
          </w:tcPr>
          <w:p w14:paraId="6878CFE8" w14:textId="77777777" w:rsidR="009B7AF5" w:rsidRPr="005071A1" w:rsidRDefault="002477D1" w:rsidP="002477D1">
            <w:pPr>
              <w:pStyle w:val="ENoteTableText"/>
              <w:tabs>
                <w:tab w:val="center" w:leader="dot" w:pos="2268"/>
              </w:tabs>
            </w:pPr>
            <w:r w:rsidRPr="005071A1">
              <w:t>s.</w:t>
            </w:r>
            <w:r w:rsidR="009B7AF5" w:rsidRPr="005071A1">
              <w:t xml:space="preserve"> 87C</w:t>
            </w:r>
            <w:r w:rsidR="009B7AF5" w:rsidRPr="005071A1">
              <w:tab/>
            </w:r>
          </w:p>
        </w:tc>
        <w:tc>
          <w:tcPr>
            <w:tcW w:w="4551" w:type="dxa"/>
          </w:tcPr>
          <w:p w14:paraId="7DCCDB9B"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54911D72" w14:textId="77777777" w:rsidTr="00962E93">
        <w:trPr>
          <w:cantSplit/>
        </w:trPr>
        <w:tc>
          <w:tcPr>
            <w:tcW w:w="2551" w:type="dxa"/>
          </w:tcPr>
          <w:p w14:paraId="41AB8A0E" w14:textId="77777777" w:rsidR="009B7AF5" w:rsidRPr="005071A1" w:rsidRDefault="002477D1" w:rsidP="002477D1">
            <w:pPr>
              <w:pStyle w:val="ENoteTableText"/>
              <w:tabs>
                <w:tab w:val="center" w:leader="dot" w:pos="2268"/>
              </w:tabs>
            </w:pPr>
            <w:r w:rsidRPr="005071A1">
              <w:t>s.</w:t>
            </w:r>
            <w:r w:rsidR="009B7AF5" w:rsidRPr="005071A1">
              <w:t xml:space="preserve"> 87D</w:t>
            </w:r>
            <w:r w:rsidR="009B7AF5" w:rsidRPr="005071A1">
              <w:tab/>
            </w:r>
          </w:p>
        </w:tc>
        <w:tc>
          <w:tcPr>
            <w:tcW w:w="4551" w:type="dxa"/>
          </w:tcPr>
          <w:p w14:paraId="6CDC2555"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726B66E2" w14:textId="77777777" w:rsidTr="00962E93">
        <w:trPr>
          <w:cantSplit/>
        </w:trPr>
        <w:tc>
          <w:tcPr>
            <w:tcW w:w="2551" w:type="dxa"/>
          </w:tcPr>
          <w:p w14:paraId="5E238A16" w14:textId="77777777" w:rsidR="009B7AF5" w:rsidRPr="005071A1" w:rsidRDefault="009B7AF5" w:rsidP="009B7AF5">
            <w:pPr>
              <w:pStyle w:val="ENoteTableText"/>
            </w:pPr>
          </w:p>
        </w:tc>
        <w:tc>
          <w:tcPr>
            <w:tcW w:w="4551" w:type="dxa"/>
          </w:tcPr>
          <w:p w14:paraId="14754882" w14:textId="77777777" w:rsidR="009B7AF5" w:rsidRPr="005071A1" w:rsidRDefault="009B7AF5" w:rsidP="009B7AF5">
            <w:pPr>
              <w:pStyle w:val="ENoteTableText"/>
            </w:pPr>
            <w:r w:rsidRPr="005071A1">
              <w:t>am. No.</w:t>
            </w:r>
            <w:r w:rsidR="008B2950" w:rsidRPr="005071A1">
              <w:t> </w:t>
            </w:r>
            <w:r w:rsidRPr="005071A1">
              <w:t>57, 1968</w:t>
            </w:r>
          </w:p>
        </w:tc>
      </w:tr>
      <w:tr w:rsidR="009B7AF5" w:rsidRPr="005071A1" w14:paraId="1CC7F8A8" w14:textId="77777777" w:rsidTr="00962E93">
        <w:trPr>
          <w:cantSplit/>
        </w:trPr>
        <w:tc>
          <w:tcPr>
            <w:tcW w:w="2551" w:type="dxa"/>
          </w:tcPr>
          <w:p w14:paraId="1D56ED21" w14:textId="77777777" w:rsidR="009B7AF5" w:rsidRPr="005071A1" w:rsidRDefault="002477D1" w:rsidP="002477D1">
            <w:pPr>
              <w:pStyle w:val="ENoteTableText"/>
              <w:tabs>
                <w:tab w:val="center" w:leader="dot" w:pos="2268"/>
              </w:tabs>
            </w:pPr>
            <w:r w:rsidRPr="005071A1">
              <w:t>s.</w:t>
            </w:r>
            <w:r w:rsidR="009B7AF5" w:rsidRPr="005071A1">
              <w:t xml:space="preserve"> 88</w:t>
            </w:r>
            <w:r w:rsidR="009B7AF5" w:rsidRPr="005071A1">
              <w:tab/>
            </w:r>
          </w:p>
        </w:tc>
        <w:tc>
          <w:tcPr>
            <w:tcW w:w="4551" w:type="dxa"/>
          </w:tcPr>
          <w:p w14:paraId="2AD3DCBD" w14:textId="77777777" w:rsidR="009B7AF5" w:rsidRPr="005071A1" w:rsidRDefault="009B7AF5" w:rsidP="009B7AF5">
            <w:pPr>
              <w:pStyle w:val="ENoteTableText"/>
            </w:pPr>
            <w:r w:rsidRPr="005071A1">
              <w:t>ad. No.</w:t>
            </w:r>
            <w:r w:rsidR="008B2950" w:rsidRPr="005071A1">
              <w:t> </w:t>
            </w:r>
            <w:r w:rsidRPr="005071A1">
              <w:t>11, 1954</w:t>
            </w:r>
          </w:p>
        </w:tc>
      </w:tr>
      <w:tr w:rsidR="009B7AF5" w:rsidRPr="005071A1" w14:paraId="71088FEC" w14:textId="77777777" w:rsidTr="00962E93">
        <w:trPr>
          <w:cantSplit/>
        </w:trPr>
        <w:tc>
          <w:tcPr>
            <w:tcW w:w="2551" w:type="dxa"/>
          </w:tcPr>
          <w:p w14:paraId="3E9B0F23" w14:textId="77777777" w:rsidR="009B7AF5" w:rsidRPr="005071A1" w:rsidRDefault="009B7AF5" w:rsidP="009B7AF5">
            <w:pPr>
              <w:pStyle w:val="ENoteTableText"/>
            </w:pPr>
          </w:p>
        </w:tc>
        <w:tc>
          <w:tcPr>
            <w:tcW w:w="4551" w:type="dxa"/>
          </w:tcPr>
          <w:p w14:paraId="5DA07DD7" w14:textId="77777777" w:rsidR="009B7AF5" w:rsidRPr="005071A1" w:rsidRDefault="009B7AF5" w:rsidP="009B7AF5">
            <w:pPr>
              <w:pStyle w:val="ENoteTableText"/>
            </w:pPr>
            <w:r w:rsidRPr="005071A1">
              <w:t>rs. No.</w:t>
            </w:r>
            <w:r w:rsidR="008B2950" w:rsidRPr="005071A1">
              <w:t> </w:t>
            </w:r>
            <w:r w:rsidRPr="005071A1">
              <w:t>102, 1963; No.</w:t>
            </w:r>
            <w:r w:rsidR="008B2950" w:rsidRPr="005071A1">
              <w:t> </w:t>
            </w:r>
            <w:r w:rsidRPr="005071A1">
              <w:t>46, 1971</w:t>
            </w:r>
          </w:p>
        </w:tc>
      </w:tr>
      <w:tr w:rsidR="009B7AF5" w:rsidRPr="005071A1" w14:paraId="74582AEA" w14:textId="77777777" w:rsidTr="00962E93">
        <w:trPr>
          <w:cantSplit/>
        </w:trPr>
        <w:tc>
          <w:tcPr>
            <w:tcW w:w="2551" w:type="dxa"/>
          </w:tcPr>
          <w:p w14:paraId="7086435F" w14:textId="77777777" w:rsidR="009B7AF5" w:rsidRPr="005071A1" w:rsidRDefault="009B7AF5" w:rsidP="009B7AF5">
            <w:pPr>
              <w:pStyle w:val="ENoteTableText"/>
            </w:pPr>
          </w:p>
        </w:tc>
        <w:tc>
          <w:tcPr>
            <w:tcW w:w="4551" w:type="dxa"/>
          </w:tcPr>
          <w:p w14:paraId="69D3906A" w14:textId="77777777" w:rsidR="009B7AF5" w:rsidRPr="005071A1" w:rsidRDefault="009B7AF5" w:rsidP="009B7AF5">
            <w:pPr>
              <w:pStyle w:val="ENoteTableText"/>
            </w:pPr>
            <w:r w:rsidRPr="005071A1">
              <w:t>am. No.</w:t>
            </w:r>
            <w:r w:rsidR="008B2950" w:rsidRPr="005071A1">
              <w:t> </w:t>
            </w:r>
            <w:r w:rsidRPr="005071A1">
              <w:t>59, 1974; No.</w:t>
            </w:r>
            <w:r w:rsidR="008B2950" w:rsidRPr="005071A1">
              <w:t> </w:t>
            </w:r>
            <w:r w:rsidRPr="005071A1">
              <w:t>32, 1976; No.</w:t>
            </w:r>
            <w:r w:rsidR="008B2950" w:rsidRPr="005071A1">
              <w:t> </w:t>
            </w:r>
            <w:r w:rsidRPr="005071A1">
              <w:t>17, 1978; No.</w:t>
            </w:r>
            <w:r w:rsidR="008B2950" w:rsidRPr="005071A1">
              <w:t> </w:t>
            </w:r>
            <w:r w:rsidRPr="005071A1">
              <w:t>8, 2005</w:t>
            </w:r>
            <w:r w:rsidR="00F83505" w:rsidRPr="005071A1">
              <w:t>; No 31, 2014</w:t>
            </w:r>
          </w:p>
        </w:tc>
      </w:tr>
      <w:tr w:rsidR="009B7AF5" w:rsidRPr="005071A1" w14:paraId="008B93E3" w14:textId="77777777" w:rsidTr="00962E93">
        <w:trPr>
          <w:cantSplit/>
        </w:trPr>
        <w:tc>
          <w:tcPr>
            <w:tcW w:w="2551" w:type="dxa"/>
          </w:tcPr>
          <w:p w14:paraId="75734F3C" w14:textId="77777777" w:rsidR="009B7AF5" w:rsidRPr="005071A1" w:rsidRDefault="002477D1" w:rsidP="002477D1">
            <w:pPr>
              <w:pStyle w:val="ENoteTableText"/>
              <w:tabs>
                <w:tab w:val="center" w:leader="dot" w:pos="2268"/>
              </w:tabs>
            </w:pPr>
            <w:r w:rsidRPr="005071A1">
              <w:t>s.</w:t>
            </w:r>
            <w:r w:rsidR="009B7AF5" w:rsidRPr="005071A1">
              <w:t xml:space="preserve"> 89</w:t>
            </w:r>
            <w:r w:rsidR="009B7AF5" w:rsidRPr="005071A1">
              <w:tab/>
            </w:r>
          </w:p>
        </w:tc>
        <w:tc>
          <w:tcPr>
            <w:tcW w:w="4551" w:type="dxa"/>
          </w:tcPr>
          <w:p w14:paraId="63B3B74B"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2251D665" w14:textId="77777777" w:rsidTr="00962E93">
        <w:trPr>
          <w:cantSplit/>
        </w:trPr>
        <w:tc>
          <w:tcPr>
            <w:tcW w:w="2551" w:type="dxa"/>
          </w:tcPr>
          <w:p w14:paraId="05B52490" w14:textId="77777777" w:rsidR="009B7AF5" w:rsidRPr="005071A1" w:rsidRDefault="009B7AF5" w:rsidP="009B7AF5">
            <w:pPr>
              <w:pStyle w:val="ENoteTableText"/>
            </w:pPr>
          </w:p>
        </w:tc>
        <w:tc>
          <w:tcPr>
            <w:tcW w:w="4551" w:type="dxa"/>
          </w:tcPr>
          <w:p w14:paraId="11486B87" w14:textId="77777777" w:rsidR="009B7AF5" w:rsidRPr="005071A1" w:rsidRDefault="009B7AF5" w:rsidP="009B7AF5">
            <w:pPr>
              <w:pStyle w:val="ENoteTableText"/>
            </w:pPr>
            <w:r w:rsidRPr="005071A1">
              <w:t>am. No.</w:t>
            </w:r>
            <w:r w:rsidR="008B2950" w:rsidRPr="005071A1">
              <w:t> </w:t>
            </w:r>
            <w:r w:rsidRPr="005071A1">
              <w:t>32, 1976</w:t>
            </w:r>
          </w:p>
        </w:tc>
      </w:tr>
      <w:tr w:rsidR="009B7AF5" w:rsidRPr="005071A1" w14:paraId="7078A0CC" w14:textId="77777777" w:rsidTr="00962E93">
        <w:trPr>
          <w:cantSplit/>
        </w:trPr>
        <w:tc>
          <w:tcPr>
            <w:tcW w:w="2551" w:type="dxa"/>
          </w:tcPr>
          <w:p w14:paraId="389AABAD" w14:textId="77777777" w:rsidR="009B7AF5" w:rsidRPr="005071A1" w:rsidRDefault="002477D1" w:rsidP="002477D1">
            <w:pPr>
              <w:pStyle w:val="ENoteTableText"/>
              <w:tabs>
                <w:tab w:val="center" w:leader="dot" w:pos="2268"/>
              </w:tabs>
            </w:pPr>
            <w:r w:rsidRPr="005071A1">
              <w:t>s.</w:t>
            </w:r>
            <w:r w:rsidR="009B7AF5" w:rsidRPr="005071A1">
              <w:t xml:space="preserve"> 90</w:t>
            </w:r>
            <w:r w:rsidR="009B7AF5" w:rsidRPr="005071A1">
              <w:tab/>
            </w:r>
          </w:p>
        </w:tc>
        <w:tc>
          <w:tcPr>
            <w:tcW w:w="4551" w:type="dxa"/>
          </w:tcPr>
          <w:p w14:paraId="20B8E6BD"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26804A6C" w14:textId="77777777" w:rsidTr="00962E93">
        <w:trPr>
          <w:cantSplit/>
        </w:trPr>
        <w:tc>
          <w:tcPr>
            <w:tcW w:w="2551" w:type="dxa"/>
          </w:tcPr>
          <w:p w14:paraId="5EBD9E87" w14:textId="77777777" w:rsidR="009B7AF5" w:rsidRPr="005071A1" w:rsidRDefault="009B7AF5" w:rsidP="009B7AF5">
            <w:pPr>
              <w:pStyle w:val="ENoteTableText"/>
            </w:pPr>
          </w:p>
        </w:tc>
        <w:tc>
          <w:tcPr>
            <w:tcW w:w="4551" w:type="dxa"/>
          </w:tcPr>
          <w:p w14:paraId="2B779AF4" w14:textId="77777777" w:rsidR="009B7AF5" w:rsidRPr="005071A1" w:rsidRDefault="009B7AF5" w:rsidP="009B7AF5">
            <w:pPr>
              <w:pStyle w:val="ENoteTableText"/>
            </w:pPr>
            <w:r w:rsidRPr="005071A1">
              <w:t>am. Nos. 97 and 154, 1965; No.</w:t>
            </w:r>
            <w:r w:rsidR="008B2950" w:rsidRPr="005071A1">
              <w:t> </w:t>
            </w:r>
            <w:r w:rsidRPr="005071A1">
              <w:t>32, 1976; No.</w:t>
            </w:r>
            <w:r w:rsidR="008B2950" w:rsidRPr="005071A1">
              <w:t> </w:t>
            </w:r>
            <w:r w:rsidRPr="005071A1">
              <w:t>17, 1978</w:t>
            </w:r>
          </w:p>
        </w:tc>
      </w:tr>
      <w:tr w:rsidR="009B7AF5" w:rsidRPr="005071A1" w14:paraId="4178A123" w14:textId="77777777" w:rsidTr="00962E93">
        <w:trPr>
          <w:cantSplit/>
        </w:trPr>
        <w:tc>
          <w:tcPr>
            <w:tcW w:w="2551" w:type="dxa"/>
          </w:tcPr>
          <w:p w14:paraId="22B3EB86" w14:textId="77777777" w:rsidR="009B7AF5" w:rsidRPr="005071A1" w:rsidRDefault="002477D1" w:rsidP="002477D1">
            <w:pPr>
              <w:pStyle w:val="ENoteTableText"/>
              <w:tabs>
                <w:tab w:val="center" w:leader="dot" w:pos="2268"/>
              </w:tabs>
            </w:pPr>
            <w:r w:rsidRPr="005071A1">
              <w:t>s.</w:t>
            </w:r>
            <w:r w:rsidR="009B7AF5" w:rsidRPr="005071A1">
              <w:t xml:space="preserve"> 91</w:t>
            </w:r>
            <w:r w:rsidR="009B7AF5" w:rsidRPr="005071A1">
              <w:tab/>
            </w:r>
          </w:p>
        </w:tc>
        <w:tc>
          <w:tcPr>
            <w:tcW w:w="4551" w:type="dxa"/>
          </w:tcPr>
          <w:p w14:paraId="6B5F48CC"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592484EC" w14:textId="77777777" w:rsidTr="00962E93">
        <w:trPr>
          <w:cantSplit/>
        </w:trPr>
        <w:tc>
          <w:tcPr>
            <w:tcW w:w="2551" w:type="dxa"/>
          </w:tcPr>
          <w:p w14:paraId="4BCA8C43" w14:textId="77777777" w:rsidR="009B7AF5" w:rsidRPr="005071A1" w:rsidRDefault="009B7AF5" w:rsidP="009B7AF5">
            <w:pPr>
              <w:pStyle w:val="ENoteTableText"/>
            </w:pPr>
          </w:p>
        </w:tc>
        <w:tc>
          <w:tcPr>
            <w:tcW w:w="4551" w:type="dxa"/>
          </w:tcPr>
          <w:p w14:paraId="3473CA4C"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70B84910" w14:textId="77777777" w:rsidTr="00962E93">
        <w:trPr>
          <w:cantSplit/>
        </w:trPr>
        <w:tc>
          <w:tcPr>
            <w:tcW w:w="2551" w:type="dxa"/>
          </w:tcPr>
          <w:p w14:paraId="690C3E3A" w14:textId="77777777" w:rsidR="009B7AF5" w:rsidRPr="005071A1" w:rsidRDefault="002477D1" w:rsidP="002477D1">
            <w:pPr>
              <w:pStyle w:val="ENoteTableText"/>
              <w:tabs>
                <w:tab w:val="center" w:leader="dot" w:pos="2268"/>
              </w:tabs>
            </w:pPr>
            <w:r w:rsidRPr="005071A1">
              <w:t>s.</w:t>
            </w:r>
            <w:r w:rsidR="009B7AF5" w:rsidRPr="005071A1">
              <w:t xml:space="preserve"> 92</w:t>
            </w:r>
            <w:r w:rsidR="009B7AF5" w:rsidRPr="005071A1">
              <w:tab/>
            </w:r>
          </w:p>
        </w:tc>
        <w:tc>
          <w:tcPr>
            <w:tcW w:w="4551" w:type="dxa"/>
          </w:tcPr>
          <w:p w14:paraId="15BC37E0"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6A0433AB" w14:textId="77777777" w:rsidTr="00962E93">
        <w:trPr>
          <w:cantSplit/>
        </w:trPr>
        <w:tc>
          <w:tcPr>
            <w:tcW w:w="2551" w:type="dxa"/>
          </w:tcPr>
          <w:p w14:paraId="68D7EFF5" w14:textId="77777777" w:rsidR="009B7AF5" w:rsidRPr="005071A1" w:rsidRDefault="009B7AF5" w:rsidP="009B7AF5">
            <w:pPr>
              <w:pStyle w:val="ENoteTableText"/>
            </w:pPr>
          </w:p>
        </w:tc>
        <w:tc>
          <w:tcPr>
            <w:tcW w:w="4551" w:type="dxa"/>
          </w:tcPr>
          <w:p w14:paraId="3F1D81AA" w14:textId="77777777" w:rsidR="009B7AF5" w:rsidRPr="005071A1" w:rsidRDefault="009B7AF5" w:rsidP="009B7AF5">
            <w:pPr>
              <w:pStyle w:val="ENoteTableText"/>
            </w:pPr>
            <w:r w:rsidRPr="005071A1">
              <w:t>am. No.</w:t>
            </w:r>
            <w:r w:rsidR="008B2950" w:rsidRPr="005071A1">
              <w:t> </w:t>
            </w:r>
            <w:r w:rsidRPr="005071A1">
              <w:t>35, 1947; No.</w:t>
            </w:r>
            <w:r w:rsidR="008B2950" w:rsidRPr="005071A1">
              <w:t> </w:t>
            </w:r>
            <w:r w:rsidRPr="005071A1">
              <w:t>76, 1950; No.</w:t>
            </w:r>
            <w:r w:rsidR="008B2950" w:rsidRPr="005071A1">
              <w:t> </w:t>
            </w:r>
            <w:r w:rsidRPr="005071A1">
              <w:t>49, 1951; No.</w:t>
            </w:r>
            <w:r w:rsidR="008B2950" w:rsidRPr="005071A1">
              <w:t> </w:t>
            </w:r>
            <w:r w:rsidRPr="005071A1">
              <w:t>11, 1954; No.</w:t>
            </w:r>
            <w:r w:rsidR="008B2950" w:rsidRPr="005071A1">
              <w:t> </w:t>
            </w:r>
            <w:r w:rsidRPr="005071A1">
              <w:t>102, 1959</w:t>
            </w:r>
          </w:p>
        </w:tc>
      </w:tr>
      <w:tr w:rsidR="009B7AF5" w:rsidRPr="005071A1" w14:paraId="6F8D8EE6" w14:textId="77777777" w:rsidTr="00962E93">
        <w:trPr>
          <w:cantSplit/>
        </w:trPr>
        <w:tc>
          <w:tcPr>
            <w:tcW w:w="2551" w:type="dxa"/>
          </w:tcPr>
          <w:p w14:paraId="3E3F09F4" w14:textId="77777777" w:rsidR="009B7AF5" w:rsidRPr="005071A1" w:rsidRDefault="009B7AF5" w:rsidP="009B7AF5">
            <w:pPr>
              <w:pStyle w:val="ENoteTableText"/>
            </w:pPr>
          </w:p>
        </w:tc>
        <w:tc>
          <w:tcPr>
            <w:tcW w:w="4551" w:type="dxa"/>
          </w:tcPr>
          <w:p w14:paraId="136D9F86" w14:textId="77777777" w:rsidR="009B7AF5" w:rsidRPr="005071A1" w:rsidRDefault="009B7AF5" w:rsidP="009B7AF5">
            <w:pPr>
              <w:pStyle w:val="ENoteTableText"/>
            </w:pPr>
            <w:r w:rsidRPr="005071A1">
              <w:t>rs. No.</w:t>
            </w:r>
            <w:r w:rsidR="008B2950" w:rsidRPr="005071A1">
              <w:t> </w:t>
            </w:r>
            <w:r w:rsidRPr="005071A1">
              <w:t>86, 1966</w:t>
            </w:r>
          </w:p>
        </w:tc>
      </w:tr>
      <w:tr w:rsidR="009B7AF5" w:rsidRPr="005071A1" w14:paraId="4F87DD85" w14:textId="77777777" w:rsidTr="00962E93">
        <w:trPr>
          <w:cantSplit/>
        </w:trPr>
        <w:tc>
          <w:tcPr>
            <w:tcW w:w="2551" w:type="dxa"/>
          </w:tcPr>
          <w:p w14:paraId="24B008BD" w14:textId="77777777" w:rsidR="009B7AF5" w:rsidRPr="005071A1" w:rsidRDefault="009B7AF5" w:rsidP="009B7AF5">
            <w:pPr>
              <w:pStyle w:val="ENoteTableText"/>
            </w:pPr>
          </w:p>
        </w:tc>
        <w:tc>
          <w:tcPr>
            <w:tcW w:w="4551" w:type="dxa"/>
          </w:tcPr>
          <w:p w14:paraId="104C05D1"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478BA6E0" w14:textId="77777777" w:rsidTr="00962E93">
        <w:trPr>
          <w:cantSplit/>
        </w:trPr>
        <w:tc>
          <w:tcPr>
            <w:tcW w:w="2551" w:type="dxa"/>
          </w:tcPr>
          <w:p w14:paraId="2A4A12CE" w14:textId="77777777" w:rsidR="009B7AF5" w:rsidRPr="005071A1" w:rsidRDefault="002477D1" w:rsidP="002477D1">
            <w:pPr>
              <w:pStyle w:val="ENoteTableText"/>
              <w:tabs>
                <w:tab w:val="center" w:leader="dot" w:pos="2268"/>
              </w:tabs>
            </w:pPr>
            <w:r w:rsidRPr="005071A1">
              <w:t>s.</w:t>
            </w:r>
            <w:r w:rsidR="009B7AF5" w:rsidRPr="005071A1">
              <w:t xml:space="preserve"> 93</w:t>
            </w:r>
            <w:r w:rsidR="009B7AF5" w:rsidRPr="005071A1">
              <w:tab/>
            </w:r>
          </w:p>
        </w:tc>
        <w:tc>
          <w:tcPr>
            <w:tcW w:w="4551" w:type="dxa"/>
          </w:tcPr>
          <w:p w14:paraId="76C03A5B"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60C760DE" w14:textId="77777777" w:rsidTr="00962E93">
        <w:trPr>
          <w:cantSplit/>
        </w:trPr>
        <w:tc>
          <w:tcPr>
            <w:tcW w:w="2551" w:type="dxa"/>
          </w:tcPr>
          <w:p w14:paraId="538DB5EB" w14:textId="77777777" w:rsidR="009B7AF5" w:rsidRPr="005071A1" w:rsidRDefault="009B7AF5" w:rsidP="009B7AF5">
            <w:pPr>
              <w:pStyle w:val="ENoteTableText"/>
            </w:pPr>
          </w:p>
        </w:tc>
        <w:tc>
          <w:tcPr>
            <w:tcW w:w="4551" w:type="dxa"/>
          </w:tcPr>
          <w:p w14:paraId="7E88CA57"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17, 1978</w:t>
            </w:r>
          </w:p>
        </w:tc>
      </w:tr>
      <w:tr w:rsidR="009B7AF5" w:rsidRPr="005071A1" w14:paraId="22A9BAEF" w14:textId="77777777" w:rsidTr="00962E93">
        <w:trPr>
          <w:cantSplit/>
        </w:trPr>
        <w:tc>
          <w:tcPr>
            <w:tcW w:w="2551" w:type="dxa"/>
          </w:tcPr>
          <w:p w14:paraId="5BDC08D4" w14:textId="77777777" w:rsidR="009B7AF5" w:rsidRPr="005071A1" w:rsidRDefault="009B7AF5" w:rsidP="009B7AF5">
            <w:pPr>
              <w:pStyle w:val="ENoteTableText"/>
            </w:pPr>
            <w:r w:rsidRPr="005071A1">
              <w:rPr>
                <w:b/>
              </w:rPr>
              <w:t>Part</w:t>
            </w:r>
            <w:r w:rsidR="002477D1" w:rsidRPr="005071A1">
              <w:rPr>
                <w:b/>
              </w:rPr>
              <w:t> </w:t>
            </w:r>
            <w:r w:rsidRPr="005071A1">
              <w:rPr>
                <w:b/>
              </w:rPr>
              <w:t>VA</w:t>
            </w:r>
          </w:p>
        </w:tc>
        <w:tc>
          <w:tcPr>
            <w:tcW w:w="4551" w:type="dxa"/>
          </w:tcPr>
          <w:p w14:paraId="234B813D" w14:textId="77777777" w:rsidR="009B7AF5" w:rsidRPr="005071A1" w:rsidRDefault="009B7AF5" w:rsidP="009B7AF5">
            <w:pPr>
              <w:pStyle w:val="ENoteTableText"/>
            </w:pPr>
          </w:p>
        </w:tc>
      </w:tr>
      <w:tr w:rsidR="009B7AF5" w:rsidRPr="005071A1" w14:paraId="34006BD1" w14:textId="77777777" w:rsidTr="00962E93">
        <w:trPr>
          <w:cantSplit/>
        </w:trPr>
        <w:tc>
          <w:tcPr>
            <w:tcW w:w="2551" w:type="dxa"/>
          </w:tcPr>
          <w:p w14:paraId="64751805" w14:textId="77777777" w:rsidR="009B7AF5" w:rsidRPr="005071A1" w:rsidRDefault="009B7AF5" w:rsidP="002477D1">
            <w:pPr>
              <w:pStyle w:val="ENoteTableText"/>
              <w:tabs>
                <w:tab w:val="center" w:leader="dot" w:pos="2268"/>
              </w:tabs>
            </w:pPr>
            <w:r w:rsidRPr="005071A1">
              <w:t>Part</w:t>
            </w:r>
            <w:r w:rsidR="002477D1" w:rsidRPr="005071A1">
              <w:t> </w:t>
            </w:r>
            <w:r w:rsidRPr="005071A1">
              <w:t>VA</w:t>
            </w:r>
            <w:r w:rsidRPr="005071A1">
              <w:tab/>
            </w:r>
          </w:p>
        </w:tc>
        <w:tc>
          <w:tcPr>
            <w:tcW w:w="4551" w:type="dxa"/>
          </w:tcPr>
          <w:p w14:paraId="7B2776AB" w14:textId="77777777" w:rsidR="009B7AF5" w:rsidRPr="005071A1" w:rsidRDefault="009B7AF5" w:rsidP="009B7AF5">
            <w:pPr>
              <w:pStyle w:val="ENoteTableText"/>
            </w:pPr>
            <w:r w:rsidRPr="005071A1">
              <w:t>ad. No.</w:t>
            </w:r>
            <w:r w:rsidR="008B2950" w:rsidRPr="005071A1">
              <w:t> </w:t>
            </w:r>
            <w:r w:rsidRPr="005071A1">
              <w:t>58, 2004</w:t>
            </w:r>
          </w:p>
        </w:tc>
      </w:tr>
      <w:tr w:rsidR="009B7AF5" w:rsidRPr="005071A1" w14:paraId="10A82924" w14:textId="77777777" w:rsidTr="00962E93">
        <w:trPr>
          <w:cantSplit/>
        </w:trPr>
        <w:tc>
          <w:tcPr>
            <w:tcW w:w="2551" w:type="dxa"/>
          </w:tcPr>
          <w:p w14:paraId="0F3507C5" w14:textId="77777777" w:rsidR="009B7AF5" w:rsidRPr="005071A1" w:rsidRDefault="009B7AF5" w:rsidP="009B7AF5">
            <w:pPr>
              <w:pStyle w:val="ENoteTableText"/>
            </w:pPr>
            <w:r w:rsidRPr="005071A1">
              <w:rPr>
                <w:b/>
              </w:rPr>
              <w:t>Division</w:t>
            </w:r>
            <w:r w:rsidR="008B2950" w:rsidRPr="005071A1">
              <w:rPr>
                <w:b/>
              </w:rPr>
              <w:t> </w:t>
            </w:r>
            <w:r w:rsidRPr="005071A1">
              <w:rPr>
                <w:b/>
              </w:rPr>
              <w:t>1</w:t>
            </w:r>
          </w:p>
        </w:tc>
        <w:tc>
          <w:tcPr>
            <w:tcW w:w="4551" w:type="dxa"/>
          </w:tcPr>
          <w:p w14:paraId="0077D80D" w14:textId="77777777" w:rsidR="009B7AF5" w:rsidRPr="005071A1" w:rsidRDefault="009B7AF5" w:rsidP="009B7AF5">
            <w:pPr>
              <w:pStyle w:val="ENoteTableText"/>
            </w:pPr>
          </w:p>
        </w:tc>
      </w:tr>
      <w:tr w:rsidR="009B7AF5" w:rsidRPr="005071A1" w14:paraId="2C55A45A" w14:textId="77777777" w:rsidTr="00962E93">
        <w:trPr>
          <w:cantSplit/>
        </w:trPr>
        <w:tc>
          <w:tcPr>
            <w:tcW w:w="2551" w:type="dxa"/>
          </w:tcPr>
          <w:p w14:paraId="1E3F0952" w14:textId="77777777" w:rsidR="009B7AF5" w:rsidRPr="005071A1" w:rsidRDefault="002477D1" w:rsidP="002477D1">
            <w:pPr>
              <w:pStyle w:val="ENoteTableText"/>
              <w:tabs>
                <w:tab w:val="center" w:leader="dot" w:pos="2268"/>
              </w:tabs>
            </w:pPr>
            <w:r w:rsidRPr="005071A1">
              <w:t>s</w:t>
            </w:r>
            <w:r w:rsidR="009B7AF5" w:rsidRPr="005071A1">
              <w:t xml:space="preserve"> 93DA</w:t>
            </w:r>
            <w:r w:rsidR="009B7AF5" w:rsidRPr="005071A1">
              <w:tab/>
            </w:r>
          </w:p>
        </w:tc>
        <w:tc>
          <w:tcPr>
            <w:tcW w:w="4551" w:type="dxa"/>
          </w:tcPr>
          <w:p w14:paraId="73555974" w14:textId="77777777" w:rsidR="009B7AF5" w:rsidRPr="005071A1" w:rsidRDefault="009B7AF5" w:rsidP="009B7AF5">
            <w:pPr>
              <w:pStyle w:val="ENoteTableText"/>
            </w:pPr>
            <w:r w:rsidRPr="005071A1">
              <w:t>ad No</w:t>
            </w:r>
            <w:r w:rsidR="00220F20" w:rsidRPr="005071A1">
              <w:t> </w:t>
            </w:r>
            <w:r w:rsidRPr="005071A1">
              <w:t>58, 2004</w:t>
            </w:r>
          </w:p>
        </w:tc>
      </w:tr>
      <w:tr w:rsidR="00D449F0" w:rsidRPr="005071A1" w14:paraId="1BB05A04" w14:textId="77777777" w:rsidTr="00962E93">
        <w:trPr>
          <w:cantSplit/>
        </w:trPr>
        <w:tc>
          <w:tcPr>
            <w:tcW w:w="2551" w:type="dxa"/>
          </w:tcPr>
          <w:p w14:paraId="6C8ECD76" w14:textId="77777777" w:rsidR="00D449F0" w:rsidRPr="005071A1" w:rsidRDefault="00D449F0" w:rsidP="002477D1">
            <w:pPr>
              <w:pStyle w:val="ENoteTableText"/>
              <w:tabs>
                <w:tab w:val="center" w:leader="dot" w:pos="2268"/>
              </w:tabs>
            </w:pPr>
          </w:p>
        </w:tc>
        <w:tc>
          <w:tcPr>
            <w:tcW w:w="4551" w:type="dxa"/>
          </w:tcPr>
          <w:p w14:paraId="3D6D0D9F" w14:textId="77777777" w:rsidR="00D449F0" w:rsidRPr="005071A1" w:rsidRDefault="00D449F0" w:rsidP="009B7AF5">
            <w:pPr>
              <w:pStyle w:val="ENoteTableText"/>
            </w:pPr>
            <w:r w:rsidRPr="005071A1">
              <w:t>am No 130, 2018</w:t>
            </w:r>
            <w:r w:rsidR="002F1AF5" w:rsidRPr="005071A1">
              <w:t>; No 112, 2020</w:t>
            </w:r>
          </w:p>
        </w:tc>
      </w:tr>
      <w:tr w:rsidR="009B7AF5" w:rsidRPr="005071A1" w14:paraId="4FA0EA8B" w14:textId="77777777" w:rsidTr="00962E93">
        <w:trPr>
          <w:cantSplit/>
        </w:trPr>
        <w:tc>
          <w:tcPr>
            <w:tcW w:w="2551" w:type="dxa"/>
          </w:tcPr>
          <w:p w14:paraId="577A0958" w14:textId="77777777" w:rsidR="009B7AF5" w:rsidRPr="005071A1" w:rsidRDefault="009B7AF5" w:rsidP="009B7AF5">
            <w:pPr>
              <w:pStyle w:val="ENoteTableText"/>
            </w:pPr>
            <w:r w:rsidRPr="005071A1">
              <w:rPr>
                <w:b/>
              </w:rPr>
              <w:t>Division</w:t>
            </w:r>
            <w:r w:rsidR="008B2950" w:rsidRPr="005071A1">
              <w:rPr>
                <w:b/>
              </w:rPr>
              <w:t> </w:t>
            </w:r>
            <w:r w:rsidRPr="005071A1">
              <w:rPr>
                <w:b/>
              </w:rPr>
              <w:t>2</w:t>
            </w:r>
          </w:p>
        </w:tc>
        <w:tc>
          <w:tcPr>
            <w:tcW w:w="4551" w:type="dxa"/>
          </w:tcPr>
          <w:p w14:paraId="7FC55027" w14:textId="77777777" w:rsidR="009B7AF5" w:rsidRPr="005071A1" w:rsidRDefault="009B7AF5" w:rsidP="009B7AF5">
            <w:pPr>
              <w:pStyle w:val="ENoteTableText"/>
            </w:pPr>
          </w:p>
        </w:tc>
      </w:tr>
      <w:tr w:rsidR="009B7AF5" w:rsidRPr="005071A1" w14:paraId="73CE137C" w14:textId="77777777" w:rsidTr="00962E93">
        <w:trPr>
          <w:cantSplit/>
        </w:trPr>
        <w:tc>
          <w:tcPr>
            <w:tcW w:w="2551" w:type="dxa"/>
          </w:tcPr>
          <w:p w14:paraId="6B52B26E"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93DB, 93DC</w:t>
            </w:r>
            <w:r w:rsidR="009B7AF5" w:rsidRPr="005071A1">
              <w:tab/>
            </w:r>
          </w:p>
        </w:tc>
        <w:tc>
          <w:tcPr>
            <w:tcW w:w="4551" w:type="dxa"/>
          </w:tcPr>
          <w:p w14:paraId="5E94214B" w14:textId="77777777" w:rsidR="009B7AF5" w:rsidRPr="005071A1" w:rsidRDefault="009B7AF5" w:rsidP="009B7AF5">
            <w:pPr>
              <w:pStyle w:val="ENoteTableText"/>
            </w:pPr>
            <w:r w:rsidRPr="005071A1">
              <w:t>ad. No.</w:t>
            </w:r>
            <w:r w:rsidR="008B2950" w:rsidRPr="005071A1">
              <w:t> </w:t>
            </w:r>
            <w:r w:rsidRPr="005071A1">
              <w:t>58, 2004</w:t>
            </w:r>
          </w:p>
        </w:tc>
      </w:tr>
      <w:tr w:rsidR="009B7AF5" w:rsidRPr="005071A1" w14:paraId="14AA0E27" w14:textId="77777777" w:rsidTr="00962E93">
        <w:trPr>
          <w:cantSplit/>
        </w:trPr>
        <w:tc>
          <w:tcPr>
            <w:tcW w:w="2551" w:type="dxa"/>
          </w:tcPr>
          <w:p w14:paraId="43CE62B3" w14:textId="77777777" w:rsidR="009B7AF5" w:rsidRPr="005071A1" w:rsidRDefault="004510F0" w:rsidP="009B7AF5">
            <w:pPr>
              <w:pStyle w:val="ENoteTableText"/>
            </w:pPr>
            <w:r>
              <w:rPr>
                <w:b/>
              </w:rPr>
              <w:t>Division 3</w:t>
            </w:r>
          </w:p>
        </w:tc>
        <w:tc>
          <w:tcPr>
            <w:tcW w:w="4551" w:type="dxa"/>
          </w:tcPr>
          <w:p w14:paraId="5FAD412C" w14:textId="77777777" w:rsidR="009B7AF5" w:rsidRPr="005071A1" w:rsidRDefault="009B7AF5" w:rsidP="009B7AF5">
            <w:pPr>
              <w:pStyle w:val="ENoteTableText"/>
            </w:pPr>
          </w:p>
        </w:tc>
      </w:tr>
      <w:tr w:rsidR="009B7AF5" w:rsidRPr="005071A1" w14:paraId="174E8BE6" w14:textId="77777777" w:rsidTr="00962E93">
        <w:trPr>
          <w:cantSplit/>
        </w:trPr>
        <w:tc>
          <w:tcPr>
            <w:tcW w:w="2551" w:type="dxa"/>
          </w:tcPr>
          <w:p w14:paraId="5AEDA77D" w14:textId="77777777" w:rsidR="009B7AF5" w:rsidRPr="005071A1" w:rsidRDefault="002477D1" w:rsidP="002477D1">
            <w:pPr>
              <w:pStyle w:val="ENoteTableText"/>
              <w:tabs>
                <w:tab w:val="center" w:leader="dot" w:pos="2268"/>
              </w:tabs>
            </w:pPr>
            <w:r w:rsidRPr="005071A1">
              <w:t>s.</w:t>
            </w:r>
            <w:r w:rsidR="009B7AF5" w:rsidRPr="005071A1">
              <w:t xml:space="preserve"> 93DD</w:t>
            </w:r>
            <w:r w:rsidR="009B7AF5" w:rsidRPr="005071A1">
              <w:tab/>
            </w:r>
          </w:p>
        </w:tc>
        <w:tc>
          <w:tcPr>
            <w:tcW w:w="4551" w:type="dxa"/>
          </w:tcPr>
          <w:p w14:paraId="6A3F3E86" w14:textId="77777777" w:rsidR="009B7AF5" w:rsidRPr="005071A1" w:rsidRDefault="009B7AF5" w:rsidP="009B7AF5">
            <w:pPr>
              <w:pStyle w:val="ENoteTableText"/>
            </w:pPr>
            <w:r w:rsidRPr="005071A1">
              <w:t>ad. No.</w:t>
            </w:r>
            <w:r w:rsidR="008B2950" w:rsidRPr="005071A1">
              <w:t> </w:t>
            </w:r>
            <w:r w:rsidRPr="005071A1">
              <w:t>58, 2004</w:t>
            </w:r>
          </w:p>
        </w:tc>
      </w:tr>
      <w:tr w:rsidR="009B7AF5" w:rsidRPr="005071A1" w14:paraId="605E2976" w14:textId="77777777" w:rsidTr="00962E93">
        <w:trPr>
          <w:cantSplit/>
        </w:trPr>
        <w:tc>
          <w:tcPr>
            <w:tcW w:w="2551" w:type="dxa"/>
          </w:tcPr>
          <w:p w14:paraId="3B59BBA4" w14:textId="77777777" w:rsidR="009B7AF5" w:rsidRPr="005071A1" w:rsidRDefault="009B7AF5" w:rsidP="009B7AF5">
            <w:pPr>
              <w:pStyle w:val="ENoteTableText"/>
            </w:pPr>
            <w:r w:rsidRPr="005071A1">
              <w:rPr>
                <w:b/>
              </w:rPr>
              <w:t>Division</w:t>
            </w:r>
            <w:r w:rsidR="008B2950" w:rsidRPr="005071A1">
              <w:rPr>
                <w:b/>
              </w:rPr>
              <w:t> </w:t>
            </w:r>
            <w:r w:rsidRPr="005071A1">
              <w:rPr>
                <w:b/>
              </w:rPr>
              <w:t>4</w:t>
            </w:r>
          </w:p>
        </w:tc>
        <w:tc>
          <w:tcPr>
            <w:tcW w:w="4551" w:type="dxa"/>
          </w:tcPr>
          <w:p w14:paraId="7C80482F" w14:textId="77777777" w:rsidR="009B7AF5" w:rsidRPr="005071A1" w:rsidRDefault="009B7AF5" w:rsidP="009B7AF5">
            <w:pPr>
              <w:pStyle w:val="ENoteTableText"/>
            </w:pPr>
          </w:p>
        </w:tc>
      </w:tr>
      <w:tr w:rsidR="009B7AF5" w:rsidRPr="005071A1" w14:paraId="378BA96D" w14:textId="77777777" w:rsidTr="00962E93">
        <w:trPr>
          <w:cantSplit/>
        </w:trPr>
        <w:tc>
          <w:tcPr>
            <w:tcW w:w="2551" w:type="dxa"/>
          </w:tcPr>
          <w:p w14:paraId="17696D69" w14:textId="77777777" w:rsidR="009B7AF5" w:rsidRPr="005071A1" w:rsidRDefault="002477D1" w:rsidP="002477D1">
            <w:pPr>
              <w:pStyle w:val="ENoteTableText"/>
              <w:tabs>
                <w:tab w:val="center" w:leader="dot" w:pos="2268"/>
              </w:tabs>
            </w:pPr>
            <w:r w:rsidRPr="005071A1">
              <w:t>s.</w:t>
            </w:r>
            <w:r w:rsidR="009B7AF5" w:rsidRPr="005071A1">
              <w:t xml:space="preserve"> 93DE</w:t>
            </w:r>
            <w:r w:rsidR="009B7AF5" w:rsidRPr="005071A1">
              <w:tab/>
            </w:r>
          </w:p>
        </w:tc>
        <w:tc>
          <w:tcPr>
            <w:tcW w:w="4551" w:type="dxa"/>
          </w:tcPr>
          <w:p w14:paraId="42970AF1" w14:textId="77777777" w:rsidR="009B7AF5" w:rsidRPr="005071A1" w:rsidRDefault="009B7AF5" w:rsidP="009B7AF5">
            <w:pPr>
              <w:pStyle w:val="ENoteTableText"/>
            </w:pPr>
            <w:r w:rsidRPr="005071A1">
              <w:t>ad. No.</w:t>
            </w:r>
            <w:r w:rsidR="008B2950" w:rsidRPr="005071A1">
              <w:t> </w:t>
            </w:r>
            <w:r w:rsidRPr="005071A1">
              <w:t>58, 2004</w:t>
            </w:r>
          </w:p>
        </w:tc>
      </w:tr>
      <w:tr w:rsidR="009B7AF5" w:rsidRPr="005071A1" w14:paraId="5AF465F2" w14:textId="77777777" w:rsidTr="00962E93">
        <w:trPr>
          <w:cantSplit/>
        </w:trPr>
        <w:tc>
          <w:tcPr>
            <w:tcW w:w="2551" w:type="dxa"/>
          </w:tcPr>
          <w:p w14:paraId="03EF8754" w14:textId="77777777" w:rsidR="009B7AF5" w:rsidRPr="005071A1" w:rsidRDefault="009B7AF5" w:rsidP="009B7AF5">
            <w:pPr>
              <w:pStyle w:val="ENoteTableText"/>
            </w:pPr>
          </w:p>
        </w:tc>
        <w:tc>
          <w:tcPr>
            <w:tcW w:w="4551" w:type="dxa"/>
          </w:tcPr>
          <w:p w14:paraId="172754FF" w14:textId="77777777" w:rsidR="009B7AF5" w:rsidRPr="005071A1" w:rsidRDefault="009B7AF5" w:rsidP="009B7AF5">
            <w:pPr>
              <w:pStyle w:val="ENoteTableText"/>
            </w:pPr>
            <w:r w:rsidRPr="005071A1">
              <w:t>am. No.</w:t>
            </w:r>
            <w:r w:rsidR="008B2950" w:rsidRPr="005071A1">
              <w:t> </w:t>
            </w:r>
            <w:r w:rsidRPr="005071A1">
              <w:t>26, 2008</w:t>
            </w:r>
            <w:r w:rsidR="00346ECF" w:rsidRPr="005071A1">
              <w:t>; No 126, 2015</w:t>
            </w:r>
          </w:p>
        </w:tc>
      </w:tr>
      <w:tr w:rsidR="009B7AF5" w:rsidRPr="005071A1" w14:paraId="4962E411" w14:textId="77777777" w:rsidTr="00962E93">
        <w:trPr>
          <w:cantSplit/>
        </w:trPr>
        <w:tc>
          <w:tcPr>
            <w:tcW w:w="2551" w:type="dxa"/>
          </w:tcPr>
          <w:p w14:paraId="6CF7CE4D" w14:textId="77777777" w:rsidR="009B7AF5" w:rsidRPr="005071A1" w:rsidRDefault="009B7AF5" w:rsidP="0086505B">
            <w:pPr>
              <w:pStyle w:val="ENoteTableText"/>
              <w:tabs>
                <w:tab w:val="center" w:leader="dot" w:pos="2268"/>
              </w:tabs>
            </w:pPr>
            <w:r w:rsidRPr="005071A1">
              <w:t>Part VI</w:t>
            </w:r>
            <w:r w:rsidRPr="005071A1">
              <w:tab/>
            </w:r>
          </w:p>
        </w:tc>
        <w:tc>
          <w:tcPr>
            <w:tcW w:w="4551" w:type="dxa"/>
          </w:tcPr>
          <w:p w14:paraId="79B2548F" w14:textId="77777777" w:rsidR="009B7AF5" w:rsidRPr="005071A1" w:rsidRDefault="009B7AF5" w:rsidP="009B7AF5">
            <w:pPr>
              <w:pStyle w:val="ENoteTableText"/>
            </w:pPr>
            <w:r w:rsidRPr="005071A1">
              <w:t>ad. No.</w:t>
            </w:r>
            <w:r w:rsidR="008B2950" w:rsidRPr="005071A1">
              <w:t> </w:t>
            </w:r>
            <w:r w:rsidRPr="005071A1">
              <w:t>18, 1943</w:t>
            </w:r>
          </w:p>
        </w:tc>
      </w:tr>
      <w:tr w:rsidR="009B7AF5" w:rsidRPr="005071A1" w14:paraId="7EAAF247" w14:textId="77777777" w:rsidTr="00962E93">
        <w:trPr>
          <w:cantSplit/>
        </w:trPr>
        <w:tc>
          <w:tcPr>
            <w:tcW w:w="2551" w:type="dxa"/>
          </w:tcPr>
          <w:p w14:paraId="71D42C3A" w14:textId="77777777" w:rsidR="009B7AF5" w:rsidRPr="005071A1" w:rsidRDefault="009B7AF5" w:rsidP="009B7AF5">
            <w:pPr>
              <w:pStyle w:val="ENoteTableText"/>
            </w:pPr>
          </w:p>
        </w:tc>
        <w:tc>
          <w:tcPr>
            <w:tcW w:w="4551" w:type="dxa"/>
          </w:tcPr>
          <w:p w14:paraId="73B194EB" w14:textId="77777777" w:rsidR="009B7AF5" w:rsidRPr="005071A1" w:rsidRDefault="009B7AF5" w:rsidP="009B7AF5">
            <w:pPr>
              <w:pStyle w:val="ENoteTableText"/>
            </w:pPr>
            <w:r w:rsidRPr="005071A1">
              <w:t>rep. No.</w:t>
            </w:r>
            <w:r w:rsidR="008B2950" w:rsidRPr="005071A1">
              <w:t> </w:t>
            </w:r>
            <w:r w:rsidRPr="005071A1">
              <w:t>136, 2012</w:t>
            </w:r>
          </w:p>
        </w:tc>
      </w:tr>
      <w:tr w:rsidR="009B7AF5" w:rsidRPr="005071A1" w14:paraId="778A6E29" w14:textId="77777777" w:rsidTr="00962E93">
        <w:trPr>
          <w:cantSplit/>
        </w:trPr>
        <w:tc>
          <w:tcPr>
            <w:tcW w:w="2551" w:type="dxa"/>
          </w:tcPr>
          <w:p w14:paraId="7F1D982F" w14:textId="77777777" w:rsidR="009B7AF5" w:rsidRPr="005071A1" w:rsidRDefault="002477D1" w:rsidP="002477D1">
            <w:pPr>
              <w:pStyle w:val="ENoteTableText"/>
              <w:tabs>
                <w:tab w:val="center" w:leader="dot" w:pos="2268"/>
              </w:tabs>
            </w:pPr>
            <w:r w:rsidRPr="005071A1">
              <w:t>s.</w:t>
            </w:r>
            <w:r w:rsidR="009B7AF5" w:rsidRPr="005071A1">
              <w:t xml:space="preserve"> 94</w:t>
            </w:r>
            <w:r w:rsidR="009B7AF5" w:rsidRPr="005071A1">
              <w:tab/>
            </w:r>
          </w:p>
        </w:tc>
        <w:tc>
          <w:tcPr>
            <w:tcW w:w="4551" w:type="dxa"/>
          </w:tcPr>
          <w:p w14:paraId="2D642FCC" w14:textId="77777777" w:rsidR="009B7AF5" w:rsidRPr="005071A1" w:rsidRDefault="009B7AF5" w:rsidP="009B7AF5">
            <w:pPr>
              <w:pStyle w:val="ENoteTableText"/>
            </w:pPr>
            <w:r w:rsidRPr="005071A1">
              <w:t>ad. No.</w:t>
            </w:r>
            <w:r w:rsidR="008B2950" w:rsidRPr="005071A1">
              <w:t> </w:t>
            </w:r>
            <w:r w:rsidRPr="005071A1">
              <w:t>18, 1943</w:t>
            </w:r>
          </w:p>
        </w:tc>
      </w:tr>
      <w:tr w:rsidR="009B7AF5" w:rsidRPr="005071A1" w14:paraId="029820AC" w14:textId="77777777" w:rsidTr="00962E93">
        <w:trPr>
          <w:cantSplit/>
        </w:trPr>
        <w:tc>
          <w:tcPr>
            <w:tcW w:w="2551" w:type="dxa"/>
          </w:tcPr>
          <w:p w14:paraId="14B11EEC" w14:textId="77777777" w:rsidR="009B7AF5" w:rsidRPr="005071A1" w:rsidRDefault="009B7AF5" w:rsidP="009B7AF5">
            <w:pPr>
              <w:pStyle w:val="ENoteTableText"/>
            </w:pPr>
          </w:p>
        </w:tc>
        <w:tc>
          <w:tcPr>
            <w:tcW w:w="4551" w:type="dxa"/>
          </w:tcPr>
          <w:p w14:paraId="69FBF94E"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2D7811E" w14:textId="77777777" w:rsidTr="00962E93">
        <w:trPr>
          <w:cantSplit/>
        </w:trPr>
        <w:tc>
          <w:tcPr>
            <w:tcW w:w="2551" w:type="dxa"/>
          </w:tcPr>
          <w:p w14:paraId="212A1937" w14:textId="77777777" w:rsidR="009B7AF5" w:rsidRPr="005071A1" w:rsidRDefault="009B7AF5" w:rsidP="009B7AF5">
            <w:pPr>
              <w:pStyle w:val="ENoteTableText"/>
            </w:pPr>
          </w:p>
        </w:tc>
        <w:tc>
          <w:tcPr>
            <w:tcW w:w="4551" w:type="dxa"/>
          </w:tcPr>
          <w:p w14:paraId="67160555" w14:textId="77777777" w:rsidR="009B7AF5" w:rsidRPr="005071A1" w:rsidRDefault="009B7AF5" w:rsidP="009B7AF5">
            <w:pPr>
              <w:pStyle w:val="ENoteTableText"/>
            </w:pPr>
            <w:r w:rsidRPr="005071A1">
              <w:t>rep. No.</w:t>
            </w:r>
            <w:r w:rsidR="008B2950" w:rsidRPr="005071A1">
              <w:t> </w:t>
            </w:r>
            <w:r w:rsidRPr="005071A1">
              <w:t>136, 2012</w:t>
            </w:r>
          </w:p>
        </w:tc>
      </w:tr>
      <w:tr w:rsidR="009B7AF5" w:rsidRPr="005071A1" w14:paraId="382036EF" w14:textId="77777777" w:rsidTr="00962E93">
        <w:trPr>
          <w:cantSplit/>
        </w:trPr>
        <w:tc>
          <w:tcPr>
            <w:tcW w:w="2551" w:type="dxa"/>
          </w:tcPr>
          <w:p w14:paraId="308143AD" w14:textId="77777777" w:rsidR="009B7AF5" w:rsidRPr="005071A1" w:rsidRDefault="002477D1" w:rsidP="002477D1">
            <w:pPr>
              <w:pStyle w:val="ENoteTableText"/>
              <w:tabs>
                <w:tab w:val="center" w:leader="dot" w:pos="2268"/>
              </w:tabs>
            </w:pPr>
            <w:r w:rsidRPr="005071A1">
              <w:t>s.</w:t>
            </w:r>
            <w:r w:rsidR="009B7AF5" w:rsidRPr="005071A1">
              <w:t xml:space="preserve"> 95</w:t>
            </w:r>
            <w:r w:rsidR="009B7AF5" w:rsidRPr="005071A1">
              <w:tab/>
            </w:r>
          </w:p>
        </w:tc>
        <w:tc>
          <w:tcPr>
            <w:tcW w:w="4551" w:type="dxa"/>
          </w:tcPr>
          <w:p w14:paraId="6A0E0D46" w14:textId="77777777" w:rsidR="009B7AF5" w:rsidRPr="005071A1" w:rsidRDefault="009B7AF5" w:rsidP="009B7AF5">
            <w:pPr>
              <w:pStyle w:val="ENoteTableText"/>
            </w:pPr>
            <w:r w:rsidRPr="005071A1">
              <w:t>ad. No.</w:t>
            </w:r>
            <w:r w:rsidR="008B2950" w:rsidRPr="005071A1">
              <w:t> </w:t>
            </w:r>
            <w:r w:rsidRPr="005071A1">
              <w:t>18, 1943</w:t>
            </w:r>
          </w:p>
        </w:tc>
      </w:tr>
      <w:tr w:rsidR="009B7AF5" w:rsidRPr="005071A1" w14:paraId="46341D93" w14:textId="77777777" w:rsidTr="00962E93">
        <w:trPr>
          <w:cantSplit/>
        </w:trPr>
        <w:tc>
          <w:tcPr>
            <w:tcW w:w="2551" w:type="dxa"/>
          </w:tcPr>
          <w:p w14:paraId="46E83602" w14:textId="77777777" w:rsidR="009B7AF5" w:rsidRPr="005071A1" w:rsidRDefault="009B7AF5" w:rsidP="009B7AF5">
            <w:pPr>
              <w:pStyle w:val="ENoteTableText"/>
            </w:pPr>
          </w:p>
        </w:tc>
        <w:tc>
          <w:tcPr>
            <w:tcW w:w="4551" w:type="dxa"/>
          </w:tcPr>
          <w:p w14:paraId="556CB3A1" w14:textId="77777777" w:rsidR="009B7AF5" w:rsidRPr="005071A1" w:rsidRDefault="009B7AF5" w:rsidP="009B7AF5">
            <w:pPr>
              <w:pStyle w:val="ENoteTableText"/>
            </w:pPr>
            <w:r w:rsidRPr="005071A1">
              <w:t>am. No.</w:t>
            </w:r>
            <w:r w:rsidR="008B2950" w:rsidRPr="005071A1">
              <w:t> </w:t>
            </w:r>
            <w:r w:rsidRPr="005071A1">
              <w:t>49, 1951; No.</w:t>
            </w:r>
            <w:r w:rsidR="008B2950" w:rsidRPr="005071A1">
              <w:t> </w:t>
            </w:r>
            <w:r w:rsidRPr="005071A1">
              <w:t>102, 1959; No.</w:t>
            </w:r>
            <w:r w:rsidR="008B2950" w:rsidRPr="005071A1">
              <w:t> </w:t>
            </w:r>
            <w:r w:rsidRPr="005071A1">
              <w:t>97, 1965; No.</w:t>
            </w:r>
            <w:r w:rsidR="008B2950" w:rsidRPr="005071A1">
              <w:t> </w:t>
            </w:r>
            <w:r w:rsidRPr="005071A1">
              <w:t>17, 1978</w:t>
            </w:r>
          </w:p>
        </w:tc>
      </w:tr>
      <w:tr w:rsidR="009B7AF5" w:rsidRPr="005071A1" w14:paraId="39D8FEAF" w14:textId="77777777" w:rsidTr="00962E93">
        <w:trPr>
          <w:cantSplit/>
        </w:trPr>
        <w:tc>
          <w:tcPr>
            <w:tcW w:w="2551" w:type="dxa"/>
          </w:tcPr>
          <w:p w14:paraId="585F746E" w14:textId="77777777" w:rsidR="009B7AF5" w:rsidRPr="005071A1" w:rsidRDefault="009B7AF5" w:rsidP="009B7AF5">
            <w:pPr>
              <w:pStyle w:val="ENoteTableText"/>
            </w:pPr>
          </w:p>
        </w:tc>
        <w:tc>
          <w:tcPr>
            <w:tcW w:w="4551" w:type="dxa"/>
          </w:tcPr>
          <w:p w14:paraId="61028C9B" w14:textId="77777777" w:rsidR="009B7AF5" w:rsidRPr="005071A1" w:rsidRDefault="009B7AF5" w:rsidP="009B7AF5">
            <w:pPr>
              <w:pStyle w:val="ENoteTableText"/>
            </w:pPr>
            <w:r w:rsidRPr="005071A1">
              <w:t>rep. No.</w:t>
            </w:r>
            <w:r w:rsidR="008B2950" w:rsidRPr="005071A1">
              <w:t> </w:t>
            </w:r>
            <w:r w:rsidRPr="005071A1">
              <w:t>136, 2012</w:t>
            </w:r>
          </w:p>
        </w:tc>
      </w:tr>
      <w:tr w:rsidR="009B7AF5" w:rsidRPr="005071A1" w14:paraId="2A2E63AE" w14:textId="77777777" w:rsidTr="00962E93">
        <w:trPr>
          <w:cantSplit/>
        </w:trPr>
        <w:tc>
          <w:tcPr>
            <w:tcW w:w="2551" w:type="dxa"/>
          </w:tcPr>
          <w:p w14:paraId="54AF5A63" w14:textId="77777777" w:rsidR="009B7AF5" w:rsidRPr="005071A1" w:rsidRDefault="002477D1" w:rsidP="002477D1">
            <w:pPr>
              <w:pStyle w:val="ENoteTableText"/>
              <w:tabs>
                <w:tab w:val="center" w:leader="dot" w:pos="2268"/>
              </w:tabs>
            </w:pPr>
            <w:r w:rsidRPr="005071A1">
              <w:t>s.</w:t>
            </w:r>
            <w:r w:rsidR="009B7AF5" w:rsidRPr="005071A1">
              <w:t xml:space="preserve"> 96</w:t>
            </w:r>
            <w:r w:rsidR="009B7AF5" w:rsidRPr="005071A1">
              <w:tab/>
            </w:r>
          </w:p>
        </w:tc>
        <w:tc>
          <w:tcPr>
            <w:tcW w:w="4551" w:type="dxa"/>
          </w:tcPr>
          <w:p w14:paraId="662B677F" w14:textId="77777777" w:rsidR="009B7AF5" w:rsidRPr="005071A1" w:rsidRDefault="009B7AF5" w:rsidP="009B7AF5">
            <w:pPr>
              <w:pStyle w:val="ENoteTableText"/>
            </w:pPr>
            <w:r w:rsidRPr="005071A1">
              <w:t>ad. No.</w:t>
            </w:r>
            <w:r w:rsidR="008B2950" w:rsidRPr="005071A1">
              <w:t> </w:t>
            </w:r>
            <w:r w:rsidRPr="005071A1">
              <w:t>18, 1943</w:t>
            </w:r>
          </w:p>
        </w:tc>
      </w:tr>
      <w:tr w:rsidR="009B7AF5" w:rsidRPr="005071A1" w14:paraId="6698F9EB" w14:textId="77777777" w:rsidTr="00962E93">
        <w:trPr>
          <w:cantSplit/>
        </w:trPr>
        <w:tc>
          <w:tcPr>
            <w:tcW w:w="2551" w:type="dxa"/>
          </w:tcPr>
          <w:p w14:paraId="50B2DD4E" w14:textId="77777777" w:rsidR="009B7AF5" w:rsidRPr="005071A1" w:rsidRDefault="009B7AF5" w:rsidP="009B7AF5">
            <w:pPr>
              <w:pStyle w:val="ENoteTableText"/>
            </w:pPr>
          </w:p>
        </w:tc>
        <w:tc>
          <w:tcPr>
            <w:tcW w:w="4551" w:type="dxa"/>
          </w:tcPr>
          <w:p w14:paraId="78E0E408"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3A9B855A" w14:textId="77777777" w:rsidTr="00962E93">
        <w:trPr>
          <w:cantSplit/>
        </w:trPr>
        <w:tc>
          <w:tcPr>
            <w:tcW w:w="2551" w:type="dxa"/>
          </w:tcPr>
          <w:p w14:paraId="15B8A5AF" w14:textId="77777777" w:rsidR="009B7AF5" w:rsidRPr="005071A1" w:rsidRDefault="009B7AF5" w:rsidP="009B7AF5">
            <w:pPr>
              <w:pStyle w:val="ENoteTableText"/>
            </w:pPr>
          </w:p>
        </w:tc>
        <w:tc>
          <w:tcPr>
            <w:tcW w:w="4551" w:type="dxa"/>
          </w:tcPr>
          <w:p w14:paraId="67B8E0F8" w14:textId="77777777" w:rsidR="009B7AF5" w:rsidRPr="005071A1" w:rsidRDefault="009B7AF5" w:rsidP="009B7AF5">
            <w:pPr>
              <w:pStyle w:val="ENoteTableText"/>
            </w:pPr>
            <w:r w:rsidRPr="005071A1">
              <w:t>rep. No.</w:t>
            </w:r>
            <w:r w:rsidR="008B2950" w:rsidRPr="005071A1">
              <w:t> </w:t>
            </w:r>
            <w:r w:rsidRPr="005071A1">
              <w:t>136, 2012</w:t>
            </w:r>
          </w:p>
        </w:tc>
      </w:tr>
      <w:tr w:rsidR="009B7AF5" w:rsidRPr="005071A1" w14:paraId="3239A1C7" w14:textId="77777777" w:rsidTr="00962E93">
        <w:trPr>
          <w:cantSplit/>
        </w:trPr>
        <w:tc>
          <w:tcPr>
            <w:tcW w:w="2551" w:type="dxa"/>
          </w:tcPr>
          <w:p w14:paraId="7B579FD0" w14:textId="77777777" w:rsidR="009B7AF5" w:rsidRPr="005071A1" w:rsidRDefault="002477D1" w:rsidP="002477D1">
            <w:pPr>
              <w:pStyle w:val="ENoteTableText"/>
              <w:tabs>
                <w:tab w:val="center" w:leader="dot" w:pos="2268"/>
              </w:tabs>
            </w:pPr>
            <w:r w:rsidRPr="005071A1">
              <w:t>s.</w:t>
            </w:r>
            <w:r w:rsidR="009B7AF5" w:rsidRPr="005071A1">
              <w:t xml:space="preserve"> 97</w:t>
            </w:r>
            <w:r w:rsidR="009B7AF5" w:rsidRPr="005071A1">
              <w:tab/>
            </w:r>
          </w:p>
        </w:tc>
        <w:tc>
          <w:tcPr>
            <w:tcW w:w="4551" w:type="dxa"/>
          </w:tcPr>
          <w:p w14:paraId="6B9AF1C2" w14:textId="77777777" w:rsidR="009B7AF5" w:rsidRPr="005071A1" w:rsidRDefault="009B7AF5" w:rsidP="009B7AF5">
            <w:pPr>
              <w:pStyle w:val="ENoteTableText"/>
            </w:pPr>
            <w:r w:rsidRPr="005071A1">
              <w:t>ad. No.</w:t>
            </w:r>
            <w:r w:rsidR="008B2950" w:rsidRPr="005071A1">
              <w:t> </w:t>
            </w:r>
            <w:r w:rsidRPr="005071A1">
              <w:t>18, 1943</w:t>
            </w:r>
          </w:p>
        </w:tc>
      </w:tr>
      <w:tr w:rsidR="009B7AF5" w:rsidRPr="005071A1" w14:paraId="65167991" w14:textId="77777777" w:rsidTr="00962E93">
        <w:trPr>
          <w:cantSplit/>
        </w:trPr>
        <w:tc>
          <w:tcPr>
            <w:tcW w:w="2551" w:type="dxa"/>
          </w:tcPr>
          <w:p w14:paraId="68002456" w14:textId="77777777" w:rsidR="009B7AF5" w:rsidRPr="005071A1" w:rsidRDefault="009B7AF5" w:rsidP="009B7AF5">
            <w:pPr>
              <w:pStyle w:val="ENoteTableText"/>
            </w:pPr>
          </w:p>
        </w:tc>
        <w:tc>
          <w:tcPr>
            <w:tcW w:w="4551" w:type="dxa"/>
          </w:tcPr>
          <w:p w14:paraId="687ED74C"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17, 1978</w:t>
            </w:r>
          </w:p>
        </w:tc>
      </w:tr>
      <w:tr w:rsidR="009B7AF5" w:rsidRPr="005071A1" w14:paraId="41424778" w14:textId="77777777" w:rsidTr="00962E93">
        <w:trPr>
          <w:cantSplit/>
        </w:trPr>
        <w:tc>
          <w:tcPr>
            <w:tcW w:w="2551" w:type="dxa"/>
          </w:tcPr>
          <w:p w14:paraId="2A428C4A" w14:textId="77777777" w:rsidR="009B7AF5" w:rsidRPr="005071A1" w:rsidRDefault="009B7AF5" w:rsidP="009B7AF5">
            <w:pPr>
              <w:pStyle w:val="ENoteTableText"/>
            </w:pPr>
          </w:p>
        </w:tc>
        <w:tc>
          <w:tcPr>
            <w:tcW w:w="4551" w:type="dxa"/>
          </w:tcPr>
          <w:p w14:paraId="560CB9D7" w14:textId="77777777" w:rsidR="009B7AF5" w:rsidRPr="005071A1" w:rsidRDefault="009B7AF5" w:rsidP="009B7AF5">
            <w:pPr>
              <w:pStyle w:val="ENoteTableText"/>
            </w:pPr>
            <w:r w:rsidRPr="005071A1">
              <w:t>rep. No.</w:t>
            </w:r>
            <w:r w:rsidR="008B2950" w:rsidRPr="005071A1">
              <w:t> </w:t>
            </w:r>
            <w:r w:rsidRPr="005071A1">
              <w:t>136, 2012</w:t>
            </w:r>
          </w:p>
        </w:tc>
      </w:tr>
      <w:tr w:rsidR="009B7AF5" w:rsidRPr="005071A1" w14:paraId="4C71DFBF" w14:textId="77777777" w:rsidTr="00962E93">
        <w:trPr>
          <w:cantSplit/>
        </w:trPr>
        <w:tc>
          <w:tcPr>
            <w:tcW w:w="2551" w:type="dxa"/>
          </w:tcPr>
          <w:p w14:paraId="26BCA2AF" w14:textId="77777777" w:rsidR="009B7AF5" w:rsidRPr="005071A1" w:rsidRDefault="002477D1" w:rsidP="002477D1">
            <w:pPr>
              <w:pStyle w:val="ENoteTableText"/>
              <w:tabs>
                <w:tab w:val="center" w:leader="dot" w:pos="2268"/>
              </w:tabs>
            </w:pPr>
            <w:r w:rsidRPr="005071A1">
              <w:t>s.</w:t>
            </w:r>
            <w:r w:rsidR="009B7AF5" w:rsidRPr="005071A1">
              <w:t xml:space="preserve"> 98</w:t>
            </w:r>
            <w:r w:rsidR="009B7AF5" w:rsidRPr="005071A1">
              <w:tab/>
            </w:r>
          </w:p>
        </w:tc>
        <w:tc>
          <w:tcPr>
            <w:tcW w:w="4551" w:type="dxa"/>
          </w:tcPr>
          <w:p w14:paraId="2DB9D01E" w14:textId="77777777" w:rsidR="009B7AF5" w:rsidRPr="005071A1" w:rsidRDefault="009B7AF5" w:rsidP="009B7AF5">
            <w:pPr>
              <w:pStyle w:val="ENoteTableText"/>
            </w:pPr>
            <w:r w:rsidRPr="005071A1">
              <w:t>ad. No.</w:t>
            </w:r>
            <w:r w:rsidR="008B2950" w:rsidRPr="005071A1">
              <w:t> </w:t>
            </w:r>
            <w:r w:rsidRPr="005071A1">
              <w:t>18, 1943</w:t>
            </w:r>
          </w:p>
        </w:tc>
      </w:tr>
      <w:tr w:rsidR="009B7AF5" w:rsidRPr="005071A1" w14:paraId="763BD6F5" w14:textId="77777777" w:rsidTr="00962E93">
        <w:trPr>
          <w:cantSplit/>
        </w:trPr>
        <w:tc>
          <w:tcPr>
            <w:tcW w:w="2551" w:type="dxa"/>
          </w:tcPr>
          <w:p w14:paraId="47A17BDA" w14:textId="77777777" w:rsidR="009B7AF5" w:rsidRPr="005071A1" w:rsidRDefault="009B7AF5" w:rsidP="009B7AF5">
            <w:pPr>
              <w:pStyle w:val="ENoteTableText"/>
            </w:pPr>
          </w:p>
        </w:tc>
        <w:tc>
          <w:tcPr>
            <w:tcW w:w="4551" w:type="dxa"/>
          </w:tcPr>
          <w:p w14:paraId="19192F64"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32, 1976; No.</w:t>
            </w:r>
            <w:r w:rsidR="008B2950" w:rsidRPr="005071A1">
              <w:t> </w:t>
            </w:r>
            <w:r w:rsidRPr="005071A1">
              <w:t>17, 1978</w:t>
            </w:r>
          </w:p>
        </w:tc>
      </w:tr>
      <w:tr w:rsidR="009B7AF5" w:rsidRPr="005071A1" w14:paraId="0486201E" w14:textId="77777777" w:rsidTr="00962E93">
        <w:trPr>
          <w:cantSplit/>
        </w:trPr>
        <w:tc>
          <w:tcPr>
            <w:tcW w:w="2551" w:type="dxa"/>
          </w:tcPr>
          <w:p w14:paraId="70B267B7" w14:textId="77777777" w:rsidR="009B7AF5" w:rsidRPr="005071A1" w:rsidRDefault="009B7AF5" w:rsidP="009B7AF5">
            <w:pPr>
              <w:pStyle w:val="ENoteTableText"/>
            </w:pPr>
          </w:p>
        </w:tc>
        <w:tc>
          <w:tcPr>
            <w:tcW w:w="4551" w:type="dxa"/>
          </w:tcPr>
          <w:p w14:paraId="0741DB48" w14:textId="77777777" w:rsidR="009B7AF5" w:rsidRPr="005071A1" w:rsidRDefault="009B7AF5" w:rsidP="009B7AF5">
            <w:pPr>
              <w:pStyle w:val="ENoteTableText"/>
            </w:pPr>
            <w:r w:rsidRPr="005071A1">
              <w:t>rep. No.</w:t>
            </w:r>
            <w:r w:rsidR="008B2950" w:rsidRPr="005071A1">
              <w:t> </w:t>
            </w:r>
            <w:r w:rsidRPr="005071A1">
              <w:t>136, 2012</w:t>
            </w:r>
          </w:p>
        </w:tc>
      </w:tr>
      <w:tr w:rsidR="009B7AF5" w:rsidRPr="005071A1" w14:paraId="01B17F7D" w14:textId="77777777" w:rsidTr="00962E93">
        <w:trPr>
          <w:cantSplit/>
        </w:trPr>
        <w:tc>
          <w:tcPr>
            <w:tcW w:w="2551" w:type="dxa"/>
          </w:tcPr>
          <w:p w14:paraId="288AD2E7" w14:textId="77777777" w:rsidR="009B7AF5" w:rsidRPr="005071A1" w:rsidRDefault="002477D1" w:rsidP="002477D1">
            <w:pPr>
              <w:pStyle w:val="ENoteTableText"/>
              <w:tabs>
                <w:tab w:val="center" w:leader="dot" w:pos="2268"/>
              </w:tabs>
            </w:pPr>
            <w:r w:rsidRPr="005071A1">
              <w:t>s.</w:t>
            </w:r>
            <w:r w:rsidR="009B7AF5" w:rsidRPr="005071A1">
              <w:t xml:space="preserve"> 99</w:t>
            </w:r>
            <w:r w:rsidR="009B7AF5" w:rsidRPr="005071A1">
              <w:tab/>
            </w:r>
          </w:p>
        </w:tc>
        <w:tc>
          <w:tcPr>
            <w:tcW w:w="4551" w:type="dxa"/>
          </w:tcPr>
          <w:p w14:paraId="70C99DA4" w14:textId="77777777" w:rsidR="009B7AF5" w:rsidRPr="005071A1" w:rsidRDefault="009B7AF5" w:rsidP="009B7AF5">
            <w:pPr>
              <w:pStyle w:val="ENoteTableText"/>
            </w:pPr>
            <w:r w:rsidRPr="005071A1">
              <w:t>ad. No.</w:t>
            </w:r>
            <w:r w:rsidR="008B2950" w:rsidRPr="005071A1">
              <w:t> </w:t>
            </w:r>
            <w:r w:rsidRPr="005071A1">
              <w:t>18, 1943</w:t>
            </w:r>
          </w:p>
        </w:tc>
      </w:tr>
      <w:tr w:rsidR="009B7AF5" w:rsidRPr="005071A1" w14:paraId="306B233B" w14:textId="77777777" w:rsidTr="00962E93">
        <w:trPr>
          <w:cantSplit/>
        </w:trPr>
        <w:tc>
          <w:tcPr>
            <w:tcW w:w="2551" w:type="dxa"/>
          </w:tcPr>
          <w:p w14:paraId="117488E6" w14:textId="77777777" w:rsidR="009B7AF5" w:rsidRPr="005071A1" w:rsidRDefault="009B7AF5" w:rsidP="009B7AF5">
            <w:pPr>
              <w:pStyle w:val="ENoteTableText"/>
            </w:pPr>
          </w:p>
        </w:tc>
        <w:tc>
          <w:tcPr>
            <w:tcW w:w="4551" w:type="dxa"/>
          </w:tcPr>
          <w:p w14:paraId="3EB492A9"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97, 1965; No.</w:t>
            </w:r>
            <w:r w:rsidR="008B2950" w:rsidRPr="005071A1">
              <w:t> </w:t>
            </w:r>
            <w:r w:rsidRPr="005071A1">
              <w:t>32, 1976; No.</w:t>
            </w:r>
            <w:r w:rsidR="008B2950" w:rsidRPr="005071A1">
              <w:t> </w:t>
            </w:r>
            <w:r w:rsidRPr="005071A1">
              <w:t>17, 1978</w:t>
            </w:r>
          </w:p>
        </w:tc>
      </w:tr>
      <w:tr w:rsidR="009B7AF5" w:rsidRPr="005071A1" w14:paraId="714889A1" w14:textId="77777777" w:rsidTr="00962E93">
        <w:trPr>
          <w:cantSplit/>
        </w:trPr>
        <w:tc>
          <w:tcPr>
            <w:tcW w:w="2551" w:type="dxa"/>
          </w:tcPr>
          <w:p w14:paraId="19334D00" w14:textId="77777777" w:rsidR="009B7AF5" w:rsidRPr="005071A1" w:rsidRDefault="009B7AF5" w:rsidP="009B7AF5">
            <w:pPr>
              <w:pStyle w:val="ENoteTableText"/>
            </w:pPr>
          </w:p>
        </w:tc>
        <w:tc>
          <w:tcPr>
            <w:tcW w:w="4551" w:type="dxa"/>
          </w:tcPr>
          <w:p w14:paraId="601DC62D" w14:textId="77777777" w:rsidR="009B7AF5" w:rsidRPr="005071A1" w:rsidRDefault="009B7AF5" w:rsidP="009B7AF5">
            <w:pPr>
              <w:pStyle w:val="ENoteTableText"/>
            </w:pPr>
            <w:r w:rsidRPr="005071A1">
              <w:t>rep. No.</w:t>
            </w:r>
            <w:r w:rsidR="008B2950" w:rsidRPr="005071A1">
              <w:t> </w:t>
            </w:r>
            <w:r w:rsidRPr="005071A1">
              <w:t>136, 2012</w:t>
            </w:r>
          </w:p>
        </w:tc>
      </w:tr>
      <w:tr w:rsidR="009B7AF5" w:rsidRPr="005071A1" w14:paraId="26B3C3DE" w14:textId="77777777" w:rsidTr="00962E93">
        <w:trPr>
          <w:cantSplit/>
        </w:trPr>
        <w:tc>
          <w:tcPr>
            <w:tcW w:w="2551" w:type="dxa"/>
          </w:tcPr>
          <w:p w14:paraId="06D4EB2A" w14:textId="77777777" w:rsidR="009B7AF5" w:rsidRPr="005071A1" w:rsidRDefault="002477D1" w:rsidP="002477D1">
            <w:pPr>
              <w:pStyle w:val="ENoteTableText"/>
              <w:tabs>
                <w:tab w:val="center" w:leader="dot" w:pos="2268"/>
              </w:tabs>
            </w:pPr>
            <w:r w:rsidRPr="005071A1">
              <w:t>s.</w:t>
            </w:r>
            <w:r w:rsidR="009B7AF5" w:rsidRPr="005071A1">
              <w:t xml:space="preserve"> 100</w:t>
            </w:r>
            <w:r w:rsidR="009B7AF5" w:rsidRPr="005071A1">
              <w:tab/>
            </w:r>
          </w:p>
        </w:tc>
        <w:tc>
          <w:tcPr>
            <w:tcW w:w="4551" w:type="dxa"/>
          </w:tcPr>
          <w:p w14:paraId="314E5F88" w14:textId="77777777" w:rsidR="009B7AF5" w:rsidRPr="005071A1" w:rsidRDefault="009B7AF5" w:rsidP="009B7AF5">
            <w:pPr>
              <w:pStyle w:val="ENoteTableText"/>
            </w:pPr>
            <w:r w:rsidRPr="005071A1">
              <w:t>ad. No.</w:t>
            </w:r>
            <w:r w:rsidR="008B2950" w:rsidRPr="005071A1">
              <w:t> </w:t>
            </w:r>
            <w:r w:rsidRPr="005071A1">
              <w:t>18, 1943</w:t>
            </w:r>
          </w:p>
        </w:tc>
      </w:tr>
      <w:tr w:rsidR="009B7AF5" w:rsidRPr="005071A1" w14:paraId="3D99AA0A" w14:textId="77777777" w:rsidTr="00962E93">
        <w:trPr>
          <w:cantSplit/>
        </w:trPr>
        <w:tc>
          <w:tcPr>
            <w:tcW w:w="2551" w:type="dxa"/>
          </w:tcPr>
          <w:p w14:paraId="596DDEDC" w14:textId="77777777" w:rsidR="009B7AF5" w:rsidRPr="005071A1" w:rsidRDefault="009B7AF5" w:rsidP="009B7AF5">
            <w:pPr>
              <w:pStyle w:val="ENoteTableText"/>
            </w:pPr>
          </w:p>
        </w:tc>
        <w:tc>
          <w:tcPr>
            <w:tcW w:w="4551" w:type="dxa"/>
          </w:tcPr>
          <w:p w14:paraId="670B7523"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17, 1978</w:t>
            </w:r>
          </w:p>
        </w:tc>
      </w:tr>
      <w:tr w:rsidR="009B7AF5" w:rsidRPr="005071A1" w14:paraId="17C317FC" w14:textId="77777777" w:rsidTr="00962E93">
        <w:trPr>
          <w:cantSplit/>
        </w:trPr>
        <w:tc>
          <w:tcPr>
            <w:tcW w:w="2551" w:type="dxa"/>
          </w:tcPr>
          <w:p w14:paraId="4B1D11CE" w14:textId="77777777" w:rsidR="009B7AF5" w:rsidRPr="005071A1" w:rsidRDefault="009B7AF5" w:rsidP="009B7AF5">
            <w:pPr>
              <w:pStyle w:val="ENoteTableText"/>
            </w:pPr>
          </w:p>
        </w:tc>
        <w:tc>
          <w:tcPr>
            <w:tcW w:w="4551" w:type="dxa"/>
          </w:tcPr>
          <w:p w14:paraId="3540F350" w14:textId="77777777" w:rsidR="009B7AF5" w:rsidRPr="005071A1" w:rsidRDefault="009B7AF5" w:rsidP="009B7AF5">
            <w:pPr>
              <w:pStyle w:val="ENoteTableText"/>
            </w:pPr>
            <w:r w:rsidRPr="005071A1">
              <w:t>rep. No.</w:t>
            </w:r>
            <w:r w:rsidR="008B2950" w:rsidRPr="005071A1">
              <w:t> </w:t>
            </w:r>
            <w:r w:rsidRPr="005071A1">
              <w:t>136, 2012</w:t>
            </w:r>
          </w:p>
        </w:tc>
      </w:tr>
      <w:tr w:rsidR="009B7AF5" w:rsidRPr="005071A1" w14:paraId="31318918" w14:textId="77777777" w:rsidTr="00962E93">
        <w:trPr>
          <w:cantSplit/>
        </w:trPr>
        <w:tc>
          <w:tcPr>
            <w:tcW w:w="2551" w:type="dxa"/>
          </w:tcPr>
          <w:p w14:paraId="327BE2CF" w14:textId="77777777" w:rsidR="009B7AF5" w:rsidRPr="005071A1" w:rsidRDefault="009B7AF5" w:rsidP="009B7AF5">
            <w:pPr>
              <w:pStyle w:val="ENoteTableText"/>
            </w:pPr>
            <w:r w:rsidRPr="005071A1">
              <w:rPr>
                <w:b/>
              </w:rPr>
              <w:t>Part</w:t>
            </w:r>
            <w:r w:rsidR="002477D1" w:rsidRPr="005071A1">
              <w:rPr>
                <w:b/>
              </w:rPr>
              <w:t> </w:t>
            </w:r>
            <w:r w:rsidRPr="005071A1">
              <w:rPr>
                <w:b/>
              </w:rPr>
              <w:t>VIA</w:t>
            </w:r>
          </w:p>
        </w:tc>
        <w:tc>
          <w:tcPr>
            <w:tcW w:w="4551" w:type="dxa"/>
          </w:tcPr>
          <w:p w14:paraId="55B8E4E2" w14:textId="77777777" w:rsidR="009B7AF5" w:rsidRPr="005071A1" w:rsidRDefault="009B7AF5" w:rsidP="009B7AF5">
            <w:pPr>
              <w:pStyle w:val="ENoteTableText"/>
            </w:pPr>
          </w:p>
        </w:tc>
      </w:tr>
      <w:tr w:rsidR="009B7AF5" w:rsidRPr="005071A1" w14:paraId="27C8579B" w14:textId="77777777" w:rsidTr="00962E93">
        <w:trPr>
          <w:cantSplit/>
        </w:trPr>
        <w:tc>
          <w:tcPr>
            <w:tcW w:w="2551" w:type="dxa"/>
          </w:tcPr>
          <w:p w14:paraId="54653323" w14:textId="77777777" w:rsidR="009B7AF5" w:rsidRPr="005071A1" w:rsidRDefault="009B7AF5" w:rsidP="0086505B">
            <w:pPr>
              <w:pStyle w:val="ENoteTableText"/>
              <w:tabs>
                <w:tab w:val="center" w:leader="dot" w:pos="2268"/>
              </w:tabs>
            </w:pPr>
            <w:r w:rsidRPr="005071A1">
              <w:t>Part VIA</w:t>
            </w:r>
            <w:r w:rsidRPr="005071A1">
              <w:tab/>
            </w:r>
          </w:p>
        </w:tc>
        <w:tc>
          <w:tcPr>
            <w:tcW w:w="4551" w:type="dxa"/>
          </w:tcPr>
          <w:p w14:paraId="4967A240"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367DFCEA" w14:textId="77777777" w:rsidTr="00962E93">
        <w:trPr>
          <w:cantSplit/>
        </w:trPr>
        <w:tc>
          <w:tcPr>
            <w:tcW w:w="2551" w:type="dxa"/>
          </w:tcPr>
          <w:p w14:paraId="4BD58D6E" w14:textId="77777777" w:rsidR="009B7AF5" w:rsidRPr="005071A1" w:rsidRDefault="009B7AF5" w:rsidP="009B7AF5">
            <w:pPr>
              <w:pStyle w:val="ENoteTableText"/>
            </w:pPr>
            <w:r w:rsidRPr="005071A1">
              <w:rPr>
                <w:b/>
              </w:rPr>
              <w:t>Division</w:t>
            </w:r>
            <w:r w:rsidR="008B2950" w:rsidRPr="005071A1">
              <w:rPr>
                <w:b/>
              </w:rPr>
              <w:t> </w:t>
            </w:r>
            <w:r w:rsidRPr="005071A1">
              <w:rPr>
                <w:b/>
              </w:rPr>
              <w:t>1</w:t>
            </w:r>
          </w:p>
        </w:tc>
        <w:tc>
          <w:tcPr>
            <w:tcW w:w="4551" w:type="dxa"/>
          </w:tcPr>
          <w:p w14:paraId="5A9F90AC" w14:textId="77777777" w:rsidR="009B7AF5" w:rsidRPr="005071A1" w:rsidRDefault="009B7AF5" w:rsidP="009B7AF5">
            <w:pPr>
              <w:pStyle w:val="ENoteTableText"/>
            </w:pPr>
          </w:p>
        </w:tc>
      </w:tr>
      <w:tr w:rsidR="009B7AF5" w:rsidRPr="005071A1" w14:paraId="6CE16749" w14:textId="77777777" w:rsidTr="00962E93">
        <w:trPr>
          <w:cantSplit/>
        </w:trPr>
        <w:tc>
          <w:tcPr>
            <w:tcW w:w="2551" w:type="dxa"/>
          </w:tcPr>
          <w:p w14:paraId="1A5C5C1A" w14:textId="77777777" w:rsidR="009B7AF5" w:rsidRPr="005071A1" w:rsidRDefault="002477D1" w:rsidP="002477D1">
            <w:pPr>
              <w:pStyle w:val="ENoteTableText"/>
              <w:tabs>
                <w:tab w:val="center" w:leader="dot" w:pos="2268"/>
              </w:tabs>
            </w:pPr>
            <w:r w:rsidRPr="005071A1">
              <w:t>s.</w:t>
            </w:r>
            <w:r w:rsidR="009B7AF5" w:rsidRPr="005071A1">
              <w:t xml:space="preserve"> 100A</w:t>
            </w:r>
            <w:r w:rsidR="009B7AF5" w:rsidRPr="005071A1">
              <w:tab/>
            </w:r>
          </w:p>
        </w:tc>
        <w:tc>
          <w:tcPr>
            <w:tcW w:w="4551" w:type="dxa"/>
          </w:tcPr>
          <w:p w14:paraId="644602AC"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1622EA2C" w14:textId="77777777" w:rsidTr="00962E93">
        <w:trPr>
          <w:cantSplit/>
        </w:trPr>
        <w:tc>
          <w:tcPr>
            <w:tcW w:w="2551" w:type="dxa"/>
          </w:tcPr>
          <w:p w14:paraId="1E443D74" w14:textId="77777777" w:rsidR="009B7AF5" w:rsidRPr="005071A1" w:rsidRDefault="009B7AF5" w:rsidP="009B7AF5">
            <w:pPr>
              <w:pStyle w:val="ENoteTableText"/>
            </w:pPr>
          </w:p>
        </w:tc>
        <w:tc>
          <w:tcPr>
            <w:tcW w:w="4551" w:type="dxa"/>
          </w:tcPr>
          <w:p w14:paraId="3AF64E34"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148, 2001</w:t>
            </w:r>
          </w:p>
        </w:tc>
      </w:tr>
      <w:tr w:rsidR="009B7AF5" w:rsidRPr="005071A1" w14:paraId="2BFDFC71" w14:textId="77777777" w:rsidTr="00962E93">
        <w:trPr>
          <w:cantSplit/>
        </w:trPr>
        <w:tc>
          <w:tcPr>
            <w:tcW w:w="2551" w:type="dxa"/>
          </w:tcPr>
          <w:p w14:paraId="547E662F" w14:textId="77777777" w:rsidR="009B7AF5" w:rsidRPr="005071A1" w:rsidRDefault="009B7AF5" w:rsidP="009B7AF5">
            <w:pPr>
              <w:pStyle w:val="ENoteTableText"/>
            </w:pPr>
            <w:r w:rsidRPr="005071A1">
              <w:rPr>
                <w:b/>
              </w:rPr>
              <w:t>Division</w:t>
            </w:r>
            <w:r w:rsidR="008B2950" w:rsidRPr="005071A1">
              <w:rPr>
                <w:b/>
              </w:rPr>
              <w:t> </w:t>
            </w:r>
            <w:r w:rsidRPr="005071A1">
              <w:rPr>
                <w:b/>
              </w:rPr>
              <w:t>2</w:t>
            </w:r>
          </w:p>
        </w:tc>
        <w:tc>
          <w:tcPr>
            <w:tcW w:w="4551" w:type="dxa"/>
          </w:tcPr>
          <w:p w14:paraId="10230EDD" w14:textId="77777777" w:rsidR="009B7AF5" w:rsidRPr="005071A1" w:rsidRDefault="009B7AF5" w:rsidP="009B7AF5">
            <w:pPr>
              <w:pStyle w:val="ENoteTableText"/>
            </w:pPr>
          </w:p>
        </w:tc>
      </w:tr>
      <w:tr w:rsidR="009B7AF5" w:rsidRPr="005071A1" w14:paraId="4732925F" w14:textId="77777777" w:rsidTr="00962E93">
        <w:trPr>
          <w:cantSplit/>
        </w:trPr>
        <w:tc>
          <w:tcPr>
            <w:tcW w:w="2551" w:type="dxa"/>
          </w:tcPr>
          <w:p w14:paraId="49CA51D1"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100B, 100C</w:t>
            </w:r>
            <w:r w:rsidR="009B7AF5" w:rsidRPr="005071A1">
              <w:tab/>
            </w:r>
          </w:p>
        </w:tc>
        <w:tc>
          <w:tcPr>
            <w:tcW w:w="4551" w:type="dxa"/>
          </w:tcPr>
          <w:p w14:paraId="71B1A5CD"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429B4512" w14:textId="77777777" w:rsidTr="00962E93">
        <w:trPr>
          <w:cantSplit/>
        </w:trPr>
        <w:tc>
          <w:tcPr>
            <w:tcW w:w="2551" w:type="dxa"/>
          </w:tcPr>
          <w:p w14:paraId="7A262BBD" w14:textId="77777777" w:rsidR="009B7AF5" w:rsidRPr="005071A1" w:rsidRDefault="009B7AF5" w:rsidP="009B7AF5">
            <w:pPr>
              <w:pStyle w:val="ENoteTableText"/>
            </w:pPr>
          </w:p>
        </w:tc>
        <w:tc>
          <w:tcPr>
            <w:tcW w:w="4551" w:type="dxa"/>
          </w:tcPr>
          <w:p w14:paraId="2568DAB6"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CE65A82" w14:textId="77777777" w:rsidTr="00962E93">
        <w:trPr>
          <w:cantSplit/>
        </w:trPr>
        <w:tc>
          <w:tcPr>
            <w:tcW w:w="2551" w:type="dxa"/>
          </w:tcPr>
          <w:p w14:paraId="59B58BEB"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100D, 100E</w:t>
            </w:r>
            <w:r w:rsidR="009B7AF5" w:rsidRPr="005071A1">
              <w:tab/>
            </w:r>
          </w:p>
        </w:tc>
        <w:tc>
          <w:tcPr>
            <w:tcW w:w="4551" w:type="dxa"/>
          </w:tcPr>
          <w:p w14:paraId="24C5A20C"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7DECFE9A" w14:textId="77777777" w:rsidTr="00962E93">
        <w:trPr>
          <w:cantSplit/>
        </w:trPr>
        <w:tc>
          <w:tcPr>
            <w:tcW w:w="2551" w:type="dxa"/>
          </w:tcPr>
          <w:p w14:paraId="3C2B1740" w14:textId="77777777" w:rsidR="009B7AF5" w:rsidRPr="005071A1" w:rsidRDefault="009B7AF5" w:rsidP="009B7AF5">
            <w:pPr>
              <w:pStyle w:val="ENoteTableText"/>
            </w:pPr>
          </w:p>
        </w:tc>
        <w:tc>
          <w:tcPr>
            <w:tcW w:w="4551" w:type="dxa"/>
          </w:tcPr>
          <w:p w14:paraId="5C27CCE9"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8, 2005</w:t>
            </w:r>
          </w:p>
        </w:tc>
      </w:tr>
      <w:tr w:rsidR="009B7AF5" w:rsidRPr="005071A1" w14:paraId="5F386F88" w14:textId="77777777" w:rsidTr="00962E93">
        <w:trPr>
          <w:cantSplit/>
        </w:trPr>
        <w:tc>
          <w:tcPr>
            <w:tcW w:w="2551" w:type="dxa"/>
          </w:tcPr>
          <w:p w14:paraId="07F052BC"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100F–100H</w:t>
            </w:r>
            <w:r w:rsidR="009B7AF5" w:rsidRPr="005071A1">
              <w:tab/>
            </w:r>
          </w:p>
        </w:tc>
        <w:tc>
          <w:tcPr>
            <w:tcW w:w="4551" w:type="dxa"/>
          </w:tcPr>
          <w:p w14:paraId="29A2A248"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255B7273" w14:textId="77777777" w:rsidTr="00962E93">
        <w:trPr>
          <w:cantSplit/>
        </w:trPr>
        <w:tc>
          <w:tcPr>
            <w:tcW w:w="2551" w:type="dxa"/>
          </w:tcPr>
          <w:p w14:paraId="131BAA46" w14:textId="77777777" w:rsidR="009B7AF5" w:rsidRPr="005071A1" w:rsidRDefault="009B7AF5" w:rsidP="009B7AF5">
            <w:pPr>
              <w:pStyle w:val="ENoteTableText"/>
            </w:pPr>
          </w:p>
        </w:tc>
        <w:tc>
          <w:tcPr>
            <w:tcW w:w="4551" w:type="dxa"/>
          </w:tcPr>
          <w:p w14:paraId="275FE831"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3D8CA857" w14:textId="77777777" w:rsidTr="00962E93">
        <w:trPr>
          <w:cantSplit/>
        </w:trPr>
        <w:tc>
          <w:tcPr>
            <w:tcW w:w="2551" w:type="dxa"/>
          </w:tcPr>
          <w:p w14:paraId="404266AA" w14:textId="77777777" w:rsidR="009B7AF5" w:rsidRPr="005071A1" w:rsidRDefault="002477D1" w:rsidP="002477D1">
            <w:pPr>
              <w:pStyle w:val="ENoteTableText"/>
              <w:tabs>
                <w:tab w:val="center" w:leader="dot" w:pos="2268"/>
              </w:tabs>
            </w:pPr>
            <w:r w:rsidRPr="005071A1">
              <w:t>s.</w:t>
            </w:r>
            <w:r w:rsidR="009B7AF5" w:rsidRPr="005071A1">
              <w:t xml:space="preserve"> 100J</w:t>
            </w:r>
            <w:r w:rsidR="009B7AF5" w:rsidRPr="005071A1">
              <w:tab/>
            </w:r>
          </w:p>
        </w:tc>
        <w:tc>
          <w:tcPr>
            <w:tcW w:w="4551" w:type="dxa"/>
          </w:tcPr>
          <w:p w14:paraId="4E696D23"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5F031A6F" w14:textId="77777777" w:rsidTr="00962E93">
        <w:trPr>
          <w:cantSplit/>
        </w:trPr>
        <w:tc>
          <w:tcPr>
            <w:tcW w:w="2551" w:type="dxa"/>
          </w:tcPr>
          <w:p w14:paraId="5822D62A" w14:textId="77777777" w:rsidR="009B7AF5" w:rsidRPr="005071A1" w:rsidRDefault="009B7AF5" w:rsidP="009B7AF5">
            <w:pPr>
              <w:pStyle w:val="ENoteTableText"/>
            </w:pPr>
          </w:p>
        </w:tc>
        <w:tc>
          <w:tcPr>
            <w:tcW w:w="4551" w:type="dxa"/>
          </w:tcPr>
          <w:p w14:paraId="4B7EEAD0"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2A16C1D" w14:textId="77777777" w:rsidTr="00962E93">
        <w:trPr>
          <w:cantSplit/>
        </w:trPr>
        <w:tc>
          <w:tcPr>
            <w:tcW w:w="2551" w:type="dxa"/>
          </w:tcPr>
          <w:p w14:paraId="1519EB3E" w14:textId="77777777" w:rsidR="009B7AF5" w:rsidRPr="005071A1" w:rsidRDefault="004510F0" w:rsidP="009113A7">
            <w:pPr>
              <w:pStyle w:val="ENoteTableText"/>
              <w:keepNext/>
            </w:pPr>
            <w:r>
              <w:rPr>
                <w:b/>
              </w:rPr>
              <w:t>Division 3</w:t>
            </w:r>
          </w:p>
        </w:tc>
        <w:tc>
          <w:tcPr>
            <w:tcW w:w="4551" w:type="dxa"/>
          </w:tcPr>
          <w:p w14:paraId="1E6277FA" w14:textId="77777777" w:rsidR="009B7AF5" w:rsidRPr="005071A1" w:rsidRDefault="009B7AF5" w:rsidP="009113A7">
            <w:pPr>
              <w:pStyle w:val="ENoteTableText"/>
              <w:keepNext/>
            </w:pPr>
          </w:p>
        </w:tc>
      </w:tr>
      <w:tr w:rsidR="009B7AF5" w:rsidRPr="005071A1" w14:paraId="743C1889" w14:textId="77777777" w:rsidTr="00962E93">
        <w:trPr>
          <w:cantSplit/>
        </w:trPr>
        <w:tc>
          <w:tcPr>
            <w:tcW w:w="2551" w:type="dxa"/>
          </w:tcPr>
          <w:p w14:paraId="45BD7A83" w14:textId="77777777" w:rsidR="009B7AF5" w:rsidRPr="005071A1" w:rsidRDefault="002477D1" w:rsidP="002477D1">
            <w:pPr>
              <w:pStyle w:val="ENoteTableText"/>
              <w:tabs>
                <w:tab w:val="center" w:leader="dot" w:pos="2268"/>
              </w:tabs>
            </w:pPr>
            <w:r w:rsidRPr="005071A1">
              <w:t>s.</w:t>
            </w:r>
            <w:r w:rsidR="009B7AF5" w:rsidRPr="005071A1">
              <w:t xml:space="preserve"> 100K</w:t>
            </w:r>
            <w:r w:rsidR="009B7AF5" w:rsidRPr="005071A1">
              <w:tab/>
            </w:r>
          </w:p>
        </w:tc>
        <w:tc>
          <w:tcPr>
            <w:tcW w:w="4551" w:type="dxa"/>
          </w:tcPr>
          <w:p w14:paraId="1111D599"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40C5BA77" w14:textId="77777777" w:rsidTr="00962E93">
        <w:trPr>
          <w:cantSplit/>
        </w:trPr>
        <w:tc>
          <w:tcPr>
            <w:tcW w:w="2551" w:type="dxa"/>
          </w:tcPr>
          <w:p w14:paraId="40862453" w14:textId="77777777" w:rsidR="009B7AF5" w:rsidRPr="005071A1" w:rsidRDefault="009B7AF5" w:rsidP="009B7AF5">
            <w:pPr>
              <w:pStyle w:val="ENoteTableText"/>
            </w:pPr>
          </w:p>
        </w:tc>
        <w:tc>
          <w:tcPr>
            <w:tcW w:w="4551" w:type="dxa"/>
          </w:tcPr>
          <w:p w14:paraId="752C54FF"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73461CB7" w14:textId="77777777" w:rsidTr="00962E93">
        <w:trPr>
          <w:cantSplit/>
        </w:trPr>
        <w:tc>
          <w:tcPr>
            <w:tcW w:w="2551" w:type="dxa"/>
          </w:tcPr>
          <w:p w14:paraId="7C8F3C92" w14:textId="77777777" w:rsidR="009B7AF5" w:rsidRPr="005071A1" w:rsidRDefault="002477D1" w:rsidP="002477D1">
            <w:pPr>
              <w:pStyle w:val="ENoteTableText"/>
              <w:tabs>
                <w:tab w:val="center" w:leader="dot" w:pos="2268"/>
              </w:tabs>
            </w:pPr>
            <w:r w:rsidRPr="005071A1">
              <w:t>s.</w:t>
            </w:r>
            <w:r w:rsidR="009B7AF5" w:rsidRPr="005071A1">
              <w:t xml:space="preserve"> 100L</w:t>
            </w:r>
            <w:r w:rsidR="009B7AF5" w:rsidRPr="005071A1">
              <w:tab/>
            </w:r>
          </w:p>
        </w:tc>
        <w:tc>
          <w:tcPr>
            <w:tcW w:w="4551" w:type="dxa"/>
          </w:tcPr>
          <w:p w14:paraId="1E13A8F9"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3CA71C6E" w14:textId="77777777" w:rsidTr="00962E93">
        <w:trPr>
          <w:cantSplit/>
        </w:trPr>
        <w:tc>
          <w:tcPr>
            <w:tcW w:w="2551" w:type="dxa"/>
          </w:tcPr>
          <w:p w14:paraId="63C88486" w14:textId="77777777" w:rsidR="009B7AF5" w:rsidRPr="005071A1" w:rsidRDefault="009B7AF5" w:rsidP="009B7AF5">
            <w:pPr>
              <w:pStyle w:val="ENoteTableText"/>
            </w:pPr>
          </w:p>
        </w:tc>
        <w:tc>
          <w:tcPr>
            <w:tcW w:w="4551" w:type="dxa"/>
          </w:tcPr>
          <w:p w14:paraId="1E910630"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8, 2005</w:t>
            </w:r>
          </w:p>
        </w:tc>
      </w:tr>
      <w:tr w:rsidR="009B7AF5" w:rsidRPr="005071A1" w14:paraId="3DF133EC" w14:textId="77777777" w:rsidTr="00962E93">
        <w:trPr>
          <w:cantSplit/>
        </w:trPr>
        <w:tc>
          <w:tcPr>
            <w:tcW w:w="2551" w:type="dxa"/>
          </w:tcPr>
          <w:p w14:paraId="71FA7C41" w14:textId="77777777" w:rsidR="009B7AF5" w:rsidRPr="005071A1" w:rsidRDefault="009B7AF5" w:rsidP="009B7AF5">
            <w:pPr>
              <w:pStyle w:val="ENoteTableText"/>
            </w:pPr>
            <w:r w:rsidRPr="005071A1">
              <w:rPr>
                <w:b/>
              </w:rPr>
              <w:t>Division</w:t>
            </w:r>
            <w:r w:rsidR="008B2950" w:rsidRPr="005071A1">
              <w:rPr>
                <w:b/>
              </w:rPr>
              <w:t> </w:t>
            </w:r>
            <w:r w:rsidRPr="005071A1">
              <w:rPr>
                <w:b/>
              </w:rPr>
              <w:t>4</w:t>
            </w:r>
          </w:p>
        </w:tc>
        <w:tc>
          <w:tcPr>
            <w:tcW w:w="4551" w:type="dxa"/>
          </w:tcPr>
          <w:p w14:paraId="317DB0B7" w14:textId="77777777" w:rsidR="009B7AF5" w:rsidRPr="005071A1" w:rsidRDefault="009B7AF5" w:rsidP="009B7AF5">
            <w:pPr>
              <w:pStyle w:val="ENoteTableText"/>
            </w:pPr>
          </w:p>
        </w:tc>
      </w:tr>
      <w:tr w:rsidR="009B7AF5" w:rsidRPr="005071A1" w14:paraId="325F54B7" w14:textId="77777777" w:rsidTr="00962E93">
        <w:trPr>
          <w:cantSplit/>
        </w:trPr>
        <w:tc>
          <w:tcPr>
            <w:tcW w:w="2551" w:type="dxa"/>
          </w:tcPr>
          <w:p w14:paraId="6961BD99"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100M, 100N</w:t>
            </w:r>
            <w:r w:rsidR="009B7AF5" w:rsidRPr="005071A1">
              <w:tab/>
            </w:r>
          </w:p>
        </w:tc>
        <w:tc>
          <w:tcPr>
            <w:tcW w:w="4551" w:type="dxa"/>
          </w:tcPr>
          <w:p w14:paraId="65B380C1"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6285F14F" w14:textId="77777777" w:rsidTr="00962E93">
        <w:trPr>
          <w:cantSplit/>
        </w:trPr>
        <w:tc>
          <w:tcPr>
            <w:tcW w:w="2551" w:type="dxa"/>
          </w:tcPr>
          <w:p w14:paraId="0E41B9D7" w14:textId="77777777" w:rsidR="009B7AF5" w:rsidRPr="005071A1" w:rsidRDefault="009B7AF5" w:rsidP="009B7AF5">
            <w:pPr>
              <w:pStyle w:val="ENoteTableText"/>
            </w:pPr>
          </w:p>
        </w:tc>
        <w:tc>
          <w:tcPr>
            <w:tcW w:w="4551" w:type="dxa"/>
          </w:tcPr>
          <w:p w14:paraId="0A8319EB"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7EB2FB80" w14:textId="77777777" w:rsidTr="00962E93">
        <w:trPr>
          <w:cantSplit/>
        </w:trPr>
        <w:tc>
          <w:tcPr>
            <w:tcW w:w="2551" w:type="dxa"/>
          </w:tcPr>
          <w:p w14:paraId="47875298" w14:textId="77777777" w:rsidR="009B7AF5" w:rsidRPr="005071A1" w:rsidRDefault="002477D1" w:rsidP="002477D1">
            <w:pPr>
              <w:pStyle w:val="ENoteTableText"/>
              <w:tabs>
                <w:tab w:val="center" w:leader="dot" w:pos="2268"/>
              </w:tabs>
            </w:pPr>
            <w:r w:rsidRPr="005071A1">
              <w:t>s.</w:t>
            </w:r>
            <w:r w:rsidR="009B7AF5" w:rsidRPr="005071A1">
              <w:t xml:space="preserve"> 100P</w:t>
            </w:r>
            <w:r w:rsidR="009B7AF5" w:rsidRPr="005071A1">
              <w:tab/>
            </w:r>
          </w:p>
        </w:tc>
        <w:tc>
          <w:tcPr>
            <w:tcW w:w="4551" w:type="dxa"/>
          </w:tcPr>
          <w:p w14:paraId="2D786477"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3CCF9658" w14:textId="77777777" w:rsidTr="00962E93">
        <w:trPr>
          <w:cantSplit/>
        </w:trPr>
        <w:tc>
          <w:tcPr>
            <w:tcW w:w="2551" w:type="dxa"/>
          </w:tcPr>
          <w:p w14:paraId="33674846" w14:textId="77777777" w:rsidR="009B7AF5" w:rsidRPr="005071A1" w:rsidRDefault="009B7AF5" w:rsidP="009B7AF5">
            <w:pPr>
              <w:pStyle w:val="ENoteTableText"/>
            </w:pPr>
            <w:r w:rsidRPr="005071A1">
              <w:rPr>
                <w:b/>
              </w:rPr>
              <w:t>Part</w:t>
            </w:r>
            <w:r w:rsidR="002477D1" w:rsidRPr="005071A1">
              <w:rPr>
                <w:b/>
              </w:rPr>
              <w:t> </w:t>
            </w:r>
            <w:r w:rsidRPr="005071A1">
              <w:rPr>
                <w:b/>
              </w:rPr>
              <w:t>VII</w:t>
            </w:r>
          </w:p>
        </w:tc>
        <w:tc>
          <w:tcPr>
            <w:tcW w:w="4551" w:type="dxa"/>
          </w:tcPr>
          <w:p w14:paraId="1C4C7921" w14:textId="77777777" w:rsidR="009B7AF5" w:rsidRPr="005071A1" w:rsidRDefault="009B7AF5" w:rsidP="009B7AF5">
            <w:pPr>
              <w:pStyle w:val="ENoteTableText"/>
            </w:pPr>
          </w:p>
        </w:tc>
      </w:tr>
      <w:tr w:rsidR="009B7AF5" w:rsidRPr="005071A1" w14:paraId="6597FCC6" w14:textId="77777777" w:rsidTr="00962E93">
        <w:trPr>
          <w:cantSplit/>
        </w:trPr>
        <w:tc>
          <w:tcPr>
            <w:tcW w:w="2551" w:type="dxa"/>
          </w:tcPr>
          <w:p w14:paraId="02C78005" w14:textId="77777777" w:rsidR="009B7AF5" w:rsidRPr="005071A1" w:rsidRDefault="009B7AF5" w:rsidP="0086505B">
            <w:pPr>
              <w:pStyle w:val="ENoteTableText"/>
              <w:tabs>
                <w:tab w:val="center" w:leader="dot" w:pos="2268"/>
              </w:tabs>
            </w:pPr>
            <w:r w:rsidRPr="005071A1">
              <w:t>Part VII</w:t>
            </w:r>
            <w:r w:rsidRPr="005071A1">
              <w:tab/>
            </w:r>
          </w:p>
        </w:tc>
        <w:tc>
          <w:tcPr>
            <w:tcW w:w="4551" w:type="dxa"/>
          </w:tcPr>
          <w:p w14:paraId="3A86EF52" w14:textId="77777777" w:rsidR="009B7AF5" w:rsidRPr="005071A1" w:rsidRDefault="009B7AF5" w:rsidP="009B7AF5">
            <w:pPr>
              <w:pStyle w:val="ENoteTableText"/>
            </w:pPr>
            <w:r w:rsidRPr="005071A1">
              <w:t>ad. No.</w:t>
            </w:r>
            <w:r w:rsidR="008B2950" w:rsidRPr="005071A1">
              <w:t> </w:t>
            </w:r>
            <w:r w:rsidRPr="005071A1">
              <w:t>30, 1945</w:t>
            </w:r>
          </w:p>
        </w:tc>
      </w:tr>
      <w:tr w:rsidR="009B7AF5" w:rsidRPr="005071A1" w14:paraId="2A6881CF" w14:textId="77777777" w:rsidTr="00962E93">
        <w:trPr>
          <w:cantSplit/>
        </w:trPr>
        <w:tc>
          <w:tcPr>
            <w:tcW w:w="2551" w:type="dxa"/>
          </w:tcPr>
          <w:p w14:paraId="12C91C90" w14:textId="77777777" w:rsidR="009B7AF5" w:rsidRPr="005071A1" w:rsidRDefault="002477D1" w:rsidP="002477D1">
            <w:pPr>
              <w:pStyle w:val="ENoteTableText"/>
              <w:tabs>
                <w:tab w:val="center" w:leader="dot" w:pos="2268"/>
              </w:tabs>
            </w:pPr>
            <w:r w:rsidRPr="005071A1">
              <w:t>s.</w:t>
            </w:r>
            <w:r w:rsidR="009B7AF5" w:rsidRPr="005071A1">
              <w:t xml:space="preserve"> 101</w:t>
            </w:r>
            <w:r w:rsidR="009B7AF5" w:rsidRPr="005071A1">
              <w:tab/>
            </w:r>
          </w:p>
        </w:tc>
        <w:tc>
          <w:tcPr>
            <w:tcW w:w="4551" w:type="dxa"/>
          </w:tcPr>
          <w:p w14:paraId="4859719D" w14:textId="77777777" w:rsidR="009B7AF5" w:rsidRPr="005071A1" w:rsidRDefault="009B7AF5" w:rsidP="009B7AF5">
            <w:pPr>
              <w:pStyle w:val="ENoteTableText"/>
            </w:pPr>
            <w:r w:rsidRPr="005071A1">
              <w:t>ad. No.</w:t>
            </w:r>
            <w:r w:rsidR="008B2950" w:rsidRPr="005071A1">
              <w:t> </w:t>
            </w:r>
            <w:r w:rsidRPr="005071A1">
              <w:t>30, 1945</w:t>
            </w:r>
          </w:p>
        </w:tc>
      </w:tr>
      <w:tr w:rsidR="009B7AF5" w:rsidRPr="005071A1" w14:paraId="3CF9B6E9" w14:textId="77777777" w:rsidTr="00962E93">
        <w:trPr>
          <w:cantSplit/>
        </w:trPr>
        <w:tc>
          <w:tcPr>
            <w:tcW w:w="2551" w:type="dxa"/>
          </w:tcPr>
          <w:p w14:paraId="064899A6" w14:textId="77777777" w:rsidR="009B7AF5" w:rsidRPr="005071A1" w:rsidRDefault="009B7AF5" w:rsidP="009B7AF5">
            <w:pPr>
              <w:pStyle w:val="ENoteTableText"/>
            </w:pPr>
          </w:p>
        </w:tc>
        <w:tc>
          <w:tcPr>
            <w:tcW w:w="4551" w:type="dxa"/>
          </w:tcPr>
          <w:p w14:paraId="2A3B38AB" w14:textId="77777777" w:rsidR="009B7AF5" w:rsidRPr="005071A1" w:rsidRDefault="009B7AF5" w:rsidP="009B7AF5">
            <w:pPr>
              <w:pStyle w:val="ENoteTableText"/>
            </w:pPr>
            <w:r w:rsidRPr="005071A1">
              <w:t>am. No.</w:t>
            </w:r>
            <w:r w:rsidR="008B2950" w:rsidRPr="005071A1">
              <w:t> </w:t>
            </w:r>
            <w:r w:rsidRPr="005071A1">
              <w:t>2, 1946; No.</w:t>
            </w:r>
            <w:r w:rsidR="008B2950" w:rsidRPr="005071A1">
              <w:t> </w:t>
            </w:r>
            <w:r w:rsidRPr="005071A1">
              <w:t>35, 1947; No.</w:t>
            </w:r>
            <w:r w:rsidR="008B2950" w:rsidRPr="005071A1">
              <w:t> </w:t>
            </w:r>
            <w:r w:rsidRPr="005071A1">
              <w:t>49, 1951; No.</w:t>
            </w:r>
            <w:r w:rsidR="008B2950" w:rsidRPr="005071A1">
              <w:t> </w:t>
            </w:r>
            <w:r w:rsidRPr="005071A1">
              <w:t>17, 1978</w:t>
            </w:r>
          </w:p>
        </w:tc>
      </w:tr>
      <w:tr w:rsidR="009B7AF5" w:rsidRPr="005071A1" w14:paraId="223B6C35" w14:textId="77777777" w:rsidTr="00962E93">
        <w:trPr>
          <w:cantSplit/>
        </w:trPr>
        <w:tc>
          <w:tcPr>
            <w:tcW w:w="2551" w:type="dxa"/>
          </w:tcPr>
          <w:p w14:paraId="52EAEABA" w14:textId="77777777" w:rsidR="009B7AF5" w:rsidRPr="005071A1" w:rsidRDefault="002477D1" w:rsidP="002477D1">
            <w:pPr>
              <w:pStyle w:val="ENoteTableText"/>
              <w:tabs>
                <w:tab w:val="center" w:leader="dot" w:pos="2268"/>
              </w:tabs>
            </w:pPr>
            <w:r w:rsidRPr="005071A1">
              <w:t>s.</w:t>
            </w:r>
            <w:r w:rsidR="009B7AF5" w:rsidRPr="005071A1">
              <w:t xml:space="preserve"> 102</w:t>
            </w:r>
            <w:r w:rsidR="009B7AF5" w:rsidRPr="005071A1">
              <w:tab/>
            </w:r>
          </w:p>
        </w:tc>
        <w:tc>
          <w:tcPr>
            <w:tcW w:w="4551" w:type="dxa"/>
          </w:tcPr>
          <w:p w14:paraId="193BB27F" w14:textId="77777777" w:rsidR="009B7AF5" w:rsidRPr="005071A1" w:rsidRDefault="009B7AF5" w:rsidP="009B7AF5">
            <w:pPr>
              <w:pStyle w:val="ENoteTableText"/>
            </w:pPr>
            <w:r w:rsidRPr="005071A1">
              <w:t>ad. No.</w:t>
            </w:r>
            <w:r w:rsidR="008B2950" w:rsidRPr="005071A1">
              <w:t> </w:t>
            </w:r>
            <w:r w:rsidRPr="005071A1">
              <w:t>30, 1945</w:t>
            </w:r>
          </w:p>
        </w:tc>
      </w:tr>
      <w:tr w:rsidR="009B7AF5" w:rsidRPr="005071A1" w14:paraId="275B7183" w14:textId="77777777" w:rsidTr="00962E93">
        <w:trPr>
          <w:cantSplit/>
        </w:trPr>
        <w:tc>
          <w:tcPr>
            <w:tcW w:w="2551" w:type="dxa"/>
          </w:tcPr>
          <w:p w14:paraId="5CB2FE53" w14:textId="77777777" w:rsidR="009B7AF5" w:rsidRPr="005071A1" w:rsidRDefault="009B7AF5" w:rsidP="009B7AF5">
            <w:pPr>
              <w:pStyle w:val="ENoteTableText"/>
            </w:pPr>
          </w:p>
        </w:tc>
        <w:tc>
          <w:tcPr>
            <w:tcW w:w="4551" w:type="dxa"/>
          </w:tcPr>
          <w:p w14:paraId="59D3A485" w14:textId="77777777" w:rsidR="009B7AF5" w:rsidRPr="005071A1" w:rsidRDefault="009B7AF5" w:rsidP="009B7AF5">
            <w:pPr>
              <w:pStyle w:val="ENoteTableText"/>
            </w:pPr>
            <w:r w:rsidRPr="005071A1">
              <w:t>am. No.</w:t>
            </w:r>
            <w:r w:rsidR="008B2950" w:rsidRPr="005071A1">
              <w:t> </w:t>
            </w:r>
            <w:r w:rsidRPr="005071A1">
              <w:t>35, 1947; No.</w:t>
            </w:r>
            <w:r w:rsidR="008B2950" w:rsidRPr="005071A1">
              <w:t> </w:t>
            </w:r>
            <w:r w:rsidRPr="005071A1">
              <w:t>76, 1950; No.</w:t>
            </w:r>
            <w:r w:rsidR="008B2950" w:rsidRPr="005071A1">
              <w:t> </w:t>
            </w:r>
            <w:r w:rsidRPr="005071A1">
              <w:t>49, 1951; No.</w:t>
            </w:r>
            <w:r w:rsidR="008B2950" w:rsidRPr="005071A1">
              <w:t> </w:t>
            </w:r>
            <w:r w:rsidRPr="005071A1">
              <w:t>112, 1956; No.</w:t>
            </w:r>
            <w:r w:rsidR="008B2950" w:rsidRPr="005071A1">
              <w:t> </w:t>
            </w:r>
            <w:r w:rsidRPr="005071A1">
              <w:t>102, 1959; No.</w:t>
            </w:r>
            <w:r w:rsidR="008B2950" w:rsidRPr="005071A1">
              <w:t> </w:t>
            </w:r>
            <w:r w:rsidRPr="005071A1">
              <w:t>97, 1965; No.</w:t>
            </w:r>
            <w:r w:rsidR="008B2950" w:rsidRPr="005071A1">
              <w:t> </w:t>
            </w:r>
            <w:r w:rsidRPr="005071A1">
              <w:t>216, 1973; No.</w:t>
            </w:r>
            <w:r w:rsidR="008B2950" w:rsidRPr="005071A1">
              <w:t> </w:t>
            </w:r>
            <w:r w:rsidRPr="005071A1">
              <w:t xml:space="preserve">17, 1978 </w:t>
            </w:r>
          </w:p>
        </w:tc>
      </w:tr>
      <w:tr w:rsidR="009B7AF5" w:rsidRPr="005071A1" w14:paraId="7BE29251" w14:textId="77777777" w:rsidTr="00962E93">
        <w:trPr>
          <w:cantSplit/>
        </w:trPr>
        <w:tc>
          <w:tcPr>
            <w:tcW w:w="2551" w:type="dxa"/>
          </w:tcPr>
          <w:p w14:paraId="7A1E7758" w14:textId="77777777" w:rsidR="009B7AF5" w:rsidRPr="005071A1" w:rsidRDefault="002477D1" w:rsidP="002477D1">
            <w:pPr>
              <w:pStyle w:val="ENoteTableText"/>
              <w:tabs>
                <w:tab w:val="center" w:leader="dot" w:pos="2268"/>
              </w:tabs>
            </w:pPr>
            <w:r w:rsidRPr="005071A1">
              <w:t>s.</w:t>
            </w:r>
            <w:r w:rsidR="009B7AF5" w:rsidRPr="005071A1">
              <w:t xml:space="preserve"> 103</w:t>
            </w:r>
            <w:r w:rsidR="009B7AF5" w:rsidRPr="005071A1">
              <w:tab/>
            </w:r>
          </w:p>
        </w:tc>
        <w:tc>
          <w:tcPr>
            <w:tcW w:w="4551" w:type="dxa"/>
          </w:tcPr>
          <w:p w14:paraId="7DD5531E" w14:textId="77777777" w:rsidR="009B7AF5" w:rsidRPr="005071A1" w:rsidRDefault="009B7AF5" w:rsidP="009B7AF5">
            <w:pPr>
              <w:pStyle w:val="ENoteTableText"/>
            </w:pPr>
            <w:r w:rsidRPr="005071A1">
              <w:t>ad. No.</w:t>
            </w:r>
            <w:r w:rsidR="008B2950" w:rsidRPr="005071A1">
              <w:t> </w:t>
            </w:r>
            <w:r w:rsidRPr="005071A1">
              <w:t>30, 1945</w:t>
            </w:r>
          </w:p>
        </w:tc>
      </w:tr>
      <w:tr w:rsidR="009B7AF5" w:rsidRPr="005071A1" w14:paraId="7A635E56" w14:textId="77777777" w:rsidTr="00962E93">
        <w:trPr>
          <w:cantSplit/>
        </w:trPr>
        <w:tc>
          <w:tcPr>
            <w:tcW w:w="2551" w:type="dxa"/>
          </w:tcPr>
          <w:p w14:paraId="3E142756" w14:textId="77777777" w:rsidR="009B7AF5" w:rsidRPr="005071A1" w:rsidRDefault="009B7AF5" w:rsidP="009B7AF5">
            <w:pPr>
              <w:pStyle w:val="ENoteTableText"/>
            </w:pPr>
          </w:p>
        </w:tc>
        <w:tc>
          <w:tcPr>
            <w:tcW w:w="4551" w:type="dxa"/>
          </w:tcPr>
          <w:p w14:paraId="2635D61A"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51103227" w14:textId="77777777" w:rsidTr="00962E93">
        <w:trPr>
          <w:cantSplit/>
        </w:trPr>
        <w:tc>
          <w:tcPr>
            <w:tcW w:w="2551" w:type="dxa"/>
          </w:tcPr>
          <w:p w14:paraId="5127009A" w14:textId="77777777" w:rsidR="009B7AF5" w:rsidRPr="005071A1" w:rsidRDefault="009B7AF5" w:rsidP="009B7AF5">
            <w:pPr>
              <w:pStyle w:val="ENoteTableText"/>
            </w:pPr>
          </w:p>
        </w:tc>
        <w:tc>
          <w:tcPr>
            <w:tcW w:w="4551" w:type="dxa"/>
          </w:tcPr>
          <w:p w14:paraId="604EFB6B" w14:textId="77777777" w:rsidR="009B7AF5" w:rsidRPr="005071A1" w:rsidRDefault="009B7AF5" w:rsidP="009B7AF5">
            <w:pPr>
              <w:pStyle w:val="ENoteTableText"/>
            </w:pPr>
            <w:r w:rsidRPr="005071A1">
              <w:t>rep. No.</w:t>
            </w:r>
            <w:r w:rsidR="008B2950" w:rsidRPr="005071A1">
              <w:t> </w:t>
            </w:r>
            <w:r w:rsidRPr="005071A1">
              <w:t>216, 1973</w:t>
            </w:r>
          </w:p>
        </w:tc>
      </w:tr>
      <w:tr w:rsidR="009B7AF5" w:rsidRPr="005071A1" w14:paraId="2E696C1B" w14:textId="77777777" w:rsidTr="00962E93">
        <w:trPr>
          <w:cantSplit/>
        </w:trPr>
        <w:tc>
          <w:tcPr>
            <w:tcW w:w="2551" w:type="dxa"/>
          </w:tcPr>
          <w:p w14:paraId="7560ECCA" w14:textId="77777777" w:rsidR="009B7AF5" w:rsidRPr="005071A1" w:rsidRDefault="002477D1" w:rsidP="002477D1">
            <w:pPr>
              <w:pStyle w:val="ENoteTableText"/>
              <w:tabs>
                <w:tab w:val="center" w:leader="dot" w:pos="2268"/>
              </w:tabs>
            </w:pPr>
            <w:r w:rsidRPr="005071A1">
              <w:t>s.</w:t>
            </w:r>
            <w:r w:rsidR="009B7AF5" w:rsidRPr="005071A1">
              <w:t xml:space="preserve"> 104</w:t>
            </w:r>
            <w:r w:rsidR="009B7AF5" w:rsidRPr="005071A1">
              <w:tab/>
            </w:r>
          </w:p>
        </w:tc>
        <w:tc>
          <w:tcPr>
            <w:tcW w:w="4551" w:type="dxa"/>
          </w:tcPr>
          <w:p w14:paraId="2268ED6E" w14:textId="77777777" w:rsidR="009B7AF5" w:rsidRPr="005071A1" w:rsidRDefault="009B7AF5" w:rsidP="009B7AF5">
            <w:pPr>
              <w:pStyle w:val="ENoteTableText"/>
            </w:pPr>
            <w:r w:rsidRPr="005071A1">
              <w:t>ad. No.</w:t>
            </w:r>
            <w:r w:rsidR="008B2950" w:rsidRPr="005071A1">
              <w:t> </w:t>
            </w:r>
            <w:r w:rsidRPr="005071A1">
              <w:t>30, 1945</w:t>
            </w:r>
          </w:p>
        </w:tc>
      </w:tr>
      <w:tr w:rsidR="009B7AF5" w:rsidRPr="005071A1" w14:paraId="1508464F" w14:textId="77777777" w:rsidTr="00962E93">
        <w:trPr>
          <w:cantSplit/>
        </w:trPr>
        <w:tc>
          <w:tcPr>
            <w:tcW w:w="2551" w:type="dxa"/>
          </w:tcPr>
          <w:p w14:paraId="1D6504CD" w14:textId="77777777" w:rsidR="009B7AF5" w:rsidRPr="005071A1" w:rsidRDefault="009B7AF5" w:rsidP="009B7AF5">
            <w:pPr>
              <w:pStyle w:val="ENoteTableText"/>
            </w:pPr>
          </w:p>
        </w:tc>
        <w:tc>
          <w:tcPr>
            <w:tcW w:w="4551" w:type="dxa"/>
          </w:tcPr>
          <w:p w14:paraId="477600C4"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216, 1973; No.</w:t>
            </w:r>
            <w:r w:rsidR="008B2950" w:rsidRPr="005071A1">
              <w:t> </w:t>
            </w:r>
            <w:r w:rsidRPr="005071A1">
              <w:t>17, 1978</w:t>
            </w:r>
          </w:p>
        </w:tc>
      </w:tr>
      <w:tr w:rsidR="009B7AF5" w:rsidRPr="005071A1" w14:paraId="7BBB64DA" w14:textId="77777777" w:rsidTr="00962E93">
        <w:trPr>
          <w:cantSplit/>
        </w:trPr>
        <w:tc>
          <w:tcPr>
            <w:tcW w:w="2551" w:type="dxa"/>
          </w:tcPr>
          <w:p w14:paraId="797DF5C6" w14:textId="77777777" w:rsidR="009B7AF5" w:rsidRPr="005071A1" w:rsidRDefault="002477D1" w:rsidP="002477D1">
            <w:pPr>
              <w:pStyle w:val="ENoteTableText"/>
              <w:tabs>
                <w:tab w:val="center" w:leader="dot" w:pos="2268"/>
              </w:tabs>
            </w:pPr>
            <w:r w:rsidRPr="005071A1">
              <w:t>s.</w:t>
            </w:r>
            <w:r w:rsidR="009B7AF5" w:rsidRPr="005071A1">
              <w:t xml:space="preserve"> 105</w:t>
            </w:r>
            <w:r w:rsidR="009B7AF5" w:rsidRPr="005071A1">
              <w:tab/>
            </w:r>
          </w:p>
        </w:tc>
        <w:tc>
          <w:tcPr>
            <w:tcW w:w="4551" w:type="dxa"/>
          </w:tcPr>
          <w:p w14:paraId="704AAC28" w14:textId="77777777" w:rsidR="009B7AF5" w:rsidRPr="005071A1" w:rsidRDefault="009B7AF5" w:rsidP="009B7AF5">
            <w:pPr>
              <w:pStyle w:val="ENoteTableText"/>
            </w:pPr>
            <w:r w:rsidRPr="005071A1">
              <w:t>ad. No.</w:t>
            </w:r>
            <w:r w:rsidR="008B2950" w:rsidRPr="005071A1">
              <w:t> </w:t>
            </w:r>
            <w:r w:rsidRPr="005071A1">
              <w:t>30, 1945</w:t>
            </w:r>
          </w:p>
        </w:tc>
      </w:tr>
      <w:tr w:rsidR="009B7AF5" w:rsidRPr="005071A1" w14:paraId="5CEB4FD3" w14:textId="77777777" w:rsidTr="00962E93">
        <w:trPr>
          <w:cantSplit/>
        </w:trPr>
        <w:tc>
          <w:tcPr>
            <w:tcW w:w="2551" w:type="dxa"/>
          </w:tcPr>
          <w:p w14:paraId="5F18F5CE" w14:textId="77777777" w:rsidR="009B7AF5" w:rsidRPr="005071A1" w:rsidRDefault="009B7AF5" w:rsidP="009B7AF5">
            <w:pPr>
              <w:pStyle w:val="ENoteTableText"/>
            </w:pPr>
          </w:p>
        </w:tc>
        <w:tc>
          <w:tcPr>
            <w:tcW w:w="4551" w:type="dxa"/>
          </w:tcPr>
          <w:p w14:paraId="5B9ACE5B" w14:textId="77777777" w:rsidR="009B7AF5" w:rsidRPr="005071A1" w:rsidRDefault="009B7AF5" w:rsidP="009B7AF5">
            <w:pPr>
              <w:pStyle w:val="ENoteTableText"/>
            </w:pPr>
            <w:r w:rsidRPr="005071A1">
              <w:t>am. No.</w:t>
            </w:r>
            <w:r w:rsidR="008B2950" w:rsidRPr="005071A1">
              <w:t> </w:t>
            </w:r>
            <w:r w:rsidRPr="005071A1">
              <w:t>35, 1947; No.</w:t>
            </w:r>
            <w:r w:rsidR="008B2950" w:rsidRPr="005071A1">
              <w:t> </w:t>
            </w:r>
            <w:r w:rsidRPr="005071A1">
              <w:t>102, 1959; No.</w:t>
            </w:r>
            <w:r w:rsidR="008B2950" w:rsidRPr="005071A1">
              <w:t> </w:t>
            </w:r>
            <w:r w:rsidRPr="005071A1">
              <w:t>32, 1976; No.</w:t>
            </w:r>
            <w:r w:rsidR="008B2950" w:rsidRPr="005071A1">
              <w:t> </w:t>
            </w:r>
            <w:r w:rsidRPr="005071A1">
              <w:t>17, 1978</w:t>
            </w:r>
          </w:p>
        </w:tc>
      </w:tr>
      <w:tr w:rsidR="009B7AF5" w:rsidRPr="005071A1" w14:paraId="13E2B1C8" w14:textId="77777777" w:rsidTr="00962E93">
        <w:trPr>
          <w:cantSplit/>
        </w:trPr>
        <w:tc>
          <w:tcPr>
            <w:tcW w:w="2551" w:type="dxa"/>
          </w:tcPr>
          <w:p w14:paraId="4A623887" w14:textId="77777777" w:rsidR="009B7AF5" w:rsidRPr="005071A1" w:rsidRDefault="002477D1" w:rsidP="002477D1">
            <w:pPr>
              <w:pStyle w:val="ENoteTableText"/>
              <w:tabs>
                <w:tab w:val="center" w:leader="dot" w:pos="2268"/>
              </w:tabs>
            </w:pPr>
            <w:r w:rsidRPr="005071A1">
              <w:t>s.</w:t>
            </w:r>
            <w:r w:rsidR="009B7AF5" w:rsidRPr="005071A1">
              <w:t xml:space="preserve"> 106</w:t>
            </w:r>
            <w:r w:rsidR="009B7AF5" w:rsidRPr="005071A1">
              <w:tab/>
            </w:r>
          </w:p>
        </w:tc>
        <w:tc>
          <w:tcPr>
            <w:tcW w:w="4551" w:type="dxa"/>
          </w:tcPr>
          <w:p w14:paraId="351F7BF2" w14:textId="77777777" w:rsidR="009B7AF5" w:rsidRPr="005071A1" w:rsidRDefault="009B7AF5" w:rsidP="009B7AF5">
            <w:pPr>
              <w:pStyle w:val="ENoteTableText"/>
            </w:pPr>
            <w:r w:rsidRPr="005071A1">
              <w:t>ad. No.</w:t>
            </w:r>
            <w:r w:rsidR="008B2950" w:rsidRPr="005071A1">
              <w:t> </w:t>
            </w:r>
            <w:r w:rsidRPr="005071A1">
              <w:t>30, 1945</w:t>
            </w:r>
          </w:p>
        </w:tc>
      </w:tr>
      <w:tr w:rsidR="009B7AF5" w:rsidRPr="005071A1" w14:paraId="15543A74" w14:textId="77777777" w:rsidTr="00962E93">
        <w:trPr>
          <w:cantSplit/>
        </w:trPr>
        <w:tc>
          <w:tcPr>
            <w:tcW w:w="2551" w:type="dxa"/>
          </w:tcPr>
          <w:p w14:paraId="7ACB0857" w14:textId="77777777" w:rsidR="009B7AF5" w:rsidRPr="005071A1" w:rsidRDefault="009B7AF5" w:rsidP="009B7AF5">
            <w:pPr>
              <w:pStyle w:val="ENoteTableText"/>
            </w:pPr>
          </w:p>
        </w:tc>
        <w:tc>
          <w:tcPr>
            <w:tcW w:w="4551" w:type="dxa"/>
          </w:tcPr>
          <w:p w14:paraId="5A0BE4C5"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97, 1965; No.</w:t>
            </w:r>
            <w:r w:rsidR="008B2950" w:rsidRPr="005071A1">
              <w:t> </w:t>
            </w:r>
            <w:r w:rsidRPr="005071A1">
              <w:t>32, 1976; No.</w:t>
            </w:r>
            <w:r w:rsidR="008B2950" w:rsidRPr="005071A1">
              <w:t> </w:t>
            </w:r>
            <w:r w:rsidRPr="005071A1">
              <w:t>17, 1978</w:t>
            </w:r>
          </w:p>
        </w:tc>
      </w:tr>
      <w:tr w:rsidR="009B7AF5" w:rsidRPr="005071A1" w14:paraId="7DB8EFB0" w14:textId="77777777" w:rsidTr="00962E93">
        <w:trPr>
          <w:cantSplit/>
        </w:trPr>
        <w:tc>
          <w:tcPr>
            <w:tcW w:w="2551" w:type="dxa"/>
          </w:tcPr>
          <w:p w14:paraId="5B53224C" w14:textId="77777777" w:rsidR="009B7AF5" w:rsidRPr="005071A1" w:rsidRDefault="002477D1" w:rsidP="002477D1">
            <w:pPr>
              <w:pStyle w:val="ENoteTableText"/>
              <w:tabs>
                <w:tab w:val="center" w:leader="dot" w:pos="2268"/>
              </w:tabs>
            </w:pPr>
            <w:r w:rsidRPr="005071A1">
              <w:t>s.</w:t>
            </w:r>
            <w:r w:rsidR="009B7AF5" w:rsidRPr="005071A1">
              <w:t xml:space="preserve"> 107</w:t>
            </w:r>
            <w:r w:rsidR="009B7AF5" w:rsidRPr="005071A1">
              <w:tab/>
            </w:r>
          </w:p>
        </w:tc>
        <w:tc>
          <w:tcPr>
            <w:tcW w:w="4551" w:type="dxa"/>
          </w:tcPr>
          <w:p w14:paraId="1F579341" w14:textId="77777777" w:rsidR="009B7AF5" w:rsidRPr="005071A1" w:rsidRDefault="009B7AF5" w:rsidP="009B7AF5">
            <w:pPr>
              <w:pStyle w:val="ENoteTableText"/>
            </w:pPr>
            <w:r w:rsidRPr="005071A1">
              <w:t>ad. No.</w:t>
            </w:r>
            <w:r w:rsidR="008B2950" w:rsidRPr="005071A1">
              <w:t> </w:t>
            </w:r>
            <w:r w:rsidRPr="005071A1">
              <w:t>30, 1945</w:t>
            </w:r>
          </w:p>
        </w:tc>
      </w:tr>
      <w:tr w:rsidR="009B7AF5" w:rsidRPr="005071A1" w14:paraId="7179FBCA" w14:textId="77777777" w:rsidTr="00962E93">
        <w:trPr>
          <w:cantSplit/>
        </w:trPr>
        <w:tc>
          <w:tcPr>
            <w:tcW w:w="2551" w:type="dxa"/>
          </w:tcPr>
          <w:p w14:paraId="3AD0334A" w14:textId="77777777" w:rsidR="009B7AF5" w:rsidRPr="005071A1" w:rsidRDefault="009B7AF5" w:rsidP="009B7AF5">
            <w:pPr>
              <w:pStyle w:val="ENoteTableText"/>
            </w:pPr>
          </w:p>
        </w:tc>
        <w:tc>
          <w:tcPr>
            <w:tcW w:w="4551" w:type="dxa"/>
          </w:tcPr>
          <w:p w14:paraId="604C7D91"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17, 1978</w:t>
            </w:r>
          </w:p>
        </w:tc>
      </w:tr>
      <w:tr w:rsidR="009B7AF5" w:rsidRPr="005071A1" w14:paraId="3391FA76" w14:textId="77777777" w:rsidTr="00962E93">
        <w:trPr>
          <w:cantSplit/>
        </w:trPr>
        <w:tc>
          <w:tcPr>
            <w:tcW w:w="2551" w:type="dxa"/>
          </w:tcPr>
          <w:p w14:paraId="6FBD6599" w14:textId="77777777" w:rsidR="009B7AF5" w:rsidRPr="005071A1" w:rsidRDefault="009B7AF5" w:rsidP="009B7AF5">
            <w:pPr>
              <w:pStyle w:val="ENoteTableText"/>
            </w:pPr>
            <w:r w:rsidRPr="005071A1">
              <w:rPr>
                <w:b/>
              </w:rPr>
              <w:t>Part</w:t>
            </w:r>
            <w:r w:rsidR="002477D1" w:rsidRPr="005071A1">
              <w:rPr>
                <w:b/>
              </w:rPr>
              <w:t> </w:t>
            </w:r>
            <w:r w:rsidRPr="005071A1">
              <w:rPr>
                <w:b/>
              </w:rPr>
              <w:t>VIIA</w:t>
            </w:r>
          </w:p>
        </w:tc>
        <w:tc>
          <w:tcPr>
            <w:tcW w:w="4551" w:type="dxa"/>
          </w:tcPr>
          <w:p w14:paraId="4FEF8A1A" w14:textId="77777777" w:rsidR="009B7AF5" w:rsidRPr="005071A1" w:rsidRDefault="009B7AF5" w:rsidP="009B7AF5">
            <w:pPr>
              <w:pStyle w:val="ENoteTableText"/>
            </w:pPr>
          </w:p>
        </w:tc>
      </w:tr>
      <w:tr w:rsidR="009B7AF5" w:rsidRPr="005071A1" w14:paraId="3F5BEE28" w14:textId="77777777" w:rsidTr="00962E93">
        <w:trPr>
          <w:cantSplit/>
        </w:trPr>
        <w:tc>
          <w:tcPr>
            <w:tcW w:w="2551" w:type="dxa"/>
          </w:tcPr>
          <w:p w14:paraId="024253BE" w14:textId="77777777" w:rsidR="009B7AF5" w:rsidRPr="005071A1" w:rsidRDefault="009B7AF5" w:rsidP="0086505B">
            <w:pPr>
              <w:pStyle w:val="ENoteTableText"/>
              <w:tabs>
                <w:tab w:val="center" w:leader="dot" w:pos="2268"/>
              </w:tabs>
            </w:pPr>
            <w:r w:rsidRPr="005071A1">
              <w:t>Part VIIA</w:t>
            </w:r>
            <w:r w:rsidRPr="005071A1">
              <w:tab/>
            </w:r>
          </w:p>
        </w:tc>
        <w:tc>
          <w:tcPr>
            <w:tcW w:w="4551" w:type="dxa"/>
          </w:tcPr>
          <w:p w14:paraId="45934F74"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3CB788B5" w14:textId="77777777" w:rsidTr="00962E93">
        <w:trPr>
          <w:cantSplit/>
        </w:trPr>
        <w:tc>
          <w:tcPr>
            <w:tcW w:w="2551" w:type="dxa"/>
          </w:tcPr>
          <w:p w14:paraId="44CC5D48" w14:textId="77777777" w:rsidR="009B7AF5" w:rsidRPr="005071A1" w:rsidRDefault="009B7AF5" w:rsidP="00DC37E9">
            <w:pPr>
              <w:pStyle w:val="ENoteTableText"/>
              <w:keepNext/>
              <w:keepLines/>
            </w:pPr>
            <w:r w:rsidRPr="005071A1">
              <w:rPr>
                <w:b/>
              </w:rPr>
              <w:t>Division</w:t>
            </w:r>
            <w:r w:rsidR="008B2950" w:rsidRPr="005071A1">
              <w:rPr>
                <w:b/>
              </w:rPr>
              <w:t> </w:t>
            </w:r>
            <w:r w:rsidRPr="005071A1">
              <w:rPr>
                <w:b/>
              </w:rPr>
              <w:t>1</w:t>
            </w:r>
          </w:p>
        </w:tc>
        <w:tc>
          <w:tcPr>
            <w:tcW w:w="4551" w:type="dxa"/>
          </w:tcPr>
          <w:p w14:paraId="6F236A72" w14:textId="77777777" w:rsidR="009B7AF5" w:rsidRPr="005071A1" w:rsidRDefault="009B7AF5" w:rsidP="009B7AF5">
            <w:pPr>
              <w:pStyle w:val="ENoteTableText"/>
            </w:pPr>
          </w:p>
        </w:tc>
      </w:tr>
      <w:tr w:rsidR="009B7AF5" w:rsidRPr="005071A1" w14:paraId="431E4956" w14:textId="77777777" w:rsidTr="00962E93">
        <w:trPr>
          <w:cantSplit/>
        </w:trPr>
        <w:tc>
          <w:tcPr>
            <w:tcW w:w="2551" w:type="dxa"/>
          </w:tcPr>
          <w:p w14:paraId="680453CE" w14:textId="77777777" w:rsidR="009B7AF5" w:rsidRPr="005071A1" w:rsidRDefault="002477D1" w:rsidP="002477D1">
            <w:pPr>
              <w:pStyle w:val="ENoteTableText"/>
              <w:tabs>
                <w:tab w:val="center" w:leader="dot" w:pos="2268"/>
              </w:tabs>
            </w:pPr>
            <w:r w:rsidRPr="005071A1">
              <w:t>s.</w:t>
            </w:r>
            <w:r w:rsidR="009B7AF5" w:rsidRPr="005071A1">
              <w:t xml:space="preserve"> 107A</w:t>
            </w:r>
            <w:r w:rsidR="009B7AF5" w:rsidRPr="005071A1">
              <w:tab/>
            </w:r>
          </w:p>
        </w:tc>
        <w:tc>
          <w:tcPr>
            <w:tcW w:w="4551" w:type="dxa"/>
          </w:tcPr>
          <w:p w14:paraId="090FEDB1"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44E5D803" w14:textId="77777777" w:rsidTr="00962E93">
        <w:trPr>
          <w:cantSplit/>
        </w:trPr>
        <w:tc>
          <w:tcPr>
            <w:tcW w:w="2551" w:type="dxa"/>
          </w:tcPr>
          <w:p w14:paraId="7BF03E42" w14:textId="77777777" w:rsidR="009B7AF5" w:rsidRPr="005071A1" w:rsidRDefault="009B7AF5" w:rsidP="009B7AF5">
            <w:pPr>
              <w:pStyle w:val="ENoteTableText"/>
            </w:pPr>
          </w:p>
        </w:tc>
        <w:tc>
          <w:tcPr>
            <w:tcW w:w="4551" w:type="dxa"/>
          </w:tcPr>
          <w:p w14:paraId="4A9157E5"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148, 2001</w:t>
            </w:r>
          </w:p>
        </w:tc>
      </w:tr>
      <w:tr w:rsidR="009B7AF5" w:rsidRPr="005071A1" w14:paraId="61838A6B" w14:textId="77777777" w:rsidTr="00962E93">
        <w:trPr>
          <w:cantSplit/>
        </w:trPr>
        <w:tc>
          <w:tcPr>
            <w:tcW w:w="2551" w:type="dxa"/>
          </w:tcPr>
          <w:p w14:paraId="409CD38A" w14:textId="77777777" w:rsidR="009B7AF5" w:rsidRPr="005071A1" w:rsidRDefault="009B7AF5" w:rsidP="009B7AF5">
            <w:pPr>
              <w:pStyle w:val="ENoteTableText"/>
            </w:pPr>
            <w:r w:rsidRPr="005071A1">
              <w:rPr>
                <w:b/>
              </w:rPr>
              <w:t>Division</w:t>
            </w:r>
            <w:r w:rsidR="008B2950" w:rsidRPr="005071A1">
              <w:rPr>
                <w:b/>
              </w:rPr>
              <w:t> </w:t>
            </w:r>
            <w:r w:rsidRPr="005071A1">
              <w:rPr>
                <w:b/>
              </w:rPr>
              <w:t>2</w:t>
            </w:r>
          </w:p>
        </w:tc>
        <w:tc>
          <w:tcPr>
            <w:tcW w:w="4551" w:type="dxa"/>
          </w:tcPr>
          <w:p w14:paraId="5B6C36EA" w14:textId="77777777" w:rsidR="009B7AF5" w:rsidRPr="005071A1" w:rsidRDefault="009B7AF5" w:rsidP="009B7AF5">
            <w:pPr>
              <w:pStyle w:val="ENoteTableText"/>
            </w:pPr>
          </w:p>
        </w:tc>
      </w:tr>
      <w:tr w:rsidR="009B7AF5" w:rsidRPr="005071A1" w14:paraId="3CC60419" w14:textId="77777777" w:rsidTr="00962E93">
        <w:trPr>
          <w:cantSplit/>
        </w:trPr>
        <w:tc>
          <w:tcPr>
            <w:tcW w:w="2551" w:type="dxa"/>
          </w:tcPr>
          <w:p w14:paraId="0E621BCB"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107B–107D</w:t>
            </w:r>
            <w:r w:rsidR="009B7AF5" w:rsidRPr="005071A1">
              <w:tab/>
            </w:r>
          </w:p>
        </w:tc>
        <w:tc>
          <w:tcPr>
            <w:tcW w:w="4551" w:type="dxa"/>
          </w:tcPr>
          <w:p w14:paraId="64D0E3F4"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2E4C78AF" w14:textId="77777777" w:rsidTr="00962E93">
        <w:trPr>
          <w:cantSplit/>
        </w:trPr>
        <w:tc>
          <w:tcPr>
            <w:tcW w:w="2551" w:type="dxa"/>
          </w:tcPr>
          <w:p w14:paraId="1398019C" w14:textId="77777777" w:rsidR="009B7AF5" w:rsidRPr="005071A1" w:rsidRDefault="009B7AF5" w:rsidP="009B7AF5">
            <w:pPr>
              <w:pStyle w:val="ENoteTableText"/>
            </w:pPr>
          </w:p>
        </w:tc>
        <w:tc>
          <w:tcPr>
            <w:tcW w:w="4551" w:type="dxa"/>
          </w:tcPr>
          <w:p w14:paraId="49827EEF"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2AB3C49E" w14:textId="77777777" w:rsidTr="00962E93">
        <w:trPr>
          <w:cantSplit/>
        </w:trPr>
        <w:tc>
          <w:tcPr>
            <w:tcW w:w="2551" w:type="dxa"/>
          </w:tcPr>
          <w:p w14:paraId="46BE8D97" w14:textId="77777777" w:rsidR="009B7AF5" w:rsidRPr="005071A1" w:rsidRDefault="002477D1" w:rsidP="002477D1">
            <w:pPr>
              <w:pStyle w:val="ENoteTableText"/>
              <w:tabs>
                <w:tab w:val="center" w:leader="dot" w:pos="2268"/>
              </w:tabs>
            </w:pPr>
            <w:r w:rsidRPr="005071A1">
              <w:t>s.</w:t>
            </w:r>
            <w:r w:rsidR="009B7AF5" w:rsidRPr="005071A1">
              <w:t xml:space="preserve"> 107E</w:t>
            </w:r>
            <w:r w:rsidR="009B7AF5" w:rsidRPr="005071A1">
              <w:tab/>
            </w:r>
          </w:p>
        </w:tc>
        <w:tc>
          <w:tcPr>
            <w:tcW w:w="4551" w:type="dxa"/>
          </w:tcPr>
          <w:p w14:paraId="174AC6A7"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3ED27960" w14:textId="77777777" w:rsidTr="00962E93">
        <w:trPr>
          <w:cantSplit/>
        </w:trPr>
        <w:tc>
          <w:tcPr>
            <w:tcW w:w="2551" w:type="dxa"/>
          </w:tcPr>
          <w:p w14:paraId="4D8AB3F8" w14:textId="77777777" w:rsidR="009B7AF5" w:rsidRPr="005071A1" w:rsidRDefault="009B7AF5" w:rsidP="009B7AF5">
            <w:pPr>
              <w:pStyle w:val="ENoteTableText"/>
            </w:pPr>
          </w:p>
        </w:tc>
        <w:tc>
          <w:tcPr>
            <w:tcW w:w="4551" w:type="dxa"/>
          </w:tcPr>
          <w:p w14:paraId="5D271160" w14:textId="77777777" w:rsidR="009B7AF5" w:rsidRPr="005071A1" w:rsidRDefault="009B7AF5" w:rsidP="009B7AF5">
            <w:pPr>
              <w:pStyle w:val="ENoteTableText"/>
            </w:pPr>
            <w:r w:rsidRPr="005071A1">
              <w:t>am. No.</w:t>
            </w:r>
            <w:r w:rsidR="008B2950" w:rsidRPr="005071A1">
              <w:t> </w:t>
            </w:r>
            <w:r w:rsidRPr="005071A1">
              <w:t>8, 2005</w:t>
            </w:r>
          </w:p>
        </w:tc>
      </w:tr>
      <w:tr w:rsidR="009B7AF5" w:rsidRPr="005071A1" w14:paraId="5A02BE8D" w14:textId="77777777" w:rsidTr="00962E93">
        <w:trPr>
          <w:cantSplit/>
        </w:trPr>
        <w:tc>
          <w:tcPr>
            <w:tcW w:w="2551" w:type="dxa"/>
          </w:tcPr>
          <w:p w14:paraId="2B872820" w14:textId="77777777" w:rsidR="009B7AF5" w:rsidRPr="005071A1" w:rsidRDefault="002477D1" w:rsidP="002477D1">
            <w:pPr>
              <w:pStyle w:val="ENoteTableText"/>
              <w:tabs>
                <w:tab w:val="center" w:leader="dot" w:pos="2268"/>
              </w:tabs>
            </w:pPr>
            <w:r w:rsidRPr="005071A1">
              <w:t>s.</w:t>
            </w:r>
            <w:r w:rsidR="009B7AF5" w:rsidRPr="005071A1">
              <w:t xml:space="preserve"> 107F</w:t>
            </w:r>
            <w:r w:rsidR="009B7AF5" w:rsidRPr="005071A1">
              <w:tab/>
            </w:r>
          </w:p>
        </w:tc>
        <w:tc>
          <w:tcPr>
            <w:tcW w:w="4551" w:type="dxa"/>
          </w:tcPr>
          <w:p w14:paraId="7B1B1BB4"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6E8E5549" w14:textId="77777777" w:rsidTr="00962E93">
        <w:trPr>
          <w:cantSplit/>
        </w:trPr>
        <w:tc>
          <w:tcPr>
            <w:tcW w:w="2551" w:type="dxa"/>
          </w:tcPr>
          <w:p w14:paraId="3655124C" w14:textId="77777777" w:rsidR="009B7AF5" w:rsidRPr="005071A1" w:rsidRDefault="009B7AF5" w:rsidP="009B7AF5">
            <w:pPr>
              <w:pStyle w:val="ENoteTableText"/>
            </w:pPr>
          </w:p>
        </w:tc>
        <w:tc>
          <w:tcPr>
            <w:tcW w:w="4551" w:type="dxa"/>
          </w:tcPr>
          <w:p w14:paraId="78ABB6BC"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8, 2005</w:t>
            </w:r>
          </w:p>
        </w:tc>
      </w:tr>
      <w:tr w:rsidR="009B7AF5" w:rsidRPr="005071A1" w14:paraId="59DF170F" w14:textId="77777777" w:rsidTr="00962E93">
        <w:trPr>
          <w:cantSplit/>
        </w:trPr>
        <w:tc>
          <w:tcPr>
            <w:tcW w:w="2551" w:type="dxa"/>
          </w:tcPr>
          <w:p w14:paraId="656ACF9F"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107G, 107H</w:t>
            </w:r>
            <w:r w:rsidR="009B7AF5" w:rsidRPr="005071A1">
              <w:tab/>
            </w:r>
          </w:p>
        </w:tc>
        <w:tc>
          <w:tcPr>
            <w:tcW w:w="4551" w:type="dxa"/>
          </w:tcPr>
          <w:p w14:paraId="4DABFB93"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53737F43" w14:textId="77777777" w:rsidTr="00962E93">
        <w:trPr>
          <w:cantSplit/>
        </w:trPr>
        <w:tc>
          <w:tcPr>
            <w:tcW w:w="2551" w:type="dxa"/>
          </w:tcPr>
          <w:p w14:paraId="5E84806D" w14:textId="77777777" w:rsidR="009B7AF5" w:rsidRPr="005071A1" w:rsidRDefault="009B7AF5" w:rsidP="009B7AF5">
            <w:pPr>
              <w:pStyle w:val="ENoteTableText"/>
            </w:pPr>
          </w:p>
        </w:tc>
        <w:tc>
          <w:tcPr>
            <w:tcW w:w="4551" w:type="dxa"/>
          </w:tcPr>
          <w:p w14:paraId="1C3FB79B"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8644C5B" w14:textId="77777777" w:rsidTr="00962E93">
        <w:trPr>
          <w:cantSplit/>
        </w:trPr>
        <w:tc>
          <w:tcPr>
            <w:tcW w:w="2551" w:type="dxa"/>
          </w:tcPr>
          <w:p w14:paraId="10E611E6"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107J, 107K</w:t>
            </w:r>
            <w:r w:rsidR="009B7AF5" w:rsidRPr="005071A1">
              <w:tab/>
            </w:r>
          </w:p>
        </w:tc>
        <w:tc>
          <w:tcPr>
            <w:tcW w:w="4551" w:type="dxa"/>
          </w:tcPr>
          <w:p w14:paraId="65494EE3"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6FF9C236" w14:textId="77777777" w:rsidTr="00962E93">
        <w:trPr>
          <w:cantSplit/>
        </w:trPr>
        <w:tc>
          <w:tcPr>
            <w:tcW w:w="2551" w:type="dxa"/>
          </w:tcPr>
          <w:p w14:paraId="4AD21C7E" w14:textId="77777777" w:rsidR="009B7AF5" w:rsidRPr="005071A1" w:rsidRDefault="009B7AF5" w:rsidP="009B7AF5">
            <w:pPr>
              <w:pStyle w:val="ENoteTableText"/>
            </w:pPr>
          </w:p>
        </w:tc>
        <w:tc>
          <w:tcPr>
            <w:tcW w:w="4551" w:type="dxa"/>
          </w:tcPr>
          <w:p w14:paraId="799BFB04"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3FEFBF35" w14:textId="77777777" w:rsidTr="00962E93">
        <w:trPr>
          <w:cantSplit/>
        </w:trPr>
        <w:tc>
          <w:tcPr>
            <w:tcW w:w="2551" w:type="dxa"/>
          </w:tcPr>
          <w:p w14:paraId="5B9C71E6" w14:textId="77777777" w:rsidR="009B7AF5" w:rsidRPr="005071A1" w:rsidRDefault="004510F0" w:rsidP="009B7AF5">
            <w:pPr>
              <w:pStyle w:val="ENoteTableText"/>
            </w:pPr>
            <w:r>
              <w:rPr>
                <w:b/>
              </w:rPr>
              <w:t>Division 3</w:t>
            </w:r>
          </w:p>
        </w:tc>
        <w:tc>
          <w:tcPr>
            <w:tcW w:w="4551" w:type="dxa"/>
          </w:tcPr>
          <w:p w14:paraId="1BCA6E22" w14:textId="77777777" w:rsidR="009B7AF5" w:rsidRPr="005071A1" w:rsidRDefault="009B7AF5" w:rsidP="009B7AF5">
            <w:pPr>
              <w:pStyle w:val="ENoteTableText"/>
            </w:pPr>
          </w:p>
        </w:tc>
      </w:tr>
      <w:tr w:rsidR="009B7AF5" w:rsidRPr="005071A1" w14:paraId="2396ADCC" w14:textId="77777777" w:rsidTr="00962E93">
        <w:trPr>
          <w:cantSplit/>
        </w:trPr>
        <w:tc>
          <w:tcPr>
            <w:tcW w:w="2551" w:type="dxa"/>
          </w:tcPr>
          <w:p w14:paraId="6B871836" w14:textId="77777777" w:rsidR="009B7AF5" w:rsidRPr="005071A1" w:rsidRDefault="002477D1" w:rsidP="002477D1">
            <w:pPr>
              <w:pStyle w:val="ENoteTableText"/>
              <w:tabs>
                <w:tab w:val="center" w:leader="dot" w:pos="2268"/>
              </w:tabs>
            </w:pPr>
            <w:r w:rsidRPr="005071A1">
              <w:t>s.</w:t>
            </w:r>
            <w:r w:rsidR="009B7AF5" w:rsidRPr="005071A1">
              <w:t xml:space="preserve"> 107L</w:t>
            </w:r>
            <w:r w:rsidR="009B7AF5" w:rsidRPr="005071A1">
              <w:tab/>
            </w:r>
          </w:p>
        </w:tc>
        <w:tc>
          <w:tcPr>
            <w:tcW w:w="4551" w:type="dxa"/>
          </w:tcPr>
          <w:p w14:paraId="38B8C628"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0D9F90F4" w14:textId="77777777" w:rsidTr="00962E93">
        <w:trPr>
          <w:cantSplit/>
        </w:trPr>
        <w:tc>
          <w:tcPr>
            <w:tcW w:w="2551" w:type="dxa"/>
          </w:tcPr>
          <w:p w14:paraId="6696269A" w14:textId="77777777" w:rsidR="009B7AF5" w:rsidRPr="005071A1" w:rsidRDefault="009B7AF5" w:rsidP="009B7AF5">
            <w:pPr>
              <w:pStyle w:val="ENoteTableText"/>
            </w:pPr>
          </w:p>
        </w:tc>
        <w:tc>
          <w:tcPr>
            <w:tcW w:w="4551" w:type="dxa"/>
          </w:tcPr>
          <w:p w14:paraId="2953C454"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377E64DD" w14:textId="77777777" w:rsidTr="00962E93">
        <w:trPr>
          <w:cantSplit/>
        </w:trPr>
        <w:tc>
          <w:tcPr>
            <w:tcW w:w="2551" w:type="dxa"/>
          </w:tcPr>
          <w:p w14:paraId="3D888A3A" w14:textId="77777777" w:rsidR="009B7AF5" w:rsidRPr="005071A1" w:rsidRDefault="002477D1" w:rsidP="002477D1">
            <w:pPr>
              <w:pStyle w:val="ENoteTableText"/>
              <w:tabs>
                <w:tab w:val="center" w:leader="dot" w:pos="2268"/>
              </w:tabs>
            </w:pPr>
            <w:r w:rsidRPr="005071A1">
              <w:t>s.</w:t>
            </w:r>
            <w:r w:rsidR="009B7AF5" w:rsidRPr="005071A1">
              <w:t xml:space="preserve"> 107M</w:t>
            </w:r>
            <w:r w:rsidR="009B7AF5" w:rsidRPr="005071A1">
              <w:tab/>
            </w:r>
          </w:p>
        </w:tc>
        <w:tc>
          <w:tcPr>
            <w:tcW w:w="4551" w:type="dxa"/>
          </w:tcPr>
          <w:p w14:paraId="3A2BA5A4"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173C9D21" w14:textId="77777777" w:rsidTr="00962E93">
        <w:trPr>
          <w:cantSplit/>
        </w:trPr>
        <w:tc>
          <w:tcPr>
            <w:tcW w:w="2551" w:type="dxa"/>
          </w:tcPr>
          <w:p w14:paraId="06F0356D" w14:textId="77777777" w:rsidR="009B7AF5" w:rsidRPr="005071A1" w:rsidRDefault="009B7AF5" w:rsidP="009B7AF5">
            <w:pPr>
              <w:pStyle w:val="ENoteTableText"/>
            </w:pPr>
          </w:p>
        </w:tc>
        <w:tc>
          <w:tcPr>
            <w:tcW w:w="4551" w:type="dxa"/>
          </w:tcPr>
          <w:p w14:paraId="483E407B"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8, 2005</w:t>
            </w:r>
          </w:p>
        </w:tc>
      </w:tr>
      <w:tr w:rsidR="009B7AF5" w:rsidRPr="005071A1" w14:paraId="6E70BDFA" w14:textId="77777777" w:rsidTr="00962E93">
        <w:trPr>
          <w:cantSplit/>
        </w:trPr>
        <w:tc>
          <w:tcPr>
            <w:tcW w:w="2551" w:type="dxa"/>
          </w:tcPr>
          <w:p w14:paraId="0B64CACA" w14:textId="77777777" w:rsidR="009B7AF5" w:rsidRPr="005071A1" w:rsidRDefault="009B7AF5" w:rsidP="009B7AF5">
            <w:pPr>
              <w:pStyle w:val="ENoteTableText"/>
            </w:pPr>
            <w:r w:rsidRPr="005071A1">
              <w:rPr>
                <w:b/>
              </w:rPr>
              <w:t>Division</w:t>
            </w:r>
            <w:r w:rsidR="008B2950" w:rsidRPr="005071A1">
              <w:rPr>
                <w:b/>
              </w:rPr>
              <w:t> </w:t>
            </w:r>
            <w:r w:rsidRPr="005071A1">
              <w:rPr>
                <w:b/>
              </w:rPr>
              <w:t>4</w:t>
            </w:r>
          </w:p>
        </w:tc>
        <w:tc>
          <w:tcPr>
            <w:tcW w:w="4551" w:type="dxa"/>
          </w:tcPr>
          <w:p w14:paraId="34C46C05" w14:textId="77777777" w:rsidR="009B7AF5" w:rsidRPr="005071A1" w:rsidRDefault="009B7AF5" w:rsidP="009B7AF5">
            <w:pPr>
              <w:pStyle w:val="ENoteTableText"/>
            </w:pPr>
          </w:p>
        </w:tc>
      </w:tr>
      <w:tr w:rsidR="009B7AF5" w:rsidRPr="005071A1" w14:paraId="0C9767A0" w14:textId="77777777" w:rsidTr="00962E93">
        <w:trPr>
          <w:cantSplit/>
        </w:trPr>
        <w:tc>
          <w:tcPr>
            <w:tcW w:w="2551" w:type="dxa"/>
          </w:tcPr>
          <w:p w14:paraId="76350891" w14:textId="77777777" w:rsidR="009B7AF5" w:rsidRPr="005071A1" w:rsidRDefault="002477D1" w:rsidP="002477D1">
            <w:pPr>
              <w:pStyle w:val="ENoteTableText"/>
              <w:tabs>
                <w:tab w:val="center" w:leader="dot" w:pos="2268"/>
              </w:tabs>
            </w:pPr>
            <w:r w:rsidRPr="005071A1">
              <w:t>s.</w:t>
            </w:r>
            <w:r w:rsidR="009B7AF5" w:rsidRPr="005071A1">
              <w:t xml:space="preserve"> 107N</w:t>
            </w:r>
            <w:r w:rsidR="009B7AF5" w:rsidRPr="005071A1">
              <w:tab/>
            </w:r>
          </w:p>
        </w:tc>
        <w:tc>
          <w:tcPr>
            <w:tcW w:w="4551" w:type="dxa"/>
          </w:tcPr>
          <w:p w14:paraId="6B96A07A"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13EF9DAE" w14:textId="77777777" w:rsidTr="00962E93">
        <w:trPr>
          <w:cantSplit/>
        </w:trPr>
        <w:tc>
          <w:tcPr>
            <w:tcW w:w="2551" w:type="dxa"/>
          </w:tcPr>
          <w:p w14:paraId="276F2FFB" w14:textId="77777777" w:rsidR="009B7AF5" w:rsidRPr="005071A1" w:rsidRDefault="009B7AF5" w:rsidP="009B7AF5">
            <w:pPr>
              <w:pStyle w:val="ENoteTableText"/>
            </w:pPr>
          </w:p>
        </w:tc>
        <w:tc>
          <w:tcPr>
            <w:tcW w:w="4551" w:type="dxa"/>
          </w:tcPr>
          <w:p w14:paraId="6F907544"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72DAC846" w14:textId="77777777" w:rsidTr="00962E93">
        <w:trPr>
          <w:cantSplit/>
        </w:trPr>
        <w:tc>
          <w:tcPr>
            <w:tcW w:w="2551" w:type="dxa"/>
          </w:tcPr>
          <w:p w14:paraId="6A80C5F2" w14:textId="77777777" w:rsidR="009B7AF5" w:rsidRPr="005071A1" w:rsidRDefault="002477D1" w:rsidP="002477D1">
            <w:pPr>
              <w:pStyle w:val="ENoteTableText"/>
              <w:tabs>
                <w:tab w:val="center" w:leader="dot" w:pos="2268"/>
              </w:tabs>
            </w:pPr>
            <w:r w:rsidRPr="005071A1">
              <w:t>s.</w:t>
            </w:r>
            <w:r w:rsidR="009B7AF5" w:rsidRPr="005071A1">
              <w:t xml:space="preserve"> 107P</w:t>
            </w:r>
            <w:r w:rsidR="009B7AF5" w:rsidRPr="005071A1">
              <w:tab/>
            </w:r>
          </w:p>
        </w:tc>
        <w:tc>
          <w:tcPr>
            <w:tcW w:w="4551" w:type="dxa"/>
          </w:tcPr>
          <w:p w14:paraId="6936B56B"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24D940D9" w14:textId="77777777" w:rsidTr="00962E93">
        <w:trPr>
          <w:cantSplit/>
        </w:trPr>
        <w:tc>
          <w:tcPr>
            <w:tcW w:w="2551" w:type="dxa"/>
          </w:tcPr>
          <w:p w14:paraId="4E420FAD" w14:textId="77777777" w:rsidR="009B7AF5" w:rsidRPr="005071A1" w:rsidRDefault="009B7AF5" w:rsidP="009B7AF5">
            <w:pPr>
              <w:pStyle w:val="ENoteTableText"/>
            </w:pPr>
            <w:r w:rsidRPr="005071A1">
              <w:rPr>
                <w:b/>
              </w:rPr>
              <w:t>Part</w:t>
            </w:r>
            <w:r w:rsidR="002477D1" w:rsidRPr="005071A1">
              <w:rPr>
                <w:b/>
              </w:rPr>
              <w:t> </w:t>
            </w:r>
            <w:r w:rsidRPr="005071A1">
              <w:rPr>
                <w:b/>
              </w:rPr>
              <w:t>VIII</w:t>
            </w:r>
          </w:p>
        </w:tc>
        <w:tc>
          <w:tcPr>
            <w:tcW w:w="4551" w:type="dxa"/>
          </w:tcPr>
          <w:p w14:paraId="57604F91" w14:textId="77777777" w:rsidR="009B7AF5" w:rsidRPr="005071A1" w:rsidRDefault="009B7AF5" w:rsidP="009B7AF5">
            <w:pPr>
              <w:pStyle w:val="ENoteTableText"/>
            </w:pPr>
          </w:p>
        </w:tc>
      </w:tr>
      <w:tr w:rsidR="009B7AF5" w:rsidRPr="005071A1" w14:paraId="4A8EDF22" w14:textId="77777777" w:rsidTr="00962E93">
        <w:trPr>
          <w:cantSplit/>
        </w:trPr>
        <w:tc>
          <w:tcPr>
            <w:tcW w:w="2551" w:type="dxa"/>
          </w:tcPr>
          <w:p w14:paraId="3D999023" w14:textId="77777777" w:rsidR="009B7AF5" w:rsidRPr="005071A1" w:rsidRDefault="009B7AF5" w:rsidP="0086505B">
            <w:pPr>
              <w:pStyle w:val="ENoteTableText"/>
              <w:tabs>
                <w:tab w:val="center" w:leader="dot" w:pos="2268"/>
              </w:tabs>
            </w:pPr>
            <w:r w:rsidRPr="005071A1">
              <w:t>Part VIII</w:t>
            </w:r>
            <w:r w:rsidRPr="005071A1">
              <w:tab/>
            </w:r>
          </w:p>
        </w:tc>
        <w:tc>
          <w:tcPr>
            <w:tcW w:w="4551" w:type="dxa"/>
          </w:tcPr>
          <w:p w14:paraId="473B573F" w14:textId="77777777" w:rsidR="009B7AF5" w:rsidRPr="005071A1" w:rsidRDefault="009B7AF5" w:rsidP="009B7AF5">
            <w:pPr>
              <w:pStyle w:val="ENoteTableText"/>
            </w:pPr>
            <w:r w:rsidRPr="005071A1">
              <w:t>ad. No.</w:t>
            </w:r>
            <w:r w:rsidR="008B2950" w:rsidRPr="005071A1">
              <w:t> </w:t>
            </w:r>
            <w:r w:rsidRPr="005071A1">
              <w:t>49, 1951</w:t>
            </w:r>
          </w:p>
        </w:tc>
      </w:tr>
      <w:tr w:rsidR="009B7AF5" w:rsidRPr="005071A1" w14:paraId="5C837663" w14:textId="77777777" w:rsidTr="00962E93">
        <w:trPr>
          <w:cantSplit/>
        </w:trPr>
        <w:tc>
          <w:tcPr>
            <w:tcW w:w="2551" w:type="dxa"/>
          </w:tcPr>
          <w:p w14:paraId="6612ED9F" w14:textId="77777777" w:rsidR="009B7AF5" w:rsidRPr="005071A1" w:rsidRDefault="002477D1" w:rsidP="002477D1">
            <w:pPr>
              <w:pStyle w:val="ENoteTableText"/>
              <w:tabs>
                <w:tab w:val="center" w:leader="dot" w:pos="2268"/>
              </w:tabs>
            </w:pPr>
            <w:r w:rsidRPr="005071A1">
              <w:t>s.</w:t>
            </w:r>
            <w:r w:rsidR="009B7AF5" w:rsidRPr="005071A1">
              <w:t xml:space="preserve"> 108</w:t>
            </w:r>
            <w:r w:rsidR="009B7AF5" w:rsidRPr="005071A1">
              <w:tab/>
            </w:r>
          </w:p>
        </w:tc>
        <w:tc>
          <w:tcPr>
            <w:tcW w:w="4551" w:type="dxa"/>
          </w:tcPr>
          <w:p w14:paraId="7F32D788" w14:textId="77777777" w:rsidR="009B7AF5" w:rsidRPr="005071A1" w:rsidRDefault="009B7AF5" w:rsidP="009B7AF5">
            <w:pPr>
              <w:pStyle w:val="ENoteTableText"/>
            </w:pPr>
            <w:r w:rsidRPr="005071A1">
              <w:t>ad. No.</w:t>
            </w:r>
            <w:r w:rsidR="008B2950" w:rsidRPr="005071A1">
              <w:t> </w:t>
            </w:r>
            <w:r w:rsidRPr="005071A1">
              <w:t>49, 1951</w:t>
            </w:r>
          </w:p>
        </w:tc>
      </w:tr>
      <w:tr w:rsidR="009B7AF5" w:rsidRPr="005071A1" w14:paraId="50EE89D1" w14:textId="77777777" w:rsidTr="00962E93">
        <w:trPr>
          <w:cantSplit/>
        </w:trPr>
        <w:tc>
          <w:tcPr>
            <w:tcW w:w="2551" w:type="dxa"/>
          </w:tcPr>
          <w:p w14:paraId="3A61A914" w14:textId="77777777" w:rsidR="009B7AF5" w:rsidRPr="005071A1" w:rsidRDefault="009B7AF5" w:rsidP="009B7AF5">
            <w:pPr>
              <w:pStyle w:val="ENoteTableText"/>
            </w:pPr>
          </w:p>
        </w:tc>
        <w:tc>
          <w:tcPr>
            <w:tcW w:w="4551" w:type="dxa"/>
          </w:tcPr>
          <w:p w14:paraId="4FA03A6F" w14:textId="77777777" w:rsidR="009B7AF5" w:rsidRPr="005071A1" w:rsidRDefault="009B7AF5" w:rsidP="009B7AF5">
            <w:pPr>
              <w:pStyle w:val="ENoteTableText"/>
            </w:pPr>
            <w:r w:rsidRPr="005071A1">
              <w:t>am. No.</w:t>
            </w:r>
            <w:r w:rsidR="008B2950" w:rsidRPr="005071A1">
              <w:t> </w:t>
            </w:r>
            <w:r w:rsidRPr="005071A1">
              <w:t>46, 1971</w:t>
            </w:r>
          </w:p>
        </w:tc>
      </w:tr>
      <w:tr w:rsidR="009B7AF5" w:rsidRPr="005071A1" w14:paraId="2F3AA6A9" w14:textId="77777777" w:rsidTr="00962E93">
        <w:trPr>
          <w:cantSplit/>
        </w:trPr>
        <w:tc>
          <w:tcPr>
            <w:tcW w:w="2551" w:type="dxa"/>
          </w:tcPr>
          <w:p w14:paraId="6A29FA6E" w14:textId="77777777" w:rsidR="009B7AF5" w:rsidRPr="005071A1" w:rsidRDefault="002477D1" w:rsidP="002477D1">
            <w:pPr>
              <w:pStyle w:val="ENoteTableText"/>
              <w:tabs>
                <w:tab w:val="center" w:leader="dot" w:pos="2268"/>
              </w:tabs>
            </w:pPr>
            <w:r w:rsidRPr="005071A1">
              <w:t>s.</w:t>
            </w:r>
            <w:r w:rsidR="009B7AF5" w:rsidRPr="005071A1">
              <w:t xml:space="preserve"> 108A</w:t>
            </w:r>
            <w:r w:rsidR="009B7AF5" w:rsidRPr="005071A1">
              <w:tab/>
            </w:r>
          </w:p>
        </w:tc>
        <w:tc>
          <w:tcPr>
            <w:tcW w:w="4551" w:type="dxa"/>
          </w:tcPr>
          <w:p w14:paraId="67793031"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57BF8163" w14:textId="77777777" w:rsidTr="00962E93">
        <w:trPr>
          <w:cantSplit/>
        </w:trPr>
        <w:tc>
          <w:tcPr>
            <w:tcW w:w="2551" w:type="dxa"/>
          </w:tcPr>
          <w:p w14:paraId="78187995" w14:textId="77777777" w:rsidR="009B7AF5" w:rsidRPr="005071A1" w:rsidRDefault="002477D1" w:rsidP="002477D1">
            <w:pPr>
              <w:pStyle w:val="ENoteTableText"/>
              <w:tabs>
                <w:tab w:val="center" w:leader="dot" w:pos="2268"/>
              </w:tabs>
            </w:pPr>
            <w:r w:rsidRPr="005071A1">
              <w:t>s.</w:t>
            </w:r>
            <w:r w:rsidR="009B7AF5" w:rsidRPr="005071A1">
              <w:t xml:space="preserve"> 109</w:t>
            </w:r>
            <w:r w:rsidR="009B7AF5" w:rsidRPr="005071A1">
              <w:tab/>
            </w:r>
          </w:p>
        </w:tc>
        <w:tc>
          <w:tcPr>
            <w:tcW w:w="4551" w:type="dxa"/>
          </w:tcPr>
          <w:p w14:paraId="5DFD4150" w14:textId="77777777" w:rsidR="009B7AF5" w:rsidRPr="005071A1" w:rsidRDefault="009B7AF5" w:rsidP="009B7AF5">
            <w:pPr>
              <w:pStyle w:val="ENoteTableText"/>
            </w:pPr>
            <w:r w:rsidRPr="005071A1">
              <w:t>ad. No.</w:t>
            </w:r>
            <w:r w:rsidR="008B2950" w:rsidRPr="005071A1">
              <w:t> </w:t>
            </w:r>
            <w:r w:rsidRPr="005071A1">
              <w:t>49, 1951</w:t>
            </w:r>
          </w:p>
        </w:tc>
      </w:tr>
      <w:tr w:rsidR="009B7AF5" w:rsidRPr="005071A1" w14:paraId="4C845B9C" w14:textId="77777777" w:rsidTr="00962E93">
        <w:trPr>
          <w:cantSplit/>
        </w:trPr>
        <w:tc>
          <w:tcPr>
            <w:tcW w:w="2551" w:type="dxa"/>
          </w:tcPr>
          <w:p w14:paraId="68D39F4F" w14:textId="77777777" w:rsidR="009B7AF5" w:rsidRPr="005071A1" w:rsidRDefault="009B7AF5" w:rsidP="009B7AF5">
            <w:pPr>
              <w:pStyle w:val="ENoteTableText"/>
            </w:pPr>
          </w:p>
        </w:tc>
        <w:tc>
          <w:tcPr>
            <w:tcW w:w="4551" w:type="dxa"/>
          </w:tcPr>
          <w:p w14:paraId="19938C91" w14:textId="77777777" w:rsidR="009B7AF5" w:rsidRPr="005071A1" w:rsidRDefault="009B7AF5" w:rsidP="009B7AF5">
            <w:pPr>
              <w:pStyle w:val="ENoteTableText"/>
            </w:pPr>
            <w:r w:rsidRPr="005071A1">
              <w:t>am. No.</w:t>
            </w:r>
            <w:r w:rsidR="008B2950" w:rsidRPr="005071A1">
              <w:t> </w:t>
            </w:r>
            <w:r w:rsidRPr="005071A1">
              <w:t>11, 1954; No.</w:t>
            </w:r>
            <w:r w:rsidR="008B2950" w:rsidRPr="005071A1">
              <w:t> </w:t>
            </w:r>
            <w:r w:rsidRPr="005071A1">
              <w:t>102, 1959; No.</w:t>
            </w:r>
            <w:r w:rsidR="008B2950" w:rsidRPr="005071A1">
              <w:t> </w:t>
            </w:r>
            <w:r w:rsidRPr="005071A1">
              <w:t>97, 1965</w:t>
            </w:r>
          </w:p>
        </w:tc>
      </w:tr>
      <w:tr w:rsidR="009B7AF5" w:rsidRPr="005071A1" w14:paraId="214B259C" w14:textId="77777777" w:rsidTr="00962E93">
        <w:trPr>
          <w:cantSplit/>
        </w:trPr>
        <w:tc>
          <w:tcPr>
            <w:tcW w:w="2551" w:type="dxa"/>
          </w:tcPr>
          <w:p w14:paraId="0CBB4DB6" w14:textId="77777777" w:rsidR="009B7AF5" w:rsidRPr="005071A1" w:rsidRDefault="009B7AF5" w:rsidP="009B7AF5">
            <w:pPr>
              <w:pStyle w:val="ENoteTableText"/>
            </w:pPr>
          </w:p>
        </w:tc>
        <w:tc>
          <w:tcPr>
            <w:tcW w:w="4551" w:type="dxa"/>
          </w:tcPr>
          <w:p w14:paraId="08A0F106" w14:textId="77777777" w:rsidR="009B7AF5" w:rsidRPr="005071A1" w:rsidRDefault="009B7AF5" w:rsidP="009B7AF5">
            <w:pPr>
              <w:pStyle w:val="ENoteTableText"/>
            </w:pPr>
            <w:r w:rsidRPr="005071A1">
              <w:t>rs. No.</w:t>
            </w:r>
            <w:r w:rsidR="008B2950" w:rsidRPr="005071A1">
              <w:t> </w:t>
            </w:r>
            <w:r w:rsidRPr="005071A1">
              <w:t>46, 1971</w:t>
            </w:r>
          </w:p>
        </w:tc>
      </w:tr>
      <w:tr w:rsidR="009B7AF5" w:rsidRPr="005071A1" w14:paraId="4123DA0B" w14:textId="77777777" w:rsidTr="00962E93">
        <w:trPr>
          <w:cantSplit/>
        </w:trPr>
        <w:tc>
          <w:tcPr>
            <w:tcW w:w="2551" w:type="dxa"/>
          </w:tcPr>
          <w:p w14:paraId="5AEE8E83" w14:textId="77777777" w:rsidR="009B7AF5" w:rsidRPr="005071A1" w:rsidRDefault="009B7AF5" w:rsidP="009B7AF5">
            <w:pPr>
              <w:pStyle w:val="ENoteTableText"/>
            </w:pPr>
          </w:p>
        </w:tc>
        <w:tc>
          <w:tcPr>
            <w:tcW w:w="4551" w:type="dxa"/>
          </w:tcPr>
          <w:p w14:paraId="0CDE2450"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35B7CC7E" w14:textId="77777777" w:rsidTr="00962E93">
        <w:trPr>
          <w:cantSplit/>
        </w:trPr>
        <w:tc>
          <w:tcPr>
            <w:tcW w:w="2551" w:type="dxa"/>
          </w:tcPr>
          <w:p w14:paraId="1770AEB1" w14:textId="77777777" w:rsidR="009B7AF5" w:rsidRPr="005071A1" w:rsidRDefault="009B7AF5" w:rsidP="009113A7">
            <w:pPr>
              <w:pStyle w:val="ENoteTableText"/>
              <w:keepNext/>
            </w:pPr>
            <w:r w:rsidRPr="005071A1">
              <w:rPr>
                <w:b/>
              </w:rPr>
              <w:t>Part</w:t>
            </w:r>
            <w:r w:rsidR="002477D1" w:rsidRPr="005071A1">
              <w:rPr>
                <w:b/>
              </w:rPr>
              <w:t> </w:t>
            </w:r>
            <w:r w:rsidRPr="005071A1">
              <w:rPr>
                <w:b/>
              </w:rPr>
              <w:t>IX</w:t>
            </w:r>
          </w:p>
        </w:tc>
        <w:tc>
          <w:tcPr>
            <w:tcW w:w="4551" w:type="dxa"/>
          </w:tcPr>
          <w:p w14:paraId="58EA75D8" w14:textId="77777777" w:rsidR="009B7AF5" w:rsidRPr="005071A1" w:rsidRDefault="009B7AF5" w:rsidP="009113A7">
            <w:pPr>
              <w:pStyle w:val="ENoteTableText"/>
              <w:keepNext/>
            </w:pPr>
          </w:p>
        </w:tc>
      </w:tr>
      <w:tr w:rsidR="009B7AF5" w:rsidRPr="005071A1" w14:paraId="27F6C60E" w14:textId="77777777" w:rsidTr="00962E93">
        <w:trPr>
          <w:cantSplit/>
        </w:trPr>
        <w:tc>
          <w:tcPr>
            <w:tcW w:w="2551" w:type="dxa"/>
          </w:tcPr>
          <w:p w14:paraId="672CBC43" w14:textId="77777777" w:rsidR="009B7AF5" w:rsidRPr="005071A1" w:rsidRDefault="009B7AF5" w:rsidP="0086505B">
            <w:pPr>
              <w:pStyle w:val="ENoteTableText"/>
              <w:tabs>
                <w:tab w:val="center" w:leader="dot" w:pos="2268"/>
              </w:tabs>
            </w:pPr>
            <w:r w:rsidRPr="005071A1">
              <w:t>Part IX</w:t>
            </w:r>
            <w:r w:rsidRPr="005071A1">
              <w:tab/>
            </w:r>
          </w:p>
        </w:tc>
        <w:tc>
          <w:tcPr>
            <w:tcW w:w="4551" w:type="dxa"/>
          </w:tcPr>
          <w:p w14:paraId="3A3F42E9" w14:textId="77777777" w:rsidR="009B7AF5" w:rsidRPr="005071A1" w:rsidRDefault="009B7AF5" w:rsidP="009B7AF5">
            <w:pPr>
              <w:pStyle w:val="ENoteTableText"/>
            </w:pPr>
            <w:r w:rsidRPr="005071A1">
              <w:t>ad. No.</w:t>
            </w:r>
            <w:r w:rsidR="008B2950" w:rsidRPr="005071A1">
              <w:t> </w:t>
            </w:r>
            <w:r w:rsidRPr="005071A1">
              <w:t>92, 1952</w:t>
            </w:r>
          </w:p>
        </w:tc>
      </w:tr>
      <w:tr w:rsidR="009B7AF5" w:rsidRPr="005071A1" w14:paraId="001F7881" w14:textId="77777777" w:rsidTr="00962E93">
        <w:trPr>
          <w:cantSplit/>
        </w:trPr>
        <w:tc>
          <w:tcPr>
            <w:tcW w:w="2551" w:type="dxa"/>
          </w:tcPr>
          <w:p w14:paraId="4118BFA8" w14:textId="77777777" w:rsidR="009B7AF5" w:rsidRPr="005071A1" w:rsidRDefault="002477D1" w:rsidP="002477D1">
            <w:pPr>
              <w:pStyle w:val="ENoteTableText"/>
              <w:tabs>
                <w:tab w:val="center" w:leader="dot" w:pos="2268"/>
              </w:tabs>
            </w:pPr>
            <w:r w:rsidRPr="005071A1">
              <w:t>s.</w:t>
            </w:r>
            <w:r w:rsidR="009B7AF5" w:rsidRPr="005071A1">
              <w:t xml:space="preserve"> 110</w:t>
            </w:r>
            <w:r w:rsidR="009B7AF5" w:rsidRPr="005071A1">
              <w:tab/>
            </w:r>
          </w:p>
        </w:tc>
        <w:tc>
          <w:tcPr>
            <w:tcW w:w="4551" w:type="dxa"/>
          </w:tcPr>
          <w:p w14:paraId="6D7D6F30" w14:textId="77777777" w:rsidR="009B7AF5" w:rsidRPr="005071A1" w:rsidRDefault="009B7AF5" w:rsidP="009B7AF5">
            <w:pPr>
              <w:pStyle w:val="ENoteTableText"/>
            </w:pPr>
            <w:r w:rsidRPr="005071A1">
              <w:t>ad. No.</w:t>
            </w:r>
            <w:r w:rsidR="008B2950" w:rsidRPr="005071A1">
              <w:t> </w:t>
            </w:r>
            <w:r w:rsidRPr="005071A1">
              <w:t>92, 1952</w:t>
            </w:r>
          </w:p>
        </w:tc>
      </w:tr>
      <w:tr w:rsidR="009B7AF5" w:rsidRPr="005071A1" w14:paraId="5192AA3B" w14:textId="77777777" w:rsidTr="00962E93">
        <w:trPr>
          <w:cantSplit/>
        </w:trPr>
        <w:tc>
          <w:tcPr>
            <w:tcW w:w="2551" w:type="dxa"/>
          </w:tcPr>
          <w:p w14:paraId="525EAE46" w14:textId="77777777" w:rsidR="009B7AF5" w:rsidRPr="005071A1" w:rsidRDefault="009B7AF5" w:rsidP="009B7AF5">
            <w:pPr>
              <w:pStyle w:val="ENoteTableText"/>
            </w:pPr>
          </w:p>
        </w:tc>
        <w:tc>
          <w:tcPr>
            <w:tcW w:w="4551" w:type="dxa"/>
          </w:tcPr>
          <w:p w14:paraId="1550A33A" w14:textId="77777777" w:rsidR="009B7AF5" w:rsidRPr="005071A1" w:rsidRDefault="009B7AF5" w:rsidP="009B7AF5">
            <w:pPr>
              <w:pStyle w:val="ENoteTableText"/>
            </w:pPr>
            <w:r w:rsidRPr="005071A1">
              <w:t>rep. No.</w:t>
            </w:r>
            <w:r w:rsidR="008B2950" w:rsidRPr="005071A1">
              <w:t> </w:t>
            </w:r>
            <w:r w:rsidRPr="005071A1">
              <w:t>49, 1968</w:t>
            </w:r>
          </w:p>
        </w:tc>
      </w:tr>
      <w:tr w:rsidR="009B7AF5" w:rsidRPr="005071A1" w14:paraId="42610D14" w14:textId="77777777" w:rsidTr="00962E93">
        <w:trPr>
          <w:cantSplit/>
        </w:trPr>
        <w:tc>
          <w:tcPr>
            <w:tcW w:w="2551" w:type="dxa"/>
          </w:tcPr>
          <w:p w14:paraId="02998230" w14:textId="77777777" w:rsidR="009B7AF5" w:rsidRPr="005071A1" w:rsidRDefault="009B7AF5" w:rsidP="009B7AF5">
            <w:pPr>
              <w:pStyle w:val="ENoteTableText"/>
            </w:pPr>
          </w:p>
        </w:tc>
        <w:tc>
          <w:tcPr>
            <w:tcW w:w="4551" w:type="dxa"/>
          </w:tcPr>
          <w:p w14:paraId="56241C5D"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1B9613A1" w14:textId="77777777" w:rsidTr="00962E93">
        <w:trPr>
          <w:cantSplit/>
        </w:trPr>
        <w:tc>
          <w:tcPr>
            <w:tcW w:w="2551" w:type="dxa"/>
          </w:tcPr>
          <w:p w14:paraId="203F9B53" w14:textId="77777777" w:rsidR="009B7AF5" w:rsidRPr="005071A1" w:rsidRDefault="009B7AF5" w:rsidP="009B7AF5">
            <w:pPr>
              <w:pStyle w:val="ENoteTableText"/>
            </w:pPr>
          </w:p>
        </w:tc>
        <w:tc>
          <w:tcPr>
            <w:tcW w:w="4551" w:type="dxa"/>
          </w:tcPr>
          <w:p w14:paraId="43367793"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9FE317E" w14:textId="77777777" w:rsidTr="00962E93">
        <w:trPr>
          <w:cantSplit/>
        </w:trPr>
        <w:tc>
          <w:tcPr>
            <w:tcW w:w="2551" w:type="dxa"/>
          </w:tcPr>
          <w:p w14:paraId="677BB711"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110A–110C</w:t>
            </w:r>
            <w:r w:rsidR="009B7AF5" w:rsidRPr="005071A1">
              <w:tab/>
            </w:r>
          </w:p>
        </w:tc>
        <w:tc>
          <w:tcPr>
            <w:tcW w:w="4551" w:type="dxa"/>
          </w:tcPr>
          <w:p w14:paraId="102AEE21"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1E51D88A" w14:textId="77777777" w:rsidTr="00962E93">
        <w:trPr>
          <w:cantSplit/>
        </w:trPr>
        <w:tc>
          <w:tcPr>
            <w:tcW w:w="2551" w:type="dxa"/>
          </w:tcPr>
          <w:p w14:paraId="07BD8FE2" w14:textId="77777777" w:rsidR="009B7AF5" w:rsidRPr="005071A1" w:rsidRDefault="009B7AF5" w:rsidP="009B7AF5">
            <w:pPr>
              <w:pStyle w:val="ENoteTableText"/>
            </w:pPr>
          </w:p>
        </w:tc>
        <w:tc>
          <w:tcPr>
            <w:tcW w:w="4551" w:type="dxa"/>
          </w:tcPr>
          <w:p w14:paraId="0E45942A"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E9C1447" w14:textId="77777777" w:rsidTr="00962E93">
        <w:trPr>
          <w:cantSplit/>
        </w:trPr>
        <w:tc>
          <w:tcPr>
            <w:tcW w:w="2551" w:type="dxa"/>
          </w:tcPr>
          <w:p w14:paraId="44ECF256" w14:textId="77777777" w:rsidR="009B7AF5" w:rsidRPr="005071A1" w:rsidRDefault="002477D1" w:rsidP="002477D1">
            <w:pPr>
              <w:pStyle w:val="ENoteTableText"/>
              <w:tabs>
                <w:tab w:val="center" w:leader="dot" w:pos="2268"/>
              </w:tabs>
            </w:pPr>
            <w:r w:rsidRPr="005071A1">
              <w:t>s.</w:t>
            </w:r>
            <w:r w:rsidR="009B7AF5" w:rsidRPr="005071A1">
              <w:t xml:space="preserve"> 110D</w:t>
            </w:r>
            <w:r w:rsidR="009B7AF5" w:rsidRPr="005071A1">
              <w:tab/>
            </w:r>
          </w:p>
        </w:tc>
        <w:tc>
          <w:tcPr>
            <w:tcW w:w="4551" w:type="dxa"/>
          </w:tcPr>
          <w:p w14:paraId="51199CAA"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744A398D" w14:textId="77777777" w:rsidTr="00962E93">
        <w:trPr>
          <w:cantSplit/>
        </w:trPr>
        <w:tc>
          <w:tcPr>
            <w:tcW w:w="2551" w:type="dxa"/>
          </w:tcPr>
          <w:p w14:paraId="24C2BE90" w14:textId="77777777" w:rsidR="009B7AF5" w:rsidRPr="005071A1" w:rsidRDefault="009B7AF5" w:rsidP="009B7AF5">
            <w:pPr>
              <w:pStyle w:val="ENoteTableText"/>
            </w:pPr>
          </w:p>
        </w:tc>
        <w:tc>
          <w:tcPr>
            <w:tcW w:w="4551" w:type="dxa"/>
          </w:tcPr>
          <w:p w14:paraId="5E155AD3"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119A58B1" w14:textId="77777777" w:rsidTr="00962E93">
        <w:trPr>
          <w:cantSplit/>
        </w:trPr>
        <w:tc>
          <w:tcPr>
            <w:tcW w:w="2551" w:type="dxa"/>
          </w:tcPr>
          <w:p w14:paraId="5E8EBB73" w14:textId="77777777" w:rsidR="009B7AF5" w:rsidRPr="005071A1" w:rsidRDefault="002477D1" w:rsidP="002477D1">
            <w:pPr>
              <w:pStyle w:val="ENoteTableText"/>
              <w:tabs>
                <w:tab w:val="center" w:leader="dot" w:pos="2268"/>
              </w:tabs>
            </w:pPr>
            <w:r w:rsidRPr="005071A1">
              <w:t>s.</w:t>
            </w:r>
            <w:r w:rsidR="009B7AF5" w:rsidRPr="005071A1">
              <w:t xml:space="preserve"> 111</w:t>
            </w:r>
            <w:r w:rsidR="009B7AF5" w:rsidRPr="005071A1">
              <w:tab/>
            </w:r>
          </w:p>
        </w:tc>
        <w:tc>
          <w:tcPr>
            <w:tcW w:w="4551" w:type="dxa"/>
          </w:tcPr>
          <w:p w14:paraId="24BA13E7" w14:textId="77777777" w:rsidR="009B7AF5" w:rsidRPr="005071A1" w:rsidRDefault="009B7AF5" w:rsidP="009B7AF5">
            <w:pPr>
              <w:pStyle w:val="ENoteTableText"/>
            </w:pPr>
            <w:r w:rsidRPr="005071A1">
              <w:t>ad. No.</w:t>
            </w:r>
            <w:r w:rsidR="008B2950" w:rsidRPr="005071A1">
              <w:t> </w:t>
            </w:r>
            <w:r w:rsidRPr="005071A1">
              <w:t>92, 1952</w:t>
            </w:r>
          </w:p>
        </w:tc>
      </w:tr>
      <w:tr w:rsidR="009B7AF5" w:rsidRPr="005071A1" w14:paraId="6EF944F6" w14:textId="77777777" w:rsidTr="00962E93">
        <w:trPr>
          <w:cantSplit/>
        </w:trPr>
        <w:tc>
          <w:tcPr>
            <w:tcW w:w="2551" w:type="dxa"/>
          </w:tcPr>
          <w:p w14:paraId="6949349F" w14:textId="77777777" w:rsidR="009B7AF5" w:rsidRPr="005071A1" w:rsidRDefault="009B7AF5" w:rsidP="009B7AF5">
            <w:pPr>
              <w:pStyle w:val="ENoteTableText"/>
            </w:pPr>
          </w:p>
        </w:tc>
        <w:tc>
          <w:tcPr>
            <w:tcW w:w="4551" w:type="dxa"/>
          </w:tcPr>
          <w:p w14:paraId="3874AC0D" w14:textId="77777777" w:rsidR="009B7AF5" w:rsidRPr="005071A1" w:rsidRDefault="009B7AF5" w:rsidP="009B7AF5">
            <w:pPr>
              <w:pStyle w:val="ENoteTableText"/>
            </w:pPr>
            <w:r w:rsidRPr="005071A1">
              <w:t>rs. No.</w:t>
            </w:r>
            <w:r w:rsidR="008B2950" w:rsidRPr="005071A1">
              <w:t> </w:t>
            </w:r>
            <w:r w:rsidRPr="005071A1">
              <w:t>102, 1959</w:t>
            </w:r>
          </w:p>
        </w:tc>
      </w:tr>
      <w:tr w:rsidR="009B7AF5" w:rsidRPr="005071A1" w14:paraId="3222DC7F" w14:textId="77777777" w:rsidTr="00962E93">
        <w:trPr>
          <w:cantSplit/>
        </w:trPr>
        <w:tc>
          <w:tcPr>
            <w:tcW w:w="2551" w:type="dxa"/>
          </w:tcPr>
          <w:p w14:paraId="6BD79431" w14:textId="77777777" w:rsidR="009B7AF5" w:rsidRPr="005071A1" w:rsidRDefault="009B7AF5" w:rsidP="009B7AF5">
            <w:pPr>
              <w:pStyle w:val="ENoteTableText"/>
            </w:pPr>
          </w:p>
        </w:tc>
        <w:tc>
          <w:tcPr>
            <w:tcW w:w="4551" w:type="dxa"/>
          </w:tcPr>
          <w:p w14:paraId="485CFB56" w14:textId="77777777" w:rsidR="009B7AF5" w:rsidRPr="005071A1" w:rsidRDefault="009B7AF5" w:rsidP="009B7AF5">
            <w:pPr>
              <w:pStyle w:val="ENoteTableText"/>
            </w:pPr>
            <w:r w:rsidRPr="005071A1">
              <w:t>am. No.</w:t>
            </w:r>
            <w:r w:rsidR="008B2950" w:rsidRPr="005071A1">
              <w:t> </w:t>
            </w:r>
            <w:r w:rsidRPr="005071A1">
              <w:t>102, 1963; No.</w:t>
            </w:r>
            <w:r w:rsidR="008B2950" w:rsidRPr="005071A1">
              <w:t> </w:t>
            </w:r>
            <w:r w:rsidRPr="005071A1">
              <w:t>46, 1971; No.</w:t>
            </w:r>
            <w:r w:rsidR="008B2950" w:rsidRPr="005071A1">
              <w:t> </w:t>
            </w:r>
            <w:r w:rsidRPr="005071A1">
              <w:t>17, 1978</w:t>
            </w:r>
          </w:p>
        </w:tc>
      </w:tr>
      <w:tr w:rsidR="009B7AF5" w:rsidRPr="005071A1" w14:paraId="7C9A15E8" w14:textId="77777777" w:rsidTr="00962E93">
        <w:trPr>
          <w:cantSplit/>
        </w:trPr>
        <w:tc>
          <w:tcPr>
            <w:tcW w:w="2551" w:type="dxa"/>
          </w:tcPr>
          <w:p w14:paraId="7E71CE32" w14:textId="77777777" w:rsidR="009B7AF5" w:rsidRPr="005071A1" w:rsidRDefault="002477D1" w:rsidP="002477D1">
            <w:pPr>
              <w:pStyle w:val="ENoteTableText"/>
              <w:tabs>
                <w:tab w:val="center" w:leader="dot" w:pos="2268"/>
              </w:tabs>
            </w:pPr>
            <w:r w:rsidRPr="005071A1">
              <w:t>s.</w:t>
            </w:r>
            <w:r w:rsidR="009B7AF5" w:rsidRPr="005071A1">
              <w:t xml:space="preserve"> 112</w:t>
            </w:r>
            <w:r w:rsidR="009B7AF5" w:rsidRPr="005071A1">
              <w:tab/>
            </w:r>
          </w:p>
        </w:tc>
        <w:tc>
          <w:tcPr>
            <w:tcW w:w="4551" w:type="dxa"/>
          </w:tcPr>
          <w:p w14:paraId="6F00611A" w14:textId="77777777" w:rsidR="009B7AF5" w:rsidRPr="005071A1" w:rsidRDefault="009B7AF5" w:rsidP="009B7AF5">
            <w:pPr>
              <w:pStyle w:val="ENoteTableText"/>
            </w:pPr>
            <w:r w:rsidRPr="005071A1">
              <w:t>ad. No.</w:t>
            </w:r>
            <w:r w:rsidR="008B2950" w:rsidRPr="005071A1">
              <w:t> </w:t>
            </w:r>
            <w:r w:rsidRPr="005071A1">
              <w:t>92, 1952</w:t>
            </w:r>
          </w:p>
        </w:tc>
      </w:tr>
      <w:tr w:rsidR="009B7AF5" w:rsidRPr="005071A1" w14:paraId="44AFA022" w14:textId="77777777" w:rsidTr="00962E93">
        <w:trPr>
          <w:cantSplit/>
        </w:trPr>
        <w:tc>
          <w:tcPr>
            <w:tcW w:w="2551" w:type="dxa"/>
          </w:tcPr>
          <w:p w14:paraId="3E47620A" w14:textId="77777777" w:rsidR="009B7AF5" w:rsidRPr="005071A1" w:rsidRDefault="009B7AF5" w:rsidP="009B7AF5">
            <w:pPr>
              <w:pStyle w:val="ENoteTableText"/>
            </w:pPr>
          </w:p>
        </w:tc>
        <w:tc>
          <w:tcPr>
            <w:tcW w:w="4551" w:type="dxa"/>
          </w:tcPr>
          <w:p w14:paraId="5388DDBE"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97, 1965; No.</w:t>
            </w:r>
            <w:r w:rsidR="008B2950" w:rsidRPr="005071A1">
              <w:t> </w:t>
            </w:r>
            <w:r w:rsidRPr="005071A1">
              <w:t>17, 1978</w:t>
            </w:r>
          </w:p>
        </w:tc>
      </w:tr>
      <w:tr w:rsidR="009B7AF5" w:rsidRPr="005071A1" w14:paraId="6E84CA79" w14:textId="77777777" w:rsidTr="00962E93">
        <w:trPr>
          <w:cantSplit/>
        </w:trPr>
        <w:tc>
          <w:tcPr>
            <w:tcW w:w="2551" w:type="dxa"/>
          </w:tcPr>
          <w:p w14:paraId="209F1796" w14:textId="77777777" w:rsidR="009B7AF5" w:rsidRPr="005071A1" w:rsidRDefault="002477D1" w:rsidP="002477D1">
            <w:pPr>
              <w:pStyle w:val="ENoteTableText"/>
              <w:tabs>
                <w:tab w:val="center" w:leader="dot" w:pos="2268"/>
              </w:tabs>
            </w:pPr>
            <w:r w:rsidRPr="005071A1">
              <w:t>s.</w:t>
            </w:r>
            <w:r w:rsidR="009B7AF5" w:rsidRPr="005071A1">
              <w:t xml:space="preserve"> 113</w:t>
            </w:r>
            <w:r w:rsidR="009B7AF5" w:rsidRPr="005071A1">
              <w:tab/>
            </w:r>
          </w:p>
        </w:tc>
        <w:tc>
          <w:tcPr>
            <w:tcW w:w="4551" w:type="dxa"/>
          </w:tcPr>
          <w:p w14:paraId="1258AA2A" w14:textId="77777777" w:rsidR="009B7AF5" w:rsidRPr="005071A1" w:rsidRDefault="009B7AF5" w:rsidP="009B7AF5">
            <w:pPr>
              <w:pStyle w:val="ENoteTableText"/>
            </w:pPr>
            <w:r w:rsidRPr="005071A1">
              <w:t>ad. No.</w:t>
            </w:r>
            <w:r w:rsidR="008B2950" w:rsidRPr="005071A1">
              <w:t> </w:t>
            </w:r>
            <w:r w:rsidRPr="005071A1">
              <w:t>92, 1952</w:t>
            </w:r>
          </w:p>
        </w:tc>
      </w:tr>
      <w:tr w:rsidR="009B7AF5" w:rsidRPr="005071A1" w14:paraId="0D0C99B6" w14:textId="77777777" w:rsidTr="00962E93">
        <w:trPr>
          <w:cantSplit/>
        </w:trPr>
        <w:tc>
          <w:tcPr>
            <w:tcW w:w="2551" w:type="dxa"/>
          </w:tcPr>
          <w:p w14:paraId="77586D27" w14:textId="77777777" w:rsidR="009B7AF5" w:rsidRPr="005071A1" w:rsidRDefault="009B7AF5" w:rsidP="009B7AF5">
            <w:pPr>
              <w:pStyle w:val="ENoteTableText"/>
            </w:pPr>
          </w:p>
        </w:tc>
        <w:tc>
          <w:tcPr>
            <w:tcW w:w="4551" w:type="dxa"/>
          </w:tcPr>
          <w:p w14:paraId="16607246" w14:textId="77777777" w:rsidR="009B7AF5" w:rsidRPr="005071A1" w:rsidRDefault="009B7AF5" w:rsidP="009B7AF5">
            <w:pPr>
              <w:pStyle w:val="ENoteTableText"/>
            </w:pPr>
            <w:r w:rsidRPr="005071A1">
              <w:t>rs. No.</w:t>
            </w:r>
            <w:r w:rsidR="008B2950" w:rsidRPr="005071A1">
              <w:t> </w:t>
            </w:r>
            <w:r w:rsidRPr="005071A1">
              <w:t>102, 1959</w:t>
            </w:r>
          </w:p>
        </w:tc>
      </w:tr>
      <w:tr w:rsidR="009B7AF5" w:rsidRPr="005071A1" w14:paraId="48E47EE3" w14:textId="77777777" w:rsidTr="00962E93">
        <w:trPr>
          <w:cantSplit/>
        </w:trPr>
        <w:tc>
          <w:tcPr>
            <w:tcW w:w="2551" w:type="dxa"/>
          </w:tcPr>
          <w:p w14:paraId="37718A06" w14:textId="77777777" w:rsidR="009B7AF5" w:rsidRPr="005071A1" w:rsidRDefault="009B7AF5" w:rsidP="009B7AF5">
            <w:pPr>
              <w:pStyle w:val="ENoteTableText"/>
            </w:pPr>
          </w:p>
        </w:tc>
        <w:tc>
          <w:tcPr>
            <w:tcW w:w="4551" w:type="dxa"/>
          </w:tcPr>
          <w:p w14:paraId="19C8D6C8" w14:textId="77777777" w:rsidR="009B7AF5" w:rsidRPr="005071A1" w:rsidRDefault="009B7AF5" w:rsidP="009B7AF5">
            <w:pPr>
              <w:pStyle w:val="ENoteTableText"/>
            </w:pPr>
            <w:r w:rsidRPr="005071A1">
              <w:t>am. No.</w:t>
            </w:r>
            <w:r w:rsidR="008B2950" w:rsidRPr="005071A1">
              <w:t> </w:t>
            </w:r>
            <w:r w:rsidRPr="005071A1">
              <w:t>97, 1965; No.</w:t>
            </w:r>
            <w:r w:rsidR="008B2950" w:rsidRPr="005071A1">
              <w:t> </w:t>
            </w:r>
            <w:r w:rsidRPr="005071A1">
              <w:t>17, 1978</w:t>
            </w:r>
          </w:p>
        </w:tc>
      </w:tr>
      <w:tr w:rsidR="009B7AF5" w:rsidRPr="005071A1" w14:paraId="5926A66E" w14:textId="77777777" w:rsidTr="00962E93">
        <w:trPr>
          <w:cantSplit/>
        </w:trPr>
        <w:tc>
          <w:tcPr>
            <w:tcW w:w="2551" w:type="dxa"/>
          </w:tcPr>
          <w:p w14:paraId="00E4A834" w14:textId="77777777" w:rsidR="009B7AF5" w:rsidRPr="005071A1" w:rsidRDefault="002477D1" w:rsidP="002477D1">
            <w:pPr>
              <w:pStyle w:val="ENoteTableText"/>
              <w:tabs>
                <w:tab w:val="center" w:leader="dot" w:pos="2268"/>
              </w:tabs>
            </w:pPr>
            <w:r w:rsidRPr="005071A1">
              <w:t>s.</w:t>
            </w:r>
            <w:r w:rsidR="009B7AF5" w:rsidRPr="005071A1">
              <w:t xml:space="preserve"> 114</w:t>
            </w:r>
            <w:r w:rsidR="009B7AF5" w:rsidRPr="005071A1">
              <w:tab/>
            </w:r>
          </w:p>
        </w:tc>
        <w:tc>
          <w:tcPr>
            <w:tcW w:w="4551" w:type="dxa"/>
          </w:tcPr>
          <w:p w14:paraId="5F158F48" w14:textId="77777777" w:rsidR="009B7AF5" w:rsidRPr="005071A1" w:rsidRDefault="009B7AF5" w:rsidP="009B7AF5">
            <w:pPr>
              <w:pStyle w:val="ENoteTableText"/>
            </w:pPr>
            <w:r w:rsidRPr="005071A1">
              <w:t>ad. No.</w:t>
            </w:r>
            <w:r w:rsidR="008B2950" w:rsidRPr="005071A1">
              <w:t> </w:t>
            </w:r>
            <w:r w:rsidRPr="005071A1">
              <w:t>92, 1952</w:t>
            </w:r>
          </w:p>
        </w:tc>
      </w:tr>
      <w:tr w:rsidR="009B7AF5" w:rsidRPr="005071A1" w14:paraId="319039A0" w14:textId="77777777" w:rsidTr="00962E93">
        <w:trPr>
          <w:cantSplit/>
        </w:trPr>
        <w:tc>
          <w:tcPr>
            <w:tcW w:w="2551" w:type="dxa"/>
          </w:tcPr>
          <w:p w14:paraId="3ACBB722" w14:textId="77777777" w:rsidR="009B7AF5" w:rsidRPr="005071A1" w:rsidRDefault="009B7AF5" w:rsidP="009B7AF5">
            <w:pPr>
              <w:pStyle w:val="ENoteTableText"/>
            </w:pPr>
          </w:p>
        </w:tc>
        <w:tc>
          <w:tcPr>
            <w:tcW w:w="4551" w:type="dxa"/>
          </w:tcPr>
          <w:p w14:paraId="343D5FC8"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57, 1968; No.</w:t>
            </w:r>
            <w:r w:rsidR="008B2950" w:rsidRPr="005071A1">
              <w:t> </w:t>
            </w:r>
            <w:r w:rsidRPr="005071A1">
              <w:t>17, 1978</w:t>
            </w:r>
          </w:p>
        </w:tc>
      </w:tr>
      <w:tr w:rsidR="009B7AF5" w:rsidRPr="005071A1" w14:paraId="319293A7" w14:textId="77777777" w:rsidTr="00962E93">
        <w:trPr>
          <w:cantSplit/>
        </w:trPr>
        <w:tc>
          <w:tcPr>
            <w:tcW w:w="2551" w:type="dxa"/>
          </w:tcPr>
          <w:p w14:paraId="04FF6AEC" w14:textId="77777777" w:rsidR="009B7AF5" w:rsidRPr="005071A1" w:rsidRDefault="002477D1" w:rsidP="002477D1">
            <w:pPr>
              <w:pStyle w:val="ENoteTableText"/>
              <w:tabs>
                <w:tab w:val="center" w:leader="dot" w:pos="2268"/>
              </w:tabs>
            </w:pPr>
            <w:r w:rsidRPr="005071A1">
              <w:t>s.</w:t>
            </w:r>
            <w:r w:rsidR="009B7AF5" w:rsidRPr="005071A1">
              <w:t xml:space="preserve"> 115</w:t>
            </w:r>
            <w:r w:rsidR="009B7AF5" w:rsidRPr="005071A1">
              <w:tab/>
            </w:r>
          </w:p>
        </w:tc>
        <w:tc>
          <w:tcPr>
            <w:tcW w:w="4551" w:type="dxa"/>
          </w:tcPr>
          <w:p w14:paraId="55B59143" w14:textId="77777777" w:rsidR="009B7AF5" w:rsidRPr="005071A1" w:rsidRDefault="009B7AF5" w:rsidP="009B7AF5">
            <w:pPr>
              <w:pStyle w:val="ENoteTableText"/>
            </w:pPr>
            <w:r w:rsidRPr="005071A1">
              <w:t>ad. No.</w:t>
            </w:r>
            <w:r w:rsidR="008B2950" w:rsidRPr="005071A1">
              <w:t> </w:t>
            </w:r>
            <w:r w:rsidRPr="005071A1">
              <w:t>92, 1952</w:t>
            </w:r>
          </w:p>
        </w:tc>
      </w:tr>
      <w:tr w:rsidR="009B7AF5" w:rsidRPr="005071A1" w14:paraId="0D365831" w14:textId="77777777" w:rsidTr="00962E93">
        <w:trPr>
          <w:cantSplit/>
        </w:trPr>
        <w:tc>
          <w:tcPr>
            <w:tcW w:w="2551" w:type="dxa"/>
          </w:tcPr>
          <w:p w14:paraId="5F373F1D" w14:textId="77777777" w:rsidR="009B7AF5" w:rsidRPr="005071A1" w:rsidRDefault="009B7AF5" w:rsidP="009B7AF5">
            <w:pPr>
              <w:pStyle w:val="ENoteTableText"/>
            </w:pPr>
          </w:p>
        </w:tc>
        <w:tc>
          <w:tcPr>
            <w:tcW w:w="4551" w:type="dxa"/>
          </w:tcPr>
          <w:p w14:paraId="657D2662" w14:textId="77777777" w:rsidR="009B7AF5" w:rsidRPr="005071A1" w:rsidRDefault="009B7AF5" w:rsidP="009B7AF5">
            <w:pPr>
              <w:pStyle w:val="ENoteTableText"/>
            </w:pPr>
            <w:r w:rsidRPr="005071A1">
              <w:t>am. No.</w:t>
            </w:r>
            <w:r w:rsidR="008B2950" w:rsidRPr="005071A1">
              <w:t> </w:t>
            </w:r>
            <w:r w:rsidRPr="005071A1">
              <w:t>32, 1976</w:t>
            </w:r>
          </w:p>
        </w:tc>
      </w:tr>
      <w:tr w:rsidR="009B7AF5" w:rsidRPr="005071A1" w14:paraId="0BAB5AEA" w14:textId="77777777" w:rsidTr="00962E93">
        <w:trPr>
          <w:cantSplit/>
        </w:trPr>
        <w:tc>
          <w:tcPr>
            <w:tcW w:w="2551" w:type="dxa"/>
          </w:tcPr>
          <w:p w14:paraId="78E21A6D" w14:textId="77777777" w:rsidR="009B7AF5" w:rsidRPr="005071A1" w:rsidRDefault="009B7AF5" w:rsidP="009B7AF5">
            <w:pPr>
              <w:pStyle w:val="ENoteTableText"/>
            </w:pPr>
            <w:r w:rsidRPr="005071A1">
              <w:rPr>
                <w:b/>
              </w:rPr>
              <w:t>Part</w:t>
            </w:r>
            <w:r w:rsidR="002477D1" w:rsidRPr="005071A1">
              <w:rPr>
                <w:b/>
              </w:rPr>
              <w:t> </w:t>
            </w:r>
            <w:r w:rsidRPr="005071A1">
              <w:rPr>
                <w:b/>
              </w:rPr>
              <w:t>X</w:t>
            </w:r>
          </w:p>
        </w:tc>
        <w:tc>
          <w:tcPr>
            <w:tcW w:w="4551" w:type="dxa"/>
          </w:tcPr>
          <w:p w14:paraId="151CC482" w14:textId="77777777" w:rsidR="009B7AF5" w:rsidRPr="005071A1" w:rsidRDefault="009B7AF5" w:rsidP="009B7AF5">
            <w:pPr>
              <w:pStyle w:val="ENoteTableText"/>
            </w:pPr>
          </w:p>
        </w:tc>
      </w:tr>
      <w:tr w:rsidR="009B7AF5" w:rsidRPr="005071A1" w14:paraId="68FE3407" w14:textId="77777777" w:rsidTr="00962E93">
        <w:trPr>
          <w:cantSplit/>
        </w:trPr>
        <w:tc>
          <w:tcPr>
            <w:tcW w:w="2551" w:type="dxa"/>
          </w:tcPr>
          <w:p w14:paraId="47CB7283" w14:textId="77777777" w:rsidR="009B7AF5" w:rsidRPr="005071A1" w:rsidRDefault="009B7AF5" w:rsidP="0086505B">
            <w:pPr>
              <w:pStyle w:val="ENoteTableText"/>
              <w:tabs>
                <w:tab w:val="center" w:leader="dot" w:pos="2268"/>
              </w:tabs>
            </w:pPr>
            <w:r w:rsidRPr="005071A1">
              <w:t>Part X</w:t>
            </w:r>
            <w:r w:rsidRPr="005071A1">
              <w:tab/>
            </w:r>
          </w:p>
        </w:tc>
        <w:tc>
          <w:tcPr>
            <w:tcW w:w="4551" w:type="dxa"/>
          </w:tcPr>
          <w:p w14:paraId="62F4EB92"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46D7DBE9" w14:textId="77777777" w:rsidTr="00962E93">
        <w:trPr>
          <w:cantSplit/>
        </w:trPr>
        <w:tc>
          <w:tcPr>
            <w:tcW w:w="2551" w:type="dxa"/>
          </w:tcPr>
          <w:p w14:paraId="7B1ED146" w14:textId="77777777" w:rsidR="009B7AF5" w:rsidRPr="005071A1" w:rsidRDefault="002477D1" w:rsidP="002477D1">
            <w:pPr>
              <w:pStyle w:val="ENoteTableText"/>
              <w:tabs>
                <w:tab w:val="center" w:leader="dot" w:pos="2268"/>
              </w:tabs>
            </w:pPr>
            <w:r w:rsidRPr="005071A1">
              <w:t>s.</w:t>
            </w:r>
            <w:r w:rsidR="009B7AF5" w:rsidRPr="005071A1">
              <w:t xml:space="preserve"> 116</w:t>
            </w:r>
            <w:r w:rsidR="009B7AF5" w:rsidRPr="005071A1">
              <w:tab/>
            </w:r>
          </w:p>
        </w:tc>
        <w:tc>
          <w:tcPr>
            <w:tcW w:w="4551" w:type="dxa"/>
          </w:tcPr>
          <w:p w14:paraId="684F5760"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7171F587" w14:textId="77777777" w:rsidTr="00962E93">
        <w:trPr>
          <w:cantSplit/>
        </w:trPr>
        <w:tc>
          <w:tcPr>
            <w:tcW w:w="2551" w:type="dxa"/>
          </w:tcPr>
          <w:p w14:paraId="621C51E9" w14:textId="77777777" w:rsidR="009B7AF5" w:rsidRPr="005071A1" w:rsidRDefault="009B7AF5" w:rsidP="009B7AF5">
            <w:pPr>
              <w:pStyle w:val="ENoteTableText"/>
            </w:pPr>
          </w:p>
        </w:tc>
        <w:tc>
          <w:tcPr>
            <w:tcW w:w="4551" w:type="dxa"/>
          </w:tcPr>
          <w:p w14:paraId="737F306F"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8CBB1A3" w14:textId="77777777" w:rsidTr="00962E93">
        <w:trPr>
          <w:cantSplit/>
        </w:trPr>
        <w:tc>
          <w:tcPr>
            <w:tcW w:w="2551" w:type="dxa"/>
          </w:tcPr>
          <w:p w14:paraId="3BE528C4" w14:textId="77777777" w:rsidR="009B7AF5" w:rsidRPr="005071A1" w:rsidRDefault="002477D1" w:rsidP="002477D1">
            <w:pPr>
              <w:pStyle w:val="ENoteTableText"/>
              <w:tabs>
                <w:tab w:val="center" w:leader="dot" w:pos="2268"/>
              </w:tabs>
            </w:pPr>
            <w:r w:rsidRPr="005071A1">
              <w:t>s.</w:t>
            </w:r>
            <w:r w:rsidR="009B7AF5" w:rsidRPr="005071A1">
              <w:t xml:space="preserve"> 117</w:t>
            </w:r>
            <w:r w:rsidR="009B7AF5" w:rsidRPr="005071A1">
              <w:tab/>
            </w:r>
          </w:p>
        </w:tc>
        <w:tc>
          <w:tcPr>
            <w:tcW w:w="4551" w:type="dxa"/>
          </w:tcPr>
          <w:p w14:paraId="6159B042"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1969E307" w14:textId="77777777" w:rsidTr="00962E93">
        <w:trPr>
          <w:cantSplit/>
        </w:trPr>
        <w:tc>
          <w:tcPr>
            <w:tcW w:w="2551" w:type="dxa"/>
          </w:tcPr>
          <w:p w14:paraId="496A9600" w14:textId="77777777" w:rsidR="009B7AF5" w:rsidRPr="005071A1" w:rsidRDefault="009B7AF5" w:rsidP="009B7AF5">
            <w:pPr>
              <w:pStyle w:val="ENoteTableText"/>
            </w:pPr>
          </w:p>
        </w:tc>
        <w:tc>
          <w:tcPr>
            <w:tcW w:w="4551" w:type="dxa"/>
          </w:tcPr>
          <w:p w14:paraId="19096B66"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97, 1965; No.</w:t>
            </w:r>
            <w:r w:rsidR="008B2950" w:rsidRPr="005071A1">
              <w:t> </w:t>
            </w:r>
            <w:r w:rsidRPr="005071A1">
              <w:t>17, 1978</w:t>
            </w:r>
          </w:p>
        </w:tc>
      </w:tr>
      <w:tr w:rsidR="009B7AF5" w:rsidRPr="005071A1" w14:paraId="23A81989" w14:textId="77777777" w:rsidTr="00962E93">
        <w:trPr>
          <w:cantSplit/>
        </w:trPr>
        <w:tc>
          <w:tcPr>
            <w:tcW w:w="2551" w:type="dxa"/>
          </w:tcPr>
          <w:p w14:paraId="0E373526" w14:textId="77777777" w:rsidR="009B7AF5" w:rsidRPr="005071A1" w:rsidRDefault="002477D1" w:rsidP="002477D1">
            <w:pPr>
              <w:pStyle w:val="ENoteTableText"/>
              <w:tabs>
                <w:tab w:val="center" w:leader="dot" w:pos="2268"/>
              </w:tabs>
            </w:pPr>
            <w:r w:rsidRPr="005071A1">
              <w:t>s.</w:t>
            </w:r>
            <w:r w:rsidR="009B7AF5" w:rsidRPr="005071A1">
              <w:t xml:space="preserve"> 118</w:t>
            </w:r>
            <w:r w:rsidR="009B7AF5" w:rsidRPr="005071A1">
              <w:tab/>
            </w:r>
          </w:p>
        </w:tc>
        <w:tc>
          <w:tcPr>
            <w:tcW w:w="4551" w:type="dxa"/>
          </w:tcPr>
          <w:p w14:paraId="76FEAFB8"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2B4B07FA" w14:textId="77777777" w:rsidTr="00962E93">
        <w:trPr>
          <w:cantSplit/>
        </w:trPr>
        <w:tc>
          <w:tcPr>
            <w:tcW w:w="2551" w:type="dxa"/>
          </w:tcPr>
          <w:p w14:paraId="02E861A2" w14:textId="77777777" w:rsidR="009B7AF5" w:rsidRPr="005071A1" w:rsidRDefault="009B7AF5" w:rsidP="009B7AF5">
            <w:pPr>
              <w:pStyle w:val="ENoteTableText"/>
            </w:pPr>
          </w:p>
        </w:tc>
        <w:tc>
          <w:tcPr>
            <w:tcW w:w="4551" w:type="dxa"/>
          </w:tcPr>
          <w:p w14:paraId="27F6348F"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57, 1968; No.</w:t>
            </w:r>
            <w:r w:rsidR="008B2950" w:rsidRPr="005071A1">
              <w:t> </w:t>
            </w:r>
            <w:r w:rsidRPr="005071A1">
              <w:t>17, 1978</w:t>
            </w:r>
          </w:p>
        </w:tc>
      </w:tr>
      <w:tr w:rsidR="009B7AF5" w:rsidRPr="005071A1" w14:paraId="0E4C2236" w14:textId="77777777" w:rsidTr="00962E93">
        <w:trPr>
          <w:cantSplit/>
        </w:trPr>
        <w:tc>
          <w:tcPr>
            <w:tcW w:w="2551" w:type="dxa"/>
          </w:tcPr>
          <w:p w14:paraId="787DCADF" w14:textId="77777777" w:rsidR="009B7AF5" w:rsidRPr="005071A1" w:rsidRDefault="002477D1" w:rsidP="002477D1">
            <w:pPr>
              <w:pStyle w:val="ENoteTableText"/>
              <w:tabs>
                <w:tab w:val="center" w:leader="dot" w:pos="2268"/>
              </w:tabs>
            </w:pPr>
            <w:r w:rsidRPr="005071A1">
              <w:t>s.</w:t>
            </w:r>
            <w:r w:rsidR="009B7AF5" w:rsidRPr="005071A1">
              <w:t xml:space="preserve"> 119</w:t>
            </w:r>
            <w:r w:rsidR="009B7AF5" w:rsidRPr="005071A1">
              <w:tab/>
            </w:r>
          </w:p>
        </w:tc>
        <w:tc>
          <w:tcPr>
            <w:tcW w:w="4551" w:type="dxa"/>
          </w:tcPr>
          <w:p w14:paraId="0CDCD10A"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3A2C81D3" w14:textId="77777777" w:rsidTr="00962E93">
        <w:trPr>
          <w:cantSplit/>
        </w:trPr>
        <w:tc>
          <w:tcPr>
            <w:tcW w:w="2551" w:type="dxa"/>
          </w:tcPr>
          <w:p w14:paraId="19C9203A" w14:textId="77777777" w:rsidR="009B7AF5" w:rsidRPr="005071A1" w:rsidRDefault="009B7AF5" w:rsidP="009B7AF5">
            <w:pPr>
              <w:pStyle w:val="ENoteTableText"/>
            </w:pPr>
          </w:p>
        </w:tc>
        <w:tc>
          <w:tcPr>
            <w:tcW w:w="4551" w:type="dxa"/>
          </w:tcPr>
          <w:p w14:paraId="53E603CC"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97, 1965; No.</w:t>
            </w:r>
            <w:r w:rsidR="008B2950" w:rsidRPr="005071A1">
              <w:t> </w:t>
            </w:r>
            <w:r w:rsidRPr="005071A1">
              <w:t>32, 1976; No.</w:t>
            </w:r>
            <w:r w:rsidR="008B2950" w:rsidRPr="005071A1">
              <w:t> </w:t>
            </w:r>
            <w:r w:rsidRPr="005071A1">
              <w:t>17, 1978</w:t>
            </w:r>
          </w:p>
        </w:tc>
      </w:tr>
      <w:tr w:rsidR="009B7AF5" w:rsidRPr="005071A1" w14:paraId="6029EF4E" w14:textId="77777777" w:rsidTr="00962E93">
        <w:trPr>
          <w:cantSplit/>
        </w:trPr>
        <w:tc>
          <w:tcPr>
            <w:tcW w:w="2551" w:type="dxa"/>
          </w:tcPr>
          <w:p w14:paraId="587D57E3" w14:textId="77777777" w:rsidR="009B7AF5" w:rsidRPr="005071A1" w:rsidRDefault="009B7AF5" w:rsidP="009B7AF5">
            <w:pPr>
              <w:pStyle w:val="ENoteTableText"/>
            </w:pPr>
            <w:r w:rsidRPr="005071A1">
              <w:rPr>
                <w:b/>
              </w:rPr>
              <w:t>Part</w:t>
            </w:r>
            <w:r w:rsidR="002477D1" w:rsidRPr="005071A1">
              <w:rPr>
                <w:b/>
              </w:rPr>
              <w:t> </w:t>
            </w:r>
            <w:r w:rsidRPr="005071A1">
              <w:rPr>
                <w:b/>
              </w:rPr>
              <w:t>XA</w:t>
            </w:r>
          </w:p>
        </w:tc>
        <w:tc>
          <w:tcPr>
            <w:tcW w:w="4551" w:type="dxa"/>
          </w:tcPr>
          <w:p w14:paraId="5BA1904E" w14:textId="77777777" w:rsidR="009B7AF5" w:rsidRPr="005071A1" w:rsidRDefault="009B7AF5" w:rsidP="009B7AF5">
            <w:pPr>
              <w:pStyle w:val="ENoteTableText"/>
            </w:pPr>
          </w:p>
        </w:tc>
      </w:tr>
      <w:tr w:rsidR="009B7AF5" w:rsidRPr="005071A1" w14:paraId="7A98FFA8" w14:textId="77777777" w:rsidTr="00962E93">
        <w:trPr>
          <w:cantSplit/>
        </w:trPr>
        <w:tc>
          <w:tcPr>
            <w:tcW w:w="2551" w:type="dxa"/>
          </w:tcPr>
          <w:p w14:paraId="43CE5D8D" w14:textId="77777777" w:rsidR="009B7AF5" w:rsidRPr="005071A1" w:rsidRDefault="009B7AF5" w:rsidP="0086505B">
            <w:pPr>
              <w:pStyle w:val="ENoteTableText"/>
              <w:tabs>
                <w:tab w:val="center" w:leader="dot" w:pos="2268"/>
              </w:tabs>
            </w:pPr>
            <w:r w:rsidRPr="005071A1">
              <w:t>Part XA</w:t>
            </w:r>
            <w:r w:rsidRPr="005071A1">
              <w:tab/>
            </w:r>
          </w:p>
        </w:tc>
        <w:tc>
          <w:tcPr>
            <w:tcW w:w="4551" w:type="dxa"/>
          </w:tcPr>
          <w:p w14:paraId="5EE7B85F"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5B6D7211" w14:textId="77777777" w:rsidTr="00962E93">
        <w:trPr>
          <w:cantSplit/>
        </w:trPr>
        <w:tc>
          <w:tcPr>
            <w:tcW w:w="2551" w:type="dxa"/>
          </w:tcPr>
          <w:p w14:paraId="5A94C67E" w14:textId="77777777" w:rsidR="009B7AF5" w:rsidRPr="005071A1" w:rsidRDefault="009B7AF5" w:rsidP="009B7AF5">
            <w:pPr>
              <w:pStyle w:val="ENoteTableText"/>
            </w:pPr>
            <w:r w:rsidRPr="005071A1">
              <w:rPr>
                <w:b/>
              </w:rPr>
              <w:t>Division</w:t>
            </w:r>
            <w:r w:rsidR="008B2950" w:rsidRPr="005071A1">
              <w:rPr>
                <w:b/>
              </w:rPr>
              <w:t> </w:t>
            </w:r>
            <w:r w:rsidRPr="005071A1">
              <w:rPr>
                <w:b/>
              </w:rPr>
              <w:t>1</w:t>
            </w:r>
          </w:p>
        </w:tc>
        <w:tc>
          <w:tcPr>
            <w:tcW w:w="4551" w:type="dxa"/>
          </w:tcPr>
          <w:p w14:paraId="188FB05C" w14:textId="77777777" w:rsidR="009B7AF5" w:rsidRPr="005071A1" w:rsidRDefault="009B7AF5" w:rsidP="009B7AF5">
            <w:pPr>
              <w:pStyle w:val="ENoteTableText"/>
            </w:pPr>
          </w:p>
        </w:tc>
      </w:tr>
      <w:tr w:rsidR="009B7AF5" w:rsidRPr="005071A1" w14:paraId="0987AA16" w14:textId="77777777" w:rsidTr="00962E93">
        <w:trPr>
          <w:cantSplit/>
        </w:trPr>
        <w:tc>
          <w:tcPr>
            <w:tcW w:w="2551" w:type="dxa"/>
          </w:tcPr>
          <w:p w14:paraId="10BDDC4E" w14:textId="77777777" w:rsidR="009B7AF5" w:rsidRPr="005071A1" w:rsidRDefault="002477D1" w:rsidP="002477D1">
            <w:pPr>
              <w:pStyle w:val="ENoteTableText"/>
              <w:tabs>
                <w:tab w:val="center" w:leader="dot" w:pos="2268"/>
              </w:tabs>
            </w:pPr>
            <w:r w:rsidRPr="005071A1">
              <w:t>s.</w:t>
            </w:r>
            <w:r w:rsidR="009B7AF5" w:rsidRPr="005071A1">
              <w:t xml:space="preserve"> 119A</w:t>
            </w:r>
            <w:r w:rsidR="009B7AF5" w:rsidRPr="005071A1">
              <w:tab/>
            </w:r>
          </w:p>
        </w:tc>
        <w:tc>
          <w:tcPr>
            <w:tcW w:w="4551" w:type="dxa"/>
          </w:tcPr>
          <w:p w14:paraId="5EB965EA"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0A13555E" w14:textId="77777777" w:rsidTr="00962E93">
        <w:trPr>
          <w:cantSplit/>
        </w:trPr>
        <w:tc>
          <w:tcPr>
            <w:tcW w:w="2551" w:type="dxa"/>
          </w:tcPr>
          <w:p w14:paraId="3494CCEF" w14:textId="77777777" w:rsidR="009B7AF5" w:rsidRPr="005071A1" w:rsidRDefault="009B7AF5" w:rsidP="009B7AF5">
            <w:pPr>
              <w:pStyle w:val="ENoteTableText"/>
            </w:pPr>
          </w:p>
        </w:tc>
        <w:tc>
          <w:tcPr>
            <w:tcW w:w="4551" w:type="dxa"/>
          </w:tcPr>
          <w:p w14:paraId="4B86B67A" w14:textId="77777777" w:rsidR="009B7AF5" w:rsidRPr="005071A1" w:rsidRDefault="009B7AF5" w:rsidP="009B7AF5">
            <w:pPr>
              <w:pStyle w:val="ENoteTableText"/>
            </w:pPr>
            <w:r w:rsidRPr="005071A1">
              <w:t>am. No.</w:t>
            </w:r>
            <w:r w:rsidR="008B2950" w:rsidRPr="005071A1">
              <w:t> </w:t>
            </w:r>
            <w:r w:rsidRPr="005071A1">
              <w:t>59, 1974; No.</w:t>
            </w:r>
            <w:r w:rsidR="008B2950" w:rsidRPr="005071A1">
              <w:t> </w:t>
            </w:r>
            <w:r w:rsidRPr="005071A1">
              <w:t>17, 1978; No.</w:t>
            </w:r>
            <w:r w:rsidR="008B2950" w:rsidRPr="005071A1">
              <w:t> </w:t>
            </w:r>
            <w:r w:rsidRPr="005071A1">
              <w:t>5, 1995</w:t>
            </w:r>
            <w:r w:rsidR="00F83505" w:rsidRPr="005071A1">
              <w:t>; No 31, 2014</w:t>
            </w:r>
          </w:p>
        </w:tc>
      </w:tr>
      <w:tr w:rsidR="009B7AF5" w:rsidRPr="005071A1" w14:paraId="05D52DCA" w14:textId="77777777" w:rsidTr="00962E93">
        <w:trPr>
          <w:cantSplit/>
        </w:trPr>
        <w:tc>
          <w:tcPr>
            <w:tcW w:w="2551" w:type="dxa"/>
          </w:tcPr>
          <w:p w14:paraId="22BEB1F8" w14:textId="77777777" w:rsidR="009B7AF5" w:rsidRPr="005071A1" w:rsidRDefault="002477D1" w:rsidP="002477D1">
            <w:pPr>
              <w:pStyle w:val="ENoteTableText"/>
              <w:tabs>
                <w:tab w:val="center" w:leader="dot" w:pos="2268"/>
              </w:tabs>
            </w:pPr>
            <w:r w:rsidRPr="005071A1">
              <w:t>s.</w:t>
            </w:r>
            <w:r w:rsidR="009B7AF5" w:rsidRPr="005071A1">
              <w:t xml:space="preserve"> 119B</w:t>
            </w:r>
            <w:r w:rsidR="009B7AF5" w:rsidRPr="005071A1">
              <w:tab/>
            </w:r>
          </w:p>
        </w:tc>
        <w:tc>
          <w:tcPr>
            <w:tcW w:w="4551" w:type="dxa"/>
          </w:tcPr>
          <w:p w14:paraId="08BE4120"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5D1307F6" w14:textId="77777777" w:rsidTr="00962E93">
        <w:trPr>
          <w:cantSplit/>
        </w:trPr>
        <w:tc>
          <w:tcPr>
            <w:tcW w:w="2551" w:type="dxa"/>
          </w:tcPr>
          <w:p w14:paraId="5E4A4498" w14:textId="77777777" w:rsidR="009B7AF5" w:rsidRPr="005071A1" w:rsidRDefault="009B7AF5" w:rsidP="009B7AF5">
            <w:pPr>
              <w:pStyle w:val="ENoteTableText"/>
            </w:pPr>
            <w:r w:rsidRPr="005071A1">
              <w:rPr>
                <w:b/>
              </w:rPr>
              <w:t>Division</w:t>
            </w:r>
            <w:r w:rsidR="008B2950" w:rsidRPr="005071A1">
              <w:rPr>
                <w:b/>
              </w:rPr>
              <w:t> </w:t>
            </w:r>
            <w:r w:rsidRPr="005071A1">
              <w:rPr>
                <w:b/>
              </w:rPr>
              <w:t>2</w:t>
            </w:r>
          </w:p>
        </w:tc>
        <w:tc>
          <w:tcPr>
            <w:tcW w:w="4551" w:type="dxa"/>
          </w:tcPr>
          <w:p w14:paraId="62366D7C" w14:textId="77777777" w:rsidR="009B7AF5" w:rsidRPr="005071A1" w:rsidRDefault="009B7AF5" w:rsidP="009B7AF5">
            <w:pPr>
              <w:pStyle w:val="ENoteTableText"/>
            </w:pPr>
          </w:p>
        </w:tc>
      </w:tr>
      <w:tr w:rsidR="009B7AF5" w:rsidRPr="005071A1" w14:paraId="2D1B0B3D" w14:textId="77777777" w:rsidTr="00962E93">
        <w:trPr>
          <w:cantSplit/>
        </w:trPr>
        <w:tc>
          <w:tcPr>
            <w:tcW w:w="2551" w:type="dxa"/>
          </w:tcPr>
          <w:p w14:paraId="3E254102" w14:textId="77777777" w:rsidR="009B7AF5" w:rsidRPr="005071A1" w:rsidRDefault="002477D1" w:rsidP="002477D1">
            <w:pPr>
              <w:pStyle w:val="ENoteTableText"/>
              <w:tabs>
                <w:tab w:val="center" w:leader="dot" w:pos="2268"/>
              </w:tabs>
            </w:pPr>
            <w:r w:rsidRPr="005071A1">
              <w:t>s.</w:t>
            </w:r>
            <w:r w:rsidR="009B7AF5" w:rsidRPr="005071A1">
              <w:t xml:space="preserve"> 119C</w:t>
            </w:r>
            <w:r w:rsidR="009B7AF5" w:rsidRPr="005071A1">
              <w:tab/>
            </w:r>
          </w:p>
        </w:tc>
        <w:tc>
          <w:tcPr>
            <w:tcW w:w="4551" w:type="dxa"/>
          </w:tcPr>
          <w:p w14:paraId="363BBEFF"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311AFD92" w14:textId="77777777" w:rsidTr="00962E93">
        <w:trPr>
          <w:cantSplit/>
        </w:trPr>
        <w:tc>
          <w:tcPr>
            <w:tcW w:w="2551" w:type="dxa"/>
          </w:tcPr>
          <w:p w14:paraId="018AEB65" w14:textId="77777777" w:rsidR="009B7AF5" w:rsidRPr="005071A1" w:rsidRDefault="009B7AF5" w:rsidP="009B7AF5">
            <w:pPr>
              <w:pStyle w:val="ENoteTableText"/>
            </w:pPr>
          </w:p>
        </w:tc>
        <w:tc>
          <w:tcPr>
            <w:tcW w:w="4551" w:type="dxa"/>
          </w:tcPr>
          <w:p w14:paraId="49753910"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50A0C56" w14:textId="77777777" w:rsidTr="00962E93">
        <w:trPr>
          <w:cantSplit/>
        </w:trPr>
        <w:tc>
          <w:tcPr>
            <w:tcW w:w="2551" w:type="dxa"/>
          </w:tcPr>
          <w:p w14:paraId="737E9869" w14:textId="77777777" w:rsidR="009B7AF5" w:rsidRPr="005071A1" w:rsidRDefault="002477D1" w:rsidP="002477D1">
            <w:pPr>
              <w:pStyle w:val="ENoteTableText"/>
              <w:tabs>
                <w:tab w:val="center" w:leader="dot" w:pos="2268"/>
              </w:tabs>
            </w:pPr>
            <w:r w:rsidRPr="005071A1">
              <w:t>s.</w:t>
            </w:r>
            <w:r w:rsidR="009B7AF5" w:rsidRPr="005071A1">
              <w:t xml:space="preserve"> 119D</w:t>
            </w:r>
            <w:r w:rsidR="009B7AF5" w:rsidRPr="005071A1">
              <w:tab/>
            </w:r>
          </w:p>
        </w:tc>
        <w:tc>
          <w:tcPr>
            <w:tcW w:w="4551" w:type="dxa"/>
          </w:tcPr>
          <w:p w14:paraId="5AA9F432"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0C0F3BD4" w14:textId="77777777" w:rsidTr="00962E93">
        <w:trPr>
          <w:cantSplit/>
        </w:trPr>
        <w:tc>
          <w:tcPr>
            <w:tcW w:w="2551" w:type="dxa"/>
          </w:tcPr>
          <w:p w14:paraId="2D8827D8" w14:textId="77777777" w:rsidR="009B7AF5" w:rsidRPr="005071A1" w:rsidRDefault="009B7AF5" w:rsidP="009B7AF5">
            <w:pPr>
              <w:pStyle w:val="ENoteTableText"/>
            </w:pPr>
          </w:p>
        </w:tc>
        <w:tc>
          <w:tcPr>
            <w:tcW w:w="4551" w:type="dxa"/>
          </w:tcPr>
          <w:p w14:paraId="5B6D52D2" w14:textId="77777777" w:rsidR="009B7AF5" w:rsidRPr="005071A1" w:rsidRDefault="009B7AF5" w:rsidP="009B7AF5">
            <w:pPr>
              <w:pStyle w:val="ENoteTableText"/>
            </w:pPr>
            <w:r w:rsidRPr="005071A1">
              <w:t>am. No.</w:t>
            </w:r>
            <w:r w:rsidR="008B2950" w:rsidRPr="005071A1">
              <w:t> </w:t>
            </w:r>
            <w:r w:rsidRPr="005071A1">
              <w:t>83, 1973; No.</w:t>
            </w:r>
            <w:r w:rsidR="008B2950" w:rsidRPr="005071A1">
              <w:t> </w:t>
            </w:r>
            <w:r w:rsidRPr="005071A1">
              <w:t>17, 1978</w:t>
            </w:r>
          </w:p>
        </w:tc>
      </w:tr>
      <w:tr w:rsidR="009B7AF5" w:rsidRPr="005071A1" w14:paraId="0EBE1605" w14:textId="77777777" w:rsidTr="00962E93">
        <w:trPr>
          <w:cantSplit/>
        </w:trPr>
        <w:tc>
          <w:tcPr>
            <w:tcW w:w="2551" w:type="dxa"/>
          </w:tcPr>
          <w:p w14:paraId="3F76D8F5"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119E–119H</w:t>
            </w:r>
            <w:r w:rsidR="009B7AF5" w:rsidRPr="005071A1">
              <w:tab/>
            </w:r>
          </w:p>
        </w:tc>
        <w:tc>
          <w:tcPr>
            <w:tcW w:w="4551" w:type="dxa"/>
          </w:tcPr>
          <w:p w14:paraId="4D6DF789"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689618CD" w14:textId="77777777" w:rsidTr="00962E93">
        <w:trPr>
          <w:cantSplit/>
        </w:trPr>
        <w:tc>
          <w:tcPr>
            <w:tcW w:w="2551" w:type="dxa"/>
          </w:tcPr>
          <w:p w14:paraId="2D5F69BA" w14:textId="77777777" w:rsidR="009B7AF5" w:rsidRPr="005071A1" w:rsidRDefault="009B7AF5" w:rsidP="009B7AF5">
            <w:pPr>
              <w:pStyle w:val="ENoteTableText"/>
            </w:pPr>
          </w:p>
        </w:tc>
        <w:tc>
          <w:tcPr>
            <w:tcW w:w="4551" w:type="dxa"/>
          </w:tcPr>
          <w:p w14:paraId="4067C8FB"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718C85E3" w14:textId="77777777" w:rsidTr="00962E93">
        <w:trPr>
          <w:cantSplit/>
        </w:trPr>
        <w:tc>
          <w:tcPr>
            <w:tcW w:w="2551" w:type="dxa"/>
          </w:tcPr>
          <w:p w14:paraId="61426595"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119J–119M</w:t>
            </w:r>
            <w:r w:rsidR="009B7AF5" w:rsidRPr="005071A1">
              <w:tab/>
            </w:r>
          </w:p>
        </w:tc>
        <w:tc>
          <w:tcPr>
            <w:tcW w:w="4551" w:type="dxa"/>
          </w:tcPr>
          <w:p w14:paraId="4B4001A9"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5A14A303" w14:textId="77777777" w:rsidTr="00962E93">
        <w:trPr>
          <w:cantSplit/>
        </w:trPr>
        <w:tc>
          <w:tcPr>
            <w:tcW w:w="2551" w:type="dxa"/>
          </w:tcPr>
          <w:p w14:paraId="36F938F8" w14:textId="77777777" w:rsidR="009B7AF5" w:rsidRPr="005071A1" w:rsidRDefault="009B7AF5" w:rsidP="009B7AF5">
            <w:pPr>
              <w:pStyle w:val="ENoteTableText"/>
            </w:pPr>
          </w:p>
        </w:tc>
        <w:tc>
          <w:tcPr>
            <w:tcW w:w="4551" w:type="dxa"/>
          </w:tcPr>
          <w:p w14:paraId="120B6454"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3155BF26" w14:textId="77777777" w:rsidTr="00962E93">
        <w:trPr>
          <w:cantSplit/>
        </w:trPr>
        <w:tc>
          <w:tcPr>
            <w:tcW w:w="2551" w:type="dxa"/>
          </w:tcPr>
          <w:p w14:paraId="64BE8247" w14:textId="77777777" w:rsidR="009B7AF5" w:rsidRPr="005071A1" w:rsidRDefault="002477D1" w:rsidP="002477D1">
            <w:pPr>
              <w:pStyle w:val="ENoteTableText"/>
              <w:tabs>
                <w:tab w:val="center" w:leader="dot" w:pos="2268"/>
              </w:tabs>
            </w:pPr>
            <w:r w:rsidRPr="005071A1">
              <w:t>s.</w:t>
            </w:r>
            <w:r w:rsidR="009B7AF5" w:rsidRPr="005071A1">
              <w:t xml:space="preserve"> 119MA</w:t>
            </w:r>
            <w:r w:rsidR="009B7AF5" w:rsidRPr="005071A1">
              <w:tab/>
            </w:r>
          </w:p>
        </w:tc>
        <w:tc>
          <w:tcPr>
            <w:tcW w:w="4551" w:type="dxa"/>
          </w:tcPr>
          <w:p w14:paraId="7B98D5FA"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59DF8A4A" w14:textId="77777777" w:rsidTr="00962E93">
        <w:trPr>
          <w:cantSplit/>
        </w:trPr>
        <w:tc>
          <w:tcPr>
            <w:tcW w:w="2551" w:type="dxa"/>
          </w:tcPr>
          <w:p w14:paraId="4192DADD" w14:textId="77777777" w:rsidR="009B7AF5" w:rsidRPr="005071A1" w:rsidRDefault="004510F0" w:rsidP="009B7AF5">
            <w:pPr>
              <w:pStyle w:val="ENoteTableText"/>
            </w:pPr>
            <w:r>
              <w:rPr>
                <w:b/>
              </w:rPr>
              <w:t>Division 3</w:t>
            </w:r>
          </w:p>
        </w:tc>
        <w:tc>
          <w:tcPr>
            <w:tcW w:w="4551" w:type="dxa"/>
          </w:tcPr>
          <w:p w14:paraId="39E323C2" w14:textId="77777777" w:rsidR="009B7AF5" w:rsidRPr="005071A1" w:rsidRDefault="009B7AF5" w:rsidP="009B7AF5">
            <w:pPr>
              <w:pStyle w:val="ENoteTableText"/>
            </w:pPr>
          </w:p>
        </w:tc>
      </w:tr>
      <w:tr w:rsidR="009B7AF5" w:rsidRPr="005071A1" w14:paraId="69551088" w14:textId="77777777" w:rsidTr="00962E93">
        <w:trPr>
          <w:cantSplit/>
        </w:trPr>
        <w:tc>
          <w:tcPr>
            <w:tcW w:w="2551" w:type="dxa"/>
          </w:tcPr>
          <w:p w14:paraId="6FC9174A" w14:textId="77777777" w:rsidR="009B7AF5" w:rsidRPr="005071A1" w:rsidRDefault="002477D1" w:rsidP="002477D1">
            <w:pPr>
              <w:pStyle w:val="ENoteTableText"/>
              <w:tabs>
                <w:tab w:val="center" w:leader="dot" w:pos="2268"/>
              </w:tabs>
            </w:pPr>
            <w:r w:rsidRPr="005071A1">
              <w:t>s.</w:t>
            </w:r>
            <w:r w:rsidR="009B7AF5" w:rsidRPr="005071A1">
              <w:t xml:space="preserve"> 119N</w:t>
            </w:r>
            <w:r w:rsidR="009B7AF5" w:rsidRPr="005071A1">
              <w:tab/>
            </w:r>
          </w:p>
        </w:tc>
        <w:tc>
          <w:tcPr>
            <w:tcW w:w="4551" w:type="dxa"/>
          </w:tcPr>
          <w:p w14:paraId="108F6CFE"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7AAA67D7" w14:textId="77777777" w:rsidTr="00962E93">
        <w:trPr>
          <w:cantSplit/>
        </w:trPr>
        <w:tc>
          <w:tcPr>
            <w:tcW w:w="2551" w:type="dxa"/>
          </w:tcPr>
          <w:p w14:paraId="7F681D73" w14:textId="77777777" w:rsidR="009B7AF5" w:rsidRPr="005071A1" w:rsidRDefault="009B7AF5" w:rsidP="009B7AF5">
            <w:pPr>
              <w:pStyle w:val="ENoteTableText"/>
            </w:pPr>
          </w:p>
        </w:tc>
        <w:tc>
          <w:tcPr>
            <w:tcW w:w="4551" w:type="dxa"/>
          </w:tcPr>
          <w:p w14:paraId="583EC222" w14:textId="77777777" w:rsidR="009B7AF5" w:rsidRPr="005071A1" w:rsidRDefault="009B7AF5" w:rsidP="009B7AF5">
            <w:pPr>
              <w:pStyle w:val="ENoteTableText"/>
            </w:pPr>
            <w:r w:rsidRPr="005071A1">
              <w:t>am. No.</w:t>
            </w:r>
            <w:r w:rsidR="008B2950" w:rsidRPr="005071A1">
              <w:t> </w:t>
            </w:r>
            <w:r w:rsidRPr="005071A1">
              <w:t>59, 1974; No.</w:t>
            </w:r>
            <w:r w:rsidR="008B2950" w:rsidRPr="005071A1">
              <w:t> </w:t>
            </w:r>
            <w:r w:rsidRPr="005071A1">
              <w:t>17, 1978</w:t>
            </w:r>
            <w:r w:rsidR="00F83505" w:rsidRPr="005071A1">
              <w:t>; No 31, 2014</w:t>
            </w:r>
          </w:p>
        </w:tc>
      </w:tr>
      <w:tr w:rsidR="009B7AF5" w:rsidRPr="005071A1" w14:paraId="192074E0" w14:textId="77777777" w:rsidTr="00962E93">
        <w:trPr>
          <w:cantSplit/>
        </w:trPr>
        <w:tc>
          <w:tcPr>
            <w:tcW w:w="2551" w:type="dxa"/>
          </w:tcPr>
          <w:p w14:paraId="765EACF8" w14:textId="77777777" w:rsidR="009B7AF5" w:rsidRPr="005071A1" w:rsidRDefault="002477D1" w:rsidP="002477D1">
            <w:pPr>
              <w:pStyle w:val="ENoteTableText"/>
              <w:tabs>
                <w:tab w:val="center" w:leader="dot" w:pos="2268"/>
              </w:tabs>
            </w:pPr>
            <w:r w:rsidRPr="005071A1">
              <w:t>s.</w:t>
            </w:r>
            <w:r w:rsidR="009B7AF5" w:rsidRPr="005071A1">
              <w:t xml:space="preserve"> 119P</w:t>
            </w:r>
            <w:r w:rsidR="009B7AF5" w:rsidRPr="005071A1">
              <w:tab/>
            </w:r>
          </w:p>
        </w:tc>
        <w:tc>
          <w:tcPr>
            <w:tcW w:w="4551" w:type="dxa"/>
          </w:tcPr>
          <w:p w14:paraId="291EAEB1"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006D3047" w14:textId="77777777" w:rsidTr="00962E93">
        <w:trPr>
          <w:cantSplit/>
        </w:trPr>
        <w:tc>
          <w:tcPr>
            <w:tcW w:w="2551" w:type="dxa"/>
          </w:tcPr>
          <w:p w14:paraId="0D306E2D" w14:textId="77777777" w:rsidR="009B7AF5" w:rsidRPr="005071A1" w:rsidRDefault="009B7AF5" w:rsidP="009B7AF5">
            <w:pPr>
              <w:pStyle w:val="ENoteTableText"/>
            </w:pPr>
          </w:p>
        </w:tc>
        <w:tc>
          <w:tcPr>
            <w:tcW w:w="4551" w:type="dxa"/>
          </w:tcPr>
          <w:p w14:paraId="15FF5BB0" w14:textId="77777777" w:rsidR="009B7AF5" w:rsidRPr="005071A1" w:rsidRDefault="009B7AF5" w:rsidP="009B7AF5">
            <w:pPr>
              <w:pStyle w:val="ENoteTableText"/>
            </w:pPr>
            <w:r w:rsidRPr="005071A1">
              <w:t>am. No.</w:t>
            </w:r>
            <w:r w:rsidR="008B2950" w:rsidRPr="005071A1">
              <w:t> </w:t>
            </w:r>
            <w:r w:rsidRPr="005071A1">
              <w:t>216, 1973; No.</w:t>
            </w:r>
            <w:r w:rsidR="008B2950" w:rsidRPr="005071A1">
              <w:t> </w:t>
            </w:r>
            <w:r w:rsidRPr="005071A1">
              <w:t>32, 1976; No.</w:t>
            </w:r>
            <w:r w:rsidR="008B2950" w:rsidRPr="005071A1">
              <w:t> </w:t>
            </w:r>
            <w:r w:rsidRPr="005071A1">
              <w:t>17, 1978; No.</w:t>
            </w:r>
            <w:r w:rsidR="008B2950" w:rsidRPr="005071A1">
              <w:t> </w:t>
            </w:r>
            <w:r w:rsidRPr="005071A1">
              <w:t>92, 1981</w:t>
            </w:r>
          </w:p>
        </w:tc>
      </w:tr>
      <w:tr w:rsidR="009B7AF5" w:rsidRPr="005071A1" w14:paraId="52B5B8B8" w14:textId="77777777" w:rsidTr="00962E93">
        <w:trPr>
          <w:cantSplit/>
        </w:trPr>
        <w:tc>
          <w:tcPr>
            <w:tcW w:w="2551" w:type="dxa"/>
          </w:tcPr>
          <w:p w14:paraId="77E1D640" w14:textId="77777777" w:rsidR="009B7AF5" w:rsidRPr="005071A1" w:rsidRDefault="002477D1" w:rsidP="002477D1">
            <w:pPr>
              <w:pStyle w:val="ENoteTableText"/>
              <w:tabs>
                <w:tab w:val="center" w:leader="dot" w:pos="2268"/>
              </w:tabs>
            </w:pPr>
            <w:r w:rsidRPr="005071A1">
              <w:t>s.</w:t>
            </w:r>
            <w:r w:rsidR="009B7AF5" w:rsidRPr="005071A1">
              <w:t xml:space="preserve"> 119Q</w:t>
            </w:r>
            <w:r w:rsidR="009B7AF5" w:rsidRPr="005071A1">
              <w:tab/>
            </w:r>
          </w:p>
        </w:tc>
        <w:tc>
          <w:tcPr>
            <w:tcW w:w="4551" w:type="dxa"/>
          </w:tcPr>
          <w:p w14:paraId="2DE559E0"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296AA066" w14:textId="77777777" w:rsidTr="00962E93">
        <w:trPr>
          <w:cantSplit/>
        </w:trPr>
        <w:tc>
          <w:tcPr>
            <w:tcW w:w="2551" w:type="dxa"/>
          </w:tcPr>
          <w:p w14:paraId="207C5C96" w14:textId="77777777" w:rsidR="009B7AF5" w:rsidRPr="005071A1" w:rsidRDefault="009B7AF5" w:rsidP="009B7AF5">
            <w:pPr>
              <w:pStyle w:val="ENoteTableText"/>
            </w:pPr>
          </w:p>
        </w:tc>
        <w:tc>
          <w:tcPr>
            <w:tcW w:w="4551" w:type="dxa"/>
          </w:tcPr>
          <w:p w14:paraId="5DF8B5FD"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54, 1995</w:t>
            </w:r>
          </w:p>
        </w:tc>
      </w:tr>
      <w:tr w:rsidR="009B7AF5" w:rsidRPr="005071A1" w14:paraId="08376E53" w14:textId="77777777" w:rsidTr="00962E93">
        <w:trPr>
          <w:cantSplit/>
        </w:trPr>
        <w:tc>
          <w:tcPr>
            <w:tcW w:w="2551" w:type="dxa"/>
          </w:tcPr>
          <w:p w14:paraId="7A983BB3" w14:textId="77777777" w:rsidR="009B7AF5" w:rsidRPr="005071A1" w:rsidRDefault="002477D1" w:rsidP="002477D1">
            <w:pPr>
              <w:pStyle w:val="ENoteTableText"/>
              <w:tabs>
                <w:tab w:val="center" w:leader="dot" w:pos="2268"/>
              </w:tabs>
            </w:pPr>
            <w:r w:rsidRPr="005071A1">
              <w:t>s.</w:t>
            </w:r>
            <w:r w:rsidR="009B7AF5" w:rsidRPr="005071A1">
              <w:t xml:space="preserve"> 119R</w:t>
            </w:r>
            <w:r w:rsidR="009B7AF5" w:rsidRPr="005071A1">
              <w:tab/>
            </w:r>
          </w:p>
        </w:tc>
        <w:tc>
          <w:tcPr>
            <w:tcW w:w="4551" w:type="dxa"/>
          </w:tcPr>
          <w:p w14:paraId="3D372947"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2A579866" w14:textId="77777777" w:rsidTr="00962E93">
        <w:trPr>
          <w:cantSplit/>
        </w:trPr>
        <w:tc>
          <w:tcPr>
            <w:tcW w:w="2551" w:type="dxa"/>
          </w:tcPr>
          <w:p w14:paraId="51901E59" w14:textId="77777777" w:rsidR="009B7AF5" w:rsidRPr="005071A1" w:rsidRDefault="009B7AF5" w:rsidP="009B7AF5">
            <w:pPr>
              <w:pStyle w:val="ENoteTableText"/>
            </w:pPr>
          </w:p>
        </w:tc>
        <w:tc>
          <w:tcPr>
            <w:tcW w:w="4551" w:type="dxa"/>
          </w:tcPr>
          <w:p w14:paraId="20E91F04"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02E624F" w14:textId="77777777" w:rsidTr="00962E93">
        <w:trPr>
          <w:cantSplit/>
        </w:trPr>
        <w:tc>
          <w:tcPr>
            <w:tcW w:w="2551" w:type="dxa"/>
          </w:tcPr>
          <w:p w14:paraId="7D7E4084" w14:textId="77777777" w:rsidR="009B7AF5" w:rsidRPr="005071A1" w:rsidRDefault="002477D1" w:rsidP="002477D1">
            <w:pPr>
              <w:pStyle w:val="ENoteTableText"/>
              <w:tabs>
                <w:tab w:val="center" w:leader="dot" w:pos="2268"/>
              </w:tabs>
            </w:pPr>
            <w:r w:rsidRPr="005071A1">
              <w:t>s.</w:t>
            </w:r>
            <w:r w:rsidR="009B7AF5" w:rsidRPr="005071A1">
              <w:t xml:space="preserve"> 119S</w:t>
            </w:r>
            <w:r w:rsidR="009B7AF5" w:rsidRPr="005071A1">
              <w:tab/>
            </w:r>
          </w:p>
        </w:tc>
        <w:tc>
          <w:tcPr>
            <w:tcW w:w="4551" w:type="dxa"/>
          </w:tcPr>
          <w:p w14:paraId="6F7E0262"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2AFF523D" w14:textId="77777777" w:rsidTr="00962E93">
        <w:trPr>
          <w:cantSplit/>
        </w:trPr>
        <w:tc>
          <w:tcPr>
            <w:tcW w:w="2551" w:type="dxa"/>
          </w:tcPr>
          <w:p w14:paraId="1E7E6285" w14:textId="77777777" w:rsidR="009B7AF5" w:rsidRPr="005071A1" w:rsidRDefault="009B7AF5" w:rsidP="009B7AF5">
            <w:pPr>
              <w:pStyle w:val="ENoteTableText"/>
            </w:pPr>
          </w:p>
        </w:tc>
        <w:tc>
          <w:tcPr>
            <w:tcW w:w="4551" w:type="dxa"/>
          </w:tcPr>
          <w:p w14:paraId="7196386B" w14:textId="77777777" w:rsidR="009B7AF5" w:rsidRPr="005071A1" w:rsidRDefault="009B7AF5" w:rsidP="009B7AF5">
            <w:pPr>
              <w:pStyle w:val="ENoteTableText"/>
            </w:pPr>
            <w:r w:rsidRPr="005071A1">
              <w:t>am. No.</w:t>
            </w:r>
            <w:r w:rsidR="008B2950" w:rsidRPr="005071A1">
              <w:t> </w:t>
            </w:r>
            <w:r w:rsidRPr="005071A1">
              <w:t>83, 1973; No.</w:t>
            </w:r>
            <w:r w:rsidR="008B2950" w:rsidRPr="005071A1">
              <w:t> </w:t>
            </w:r>
            <w:r w:rsidRPr="005071A1">
              <w:t>32, 1976; No.</w:t>
            </w:r>
            <w:r w:rsidR="008B2950" w:rsidRPr="005071A1">
              <w:t> </w:t>
            </w:r>
            <w:r w:rsidRPr="005071A1">
              <w:t>17, 1978; No.</w:t>
            </w:r>
            <w:r w:rsidR="008B2950" w:rsidRPr="005071A1">
              <w:t> </w:t>
            </w:r>
            <w:r w:rsidRPr="005071A1">
              <w:t>151, 1986</w:t>
            </w:r>
          </w:p>
        </w:tc>
      </w:tr>
      <w:tr w:rsidR="009B7AF5" w:rsidRPr="005071A1" w14:paraId="78EA5AB6" w14:textId="77777777" w:rsidTr="00962E93">
        <w:trPr>
          <w:cantSplit/>
        </w:trPr>
        <w:tc>
          <w:tcPr>
            <w:tcW w:w="2551" w:type="dxa"/>
          </w:tcPr>
          <w:p w14:paraId="2002C142" w14:textId="77777777" w:rsidR="009B7AF5" w:rsidRPr="005071A1" w:rsidRDefault="002477D1" w:rsidP="002477D1">
            <w:pPr>
              <w:pStyle w:val="ENoteTableText"/>
              <w:tabs>
                <w:tab w:val="center" w:leader="dot" w:pos="2268"/>
              </w:tabs>
            </w:pPr>
            <w:r w:rsidRPr="005071A1">
              <w:t>s.</w:t>
            </w:r>
            <w:r w:rsidR="009B7AF5" w:rsidRPr="005071A1">
              <w:t xml:space="preserve"> 119T</w:t>
            </w:r>
            <w:r w:rsidR="009B7AF5" w:rsidRPr="005071A1">
              <w:tab/>
            </w:r>
          </w:p>
        </w:tc>
        <w:tc>
          <w:tcPr>
            <w:tcW w:w="4551" w:type="dxa"/>
          </w:tcPr>
          <w:p w14:paraId="24BCC550"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06E1572C" w14:textId="77777777" w:rsidTr="00962E93">
        <w:trPr>
          <w:cantSplit/>
        </w:trPr>
        <w:tc>
          <w:tcPr>
            <w:tcW w:w="2551" w:type="dxa"/>
          </w:tcPr>
          <w:p w14:paraId="51A6F15A" w14:textId="77777777" w:rsidR="009B7AF5" w:rsidRPr="005071A1" w:rsidRDefault="009B7AF5" w:rsidP="009B7AF5">
            <w:pPr>
              <w:pStyle w:val="ENoteTableText"/>
            </w:pPr>
          </w:p>
        </w:tc>
        <w:tc>
          <w:tcPr>
            <w:tcW w:w="4551" w:type="dxa"/>
          </w:tcPr>
          <w:p w14:paraId="0C85DFA4" w14:textId="77777777" w:rsidR="009B7AF5" w:rsidRPr="005071A1" w:rsidRDefault="009B7AF5" w:rsidP="009B7AF5">
            <w:pPr>
              <w:pStyle w:val="ENoteTableText"/>
            </w:pPr>
            <w:r w:rsidRPr="005071A1">
              <w:t>am. No.</w:t>
            </w:r>
            <w:r w:rsidR="008B2950" w:rsidRPr="005071A1">
              <w:t> </w:t>
            </w:r>
            <w:r w:rsidRPr="005071A1">
              <w:t>83, 1973; No.</w:t>
            </w:r>
            <w:r w:rsidR="008B2950" w:rsidRPr="005071A1">
              <w:t> </w:t>
            </w:r>
            <w:r w:rsidRPr="005071A1">
              <w:t>32, 1976; No.</w:t>
            </w:r>
            <w:r w:rsidR="008B2950" w:rsidRPr="005071A1">
              <w:t> </w:t>
            </w:r>
            <w:r w:rsidRPr="005071A1">
              <w:t>17, 1978; No.</w:t>
            </w:r>
            <w:r w:rsidR="008B2950" w:rsidRPr="005071A1">
              <w:t> </w:t>
            </w:r>
            <w:r w:rsidRPr="005071A1">
              <w:t>8, 2005</w:t>
            </w:r>
          </w:p>
        </w:tc>
      </w:tr>
      <w:tr w:rsidR="009B7AF5" w:rsidRPr="005071A1" w14:paraId="6D23715B" w14:textId="77777777" w:rsidTr="00962E93">
        <w:trPr>
          <w:cantSplit/>
        </w:trPr>
        <w:tc>
          <w:tcPr>
            <w:tcW w:w="2551" w:type="dxa"/>
          </w:tcPr>
          <w:p w14:paraId="0DD9D621" w14:textId="77777777" w:rsidR="009B7AF5" w:rsidRPr="005071A1" w:rsidRDefault="002477D1" w:rsidP="002477D1">
            <w:pPr>
              <w:pStyle w:val="ENoteTableText"/>
              <w:tabs>
                <w:tab w:val="center" w:leader="dot" w:pos="2268"/>
              </w:tabs>
            </w:pPr>
            <w:r w:rsidRPr="005071A1">
              <w:t>s.</w:t>
            </w:r>
            <w:r w:rsidR="009B7AF5" w:rsidRPr="005071A1">
              <w:t xml:space="preserve"> 119U</w:t>
            </w:r>
            <w:r w:rsidR="009B7AF5" w:rsidRPr="005071A1">
              <w:tab/>
            </w:r>
          </w:p>
        </w:tc>
        <w:tc>
          <w:tcPr>
            <w:tcW w:w="4551" w:type="dxa"/>
          </w:tcPr>
          <w:p w14:paraId="78F86ABB"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16BD4868" w14:textId="77777777" w:rsidTr="00962E93">
        <w:trPr>
          <w:cantSplit/>
        </w:trPr>
        <w:tc>
          <w:tcPr>
            <w:tcW w:w="2551" w:type="dxa"/>
          </w:tcPr>
          <w:p w14:paraId="03C09FC8" w14:textId="77777777" w:rsidR="009B7AF5" w:rsidRPr="005071A1" w:rsidRDefault="009B7AF5" w:rsidP="009B7AF5">
            <w:pPr>
              <w:pStyle w:val="ENoteTableText"/>
            </w:pPr>
          </w:p>
        </w:tc>
        <w:tc>
          <w:tcPr>
            <w:tcW w:w="4551" w:type="dxa"/>
          </w:tcPr>
          <w:p w14:paraId="0FBE688B"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151, 1986</w:t>
            </w:r>
          </w:p>
        </w:tc>
      </w:tr>
      <w:tr w:rsidR="009B7AF5" w:rsidRPr="005071A1" w14:paraId="7779AEFB" w14:textId="77777777" w:rsidTr="00962E93">
        <w:trPr>
          <w:cantSplit/>
        </w:trPr>
        <w:tc>
          <w:tcPr>
            <w:tcW w:w="2551" w:type="dxa"/>
          </w:tcPr>
          <w:p w14:paraId="768F8230" w14:textId="77777777" w:rsidR="009B7AF5" w:rsidRPr="005071A1" w:rsidRDefault="002477D1" w:rsidP="002477D1">
            <w:pPr>
              <w:pStyle w:val="ENoteTableText"/>
              <w:tabs>
                <w:tab w:val="center" w:leader="dot" w:pos="2268"/>
              </w:tabs>
            </w:pPr>
            <w:r w:rsidRPr="005071A1">
              <w:t>s.</w:t>
            </w:r>
            <w:r w:rsidR="009B7AF5" w:rsidRPr="005071A1">
              <w:t xml:space="preserve"> 119V</w:t>
            </w:r>
            <w:r w:rsidR="009B7AF5" w:rsidRPr="005071A1">
              <w:tab/>
            </w:r>
          </w:p>
        </w:tc>
        <w:tc>
          <w:tcPr>
            <w:tcW w:w="4551" w:type="dxa"/>
          </w:tcPr>
          <w:p w14:paraId="7A82656B"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0CC0A1BA" w14:textId="77777777" w:rsidTr="00962E93">
        <w:trPr>
          <w:cantSplit/>
        </w:trPr>
        <w:tc>
          <w:tcPr>
            <w:tcW w:w="2551" w:type="dxa"/>
          </w:tcPr>
          <w:p w14:paraId="123ACFCB" w14:textId="77777777" w:rsidR="009B7AF5" w:rsidRPr="005071A1" w:rsidRDefault="009B7AF5" w:rsidP="009B7AF5">
            <w:pPr>
              <w:pStyle w:val="ENoteTableText"/>
            </w:pPr>
          </w:p>
        </w:tc>
        <w:tc>
          <w:tcPr>
            <w:tcW w:w="4551" w:type="dxa"/>
          </w:tcPr>
          <w:p w14:paraId="754254EB"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11597B4D" w14:textId="77777777" w:rsidTr="00962E93">
        <w:trPr>
          <w:cantSplit/>
        </w:trPr>
        <w:tc>
          <w:tcPr>
            <w:tcW w:w="2551" w:type="dxa"/>
          </w:tcPr>
          <w:p w14:paraId="550914D7" w14:textId="77777777" w:rsidR="009B7AF5" w:rsidRPr="005071A1" w:rsidRDefault="002477D1" w:rsidP="002477D1">
            <w:pPr>
              <w:pStyle w:val="ENoteTableText"/>
              <w:tabs>
                <w:tab w:val="center" w:leader="dot" w:pos="2268"/>
              </w:tabs>
            </w:pPr>
            <w:r w:rsidRPr="005071A1">
              <w:t>s.</w:t>
            </w:r>
            <w:r w:rsidR="009B7AF5" w:rsidRPr="005071A1">
              <w:t xml:space="preserve"> 119W</w:t>
            </w:r>
            <w:r w:rsidR="009B7AF5" w:rsidRPr="005071A1">
              <w:tab/>
            </w:r>
          </w:p>
        </w:tc>
        <w:tc>
          <w:tcPr>
            <w:tcW w:w="4551" w:type="dxa"/>
          </w:tcPr>
          <w:p w14:paraId="587165C1"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4C415A20" w14:textId="77777777" w:rsidTr="00962E93">
        <w:trPr>
          <w:cantSplit/>
        </w:trPr>
        <w:tc>
          <w:tcPr>
            <w:tcW w:w="2551" w:type="dxa"/>
          </w:tcPr>
          <w:p w14:paraId="30DBF8D0" w14:textId="77777777" w:rsidR="009B7AF5" w:rsidRPr="005071A1" w:rsidRDefault="009B7AF5" w:rsidP="009B7AF5">
            <w:pPr>
              <w:pStyle w:val="ENoteTableText"/>
            </w:pPr>
          </w:p>
        </w:tc>
        <w:tc>
          <w:tcPr>
            <w:tcW w:w="4551" w:type="dxa"/>
          </w:tcPr>
          <w:p w14:paraId="01E5141D"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 No.</w:t>
            </w:r>
            <w:r w:rsidR="008B2950" w:rsidRPr="005071A1">
              <w:t> </w:t>
            </w:r>
            <w:r w:rsidRPr="005071A1">
              <w:t>151, 1986</w:t>
            </w:r>
          </w:p>
        </w:tc>
      </w:tr>
      <w:tr w:rsidR="009B7AF5" w:rsidRPr="005071A1" w14:paraId="311FE755" w14:textId="77777777" w:rsidTr="00962E93">
        <w:trPr>
          <w:cantSplit/>
        </w:trPr>
        <w:tc>
          <w:tcPr>
            <w:tcW w:w="2551" w:type="dxa"/>
          </w:tcPr>
          <w:p w14:paraId="022B634F" w14:textId="77777777" w:rsidR="009B7AF5" w:rsidRPr="005071A1" w:rsidRDefault="002477D1" w:rsidP="002477D1">
            <w:pPr>
              <w:pStyle w:val="ENoteTableText"/>
              <w:tabs>
                <w:tab w:val="center" w:leader="dot" w:pos="2268"/>
              </w:tabs>
            </w:pPr>
            <w:r w:rsidRPr="005071A1">
              <w:t>s.</w:t>
            </w:r>
            <w:r w:rsidR="009B7AF5" w:rsidRPr="005071A1">
              <w:t xml:space="preserve"> 119WA</w:t>
            </w:r>
            <w:r w:rsidR="009B7AF5" w:rsidRPr="005071A1">
              <w:tab/>
            </w:r>
          </w:p>
        </w:tc>
        <w:tc>
          <w:tcPr>
            <w:tcW w:w="4551" w:type="dxa"/>
          </w:tcPr>
          <w:p w14:paraId="558D8479" w14:textId="77777777" w:rsidR="009B7AF5" w:rsidRPr="005071A1" w:rsidRDefault="009B7AF5" w:rsidP="009B7AF5">
            <w:pPr>
              <w:pStyle w:val="ENoteTableText"/>
            </w:pPr>
            <w:r w:rsidRPr="005071A1">
              <w:t>ad. No.</w:t>
            </w:r>
            <w:r w:rsidR="008B2950" w:rsidRPr="005071A1">
              <w:t> </w:t>
            </w:r>
            <w:r w:rsidRPr="005071A1">
              <w:t>151, 1986</w:t>
            </w:r>
          </w:p>
        </w:tc>
      </w:tr>
      <w:tr w:rsidR="009B7AF5" w:rsidRPr="005071A1" w14:paraId="3E09E01B" w14:textId="77777777" w:rsidTr="00962E93">
        <w:trPr>
          <w:cantSplit/>
        </w:trPr>
        <w:tc>
          <w:tcPr>
            <w:tcW w:w="2551" w:type="dxa"/>
          </w:tcPr>
          <w:p w14:paraId="2FFA7C66" w14:textId="77777777" w:rsidR="009B7AF5" w:rsidRPr="005071A1" w:rsidRDefault="009B7AF5" w:rsidP="009B7AF5">
            <w:pPr>
              <w:pStyle w:val="ENoteTableText"/>
            </w:pPr>
          </w:p>
        </w:tc>
        <w:tc>
          <w:tcPr>
            <w:tcW w:w="4551" w:type="dxa"/>
          </w:tcPr>
          <w:p w14:paraId="37832AB3" w14:textId="77777777" w:rsidR="009B7AF5" w:rsidRPr="005071A1" w:rsidRDefault="009B7AF5" w:rsidP="009B7AF5">
            <w:pPr>
              <w:pStyle w:val="ENoteTableText"/>
            </w:pPr>
            <w:r w:rsidRPr="005071A1">
              <w:t>am. No.</w:t>
            </w:r>
            <w:r w:rsidR="008B2950" w:rsidRPr="005071A1">
              <w:t> </w:t>
            </w:r>
            <w:r w:rsidRPr="005071A1">
              <w:t>58, 2011</w:t>
            </w:r>
          </w:p>
        </w:tc>
      </w:tr>
      <w:tr w:rsidR="009B7AF5" w:rsidRPr="005071A1" w14:paraId="0E3C9DFF" w14:textId="77777777" w:rsidTr="00962E93">
        <w:trPr>
          <w:cantSplit/>
        </w:trPr>
        <w:tc>
          <w:tcPr>
            <w:tcW w:w="2551" w:type="dxa"/>
          </w:tcPr>
          <w:p w14:paraId="1BE745CD"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119WB, 119WC</w:t>
            </w:r>
            <w:r w:rsidR="009B7AF5" w:rsidRPr="005071A1">
              <w:tab/>
            </w:r>
          </w:p>
        </w:tc>
        <w:tc>
          <w:tcPr>
            <w:tcW w:w="4551" w:type="dxa"/>
          </w:tcPr>
          <w:p w14:paraId="126D82B9" w14:textId="77777777" w:rsidR="009B7AF5" w:rsidRPr="005071A1" w:rsidRDefault="009B7AF5" w:rsidP="009B7AF5">
            <w:pPr>
              <w:pStyle w:val="ENoteTableText"/>
            </w:pPr>
            <w:r w:rsidRPr="005071A1">
              <w:t>ad. No.</w:t>
            </w:r>
            <w:r w:rsidR="008B2950" w:rsidRPr="005071A1">
              <w:t> </w:t>
            </w:r>
            <w:r w:rsidRPr="005071A1">
              <w:t>151, 1986</w:t>
            </w:r>
          </w:p>
        </w:tc>
      </w:tr>
      <w:tr w:rsidR="009B7AF5" w:rsidRPr="005071A1" w14:paraId="173DDD80" w14:textId="77777777" w:rsidTr="00962E93">
        <w:trPr>
          <w:cantSplit/>
        </w:trPr>
        <w:tc>
          <w:tcPr>
            <w:tcW w:w="2551" w:type="dxa"/>
          </w:tcPr>
          <w:p w14:paraId="4685E83F" w14:textId="77777777" w:rsidR="009B7AF5" w:rsidRPr="005071A1" w:rsidRDefault="002477D1" w:rsidP="002477D1">
            <w:pPr>
              <w:pStyle w:val="ENoteTableText"/>
              <w:tabs>
                <w:tab w:val="center" w:leader="dot" w:pos="2268"/>
              </w:tabs>
            </w:pPr>
            <w:r w:rsidRPr="005071A1">
              <w:t>s.</w:t>
            </w:r>
            <w:r w:rsidR="009B7AF5" w:rsidRPr="005071A1">
              <w:t xml:space="preserve"> 119X</w:t>
            </w:r>
            <w:r w:rsidR="009B7AF5" w:rsidRPr="005071A1">
              <w:tab/>
            </w:r>
          </w:p>
        </w:tc>
        <w:tc>
          <w:tcPr>
            <w:tcW w:w="4551" w:type="dxa"/>
          </w:tcPr>
          <w:p w14:paraId="1A2BA3F6"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1EB16D6C" w14:textId="77777777" w:rsidTr="00962E93">
        <w:trPr>
          <w:cantSplit/>
        </w:trPr>
        <w:tc>
          <w:tcPr>
            <w:tcW w:w="2551" w:type="dxa"/>
          </w:tcPr>
          <w:p w14:paraId="3B6735C4" w14:textId="77777777" w:rsidR="009B7AF5" w:rsidRPr="005071A1" w:rsidRDefault="009B7AF5" w:rsidP="009B7AF5">
            <w:pPr>
              <w:pStyle w:val="ENoteTableText"/>
            </w:pPr>
          </w:p>
        </w:tc>
        <w:tc>
          <w:tcPr>
            <w:tcW w:w="4551" w:type="dxa"/>
          </w:tcPr>
          <w:p w14:paraId="018677E0"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0A993521" w14:textId="77777777" w:rsidTr="00962E93">
        <w:trPr>
          <w:cantSplit/>
        </w:trPr>
        <w:tc>
          <w:tcPr>
            <w:tcW w:w="2551" w:type="dxa"/>
          </w:tcPr>
          <w:p w14:paraId="17BF7FAF" w14:textId="77777777" w:rsidR="009B7AF5" w:rsidRPr="005071A1" w:rsidRDefault="002477D1" w:rsidP="002477D1">
            <w:pPr>
              <w:pStyle w:val="ENoteTableText"/>
              <w:tabs>
                <w:tab w:val="center" w:leader="dot" w:pos="2268"/>
              </w:tabs>
            </w:pPr>
            <w:r w:rsidRPr="005071A1">
              <w:t>s.</w:t>
            </w:r>
            <w:r w:rsidR="009B7AF5" w:rsidRPr="005071A1">
              <w:t xml:space="preserve"> 119Y</w:t>
            </w:r>
            <w:r w:rsidR="009B7AF5" w:rsidRPr="005071A1">
              <w:tab/>
            </w:r>
          </w:p>
        </w:tc>
        <w:tc>
          <w:tcPr>
            <w:tcW w:w="4551" w:type="dxa"/>
          </w:tcPr>
          <w:p w14:paraId="28922B70"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3ACC21AE" w14:textId="77777777" w:rsidTr="00962E93">
        <w:trPr>
          <w:cantSplit/>
        </w:trPr>
        <w:tc>
          <w:tcPr>
            <w:tcW w:w="2551" w:type="dxa"/>
          </w:tcPr>
          <w:p w14:paraId="3297EF1F" w14:textId="77777777" w:rsidR="009B7AF5" w:rsidRPr="005071A1" w:rsidRDefault="009B7AF5" w:rsidP="009B7AF5">
            <w:pPr>
              <w:pStyle w:val="ENoteTableText"/>
            </w:pPr>
          </w:p>
        </w:tc>
        <w:tc>
          <w:tcPr>
            <w:tcW w:w="4551" w:type="dxa"/>
          </w:tcPr>
          <w:p w14:paraId="09BD35F8"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151, 1986</w:t>
            </w:r>
          </w:p>
        </w:tc>
      </w:tr>
      <w:tr w:rsidR="009B7AF5" w:rsidRPr="005071A1" w14:paraId="473F74EE" w14:textId="77777777" w:rsidTr="00962E93">
        <w:trPr>
          <w:cantSplit/>
        </w:trPr>
        <w:tc>
          <w:tcPr>
            <w:tcW w:w="2551" w:type="dxa"/>
          </w:tcPr>
          <w:p w14:paraId="4434E358" w14:textId="77777777" w:rsidR="009B7AF5" w:rsidRPr="005071A1" w:rsidRDefault="002477D1" w:rsidP="002477D1">
            <w:pPr>
              <w:pStyle w:val="ENoteTableText"/>
              <w:tabs>
                <w:tab w:val="center" w:leader="dot" w:pos="2268"/>
              </w:tabs>
            </w:pPr>
            <w:r w:rsidRPr="005071A1">
              <w:t>s.</w:t>
            </w:r>
            <w:r w:rsidR="009B7AF5" w:rsidRPr="005071A1">
              <w:t xml:space="preserve"> 119Z</w:t>
            </w:r>
            <w:r w:rsidR="009B7AF5" w:rsidRPr="005071A1">
              <w:tab/>
            </w:r>
          </w:p>
        </w:tc>
        <w:tc>
          <w:tcPr>
            <w:tcW w:w="4551" w:type="dxa"/>
          </w:tcPr>
          <w:p w14:paraId="3C0281EF"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6CFF5F3A" w14:textId="77777777" w:rsidTr="00962E93">
        <w:trPr>
          <w:cantSplit/>
        </w:trPr>
        <w:tc>
          <w:tcPr>
            <w:tcW w:w="2551" w:type="dxa"/>
          </w:tcPr>
          <w:p w14:paraId="6875B6C2" w14:textId="77777777" w:rsidR="009B7AF5" w:rsidRPr="005071A1" w:rsidRDefault="009B7AF5" w:rsidP="009B7AF5">
            <w:pPr>
              <w:pStyle w:val="ENoteTableText"/>
            </w:pPr>
          </w:p>
        </w:tc>
        <w:tc>
          <w:tcPr>
            <w:tcW w:w="4551" w:type="dxa"/>
          </w:tcPr>
          <w:p w14:paraId="06F12AB0"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0052A11C" w14:textId="77777777" w:rsidTr="00962E93">
        <w:trPr>
          <w:cantSplit/>
        </w:trPr>
        <w:tc>
          <w:tcPr>
            <w:tcW w:w="2551" w:type="dxa"/>
          </w:tcPr>
          <w:p w14:paraId="1BF5243E" w14:textId="77777777" w:rsidR="009B7AF5" w:rsidRPr="005071A1" w:rsidRDefault="002477D1" w:rsidP="002477D1">
            <w:pPr>
              <w:pStyle w:val="ENoteTableText"/>
              <w:tabs>
                <w:tab w:val="center" w:leader="dot" w:pos="2268"/>
              </w:tabs>
            </w:pPr>
            <w:r w:rsidRPr="005071A1">
              <w:t>s.</w:t>
            </w:r>
            <w:r w:rsidR="009B7AF5" w:rsidRPr="005071A1">
              <w:t xml:space="preserve"> 119ZA</w:t>
            </w:r>
            <w:r w:rsidR="009B7AF5" w:rsidRPr="005071A1">
              <w:tab/>
            </w:r>
          </w:p>
        </w:tc>
        <w:tc>
          <w:tcPr>
            <w:tcW w:w="4551" w:type="dxa"/>
          </w:tcPr>
          <w:p w14:paraId="267C0EDB"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2079B997" w14:textId="77777777" w:rsidTr="00962E93">
        <w:trPr>
          <w:cantSplit/>
        </w:trPr>
        <w:tc>
          <w:tcPr>
            <w:tcW w:w="2551" w:type="dxa"/>
          </w:tcPr>
          <w:p w14:paraId="7CFB4F76" w14:textId="77777777" w:rsidR="009B7AF5" w:rsidRPr="005071A1" w:rsidRDefault="009B7AF5" w:rsidP="009B7AF5">
            <w:pPr>
              <w:pStyle w:val="ENoteTableText"/>
            </w:pPr>
          </w:p>
        </w:tc>
        <w:tc>
          <w:tcPr>
            <w:tcW w:w="4551" w:type="dxa"/>
          </w:tcPr>
          <w:p w14:paraId="50246D16"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151, 1986</w:t>
            </w:r>
          </w:p>
        </w:tc>
      </w:tr>
      <w:tr w:rsidR="009B7AF5" w:rsidRPr="005071A1" w14:paraId="74556FA4" w14:textId="77777777" w:rsidTr="00962E93">
        <w:trPr>
          <w:cantSplit/>
        </w:trPr>
        <w:tc>
          <w:tcPr>
            <w:tcW w:w="2551" w:type="dxa"/>
          </w:tcPr>
          <w:p w14:paraId="78D18C1A" w14:textId="77777777" w:rsidR="009B7AF5" w:rsidRPr="005071A1" w:rsidRDefault="002477D1" w:rsidP="002477D1">
            <w:pPr>
              <w:pStyle w:val="ENoteTableText"/>
              <w:tabs>
                <w:tab w:val="center" w:leader="dot" w:pos="2268"/>
              </w:tabs>
            </w:pPr>
            <w:r w:rsidRPr="005071A1">
              <w:t>s.</w:t>
            </w:r>
            <w:r w:rsidR="009B7AF5" w:rsidRPr="005071A1">
              <w:t xml:space="preserve"> 119ZB</w:t>
            </w:r>
            <w:r w:rsidR="009B7AF5" w:rsidRPr="005071A1">
              <w:tab/>
            </w:r>
          </w:p>
        </w:tc>
        <w:tc>
          <w:tcPr>
            <w:tcW w:w="4551" w:type="dxa"/>
          </w:tcPr>
          <w:p w14:paraId="19F8AEC5"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7F12402D" w14:textId="77777777" w:rsidTr="00962E93">
        <w:trPr>
          <w:cantSplit/>
        </w:trPr>
        <w:tc>
          <w:tcPr>
            <w:tcW w:w="2551" w:type="dxa"/>
          </w:tcPr>
          <w:p w14:paraId="0CA8C9A3" w14:textId="77777777" w:rsidR="009B7AF5" w:rsidRPr="005071A1" w:rsidRDefault="009B7AF5" w:rsidP="009B7AF5">
            <w:pPr>
              <w:pStyle w:val="ENoteTableText"/>
            </w:pPr>
          </w:p>
        </w:tc>
        <w:tc>
          <w:tcPr>
            <w:tcW w:w="4551" w:type="dxa"/>
          </w:tcPr>
          <w:p w14:paraId="424C2AC9"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D05603D" w14:textId="77777777" w:rsidTr="00962E93">
        <w:trPr>
          <w:cantSplit/>
        </w:trPr>
        <w:tc>
          <w:tcPr>
            <w:tcW w:w="2551" w:type="dxa"/>
          </w:tcPr>
          <w:p w14:paraId="7A34F269" w14:textId="77777777" w:rsidR="009B7AF5" w:rsidRPr="005071A1" w:rsidRDefault="002477D1" w:rsidP="002477D1">
            <w:pPr>
              <w:pStyle w:val="ENoteTableText"/>
              <w:tabs>
                <w:tab w:val="center" w:leader="dot" w:pos="2268"/>
              </w:tabs>
            </w:pPr>
            <w:r w:rsidRPr="005071A1">
              <w:t>s.</w:t>
            </w:r>
            <w:r w:rsidR="009B7AF5" w:rsidRPr="005071A1">
              <w:t xml:space="preserve"> 119ZBA</w:t>
            </w:r>
            <w:r w:rsidR="009B7AF5" w:rsidRPr="005071A1">
              <w:tab/>
            </w:r>
          </w:p>
        </w:tc>
        <w:tc>
          <w:tcPr>
            <w:tcW w:w="4551" w:type="dxa"/>
          </w:tcPr>
          <w:p w14:paraId="5C448DEB"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7567FA44" w14:textId="77777777" w:rsidTr="00962E93">
        <w:trPr>
          <w:cantSplit/>
        </w:trPr>
        <w:tc>
          <w:tcPr>
            <w:tcW w:w="2551" w:type="dxa"/>
          </w:tcPr>
          <w:p w14:paraId="6249E544" w14:textId="77777777" w:rsidR="009B7AF5" w:rsidRPr="005071A1" w:rsidRDefault="009B7AF5" w:rsidP="009B7AF5">
            <w:pPr>
              <w:pStyle w:val="ENoteTableText"/>
            </w:pPr>
            <w:r w:rsidRPr="005071A1">
              <w:rPr>
                <w:b/>
              </w:rPr>
              <w:t>Division</w:t>
            </w:r>
            <w:r w:rsidR="008B2950" w:rsidRPr="005071A1">
              <w:rPr>
                <w:b/>
              </w:rPr>
              <w:t> </w:t>
            </w:r>
            <w:r w:rsidRPr="005071A1">
              <w:rPr>
                <w:b/>
              </w:rPr>
              <w:t>4</w:t>
            </w:r>
          </w:p>
        </w:tc>
        <w:tc>
          <w:tcPr>
            <w:tcW w:w="4551" w:type="dxa"/>
          </w:tcPr>
          <w:p w14:paraId="47ED4B21" w14:textId="77777777" w:rsidR="009B7AF5" w:rsidRPr="005071A1" w:rsidRDefault="009B7AF5" w:rsidP="009B7AF5">
            <w:pPr>
              <w:pStyle w:val="ENoteTableText"/>
            </w:pPr>
          </w:p>
        </w:tc>
      </w:tr>
      <w:tr w:rsidR="009B7AF5" w:rsidRPr="005071A1" w14:paraId="6D88B4CC" w14:textId="77777777" w:rsidTr="00962E93">
        <w:trPr>
          <w:cantSplit/>
        </w:trPr>
        <w:tc>
          <w:tcPr>
            <w:tcW w:w="2551" w:type="dxa"/>
          </w:tcPr>
          <w:p w14:paraId="30F8F545" w14:textId="77777777" w:rsidR="009B7AF5" w:rsidRPr="005071A1" w:rsidRDefault="002477D1" w:rsidP="002477D1">
            <w:pPr>
              <w:pStyle w:val="ENoteTableText"/>
              <w:tabs>
                <w:tab w:val="center" w:leader="dot" w:pos="2268"/>
              </w:tabs>
            </w:pPr>
            <w:r w:rsidRPr="005071A1">
              <w:t>s.</w:t>
            </w:r>
            <w:r w:rsidR="009B7AF5" w:rsidRPr="005071A1">
              <w:t xml:space="preserve"> 119ZC</w:t>
            </w:r>
            <w:r w:rsidR="009B7AF5" w:rsidRPr="005071A1">
              <w:tab/>
            </w:r>
          </w:p>
        </w:tc>
        <w:tc>
          <w:tcPr>
            <w:tcW w:w="4551" w:type="dxa"/>
          </w:tcPr>
          <w:p w14:paraId="59E62790"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01A62C0F" w14:textId="77777777" w:rsidTr="00962E93">
        <w:trPr>
          <w:cantSplit/>
        </w:trPr>
        <w:tc>
          <w:tcPr>
            <w:tcW w:w="2551" w:type="dxa"/>
          </w:tcPr>
          <w:p w14:paraId="308CEF1F" w14:textId="77777777" w:rsidR="009B7AF5" w:rsidRPr="005071A1" w:rsidRDefault="009B7AF5" w:rsidP="009B7AF5">
            <w:pPr>
              <w:pStyle w:val="ENoteTableText"/>
            </w:pPr>
          </w:p>
        </w:tc>
        <w:tc>
          <w:tcPr>
            <w:tcW w:w="4551" w:type="dxa"/>
          </w:tcPr>
          <w:p w14:paraId="29BE393A" w14:textId="77777777" w:rsidR="009B7AF5" w:rsidRPr="005071A1" w:rsidRDefault="009B7AF5" w:rsidP="009B7AF5">
            <w:pPr>
              <w:pStyle w:val="ENoteTableText"/>
            </w:pPr>
            <w:r w:rsidRPr="005071A1">
              <w:t>am. No.</w:t>
            </w:r>
            <w:r w:rsidR="008B2950" w:rsidRPr="005071A1">
              <w:t> </w:t>
            </w:r>
            <w:r w:rsidRPr="005071A1">
              <w:t>32, 1976 (as am. by No.</w:t>
            </w:r>
            <w:r w:rsidR="008B2950" w:rsidRPr="005071A1">
              <w:t> </w:t>
            </w:r>
            <w:r w:rsidRPr="005071A1">
              <w:t>17, 1978); No.</w:t>
            </w:r>
            <w:r w:rsidR="008B2950" w:rsidRPr="005071A1">
              <w:t> </w:t>
            </w:r>
            <w:r w:rsidRPr="005071A1">
              <w:t>17, 1978</w:t>
            </w:r>
          </w:p>
        </w:tc>
      </w:tr>
      <w:tr w:rsidR="009B7AF5" w:rsidRPr="005071A1" w14:paraId="6F6688E1" w14:textId="77777777" w:rsidTr="00962E93">
        <w:trPr>
          <w:cantSplit/>
        </w:trPr>
        <w:tc>
          <w:tcPr>
            <w:tcW w:w="2551" w:type="dxa"/>
          </w:tcPr>
          <w:p w14:paraId="5EF4E196" w14:textId="77777777" w:rsidR="009B7AF5" w:rsidRPr="005071A1" w:rsidRDefault="002477D1" w:rsidP="002477D1">
            <w:pPr>
              <w:pStyle w:val="ENoteTableText"/>
              <w:tabs>
                <w:tab w:val="center" w:leader="dot" w:pos="2268"/>
              </w:tabs>
            </w:pPr>
            <w:r w:rsidRPr="005071A1">
              <w:t>s.</w:t>
            </w:r>
            <w:r w:rsidR="009B7AF5" w:rsidRPr="005071A1">
              <w:t xml:space="preserve"> 119ZD</w:t>
            </w:r>
            <w:r w:rsidR="009B7AF5" w:rsidRPr="005071A1">
              <w:tab/>
            </w:r>
          </w:p>
        </w:tc>
        <w:tc>
          <w:tcPr>
            <w:tcW w:w="4551" w:type="dxa"/>
          </w:tcPr>
          <w:p w14:paraId="737F22CA"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592D7BF6" w14:textId="77777777" w:rsidTr="00962E93">
        <w:trPr>
          <w:cantSplit/>
        </w:trPr>
        <w:tc>
          <w:tcPr>
            <w:tcW w:w="2551" w:type="dxa"/>
          </w:tcPr>
          <w:p w14:paraId="4B9E1659" w14:textId="77777777" w:rsidR="009B7AF5" w:rsidRPr="005071A1" w:rsidRDefault="009B7AF5" w:rsidP="009B7AF5">
            <w:pPr>
              <w:pStyle w:val="ENoteTableText"/>
            </w:pPr>
          </w:p>
        </w:tc>
        <w:tc>
          <w:tcPr>
            <w:tcW w:w="4551" w:type="dxa"/>
          </w:tcPr>
          <w:p w14:paraId="0ACC42DB"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3881E677" w14:textId="77777777" w:rsidTr="00962E93">
        <w:trPr>
          <w:cantSplit/>
        </w:trPr>
        <w:tc>
          <w:tcPr>
            <w:tcW w:w="2551" w:type="dxa"/>
          </w:tcPr>
          <w:p w14:paraId="40F9733E" w14:textId="77777777" w:rsidR="009B7AF5" w:rsidRPr="005071A1" w:rsidRDefault="002477D1" w:rsidP="002477D1">
            <w:pPr>
              <w:pStyle w:val="ENoteTableText"/>
              <w:tabs>
                <w:tab w:val="center" w:leader="dot" w:pos="2268"/>
              </w:tabs>
            </w:pPr>
            <w:r w:rsidRPr="005071A1">
              <w:t>s.</w:t>
            </w:r>
            <w:r w:rsidR="009B7AF5" w:rsidRPr="005071A1">
              <w:t xml:space="preserve"> 119ZE</w:t>
            </w:r>
            <w:r w:rsidR="009B7AF5" w:rsidRPr="005071A1">
              <w:tab/>
            </w:r>
          </w:p>
        </w:tc>
        <w:tc>
          <w:tcPr>
            <w:tcW w:w="4551" w:type="dxa"/>
          </w:tcPr>
          <w:p w14:paraId="3CC6FA6C" w14:textId="77777777" w:rsidR="009B7AF5" w:rsidRPr="005071A1" w:rsidRDefault="009B7AF5" w:rsidP="009B7AF5">
            <w:pPr>
              <w:pStyle w:val="ENoteTableText"/>
            </w:pPr>
            <w:r w:rsidRPr="005071A1">
              <w:t>ad. No.</w:t>
            </w:r>
            <w:r w:rsidR="008B2950" w:rsidRPr="005071A1">
              <w:t> </w:t>
            </w:r>
            <w:r w:rsidRPr="005071A1">
              <w:t>46, 1971</w:t>
            </w:r>
          </w:p>
        </w:tc>
      </w:tr>
      <w:tr w:rsidR="009B7AF5" w:rsidRPr="005071A1" w14:paraId="4DD5F9CB" w14:textId="77777777" w:rsidTr="00962E93">
        <w:trPr>
          <w:cantSplit/>
        </w:trPr>
        <w:tc>
          <w:tcPr>
            <w:tcW w:w="2551" w:type="dxa"/>
          </w:tcPr>
          <w:p w14:paraId="6A7325EA" w14:textId="77777777" w:rsidR="009B7AF5" w:rsidRPr="005071A1" w:rsidRDefault="009B7AF5" w:rsidP="009B7AF5">
            <w:pPr>
              <w:pStyle w:val="ENoteTableText"/>
            </w:pPr>
          </w:p>
        </w:tc>
        <w:tc>
          <w:tcPr>
            <w:tcW w:w="4551" w:type="dxa"/>
          </w:tcPr>
          <w:p w14:paraId="5E82752C"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 No.</w:t>
            </w:r>
            <w:r w:rsidR="008B2950" w:rsidRPr="005071A1">
              <w:t> </w:t>
            </w:r>
            <w:r w:rsidRPr="005071A1">
              <w:t>136, 2012</w:t>
            </w:r>
          </w:p>
        </w:tc>
      </w:tr>
      <w:tr w:rsidR="009B7AF5" w:rsidRPr="005071A1" w14:paraId="3BB1F494" w14:textId="77777777" w:rsidTr="00962E93">
        <w:trPr>
          <w:cantSplit/>
        </w:trPr>
        <w:tc>
          <w:tcPr>
            <w:tcW w:w="2551" w:type="dxa"/>
          </w:tcPr>
          <w:p w14:paraId="24DCAE4D" w14:textId="77777777" w:rsidR="009B7AF5" w:rsidRPr="005071A1" w:rsidRDefault="002477D1" w:rsidP="002477D1">
            <w:pPr>
              <w:pStyle w:val="ENoteTableText"/>
              <w:tabs>
                <w:tab w:val="center" w:leader="dot" w:pos="2268"/>
              </w:tabs>
            </w:pPr>
            <w:r w:rsidRPr="005071A1">
              <w:t>s.</w:t>
            </w:r>
            <w:r w:rsidR="009B7AF5" w:rsidRPr="005071A1">
              <w:t xml:space="preserve"> 119ZEA</w:t>
            </w:r>
            <w:r w:rsidR="009B7AF5" w:rsidRPr="005071A1">
              <w:tab/>
            </w:r>
          </w:p>
        </w:tc>
        <w:tc>
          <w:tcPr>
            <w:tcW w:w="4551" w:type="dxa"/>
          </w:tcPr>
          <w:p w14:paraId="41177360"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1D2BFD38" w14:textId="77777777" w:rsidTr="00962E93">
        <w:trPr>
          <w:cantSplit/>
        </w:trPr>
        <w:tc>
          <w:tcPr>
            <w:tcW w:w="2551" w:type="dxa"/>
          </w:tcPr>
          <w:p w14:paraId="3500AF47" w14:textId="77777777" w:rsidR="009B7AF5" w:rsidRPr="005071A1" w:rsidRDefault="009B7AF5" w:rsidP="009B7AF5">
            <w:pPr>
              <w:pStyle w:val="ENoteTableText"/>
            </w:pPr>
          </w:p>
        </w:tc>
        <w:tc>
          <w:tcPr>
            <w:tcW w:w="4551" w:type="dxa"/>
          </w:tcPr>
          <w:p w14:paraId="765104A4"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237A49B3" w14:textId="77777777" w:rsidTr="00962E93">
        <w:trPr>
          <w:cantSplit/>
        </w:trPr>
        <w:tc>
          <w:tcPr>
            <w:tcW w:w="2551" w:type="dxa"/>
          </w:tcPr>
          <w:p w14:paraId="3B9E07B7" w14:textId="77777777" w:rsidR="009B7AF5" w:rsidRPr="005071A1" w:rsidRDefault="009B7AF5" w:rsidP="002477D1">
            <w:pPr>
              <w:pStyle w:val="ENoteTableText"/>
              <w:tabs>
                <w:tab w:val="center" w:leader="dot" w:pos="2268"/>
              </w:tabs>
            </w:pPr>
            <w:r w:rsidRPr="005071A1">
              <w:t>Heading to Part XB</w:t>
            </w:r>
            <w:r w:rsidRPr="005071A1">
              <w:tab/>
            </w:r>
          </w:p>
        </w:tc>
        <w:tc>
          <w:tcPr>
            <w:tcW w:w="4551" w:type="dxa"/>
          </w:tcPr>
          <w:p w14:paraId="389ABE10"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7CB8FACF" w14:textId="77777777" w:rsidTr="00962E93">
        <w:trPr>
          <w:cantSplit/>
        </w:trPr>
        <w:tc>
          <w:tcPr>
            <w:tcW w:w="2551" w:type="dxa"/>
          </w:tcPr>
          <w:p w14:paraId="256A225C" w14:textId="77777777" w:rsidR="009B7AF5" w:rsidRPr="005071A1" w:rsidRDefault="009B7AF5" w:rsidP="009B7AF5">
            <w:pPr>
              <w:pStyle w:val="ENoteTableText"/>
            </w:pPr>
          </w:p>
        </w:tc>
        <w:tc>
          <w:tcPr>
            <w:tcW w:w="4551" w:type="dxa"/>
          </w:tcPr>
          <w:p w14:paraId="73B4DE17"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120EC18D" w14:textId="77777777" w:rsidTr="00962E93">
        <w:trPr>
          <w:cantSplit/>
        </w:trPr>
        <w:tc>
          <w:tcPr>
            <w:tcW w:w="2551" w:type="dxa"/>
          </w:tcPr>
          <w:p w14:paraId="5F7ACB1D" w14:textId="77777777" w:rsidR="009B7AF5" w:rsidRPr="005071A1" w:rsidRDefault="009B7AF5" w:rsidP="0086505B">
            <w:pPr>
              <w:pStyle w:val="ENoteTableText"/>
              <w:tabs>
                <w:tab w:val="center" w:leader="dot" w:pos="2268"/>
              </w:tabs>
            </w:pPr>
            <w:r w:rsidRPr="005071A1">
              <w:t>Part XB</w:t>
            </w:r>
            <w:r w:rsidRPr="005071A1">
              <w:tab/>
            </w:r>
          </w:p>
        </w:tc>
        <w:tc>
          <w:tcPr>
            <w:tcW w:w="4551" w:type="dxa"/>
          </w:tcPr>
          <w:p w14:paraId="04CEF161" w14:textId="77777777" w:rsidR="009B7AF5" w:rsidRPr="005071A1" w:rsidRDefault="009B7AF5" w:rsidP="0086505B">
            <w:pPr>
              <w:pStyle w:val="ENoteTableText"/>
            </w:pPr>
            <w:r w:rsidRPr="005071A1">
              <w:t>ad. No.</w:t>
            </w:r>
            <w:r w:rsidR="008B2950" w:rsidRPr="005071A1">
              <w:t> </w:t>
            </w:r>
            <w:r w:rsidRPr="005071A1">
              <w:t>46, 1973</w:t>
            </w:r>
          </w:p>
        </w:tc>
      </w:tr>
      <w:tr w:rsidR="0086505B" w:rsidRPr="005071A1" w14:paraId="2C64FE13" w14:textId="77777777" w:rsidTr="00962E93">
        <w:trPr>
          <w:cantSplit/>
        </w:trPr>
        <w:tc>
          <w:tcPr>
            <w:tcW w:w="2551" w:type="dxa"/>
          </w:tcPr>
          <w:p w14:paraId="5B23F13F" w14:textId="77777777" w:rsidR="0086505B" w:rsidRPr="005071A1" w:rsidRDefault="0086505B" w:rsidP="0086505B">
            <w:pPr>
              <w:pStyle w:val="ENoteTableText"/>
              <w:tabs>
                <w:tab w:val="center" w:leader="dot" w:pos="2268"/>
              </w:tabs>
            </w:pPr>
          </w:p>
        </w:tc>
        <w:tc>
          <w:tcPr>
            <w:tcW w:w="4551" w:type="dxa"/>
          </w:tcPr>
          <w:p w14:paraId="0CEAF27B" w14:textId="77777777" w:rsidR="0086505B" w:rsidRPr="005071A1" w:rsidRDefault="0086505B" w:rsidP="009B7AF5">
            <w:pPr>
              <w:pStyle w:val="ENoteTableText"/>
            </w:pPr>
            <w:r w:rsidRPr="005071A1">
              <w:t>rep. No.</w:t>
            </w:r>
            <w:r w:rsidR="008B2950" w:rsidRPr="005071A1">
              <w:t> </w:t>
            </w:r>
            <w:r w:rsidRPr="005071A1">
              <w:t>148, 2001</w:t>
            </w:r>
          </w:p>
        </w:tc>
      </w:tr>
      <w:tr w:rsidR="009B7AF5" w:rsidRPr="005071A1" w14:paraId="2B669A48" w14:textId="77777777" w:rsidTr="00962E93">
        <w:trPr>
          <w:cantSplit/>
        </w:trPr>
        <w:tc>
          <w:tcPr>
            <w:tcW w:w="2551" w:type="dxa"/>
          </w:tcPr>
          <w:p w14:paraId="3973EAE1" w14:textId="77777777" w:rsidR="009B7AF5" w:rsidRPr="005071A1" w:rsidRDefault="002477D1" w:rsidP="002477D1">
            <w:pPr>
              <w:pStyle w:val="ENoteTableText"/>
              <w:tabs>
                <w:tab w:val="center" w:leader="dot" w:pos="2268"/>
              </w:tabs>
            </w:pPr>
            <w:r w:rsidRPr="005071A1">
              <w:t>s.</w:t>
            </w:r>
            <w:r w:rsidR="009B7AF5" w:rsidRPr="005071A1">
              <w:t xml:space="preserve"> 119ZF</w:t>
            </w:r>
            <w:r w:rsidR="009B7AF5" w:rsidRPr="005071A1">
              <w:tab/>
            </w:r>
          </w:p>
        </w:tc>
        <w:tc>
          <w:tcPr>
            <w:tcW w:w="4551" w:type="dxa"/>
          </w:tcPr>
          <w:p w14:paraId="2F069A9F" w14:textId="77777777" w:rsidR="009B7AF5" w:rsidRPr="005071A1" w:rsidRDefault="009B7AF5" w:rsidP="009B7AF5">
            <w:pPr>
              <w:pStyle w:val="ENoteTableText"/>
            </w:pPr>
            <w:r w:rsidRPr="005071A1">
              <w:t>ad. No.</w:t>
            </w:r>
            <w:r w:rsidR="008B2950" w:rsidRPr="005071A1">
              <w:t> </w:t>
            </w:r>
            <w:r w:rsidRPr="005071A1">
              <w:t>46, 1973</w:t>
            </w:r>
          </w:p>
        </w:tc>
      </w:tr>
      <w:tr w:rsidR="009B7AF5" w:rsidRPr="005071A1" w14:paraId="35A26B36" w14:textId="77777777" w:rsidTr="00962E93">
        <w:trPr>
          <w:cantSplit/>
        </w:trPr>
        <w:tc>
          <w:tcPr>
            <w:tcW w:w="2551" w:type="dxa"/>
          </w:tcPr>
          <w:p w14:paraId="1A3991CD" w14:textId="77777777" w:rsidR="009B7AF5" w:rsidRPr="005071A1" w:rsidRDefault="009B7AF5" w:rsidP="009B7AF5">
            <w:pPr>
              <w:pStyle w:val="ENoteTableText"/>
            </w:pPr>
          </w:p>
        </w:tc>
        <w:tc>
          <w:tcPr>
            <w:tcW w:w="4551" w:type="dxa"/>
          </w:tcPr>
          <w:p w14:paraId="2D9B308D" w14:textId="77777777" w:rsidR="009B7AF5" w:rsidRPr="005071A1" w:rsidRDefault="009B7AF5" w:rsidP="009B7AF5">
            <w:pPr>
              <w:pStyle w:val="ENoteTableText"/>
            </w:pPr>
            <w:r w:rsidRPr="005071A1">
              <w:t>am. No.</w:t>
            </w:r>
            <w:r w:rsidR="008B2950" w:rsidRPr="005071A1">
              <w:t> </w:t>
            </w:r>
            <w:r w:rsidRPr="005071A1">
              <w:t xml:space="preserve">32, 1976 </w:t>
            </w:r>
          </w:p>
        </w:tc>
      </w:tr>
      <w:tr w:rsidR="009B7AF5" w:rsidRPr="005071A1" w14:paraId="4AC67351" w14:textId="77777777" w:rsidTr="00962E93">
        <w:trPr>
          <w:cantSplit/>
        </w:trPr>
        <w:tc>
          <w:tcPr>
            <w:tcW w:w="2551" w:type="dxa"/>
          </w:tcPr>
          <w:p w14:paraId="32F7D63A" w14:textId="77777777" w:rsidR="009B7AF5" w:rsidRPr="005071A1" w:rsidRDefault="009B7AF5" w:rsidP="009B7AF5">
            <w:pPr>
              <w:pStyle w:val="ENoteTableText"/>
            </w:pPr>
          </w:p>
        </w:tc>
        <w:tc>
          <w:tcPr>
            <w:tcW w:w="4551" w:type="dxa"/>
          </w:tcPr>
          <w:p w14:paraId="68E24037"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3525FD1E" w14:textId="77777777" w:rsidTr="00962E93">
        <w:trPr>
          <w:cantSplit/>
        </w:trPr>
        <w:tc>
          <w:tcPr>
            <w:tcW w:w="2551" w:type="dxa"/>
          </w:tcPr>
          <w:p w14:paraId="3A42D580"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119ZG–119ZK</w:t>
            </w:r>
            <w:r w:rsidR="009B7AF5" w:rsidRPr="005071A1">
              <w:tab/>
            </w:r>
          </w:p>
        </w:tc>
        <w:tc>
          <w:tcPr>
            <w:tcW w:w="4551" w:type="dxa"/>
          </w:tcPr>
          <w:p w14:paraId="310558A2" w14:textId="77777777" w:rsidR="009B7AF5" w:rsidRPr="005071A1" w:rsidRDefault="009B7AF5" w:rsidP="009B7AF5">
            <w:pPr>
              <w:pStyle w:val="ENoteTableText"/>
            </w:pPr>
            <w:r w:rsidRPr="005071A1">
              <w:t>ad. No.</w:t>
            </w:r>
            <w:r w:rsidR="008B2950" w:rsidRPr="005071A1">
              <w:t> </w:t>
            </w:r>
            <w:r w:rsidRPr="005071A1">
              <w:t>46, 1973</w:t>
            </w:r>
          </w:p>
        </w:tc>
      </w:tr>
      <w:tr w:rsidR="009B7AF5" w:rsidRPr="005071A1" w14:paraId="0B65B471" w14:textId="77777777" w:rsidTr="00962E93">
        <w:trPr>
          <w:cantSplit/>
        </w:trPr>
        <w:tc>
          <w:tcPr>
            <w:tcW w:w="2551" w:type="dxa"/>
          </w:tcPr>
          <w:p w14:paraId="0D6C3F91" w14:textId="77777777" w:rsidR="009B7AF5" w:rsidRPr="005071A1" w:rsidRDefault="009B7AF5" w:rsidP="009B7AF5">
            <w:pPr>
              <w:pStyle w:val="ENoteTableText"/>
            </w:pPr>
          </w:p>
        </w:tc>
        <w:tc>
          <w:tcPr>
            <w:tcW w:w="4551" w:type="dxa"/>
          </w:tcPr>
          <w:p w14:paraId="0CCF6516"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2BC08B1" w14:textId="77777777" w:rsidTr="00962E93">
        <w:trPr>
          <w:cantSplit/>
        </w:trPr>
        <w:tc>
          <w:tcPr>
            <w:tcW w:w="2551" w:type="dxa"/>
          </w:tcPr>
          <w:p w14:paraId="57C81669" w14:textId="77777777" w:rsidR="009B7AF5" w:rsidRPr="005071A1" w:rsidRDefault="009B7AF5" w:rsidP="009B7AF5">
            <w:pPr>
              <w:pStyle w:val="ENoteTableText"/>
            </w:pPr>
          </w:p>
        </w:tc>
        <w:tc>
          <w:tcPr>
            <w:tcW w:w="4551" w:type="dxa"/>
          </w:tcPr>
          <w:p w14:paraId="32109F4D"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31C68C27" w14:textId="77777777" w:rsidTr="00962E93">
        <w:trPr>
          <w:cantSplit/>
        </w:trPr>
        <w:tc>
          <w:tcPr>
            <w:tcW w:w="2551" w:type="dxa"/>
          </w:tcPr>
          <w:p w14:paraId="42A63F39"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119ZL, 119ZM</w:t>
            </w:r>
            <w:r w:rsidR="009B7AF5" w:rsidRPr="005071A1">
              <w:tab/>
            </w:r>
          </w:p>
        </w:tc>
        <w:tc>
          <w:tcPr>
            <w:tcW w:w="4551" w:type="dxa"/>
          </w:tcPr>
          <w:p w14:paraId="7ED44E23" w14:textId="77777777" w:rsidR="009B7AF5" w:rsidRPr="005071A1" w:rsidRDefault="009B7AF5" w:rsidP="009B7AF5">
            <w:pPr>
              <w:pStyle w:val="ENoteTableText"/>
            </w:pPr>
            <w:r w:rsidRPr="005071A1">
              <w:t>ad. No.</w:t>
            </w:r>
            <w:r w:rsidR="008B2950" w:rsidRPr="005071A1">
              <w:t> </w:t>
            </w:r>
            <w:r w:rsidRPr="005071A1">
              <w:t>46, 1973</w:t>
            </w:r>
          </w:p>
        </w:tc>
      </w:tr>
      <w:tr w:rsidR="009B7AF5" w:rsidRPr="005071A1" w14:paraId="0FC2E840" w14:textId="77777777" w:rsidTr="00962E93">
        <w:trPr>
          <w:cantSplit/>
        </w:trPr>
        <w:tc>
          <w:tcPr>
            <w:tcW w:w="2551" w:type="dxa"/>
          </w:tcPr>
          <w:p w14:paraId="28FB7C53" w14:textId="77777777" w:rsidR="009B7AF5" w:rsidRPr="005071A1" w:rsidRDefault="009B7AF5" w:rsidP="009B7AF5">
            <w:pPr>
              <w:pStyle w:val="ENoteTableText"/>
            </w:pPr>
          </w:p>
        </w:tc>
        <w:tc>
          <w:tcPr>
            <w:tcW w:w="4551" w:type="dxa"/>
          </w:tcPr>
          <w:p w14:paraId="52DD52EB"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539E36EF" w14:textId="77777777" w:rsidTr="00962E93">
        <w:trPr>
          <w:cantSplit/>
        </w:trPr>
        <w:tc>
          <w:tcPr>
            <w:tcW w:w="2551" w:type="dxa"/>
          </w:tcPr>
          <w:p w14:paraId="4354A1C9" w14:textId="77777777" w:rsidR="009B7AF5" w:rsidRPr="005071A1" w:rsidRDefault="002477D1" w:rsidP="002477D1">
            <w:pPr>
              <w:pStyle w:val="ENoteTableText"/>
              <w:tabs>
                <w:tab w:val="center" w:leader="dot" w:pos="2268"/>
              </w:tabs>
            </w:pPr>
            <w:r w:rsidRPr="005071A1">
              <w:t>s.</w:t>
            </w:r>
            <w:r w:rsidR="009B7AF5" w:rsidRPr="005071A1">
              <w:t xml:space="preserve"> 119ZN</w:t>
            </w:r>
            <w:r w:rsidR="009B7AF5" w:rsidRPr="005071A1">
              <w:tab/>
            </w:r>
          </w:p>
        </w:tc>
        <w:tc>
          <w:tcPr>
            <w:tcW w:w="4551" w:type="dxa"/>
          </w:tcPr>
          <w:p w14:paraId="20CF8140" w14:textId="77777777" w:rsidR="009B7AF5" w:rsidRPr="005071A1" w:rsidRDefault="009B7AF5" w:rsidP="009B7AF5">
            <w:pPr>
              <w:pStyle w:val="ENoteTableText"/>
            </w:pPr>
            <w:r w:rsidRPr="005071A1">
              <w:t>ad. No.</w:t>
            </w:r>
            <w:r w:rsidR="008B2950" w:rsidRPr="005071A1">
              <w:t> </w:t>
            </w:r>
            <w:r w:rsidRPr="005071A1">
              <w:t>46, 1973</w:t>
            </w:r>
          </w:p>
        </w:tc>
      </w:tr>
      <w:tr w:rsidR="009B7AF5" w:rsidRPr="005071A1" w14:paraId="1B1EEB66" w14:textId="77777777" w:rsidTr="00962E93">
        <w:trPr>
          <w:cantSplit/>
        </w:trPr>
        <w:tc>
          <w:tcPr>
            <w:tcW w:w="2551" w:type="dxa"/>
          </w:tcPr>
          <w:p w14:paraId="77AE61FC" w14:textId="77777777" w:rsidR="009B7AF5" w:rsidRPr="005071A1" w:rsidRDefault="009B7AF5" w:rsidP="009B7AF5">
            <w:pPr>
              <w:pStyle w:val="ENoteTableText"/>
            </w:pPr>
          </w:p>
        </w:tc>
        <w:tc>
          <w:tcPr>
            <w:tcW w:w="4551" w:type="dxa"/>
          </w:tcPr>
          <w:p w14:paraId="77F207B7" w14:textId="77777777" w:rsidR="009B7AF5" w:rsidRPr="005071A1" w:rsidRDefault="009B7AF5" w:rsidP="009B7AF5">
            <w:pPr>
              <w:pStyle w:val="ENoteTableText"/>
            </w:pPr>
            <w:r w:rsidRPr="005071A1">
              <w:t>am. No.</w:t>
            </w:r>
            <w:r w:rsidR="008B2950" w:rsidRPr="005071A1">
              <w:t> </w:t>
            </w:r>
            <w:r w:rsidRPr="005071A1">
              <w:t>32, 1976</w:t>
            </w:r>
          </w:p>
        </w:tc>
      </w:tr>
      <w:tr w:rsidR="009B7AF5" w:rsidRPr="005071A1" w14:paraId="39E8D2A8" w14:textId="77777777" w:rsidTr="00962E93">
        <w:trPr>
          <w:cantSplit/>
        </w:trPr>
        <w:tc>
          <w:tcPr>
            <w:tcW w:w="2551" w:type="dxa"/>
          </w:tcPr>
          <w:p w14:paraId="0C395B89" w14:textId="77777777" w:rsidR="009B7AF5" w:rsidRPr="005071A1" w:rsidRDefault="009B7AF5" w:rsidP="009B7AF5">
            <w:pPr>
              <w:pStyle w:val="ENoteTableText"/>
            </w:pPr>
          </w:p>
        </w:tc>
        <w:tc>
          <w:tcPr>
            <w:tcW w:w="4551" w:type="dxa"/>
          </w:tcPr>
          <w:p w14:paraId="0F794215"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0C1D91EA" w14:textId="77777777" w:rsidTr="00962E93">
        <w:trPr>
          <w:cantSplit/>
        </w:trPr>
        <w:tc>
          <w:tcPr>
            <w:tcW w:w="2551" w:type="dxa"/>
          </w:tcPr>
          <w:p w14:paraId="33E64542" w14:textId="77777777" w:rsidR="009B7AF5" w:rsidRPr="005071A1" w:rsidRDefault="002477D1" w:rsidP="002477D1">
            <w:pPr>
              <w:pStyle w:val="ENoteTableText"/>
              <w:tabs>
                <w:tab w:val="center" w:leader="dot" w:pos="2268"/>
              </w:tabs>
            </w:pPr>
            <w:r w:rsidRPr="005071A1">
              <w:t>s.</w:t>
            </w:r>
            <w:r w:rsidR="009B7AF5" w:rsidRPr="005071A1">
              <w:t xml:space="preserve"> 119ZO</w:t>
            </w:r>
            <w:r w:rsidR="009B7AF5" w:rsidRPr="005071A1">
              <w:tab/>
            </w:r>
          </w:p>
        </w:tc>
        <w:tc>
          <w:tcPr>
            <w:tcW w:w="4551" w:type="dxa"/>
          </w:tcPr>
          <w:p w14:paraId="23FBC0BB" w14:textId="77777777" w:rsidR="009B7AF5" w:rsidRPr="005071A1" w:rsidRDefault="009B7AF5" w:rsidP="009B7AF5">
            <w:pPr>
              <w:pStyle w:val="ENoteTableText"/>
            </w:pPr>
            <w:r w:rsidRPr="005071A1">
              <w:t>ad. No.</w:t>
            </w:r>
            <w:r w:rsidR="008B2950" w:rsidRPr="005071A1">
              <w:t> </w:t>
            </w:r>
            <w:r w:rsidRPr="005071A1">
              <w:t>46, 1973</w:t>
            </w:r>
          </w:p>
        </w:tc>
      </w:tr>
      <w:tr w:rsidR="009B7AF5" w:rsidRPr="005071A1" w14:paraId="4DA014F4" w14:textId="77777777" w:rsidTr="00962E93">
        <w:trPr>
          <w:cantSplit/>
        </w:trPr>
        <w:tc>
          <w:tcPr>
            <w:tcW w:w="2551" w:type="dxa"/>
          </w:tcPr>
          <w:p w14:paraId="65737886" w14:textId="77777777" w:rsidR="009B7AF5" w:rsidRPr="005071A1" w:rsidRDefault="009B7AF5" w:rsidP="009B7AF5">
            <w:pPr>
              <w:pStyle w:val="ENoteTableText"/>
            </w:pPr>
          </w:p>
        </w:tc>
        <w:tc>
          <w:tcPr>
            <w:tcW w:w="4551" w:type="dxa"/>
          </w:tcPr>
          <w:p w14:paraId="19E3A791"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4467A602" w14:textId="77777777" w:rsidTr="00962E93">
        <w:trPr>
          <w:cantSplit/>
        </w:trPr>
        <w:tc>
          <w:tcPr>
            <w:tcW w:w="2551" w:type="dxa"/>
          </w:tcPr>
          <w:p w14:paraId="1150C616" w14:textId="77777777" w:rsidR="009B7AF5" w:rsidRPr="005071A1" w:rsidRDefault="009B7AF5" w:rsidP="009B7AF5">
            <w:pPr>
              <w:pStyle w:val="ENoteTableText"/>
            </w:pPr>
          </w:p>
        </w:tc>
        <w:tc>
          <w:tcPr>
            <w:tcW w:w="4551" w:type="dxa"/>
          </w:tcPr>
          <w:p w14:paraId="62CBED9E"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0D9E2468" w14:textId="77777777" w:rsidTr="00962E93">
        <w:trPr>
          <w:cantSplit/>
        </w:trPr>
        <w:tc>
          <w:tcPr>
            <w:tcW w:w="2551" w:type="dxa"/>
          </w:tcPr>
          <w:p w14:paraId="57586BDF" w14:textId="77777777" w:rsidR="009B7AF5" w:rsidRPr="005071A1" w:rsidRDefault="009B7AF5" w:rsidP="009B7AF5">
            <w:pPr>
              <w:pStyle w:val="ENoteTableText"/>
            </w:pPr>
            <w:r w:rsidRPr="005071A1">
              <w:rPr>
                <w:b/>
              </w:rPr>
              <w:t>Part</w:t>
            </w:r>
            <w:r w:rsidR="002477D1" w:rsidRPr="005071A1">
              <w:rPr>
                <w:b/>
              </w:rPr>
              <w:t> </w:t>
            </w:r>
            <w:r w:rsidRPr="005071A1">
              <w:rPr>
                <w:b/>
              </w:rPr>
              <w:t>XI</w:t>
            </w:r>
          </w:p>
        </w:tc>
        <w:tc>
          <w:tcPr>
            <w:tcW w:w="4551" w:type="dxa"/>
          </w:tcPr>
          <w:p w14:paraId="762F3F59" w14:textId="77777777" w:rsidR="009B7AF5" w:rsidRPr="005071A1" w:rsidRDefault="009B7AF5" w:rsidP="009B7AF5">
            <w:pPr>
              <w:pStyle w:val="ENoteTableText"/>
            </w:pPr>
          </w:p>
        </w:tc>
      </w:tr>
      <w:tr w:rsidR="009B7AF5" w:rsidRPr="005071A1" w14:paraId="5B5873FC" w14:textId="77777777" w:rsidTr="00962E93">
        <w:trPr>
          <w:cantSplit/>
        </w:trPr>
        <w:tc>
          <w:tcPr>
            <w:tcW w:w="2551" w:type="dxa"/>
          </w:tcPr>
          <w:p w14:paraId="06E772FD" w14:textId="77777777" w:rsidR="009B7AF5" w:rsidRPr="005071A1" w:rsidRDefault="009B7AF5" w:rsidP="002477D1">
            <w:pPr>
              <w:pStyle w:val="ENoteTableText"/>
              <w:tabs>
                <w:tab w:val="center" w:leader="dot" w:pos="2268"/>
              </w:tabs>
            </w:pPr>
            <w:r w:rsidRPr="005071A1">
              <w:t>Heading to Part XI</w:t>
            </w:r>
            <w:r w:rsidRPr="005071A1">
              <w:tab/>
            </w:r>
          </w:p>
        </w:tc>
        <w:tc>
          <w:tcPr>
            <w:tcW w:w="4551" w:type="dxa"/>
          </w:tcPr>
          <w:p w14:paraId="78331924" w14:textId="77777777" w:rsidR="009B7AF5" w:rsidRPr="005071A1" w:rsidRDefault="009B7AF5" w:rsidP="009B7AF5">
            <w:pPr>
              <w:pStyle w:val="ENoteTableText"/>
            </w:pPr>
            <w:r w:rsidRPr="005071A1">
              <w:t>am. No.</w:t>
            </w:r>
            <w:r w:rsidR="008B2950" w:rsidRPr="005071A1">
              <w:t> </w:t>
            </w:r>
            <w:r w:rsidRPr="005071A1">
              <w:t>22, 1930</w:t>
            </w:r>
          </w:p>
        </w:tc>
      </w:tr>
      <w:tr w:rsidR="009B7AF5" w:rsidRPr="005071A1" w14:paraId="4103F804" w14:textId="77777777" w:rsidTr="00962E93">
        <w:trPr>
          <w:cantSplit/>
        </w:trPr>
        <w:tc>
          <w:tcPr>
            <w:tcW w:w="2551" w:type="dxa"/>
          </w:tcPr>
          <w:p w14:paraId="6B6678C4" w14:textId="77777777" w:rsidR="009B7AF5" w:rsidRPr="005071A1" w:rsidRDefault="009B7AF5" w:rsidP="009B7AF5">
            <w:pPr>
              <w:pStyle w:val="ENoteTableText"/>
            </w:pPr>
          </w:p>
        </w:tc>
        <w:tc>
          <w:tcPr>
            <w:tcW w:w="4551" w:type="dxa"/>
          </w:tcPr>
          <w:p w14:paraId="5533D876" w14:textId="77777777" w:rsidR="009B7AF5" w:rsidRPr="005071A1" w:rsidRDefault="009B7AF5" w:rsidP="009B7AF5">
            <w:pPr>
              <w:pStyle w:val="ENoteTableText"/>
            </w:pPr>
            <w:r w:rsidRPr="005071A1">
              <w:t>rs. No.</w:t>
            </w:r>
            <w:r w:rsidR="008B2950" w:rsidRPr="005071A1">
              <w:t> </w:t>
            </w:r>
            <w:r w:rsidRPr="005071A1">
              <w:t>32, 1976; No.</w:t>
            </w:r>
            <w:r w:rsidR="008B2950" w:rsidRPr="005071A1">
              <w:t> </w:t>
            </w:r>
            <w:r w:rsidRPr="005071A1">
              <w:t>148, 2001</w:t>
            </w:r>
          </w:p>
        </w:tc>
      </w:tr>
      <w:tr w:rsidR="009B7AF5" w:rsidRPr="005071A1" w14:paraId="4E694F9D" w14:textId="77777777" w:rsidTr="00962E93">
        <w:trPr>
          <w:cantSplit/>
        </w:trPr>
        <w:tc>
          <w:tcPr>
            <w:tcW w:w="2551" w:type="dxa"/>
          </w:tcPr>
          <w:p w14:paraId="504E806D" w14:textId="77777777" w:rsidR="009B7AF5" w:rsidRPr="005071A1" w:rsidRDefault="0086505B" w:rsidP="002477D1">
            <w:pPr>
              <w:pStyle w:val="ENoteTableText"/>
              <w:tabs>
                <w:tab w:val="center" w:leader="dot" w:pos="2268"/>
              </w:tabs>
            </w:pPr>
            <w:r w:rsidRPr="005071A1">
              <w:t>Part XI</w:t>
            </w:r>
            <w:r w:rsidR="009B7AF5" w:rsidRPr="005071A1">
              <w:tab/>
            </w:r>
          </w:p>
        </w:tc>
        <w:tc>
          <w:tcPr>
            <w:tcW w:w="4551" w:type="dxa"/>
          </w:tcPr>
          <w:p w14:paraId="6EA1C0AB"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1A6C1802" w14:textId="77777777" w:rsidTr="00962E93">
        <w:trPr>
          <w:cantSplit/>
        </w:trPr>
        <w:tc>
          <w:tcPr>
            <w:tcW w:w="2551" w:type="dxa"/>
          </w:tcPr>
          <w:p w14:paraId="39201EAA" w14:textId="77777777" w:rsidR="009B7AF5" w:rsidRPr="005071A1" w:rsidRDefault="002477D1" w:rsidP="002477D1">
            <w:pPr>
              <w:pStyle w:val="ENoteTableText"/>
              <w:tabs>
                <w:tab w:val="center" w:leader="dot" w:pos="2268"/>
              </w:tabs>
            </w:pPr>
            <w:r w:rsidRPr="005071A1">
              <w:t>s.</w:t>
            </w:r>
            <w:r w:rsidR="009B7AF5" w:rsidRPr="005071A1">
              <w:t xml:space="preserve"> 120</w:t>
            </w:r>
            <w:r w:rsidR="009B7AF5" w:rsidRPr="005071A1">
              <w:tab/>
            </w:r>
          </w:p>
        </w:tc>
        <w:tc>
          <w:tcPr>
            <w:tcW w:w="4551" w:type="dxa"/>
          </w:tcPr>
          <w:p w14:paraId="2045376D"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216, 1973</w:t>
            </w:r>
          </w:p>
        </w:tc>
      </w:tr>
      <w:tr w:rsidR="009B7AF5" w:rsidRPr="005071A1" w14:paraId="6A6C7DE8" w14:textId="77777777" w:rsidTr="00962E93">
        <w:trPr>
          <w:cantSplit/>
        </w:trPr>
        <w:tc>
          <w:tcPr>
            <w:tcW w:w="2551" w:type="dxa"/>
          </w:tcPr>
          <w:p w14:paraId="3FE1BC2D" w14:textId="77777777" w:rsidR="009B7AF5" w:rsidRPr="005071A1" w:rsidRDefault="009B7AF5" w:rsidP="009B7AF5">
            <w:pPr>
              <w:pStyle w:val="ENoteTableText"/>
            </w:pPr>
          </w:p>
        </w:tc>
        <w:tc>
          <w:tcPr>
            <w:tcW w:w="4551" w:type="dxa"/>
          </w:tcPr>
          <w:p w14:paraId="51FCCDB5"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291D8730" w14:textId="77777777" w:rsidTr="00962E93">
        <w:trPr>
          <w:cantSplit/>
        </w:trPr>
        <w:tc>
          <w:tcPr>
            <w:tcW w:w="2551" w:type="dxa"/>
          </w:tcPr>
          <w:p w14:paraId="5F270F5C" w14:textId="77777777" w:rsidR="009B7AF5" w:rsidRPr="005071A1" w:rsidRDefault="009B7AF5" w:rsidP="009B7AF5">
            <w:pPr>
              <w:pStyle w:val="ENoteTableText"/>
            </w:pPr>
          </w:p>
        </w:tc>
        <w:tc>
          <w:tcPr>
            <w:tcW w:w="4551" w:type="dxa"/>
          </w:tcPr>
          <w:p w14:paraId="788533B4"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151, 1986; No.</w:t>
            </w:r>
            <w:r w:rsidR="008B2950" w:rsidRPr="005071A1">
              <w:t> </w:t>
            </w:r>
            <w:r w:rsidRPr="005071A1">
              <w:t>148, 2001</w:t>
            </w:r>
            <w:r w:rsidR="00346ECF" w:rsidRPr="005071A1">
              <w:t>; No 145, 2015</w:t>
            </w:r>
          </w:p>
        </w:tc>
      </w:tr>
      <w:tr w:rsidR="009B7AF5" w:rsidRPr="005071A1" w14:paraId="5E017A74" w14:textId="77777777" w:rsidTr="00962E93">
        <w:trPr>
          <w:cantSplit/>
        </w:trPr>
        <w:tc>
          <w:tcPr>
            <w:tcW w:w="2551" w:type="dxa"/>
          </w:tcPr>
          <w:p w14:paraId="6CD80D95" w14:textId="77777777" w:rsidR="009B7AF5" w:rsidRPr="005071A1" w:rsidRDefault="002477D1" w:rsidP="002477D1">
            <w:pPr>
              <w:pStyle w:val="ENoteTableText"/>
              <w:tabs>
                <w:tab w:val="center" w:leader="dot" w:pos="2268"/>
              </w:tabs>
            </w:pPr>
            <w:r w:rsidRPr="005071A1">
              <w:t>s.</w:t>
            </w:r>
            <w:r w:rsidR="009B7AF5" w:rsidRPr="005071A1">
              <w:t xml:space="preserve"> 121</w:t>
            </w:r>
            <w:r w:rsidR="009B7AF5" w:rsidRPr="005071A1">
              <w:tab/>
            </w:r>
          </w:p>
        </w:tc>
        <w:tc>
          <w:tcPr>
            <w:tcW w:w="4551" w:type="dxa"/>
          </w:tcPr>
          <w:p w14:paraId="378E0278"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102, 1959</w:t>
            </w:r>
          </w:p>
        </w:tc>
      </w:tr>
      <w:tr w:rsidR="009B7AF5" w:rsidRPr="005071A1" w14:paraId="35490812" w14:textId="77777777" w:rsidTr="00962E93">
        <w:trPr>
          <w:cantSplit/>
        </w:trPr>
        <w:tc>
          <w:tcPr>
            <w:tcW w:w="2551" w:type="dxa"/>
          </w:tcPr>
          <w:p w14:paraId="79C38B34" w14:textId="77777777" w:rsidR="009B7AF5" w:rsidRPr="005071A1" w:rsidRDefault="009B7AF5" w:rsidP="009B7AF5">
            <w:pPr>
              <w:pStyle w:val="ENoteTableText"/>
            </w:pPr>
          </w:p>
        </w:tc>
        <w:tc>
          <w:tcPr>
            <w:tcW w:w="4551" w:type="dxa"/>
          </w:tcPr>
          <w:p w14:paraId="5DC04CA4"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7BC95F09" w14:textId="77777777" w:rsidTr="00962E93">
        <w:trPr>
          <w:cantSplit/>
        </w:trPr>
        <w:tc>
          <w:tcPr>
            <w:tcW w:w="2551" w:type="dxa"/>
          </w:tcPr>
          <w:p w14:paraId="4DC761DF" w14:textId="77777777" w:rsidR="009B7AF5" w:rsidRPr="005071A1" w:rsidRDefault="009B7AF5" w:rsidP="009B7AF5">
            <w:pPr>
              <w:pStyle w:val="ENoteTableText"/>
            </w:pPr>
          </w:p>
        </w:tc>
        <w:tc>
          <w:tcPr>
            <w:tcW w:w="4551" w:type="dxa"/>
          </w:tcPr>
          <w:p w14:paraId="75027EDA"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151, 1986; No.</w:t>
            </w:r>
            <w:r w:rsidR="008B2950" w:rsidRPr="005071A1">
              <w:t> </w:t>
            </w:r>
            <w:r w:rsidRPr="005071A1">
              <w:t>148, 2001</w:t>
            </w:r>
          </w:p>
        </w:tc>
      </w:tr>
      <w:tr w:rsidR="009B7AF5" w:rsidRPr="005071A1" w14:paraId="154D14A5" w14:textId="77777777" w:rsidTr="00962E93">
        <w:trPr>
          <w:cantSplit/>
        </w:trPr>
        <w:tc>
          <w:tcPr>
            <w:tcW w:w="2551" w:type="dxa"/>
          </w:tcPr>
          <w:p w14:paraId="774FE78F" w14:textId="77777777" w:rsidR="009B7AF5" w:rsidRPr="005071A1" w:rsidRDefault="002477D1" w:rsidP="002477D1">
            <w:pPr>
              <w:pStyle w:val="ENoteTableText"/>
              <w:tabs>
                <w:tab w:val="center" w:leader="dot" w:pos="2268"/>
              </w:tabs>
            </w:pPr>
            <w:r w:rsidRPr="005071A1">
              <w:t>s.</w:t>
            </w:r>
            <w:r w:rsidR="009B7AF5" w:rsidRPr="005071A1">
              <w:t xml:space="preserve"> 122</w:t>
            </w:r>
            <w:r w:rsidR="009B7AF5" w:rsidRPr="005071A1">
              <w:tab/>
            </w:r>
          </w:p>
        </w:tc>
        <w:tc>
          <w:tcPr>
            <w:tcW w:w="4551" w:type="dxa"/>
          </w:tcPr>
          <w:p w14:paraId="4F734C90" w14:textId="77777777" w:rsidR="009B7AF5" w:rsidRPr="005071A1" w:rsidRDefault="009B7AF5" w:rsidP="009B7AF5">
            <w:pPr>
              <w:pStyle w:val="ENoteTableText"/>
            </w:pPr>
            <w:r w:rsidRPr="005071A1">
              <w:t>am. No.</w:t>
            </w:r>
            <w:r w:rsidR="008B2950" w:rsidRPr="005071A1">
              <w:t> </w:t>
            </w:r>
            <w:r w:rsidRPr="005071A1">
              <w:t>11, 1954; No.</w:t>
            </w:r>
            <w:r w:rsidR="008B2950" w:rsidRPr="005071A1">
              <w:t> </w:t>
            </w:r>
            <w:r w:rsidRPr="005071A1">
              <w:t>102, 1959; No.</w:t>
            </w:r>
            <w:r w:rsidR="008B2950" w:rsidRPr="005071A1">
              <w:t> </w:t>
            </w:r>
            <w:r w:rsidRPr="005071A1">
              <w:t>216, 1973</w:t>
            </w:r>
          </w:p>
        </w:tc>
      </w:tr>
      <w:tr w:rsidR="009B7AF5" w:rsidRPr="005071A1" w14:paraId="707DC2BF" w14:textId="77777777" w:rsidTr="00962E93">
        <w:trPr>
          <w:cantSplit/>
        </w:trPr>
        <w:tc>
          <w:tcPr>
            <w:tcW w:w="2551" w:type="dxa"/>
          </w:tcPr>
          <w:p w14:paraId="491DB9BC" w14:textId="77777777" w:rsidR="009B7AF5" w:rsidRPr="005071A1" w:rsidRDefault="009B7AF5" w:rsidP="009B7AF5">
            <w:pPr>
              <w:pStyle w:val="ENoteTableText"/>
            </w:pPr>
          </w:p>
        </w:tc>
        <w:tc>
          <w:tcPr>
            <w:tcW w:w="4551" w:type="dxa"/>
          </w:tcPr>
          <w:p w14:paraId="146B3931"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0237AB8E" w14:textId="77777777" w:rsidTr="00962E93">
        <w:trPr>
          <w:cantSplit/>
        </w:trPr>
        <w:tc>
          <w:tcPr>
            <w:tcW w:w="2551" w:type="dxa"/>
          </w:tcPr>
          <w:p w14:paraId="23A51133" w14:textId="77777777" w:rsidR="009B7AF5" w:rsidRPr="005071A1" w:rsidRDefault="009B7AF5" w:rsidP="009B7AF5">
            <w:pPr>
              <w:pStyle w:val="ENoteTableText"/>
            </w:pPr>
          </w:p>
        </w:tc>
        <w:tc>
          <w:tcPr>
            <w:tcW w:w="4551" w:type="dxa"/>
          </w:tcPr>
          <w:p w14:paraId="0E919617"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148, 2001</w:t>
            </w:r>
          </w:p>
        </w:tc>
      </w:tr>
      <w:tr w:rsidR="009B7AF5" w:rsidRPr="005071A1" w14:paraId="318532A6" w14:textId="77777777" w:rsidTr="00962E93">
        <w:trPr>
          <w:cantSplit/>
        </w:trPr>
        <w:tc>
          <w:tcPr>
            <w:tcW w:w="2551" w:type="dxa"/>
          </w:tcPr>
          <w:p w14:paraId="2CBD06BB" w14:textId="77777777" w:rsidR="009B7AF5" w:rsidRPr="005071A1" w:rsidRDefault="002477D1" w:rsidP="002477D1">
            <w:pPr>
              <w:pStyle w:val="ENoteTableText"/>
              <w:tabs>
                <w:tab w:val="center" w:leader="dot" w:pos="2268"/>
              </w:tabs>
            </w:pPr>
            <w:r w:rsidRPr="005071A1">
              <w:t>s.</w:t>
            </w:r>
            <w:r w:rsidR="009B7AF5" w:rsidRPr="005071A1">
              <w:t xml:space="preserve"> 123</w:t>
            </w:r>
            <w:r w:rsidR="009B7AF5" w:rsidRPr="005071A1">
              <w:tab/>
            </w:r>
          </w:p>
        </w:tc>
        <w:tc>
          <w:tcPr>
            <w:tcW w:w="4551" w:type="dxa"/>
          </w:tcPr>
          <w:p w14:paraId="6AB80ADA"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6BE59634" w14:textId="77777777" w:rsidTr="00962E93">
        <w:trPr>
          <w:cantSplit/>
        </w:trPr>
        <w:tc>
          <w:tcPr>
            <w:tcW w:w="2551" w:type="dxa"/>
          </w:tcPr>
          <w:p w14:paraId="5DF4E1E5" w14:textId="77777777" w:rsidR="009B7AF5" w:rsidRPr="005071A1" w:rsidRDefault="009B7AF5" w:rsidP="009B7AF5">
            <w:pPr>
              <w:pStyle w:val="ENoteTableText"/>
            </w:pPr>
          </w:p>
        </w:tc>
        <w:tc>
          <w:tcPr>
            <w:tcW w:w="4551" w:type="dxa"/>
          </w:tcPr>
          <w:p w14:paraId="168AF4FF"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2ACE3FCF" w14:textId="77777777" w:rsidTr="00962E93">
        <w:trPr>
          <w:cantSplit/>
        </w:trPr>
        <w:tc>
          <w:tcPr>
            <w:tcW w:w="2551" w:type="dxa"/>
          </w:tcPr>
          <w:p w14:paraId="61C0323D" w14:textId="77777777" w:rsidR="009B7AF5" w:rsidRPr="005071A1" w:rsidRDefault="009B7AF5" w:rsidP="009B7AF5">
            <w:pPr>
              <w:pStyle w:val="ENoteTableText"/>
            </w:pPr>
          </w:p>
        </w:tc>
        <w:tc>
          <w:tcPr>
            <w:tcW w:w="4551" w:type="dxa"/>
          </w:tcPr>
          <w:p w14:paraId="255436FD"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23C93880" w14:textId="77777777" w:rsidTr="00962E93">
        <w:trPr>
          <w:cantSplit/>
        </w:trPr>
        <w:tc>
          <w:tcPr>
            <w:tcW w:w="2551" w:type="dxa"/>
          </w:tcPr>
          <w:p w14:paraId="4572AF02" w14:textId="77777777" w:rsidR="009B7AF5" w:rsidRPr="005071A1" w:rsidRDefault="002477D1" w:rsidP="002477D1">
            <w:pPr>
              <w:pStyle w:val="ENoteTableText"/>
              <w:tabs>
                <w:tab w:val="center" w:leader="dot" w:pos="2268"/>
              </w:tabs>
            </w:pPr>
            <w:r w:rsidRPr="005071A1">
              <w:t>s.</w:t>
            </w:r>
            <w:r w:rsidR="009B7AF5" w:rsidRPr="005071A1">
              <w:t xml:space="preserve"> 124</w:t>
            </w:r>
            <w:r w:rsidR="009B7AF5" w:rsidRPr="005071A1">
              <w:tab/>
            </w:r>
          </w:p>
        </w:tc>
        <w:tc>
          <w:tcPr>
            <w:tcW w:w="4551" w:type="dxa"/>
          </w:tcPr>
          <w:p w14:paraId="5BB0AC27" w14:textId="77777777" w:rsidR="009B7AF5" w:rsidRPr="005071A1" w:rsidRDefault="009B7AF5" w:rsidP="009B7AF5">
            <w:pPr>
              <w:pStyle w:val="ENoteTableText"/>
            </w:pPr>
            <w:r w:rsidRPr="005071A1">
              <w:t>am. No.</w:t>
            </w:r>
            <w:r w:rsidR="008B2950" w:rsidRPr="005071A1">
              <w:t> </w:t>
            </w:r>
            <w:r w:rsidRPr="005071A1">
              <w:t>216, 1973</w:t>
            </w:r>
          </w:p>
        </w:tc>
      </w:tr>
      <w:tr w:rsidR="009B7AF5" w:rsidRPr="005071A1" w14:paraId="066E8E1B" w14:textId="77777777" w:rsidTr="00962E93">
        <w:trPr>
          <w:cantSplit/>
        </w:trPr>
        <w:tc>
          <w:tcPr>
            <w:tcW w:w="2551" w:type="dxa"/>
          </w:tcPr>
          <w:p w14:paraId="7989424A" w14:textId="77777777" w:rsidR="009B7AF5" w:rsidRPr="005071A1" w:rsidRDefault="009B7AF5" w:rsidP="009B7AF5">
            <w:pPr>
              <w:pStyle w:val="ENoteTableText"/>
            </w:pPr>
          </w:p>
        </w:tc>
        <w:tc>
          <w:tcPr>
            <w:tcW w:w="4551" w:type="dxa"/>
          </w:tcPr>
          <w:p w14:paraId="21C10F24"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71898C44" w14:textId="77777777" w:rsidTr="00962E93">
        <w:trPr>
          <w:cantSplit/>
        </w:trPr>
        <w:tc>
          <w:tcPr>
            <w:tcW w:w="2551" w:type="dxa"/>
          </w:tcPr>
          <w:p w14:paraId="5A4E53DC" w14:textId="77777777" w:rsidR="009B7AF5" w:rsidRPr="005071A1" w:rsidRDefault="009B7AF5" w:rsidP="009B7AF5">
            <w:pPr>
              <w:pStyle w:val="ENoteTableText"/>
            </w:pPr>
          </w:p>
        </w:tc>
        <w:tc>
          <w:tcPr>
            <w:tcW w:w="4551" w:type="dxa"/>
          </w:tcPr>
          <w:p w14:paraId="09F405A7" w14:textId="77777777" w:rsidR="009B7AF5" w:rsidRPr="005071A1" w:rsidRDefault="009B7AF5" w:rsidP="009B7AF5">
            <w:pPr>
              <w:pStyle w:val="ENoteTableText"/>
            </w:pPr>
            <w:r w:rsidRPr="005071A1">
              <w:t>am. No.</w:t>
            </w:r>
            <w:r w:rsidR="008B2950" w:rsidRPr="005071A1">
              <w:t> </w:t>
            </w:r>
            <w:r w:rsidRPr="005071A1">
              <w:t>93, 1986; No.</w:t>
            </w:r>
            <w:r w:rsidR="008B2950" w:rsidRPr="005071A1">
              <w:t> </w:t>
            </w:r>
            <w:r w:rsidRPr="005071A1">
              <w:t>148, 2001</w:t>
            </w:r>
          </w:p>
        </w:tc>
      </w:tr>
      <w:tr w:rsidR="009B7AF5" w:rsidRPr="005071A1" w14:paraId="1F8C6E3D" w14:textId="77777777" w:rsidTr="00962E93">
        <w:trPr>
          <w:cantSplit/>
        </w:trPr>
        <w:tc>
          <w:tcPr>
            <w:tcW w:w="2551" w:type="dxa"/>
          </w:tcPr>
          <w:p w14:paraId="44D6FA2C" w14:textId="77777777" w:rsidR="009B7AF5" w:rsidRPr="005071A1" w:rsidRDefault="002477D1" w:rsidP="002477D1">
            <w:pPr>
              <w:pStyle w:val="ENoteTableText"/>
              <w:tabs>
                <w:tab w:val="center" w:leader="dot" w:pos="2268"/>
              </w:tabs>
            </w:pPr>
            <w:r w:rsidRPr="005071A1">
              <w:t>s.</w:t>
            </w:r>
            <w:r w:rsidR="009B7AF5" w:rsidRPr="005071A1">
              <w:t xml:space="preserve"> 125</w:t>
            </w:r>
            <w:r w:rsidR="009B7AF5" w:rsidRPr="005071A1">
              <w:tab/>
            </w:r>
          </w:p>
        </w:tc>
        <w:tc>
          <w:tcPr>
            <w:tcW w:w="4551" w:type="dxa"/>
          </w:tcPr>
          <w:p w14:paraId="0648525D" w14:textId="77777777" w:rsidR="009B7AF5" w:rsidRPr="005071A1" w:rsidRDefault="009B7AF5" w:rsidP="009B7AF5">
            <w:pPr>
              <w:pStyle w:val="ENoteTableText"/>
            </w:pPr>
            <w:r w:rsidRPr="005071A1">
              <w:t>am. No.</w:t>
            </w:r>
            <w:r w:rsidR="008B2950" w:rsidRPr="005071A1">
              <w:t> </w:t>
            </w:r>
            <w:r w:rsidRPr="005071A1">
              <w:t>22, 1930; No.</w:t>
            </w:r>
            <w:r w:rsidR="008B2950" w:rsidRPr="005071A1">
              <w:t> </w:t>
            </w:r>
            <w:r w:rsidRPr="005071A1">
              <w:t>102, 1959; No.</w:t>
            </w:r>
            <w:r w:rsidR="008B2950" w:rsidRPr="005071A1">
              <w:t> </w:t>
            </w:r>
            <w:r w:rsidRPr="005071A1">
              <w:t>216, 1973</w:t>
            </w:r>
          </w:p>
        </w:tc>
      </w:tr>
      <w:tr w:rsidR="009B7AF5" w:rsidRPr="005071A1" w14:paraId="0660C88C" w14:textId="77777777" w:rsidTr="00962E93">
        <w:trPr>
          <w:cantSplit/>
        </w:trPr>
        <w:tc>
          <w:tcPr>
            <w:tcW w:w="2551" w:type="dxa"/>
          </w:tcPr>
          <w:p w14:paraId="696DD354" w14:textId="77777777" w:rsidR="009B7AF5" w:rsidRPr="005071A1" w:rsidRDefault="009B7AF5" w:rsidP="009B7AF5">
            <w:pPr>
              <w:pStyle w:val="ENoteTableText"/>
            </w:pPr>
          </w:p>
        </w:tc>
        <w:tc>
          <w:tcPr>
            <w:tcW w:w="4551" w:type="dxa"/>
          </w:tcPr>
          <w:p w14:paraId="35512E0F"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412CE5CC" w14:textId="77777777" w:rsidTr="00962E93">
        <w:trPr>
          <w:cantSplit/>
        </w:trPr>
        <w:tc>
          <w:tcPr>
            <w:tcW w:w="2551" w:type="dxa"/>
          </w:tcPr>
          <w:p w14:paraId="49FA6732" w14:textId="77777777" w:rsidR="009B7AF5" w:rsidRPr="005071A1" w:rsidRDefault="009B7AF5" w:rsidP="009B7AF5">
            <w:pPr>
              <w:pStyle w:val="ENoteTableText"/>
            </w:pPr>
          </w:p>
        </w:tc>
        <w:tc>
          <w:tcPr>
            <w:tcW w:w="4551" w:type="dxa"/>
          </w:tcPr>
          <w:p w14:paraId="2655B5D1"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57D9D892" w14:textId="77777777" w:rsidTr="00962E93">
        <w:trPr>
          <w:cantSplit/>
        </w:trPr>
        <w:tc>
          <w:tcPr>
            <w:tcW w:w="2551" w:type="dxa"/>
          </w:tcPr>
          <w:p w14:paraId="727898E6" w14:textId="77777777" w:rsidR="009B7AF5" w:rsidRPr="005071A1" w:rsidRDefault="002477D1" w:rsidP="002477D1">
            <w:pPr>
              <w:pStyle w:val="ENoteTableText"/>
              <w:tabs>
                <w:tab w:val="center" w:leader="dot" w:pos="2268"/>
              </w:tabs>
            </w:pPr>
            <w:r w:rsidRPr="005071A1">
              <w:t>s.</w:t>
            </w:r>
            <w:r w:rsidR="009B7AF5" w:rsidRPr="005071A1">
              <w:t xml:space="preserve"> 126</w:t>
            </w:r>
            <w:r w:rsidR="009B7AF5" w:rsidRPr="005071A1">
              <w:tab/>
            </w:r>
          </w:p>
        </w:tc>
        <w:tc>
          <w:tcPr>
            <w:tcW w:w="4551" w:type="dxa"/>
          </w:tcPr>
          <w:p w14:paraId="178EAEF0"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04DF9907" w14:textId="77777777" w:rsidTr="00962E93">
        <w:trPr>
          <w:cantSplit/>
        </w:trPr>
        <w:tc>
          <w:tcPr>
            <w:tcW w:w="2551" w:type="dxa"/>
          </w:tcPr>
          <w:p w14:paraId="5B563965" w14:textId="77777777" w:rsidR="009B7AF5" w:rsidRPr="005071A1" w:rsidRDefault="009B7AF5" w:rsidP="009B7AF5">
            <w:pPr>
              <w:pStyle w:val="ENoteTableText"/>
            </w:pPr>
          </w:p>
        </w:tc>
        <w:tc>
          <w:tcPr>
            <w:tcW w:w="4551" w:type="dxa"/>
          </w:tcPr>
          <w:p w14:paraId="15E4C829"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148, 2001</w:t>
            </w:r>
          </w:p>
        </w:tc>
      </w:tr>
      <w:tr w:rsidR="009B7AF5" w:rsidRPr="005071A1" w14:paraId="0A35082B" w14:textId="77777777" w:rsidTr="00962E93">
        <w:trPr>
          <w:cantSplit/>
        </w:trPr>
        <w:tc>
          <w:tcPr>
            <w:tcW w:w="2551" w:type="dxa"/>
          </w:tcPr>
          <w:p w14:paraId="10FE43A3" w14:textId="77777777" w:rsidR="009B7AF5" w:rsidRPr="005071A1" w:rsidRDefault="009B7AF5" w:rsidP="009B7AF5">
            <w:pPr>
              <w:pStyle w:val="ENoteTableText"/>
            </w:pPr>
            <w:r w:rsidRPr="005071A1">
              <w:rPr>
                <w:b/>
              </w:rPr>
              <w:t>Part</w:t>
            </w:r>
            <w:r w:rsidR="002477D1" w:rsidRPr="005071A1">
              <w:rPr>
                <w:b/>
              </w:rPr>
              <w:t> </w:t>
            </w:r>
            <w:r w:rsidRPr="005071A1">
              <w:rPr>
                <w:b/>
              </w:rPr>
              <w:t>XIA</w:t>
            </w:r>
          </w:p>
        </w:tc>
        <w:tc>
          <w:tcPr>
            <w:tcW w:w="4551" w:type="dxa"/>
          </w:tcPr>
          <w:p w14:paraId="0575907F" w14:textId="77777777" w:rsidR="009B7AF5" w:rsidRPr="005071A1" w:rsidRDefault="009B7AF5" w:rsidP="009B7AF5">
            <w:pPr>
              <w:pStyle w:val="ENoteTableText"/>
            </w:pPr>
          </w:p>
        </w:tc>
      </w:tr>
      <w:tr w:rsidR="009B7AF5" w:rsidRPr="005071A1" w14:paraId="50F9B457" w14:textId="77777777" w:rsidTr="00962E93">
        <w:trPr>
          <w:cantSplit/>
        </w:trPr>
        <w:tc>
          <w:tcPr>
            <w:tcW w:w="2551" w:type="dxa"/>
          </w:tcPr>
          <w:p w14:paraId="2F871DA8" w14:textId="77777777" w:rsidR="009B7AF5" w:rsidRPr="005071A1" w:rsidRDefault="009B7AF5" w:rsidP="002477D1">
            <w:pPr>
              <w:pStyle w:val="ENoteTableText"/>
              <w:tabs>
                <w:tab w:val="center" w:leader="dot" w:pos="2268"/>
              </w:tabs>
            </w:pPr>
            <w:r w:rsidRPr="005071A1">
              <w:t>Part</w:t>
            </w:r>
            <w:r w:rsidR="002477D1" w:rsidRPr="005071A1">
              <w:t> </w:t>
            </w:r>
            <w:r w:rsidRPr="005071A1">
              <w:t>XIA</w:t>
            </w:r>
            <w:r w:rsidRPr="005071A1">
              <w:tab/>
            </w:r>
          </w:p>
        </w:tc>
        <w:tc>
          <w:tcPr>
            <w:tcW w:w="4551" w:type="dxa"/>
          </w:tcPr>
          <w:p w14:paraId="6D898D2C"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27D40741" w14:textId="77777777" w:rsidTr="00962E93">
        <w:trPr>
          <w:cantSplit/>
        </w:trPr>
        <w:tc>
          <w:tcPr>
            <w:tcW w:w="2551" w:type="dxa"/>
          </w:tcPr>
          <w:p w14:paraId="1688420D" w14:textId="77777777" w:rsidR="009B7AF5" w:rsidRPr="005071A1" w:rsidRDefault="009B7AF5" w:rsidP="009B7AF5">
            <w:pPr>
              <w:pStyle w:val="ENoteTableText"/>
            </w:pPr>
            <w:r w:rsidRPr="005071A1">
              <w:rPr>
                <w:b/>
              </w:rPr>
              <w:t>Division</w:t>
            </w:r>
            <w:r w:rsidR="008B2950" w:rsidRPr="005071A1">
              <w:rPr>
                <w:b/>
              </w:rPr>
              <w:t> </w:t>
            </w:r>
            <w:r w:rsidRPr="005071A1">
              <w:rPr>
                <w:b/>
              </w:rPr>
              <w:t>1</w:t>
            </w:r>
          </w:p>
        </w:tc>
        <w:tc>
          <w:tcPr>
            <w:tcW w:w="4551" w:type="dxa"/>
          </w:tcPr>
          <w:p w14:paraId="045ABB67" w14:textId="77777777" w:rsidR="009B7AF5" w:rsidRPr="005071A1" w:rsidRDefault="009B7AF5" w:rsidP="009B7AF5">
            <w:pPr>
              <w:pStyle w:val="ENoteTableText"/>
            </w:pPr>
          </w:p>
        </w:tc>
      </w:tr>
      <w:tr w:rsidR="009B7AF5" w:rsidRPr="005071A1" w14:paraId="72B70047" w14:textId="77777777" w:rsidTr="00962E93">
        <w:trPr>
          <w:cantSplit/>
        </w:trPr>
        <w:tc>
          <w:tcPr>
            <w:tcW w:w="2551" w:type="dxa"/>
          </w:tcPr>
          <w:p w14:paraId="0C27223B" w14:textId="77777777" w:rsidR="009B7AF5" w:rsidRPr="005071A1" w:rsidRDefault="002477D1" w:rsidP="002477D1">
            <w:pPr>
              <w:pStyle w:val="ENoteTableText"/>
              <w:tabs>
                <w:tab w:val="center" w:leader="dot" w:pos="2268"/>
              </w:tabs>
            </w:pPr>
            <w:r w:rsidRPr="005071A1">
              <w:t>s.</w:t>
            </w:r>
            <w:r w:rsidR="009B7AF5" w:rsidRPr="005071A1">
              <w:t xml:space="preserve"> 127</w:t>
            </w:r>
            <w:r w:rsidR="009B7AF5" w:rsidRPr="005071A1">
              <w:tab/>
            </w:r>
          </w:p>
        </w:tc>
        <w:tc>
          <w:tcPr>
            <w:tcW w:w="4551" w:type="dxa"/>
          </w:tcPr>
          <w:p w14:paraId="5458EE33"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608C219F" w14:textId="77777777" w:rsidTr="00962E93">
        <w:trPr>
          <w:cantSplit/>
        </w:trPr>
        <w:tc>
          <w:tcPr>
            <w:tcW w:w="2551" w:type="dxa"/>
          </w:tcPr>
          <w:p w14:paraId="71929741" w14:textId="77777777" w:rsidR="009B7AF5" w:rsidRPr="005071A1" w:rsidRDefault="009B7AF5" w:rsidP="009B7AF5">
            <w:pPr>
              <w:pStyle w:val="ENoteTableText"/>
            </w:pPr>
          </w:p>
        </w:tc>
        <w:tc>
          <w:tcPr>
            <w:tcW w:w="4551" w:type="dxa"/>
          </w:tcPr>
          <w:p w14:paraId="1FC1955F" w14:textId="77777777" w:rsidR="009B7AF5" w:rsidRPr="005071A1" w:rsidRDefault="009B7AF5" w:rsidP="009B7AF5">
            <w:pPr>
              <w:pStyle w:val="ENoteTableText"/>
            </w:pPr>
            <w:r w:rsidRPr="005071A1">
              <w:t>ad. No.</w:t>
            </w:r>
            <w:r w:rsidR="008B2950" w:rsidRPr="005071A1">
              <w:t> </w:t>
            </w:r>
            <w:r w:rsidRPr="005071A1">
              <w:t>93, 1986</w:t>
            </w:r>
          </w:p>
        </w:tc>
      </w:tr>
      <w:tr w:rsidR="009B7AF5" w:rsidRPr="005071A1" w14:paraId="5EE3C5A1" w14:textId="77777777" w:rsidTr="00962E93">
        <w:trPr>
          <w:cantSplit/>
        </w:trPr>
        <w:tc>
          <w:tcPr>
            <w:tcW w:w="2551" w:type="dxa"/>
          </w:tcPr>
          <w:p w14:paraId="7AF2AEDE" w14:textId="77777777" w:rsidR="009B7AF5" w:rsidRPr="005071A1" w:rsidRDefault="009B7AF5" w:rsidP="009B7AF5">
            <w:pPr>
              <w:pStyle w:val="ENoteTableText"/>
            </w:pPr>
          </w:p>
        </w:tc>
        <w:tc>
          <w:tcPr>
            <w:tcW w:w="4551" w:type="dxa"/>
          </w:tcPr>
          <w:p w14:paraId="4B2B803F"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160A3373" w14:textId="77777777" w:rsidTr="00962E93">
        <w:trPr>
          <w:cantSplit/>
        </w:trPr>
        <w:tc>
          <w:tcPr>
            <w:tcW w:w="2551" w:type="dxa"/>
          </w:tcPr>
          <w:p w14:paraId="63219C09" w14:textId="77777777" w:rsidR="009B7AF5" w:rsidRPr="005071A1" w:rsidRDefault="009B7AF5" w:rsidP="009B7AF5">
            <w:pPr>
              <w:pStyle w:val="ENoteTableText"/>
            </w:pPr>
          </w:p>
        </w:tc>
        <w:tc>
          <w:tcPr>
            <w:tcW w:w="4551" w:type="dxa"/>
          </w:tcPr>
          <w:p w14:paraId="1B6BEA5A"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5DE7E9E8" w14:textId="77777777" w:rsidTr="00962E93">
        <w:trPr>
          <w:cantSplit/>
        </w:trPr>
        <w:tc>
          <w:tcPr>
            <w:tcW w:w="2551" w:type="dxa"/>
          </w:tcPr>
          <w:p w14:paraId="20647176" w14:textId="77777777" w:rsidR="009B7AF5" w:rsidRPr="005071A1" w:rsidRDefault="009B7AF5" w:rsidP="009B7AF5">
            <w:pPr>
              <w:pStyle w:val="ENoteTableText"/>
            </w:pPr>
            <w:r w:rsidRPr="005071A1">
              <w:rPr>
                <w:b/>
              </w:rPr>
              <w:t>Division</w:t>
            </w:r>
            <w:r w:rsidR="008B2950" w:rsidRPr="005071A1">
              <w:rPr>
                <w:b/>
              </w:rPr>
              <w:t> </w:t>
            </w:r>
            <w:r w:rsidRPr="005071A1">
              <w:rPr>
                <w:b/>
              </w:rPr>
              <w:t>2</w:t>
            </w:r>
          </w:p>
        </w:tc>
        <w:tc>
          <w:tcPr>
            <w:tcW w:w="4551" w:type="dxa"/>
          </w:tcPr>
          <w:p w14:paraId="48617590" w14:textId="77777777" w:rsidR="009B7AF5" w:rsidRPr="005071A1" w:rsidRDefault="009B7AF5" w:rsidP="009B7AF5">
            <w:pPr>
              <w:pStyle w:val="ENoteTableText"/>
            </w:pPr>
          </w:p>
        </w:tc>
      </w:tr>
      <w:tr w:rsidR="009B7AF5" w:rsidRPr="005071A1" w14:paraId="68D2712B" w14:textId="77777777" w:rsidTr="00962E93">
        <w:trPr>
          <w:cantSplit/>
        </w:trPr>
        <w:tc>
          <w:tcPr>
            <w:tcW w:w="2551" w:type="dxa"/>
          </w:tcPr>
          <w:p w14:paraId="250545E5" w14:textId="77777777" w:rsidR="009B7AF5" w:rsidRPr="005071A1" w:rsidRDefault="002477D1" w:rsidP="002477D1">
            <w:pPr>
              <w:pStyle w:val="ENoteTableText"/>
              <w:tabs>
                <w:tab w:val="center" w:leader="dot" w:pos="2268"/>
              </w:tabs>
            </w:pPr>
            <w:r w:rsidRPr="005071A1">
              <w:t>s.</w:t>
            </w:r>
            <w:r w:rsidR="009B7AF5" w:rsidRPr="005071A1">
              <w:t xml:space="preserve"> 128</w:t>
            </w:r>
            <w:r w:rsidR="009B7AF5" w:rsidRPr="005071A1">
              <w:tab/>
            </w:r>
          </w:p>
        </w:tc>
        <w:tc>
          <w:tcPr>
            <w:tcW w:w="4551" w:type="dxa"/>
          </w:tcPr>
          <w:p w14:paraId="56572926"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755F883D" w14:textId="77777777" w:rsidTr="00962E93">
        <w:trPr>
          <w:cantSplit/>
        </w:trPr>
        <w:tc>
          <w:tcPr>
            <w:tcW w:w="2551" w:type="dxa"/>
          </w:tcPr>
          <w:p w14:paraId="6C4C5AB5" w14:textId="77777777" w:rsidR="009B7AF5" w:rsidRPr="005071A1" w:rsidRDefault="009B7AF5" w:rsidP="009B7AF5">
            <w:pPr>
              <w:pStyle w:val="ENoteTableText"/>
            </w:pPr>
          </w:p>
        </w:tc>
        <w:tc>
          <w:tcPr>
            <w:tcW w:w="4551" w:type="dxa"/>
          </w:tcPr>
          <w:p w14:paraId="4840B4A9" w14:textId="77777777" w:rsidR="009B7AF5" w:rsidRPr="005071A1" w:rsidRDefault="009B7AF5" w:rsidP="009B7AF5">
            <w:pPr>
              <w:pStyle w:val="ENoteTableText"/>
            </w:pPr>
            <w:r w:rsidRPr="005071A1">
              <w:t>ad. No.</w:t>
            </w:r>
            <w:r w:rsidR="008B2950" w:rsidRPr="005071A1">
              <w:t> </w:t>
            </w:r>
            <w:r w:rsidRPr="005071A1">
              <w:t>125, 1989</w:t>
            </w:r>
          </w:p>
        </w:tc>
      </w:tr>
      <w:tr w:rsidR="009B7AF5" w:rsidRPr="005071A1" w14:paraId="43361942" w14:textId="77777777" w:rsidTr="00962E93">
        <w:trPr>
          <w:cantSplit/>
        </w:trPr>
        <w:tc>
          <w:tcPr>
            <w:tcW w:w="2551" w:type="dxa"/>
          </w:tcPr>
          <w:p w14:paraId="6CFA8BFC" w14:textId="77777777" w:rsidR="009B7AF5" w:rsidRPr="005071A1" w:rsidRDefault="009B7AF5" w:rsidP="009B7AF5">
            <w:pPr>
              <w:pStyle w:val="ENoteTableText"/>
            </w:pPr>
          </w:p>
        </w:tc>
        <w:tc>
          <w:tcPr>
            <w:tcW w:w="4551" w:type="dxa"/>
          </w:tcPr>
          <w:p w14:paraId="62D93E40" w14:textId="77777777" w:rsidR="009B7AF5" w:rsidRPr="005071A1" w:rsidRDefault="009B7AF5" w:rsidP="009B7AF5">
            <w:pPr>
              <w:pStyle w:val="ENoteTableText"/>
            </w:pPr>
            <w:r w:rsidRPr="005071A1">
              <w:t>rep. No.</w:t>
            </w:r>
            <w:r w:rsidR="008B2950" w:rsidRPr="005071A1">
              <w:t> </w:t>
            </w:r>
            <w:r w:rsidRPr="005071A1">
              <w:t>148, 2001</w:t>
            </w:r>
          </w:p>
        </w:tc>
      </w:tr>
      <w:tr w:rsidR="009B7AF5" w:rsidRPr="005071A1" w14:paraId="6B28E382" w14:textId="77777777" w:rsidTr="00962E93">
        <w:trPr>
          <w:cantSplit/>
        </w:trPr>
        <w:tc>
          <w:tcPr>
            <w:tcW w:w="2551" w:type="dxa"/>
          </w:tcPr>
          <w:p w14:paraId="0D73C40F" w14:textId="77777777" w:rsidR="009B7AF5" w:rsidRPr="005071A1" w:rsidRDefault="009B7AF5" w:rsidP="009B7AF5">
            <w:pPr>
              <w:pStyle w:val="ENoteTableText"/>
            </w:pPr>
          </w:p>
        </w:tc>
        <w:tc>
          <w:tcPr>
            <w:tcW w:w="4551" w:type="dxa"/>
          </w:tcPr>
          <w:p w14:paraId="2D352714"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04C6FFCC" w14:textId="77777777" w:rsidTr="00962E93">
        <w:trPr>
          <w:cantSplit/>
        </w:trPr>
        <w:tc>
          <w:tcPr>
            <w:tcW w:w="2551" w:type="dxa"/>
          </w:tcPr>
          <w:p w14:paraId="1AACE9BD" w14:textId="77777777" w:rsidR="009B7AF5" w:rsidRPr="005071A1" w:rsidRDefault="002477D1" w:rsidP="002477D1">
            <w:pPr>
              <w:pStyle w:val="ENoteTableText"/>
              <w:tabs>
                <w:tab w:val="center" w:leader="dot" w:pos="2268"/>
              </w:tabs>
            </w:pPr>
            <w:r w:rsidRPr="005071A1">
              <w:t>s.</w:t>
            </w:r>
            <w:r w:rsidR="009B7AF5" w:rsidRPr="005071A1">
              <w:t xml:space="preserve"> 129</w:t>
            </w:r>
            <w:r w:rsidR="009B7AF5" w:rsidRPr="005071A1">
              <w:tab/>
            </w:r>
          </w:p>
        </w:tc>
        <w:tc>
          <w:tcPr>
            <w:tcW w:w="4551" w:type="dxa"/>
          </w:tcPr>
          <w:p w14:paraId="768FC6B5"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5B1C86D8" w14:textId="77777777" w:rsidTr="00962E93">
        <w:trPr>
          <w:cantSplit/>
        </w:trPr>
        <w:tc>
          <w:tcPr>
            <w:tcW w:w="2551" w:type="dxa"/>
          </w:tcPr>
          <w:p w14:paraId="614FFA44" w14:textId="77777777" w:rsidR="009B7AF5" w:rsidRPr="005071A1" w:rsidRDefault="009B7AF5" w:rsidP="009B7AF5">
            <w:pPr>
              <w:pStyle w:val="ENoteTableText"/>
            </w:pPr>
          </w:p>
        </w:tc>
        <w:tc>
          <w:tcPr>
            <w:tcW w:w="4551" w:type="dxa"/>
          </w:tcPr>
          <w:p w14:paraId="5440F5A4"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0D5E1DDF" w14:textId="77777777" w:rsidTr="00962E93">
        <w:trPr>
          <w:cantSplit/>
        </w:trPr>
        <w:tc>
          <w:tcPr>
            <w:tcW w:w="2551" w:type="dxa"/>
          </w:tcPr>
          <w:p w14:paraId="706DE661" w14:textId="77777777" w:rsidR="009B7AF5" w:rsidRPr="005071A1" w:rsidRDefault="002477D1" w:rsidP="002477D1">
            <w:pPr>
              <w:pStyle w:val="ENoteTableText"/>
              <w:tabs>
                <w:tab w:val="center" w:leader="dot" w:pos="2268"/>
              </w:tabs>
            </w:pPr>
            <w:r w:rsidRPr="005071A1">
              <w:t>s.</w:t>
            </w:r>
            <w:r w:rsidR="009B7AF5" w:rsidRPr="005071A1">
              <w:t xml:space="preserve"> 130</w:t>
            </w:r>
            <w:r w:rsidR="009B7AF5" w:rsidRPr="005071A1">
              <w:tab/>
            </w:r>
          </w:p>
        </w:tc>
        <w:tc>
          <w:tcPr>
            <w:tcW w:w="4551" w:type="dxa"/>
          </w:tcPr>
          <w:p w14:paraId="432C163E" w14:textId="77777777" w:rsidR="009B7AF5" w:rsidRPr="005071A1" w:rsidRDefault="009B7AF5" w:rsidP="009B7AF5">
            <w:pPr>
              <w:pStyle w:val="ENoteTableText"/>
            </w:pPr>
            <w:r w:rsidRPr="005071A1">
              <w:t>am. No.</w:t>
            </w:r>
            <w:r w:rsidR="008B2950" w:rsidRPr="005071A1">
              <w:t> </w:t>
            </w:r>
            <w:r w:rsidRPr="005071A1">
              <w:t>102, 1959</w:t>
            </w:r>
          </w:p>
        </w:tc>
      </w:tr>
      <w:tr w:rsidR="009B7AF5" w:rsidRPr="005071A1" w14:paraId="0CA0C354" w14:textId="77777777" w:rsidTr="00962E93">
        <w:trPr>
          <w:cantSplit/>
        </w:trPr>
        <w:tc>
          <w:tcPr>
            <w:tcW w:w="2551" w:type="dxa"/>
          </w:tcPr>
          <w:p w14:paraId="6EACA337" w14:textId="77777777" w:rsidR="009B7AF5" w:rsidRPr="005071A1" w:rsidRDefault="009B7AF5" w:rsidP="009B7AF5">
            <w:pPr>
              <w:pStyle w:val="ENoteTableText"/>
            </w:pPr>
          </w:p>
        </w:tc>
        <w:tc>
          <w:tcPr>
            <w:tcW w:w="4551" w:type="dxa"/>
          </w:tcPr>
          <w:p w14:paraId="6FFE5F73"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04F6A428" w14:textId="77777777" w:rsidTr="00962E93">
        <w:trPr>
          <w:cantSplit/>
        </w:trPr>
        <w:tc>
          <w:tcPr>
            <w:tcW w:w="2551" w:type="dxa"/>
          </w:tcPr>
          <w:p w14:paraId="0E722D6F" w14:textId="77777777" w:rsidR="009B7AF5" w:rsidRPr="005071A1" w:rsidRDefault="009B7AF5" w:rsidP="009B7AF5">
            <w:pPr>
              <w:pStyle w:val="ENoteTableText"/>
            </w:pPr>
          </w:p>
        </w:tc>
        <w:tc>
          <w:tcPr>
            <w:tcW w:w="4551" w:type="dxa"/>
          </w:tcPr>
          <w:p w14:paraId="4D45AC7A"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6A326A9F" w14:textId="77777777" w:rsidTr="00962E93">
        <w:trPr>
          <w:cantSplit/>
        </w:trPr>
        <w:tc>
          <w:tcPr>
            <w:tcW w:w="2551" w:type="dxa"/>
          </w:tcPr>
          <w:p w14:paraId="05045239" w14:textId="77777777" w:rsidR="009B7AF5" w:rsidRPr="005071A1" w:rsidRDefault="002477D1" w:rsidP="002477D1">
            <w:pPr>
              <w:pStyle w:val="ENoteTableText"/>
              <w:tabs>
                <w:tab w:val="center" w:leader="dot" w:pos="2268"/>
              </w:tabs>
            </w:pPr>
            <w:r w:rsidRPr="005071A1">
              <w:t>s.</w:t>
            </w:r>
            <w:r w:rsidR="009B7AF5" w:rsidRPr="005071A1">
              <w:t xml:space="preserve"> 131</w:t>
            </w:r>
            <w:r w:rsidR="009B7AF5" w:rsidRPr="005071A1">
              <w:tab/>
            </w:r>
          </w:p>
        </w:tc>
        <w:tc>
          <w:tcPr>
            <w:tcW w:w="4551" w:type="dxa"/>
          </w:tcPr>
          <w:p w14:paraId="11D31752" w14:textId="77777777" w:rsidR="009B7AF5" w:rsidRPr="005071A1" w:rsidRDefault="009B7AF5" w:rsidP="009B7AF5">
            <w:pPr>
              <w:pStyle w:val="ENoteTableText"/>
            </w:pPr>
            <w:r w:rsidRPr="005071A1">
              <w:t>am. No.</w:t>
            </w:r>
            <w:r w:rsidR="008B2950" w:rsidRPr="005071A1">
              <w:t> </w:t>
            </w:r>
            <w:r w:rsidRPr="005071A1">
              <w:t>19, 1948; No.</w:t>
            </w:r>
            <w:r w:rsidR="008B2950" w:rsidRPr="005071A1">
              <w:t> </w:t>
            </w:r>
            <w:r w:rsidRPr="005071A1">
              <w:t>11, 1954</w:t>
            </w:r>
          </w:p>
        </w:tc>
      </w:tr>
      <w:tr w:rsidR="009B7AF5" w:rsidRPr="005071A1" w14:paraId="5632D69B" w14:textId="77777777" w:rsidTr="00962E93">
        <w:trPr>
          <w:cantSplit/>
        </w:trPr>
        <w:tc>
          <w:tcPr>
            <w:tcW w:w="2551" w:type="dxa"/>
          </w:tcPr>
          <w:p w14:paraId="2B313AB1" w14:textId="77777777" w:rsidR="009B7AF5" w:rsidRPr="005071A1" w:rsidRDefault="009B7AF5" w:rsidP="009B7AF5">
            <w:pPr>
              <w:pStyle w:val="ENoteTableText"/>
            </w:pPr>
          </w:p>
        </w:tc>
        <w:tc>
          <w:tcPr>
            <w:tcW w:w="4551" w:type="dxa"/>
          </w:tcPr>
          <w:p w14:paraId="1AA5657B" w14:textId="77777777" w:rsidR="009B7AF5" w:rsidRPr="005071A1" w:rsidRDefault="009B7AF5" w:rsidP="009B7AF5">
            <w:pPr>
              <w:pStyle w:val="ENoteTableText"/>
            </w:pPr>
            <w:r w:rsidRPr="005071A1">
              <w:t>rs. No.</w:t>
            </w:r>
            <w:r w:rsidR="008B2950" w:rsidRPr="005071A1">
              <w:t> </w:t>
            </w:r>
            <w:r w:rsidRPr="005071A1">
              <w:t>102, 1963</w:t>
            </w:r>
          </w:p>
        </w:tc>
      </w:tr>
      <w:tr w:rsidR="009B7AF5" w:rsidRPr="005071A1" w14:paraId="48A4CCCE" w14:textId="77777777" w:rsidTr="00962E93">
        <w:trPr>
          <w:cantSplit/>
        </w:trPr>
        <w:tc>
          <w:tcPr>
            <w:tcW w:w="2551" w:type="dxa"/>
          </w:tcPr>
          <w:p w14:paraId="775FD79D" w14:textId="77777777" w:rsidR="009B7AF5" w:rsidRPr="005071A1" w:rsidRDefault="009B7AF5" w:rsidP="009B7AF5">
            <w:pPr>
              <w:pStyle w:val="ENoteTableText"/>
            </w:pPr>
          </w:p>
        </w:tc>
        <w:tc>
          <w:tcPr>
            <w:tcW w:w="4551" w:type="dxa"/>
          </w:tcPr>
          <w:p w14:paraId="32DFA409"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63AECEA1" w14:textId="77777777" w:rsidTr="00962E93">
        <w:trPr>
          <w:cantSplit/>
        </w:trPr>
        <w:tc>
          <w:tcPr>
            <w:tcW w:w="2551" w:type="dxa"/>
          </w:tcPr>
          <w:p w14:paraId="7551C503" w14:textId="77777777" w:rsidR="009B7AF5" w:rsidRPr="005071A1" w:rsidRDefault="009B7AF5" w:rsidP="009B7AF5">
            <w:pPr>
              <w:pStyle w:val="ENoteTableText"/>
            </w:pPr>
          </w:p>
        </w:tc>
        <w:tc>
          <w:tcPr>
            <w:tcW w:w="4551" w:type="dxa"/>
          </w:tcPr>
          <w:p w14:paraId="5CFFFD8C"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74B295EB" w14:textId="77777777" w:rsidTr="00962E93">
        <w:trPr>
          <w:cantSplit/>
        </w:trPr>
        <w:tc>
          <w:tcPr>
            <w:tcW w:w="2551" w:type="dxa"/>
          </w:tcPr>
          <w:p w14:paraId="4439F079" w14:textId="77777777" w:rsidR="009B7AF5" w:rsidRPr="005071A1" w:rsidRDefault="002477D1" w:rsidP="002477D1">
            <w:pPr>
              <w:pStyle w:val="ENoteTableText"/>
              <w:tabs>
                <w:tab w:val="center" w:leader="dot" w:pos="2268"/>
              </w:tabs>
            </w:pPr>
            <w:r w:rsidRPr="005071A1">
              <w:t>s.</w:t>
            </w:r>
            <w:r w:rsidR="009B7AF5" w:rsidRPr="005071A1">
              <w:t xml:space="preserve"> 131A</w:t>
            </w:r>
            <w:r w:rsidR="009B7AF5" w:rsidRPr="005071A1">
              <w:tab/>
            </w:r>
          </w:p>
        </w:tc>
        <w:tc>
          <w:tcPr>
            <w:tcW w:w="4551" w:type="dxa"/>
          </w:tcPr>
          <w:p w14:paraId="7DCB20B4"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18E5554A" w14:textId="77777777" w:rsidTr="00962E93">
        <w:trPr>
          <w:cantSplit/>
        </w:trPr>
        <w:tc>
          <w:tcPr>
            <w:tcW w:w="2551" w:type="dxa"/>
          </w:tcPr>
          <w:p w14:paraId="022E5462" w14:textId="77777777" w:rsidR="009B7AF5" w:rsidRPr="005071A1" w:rsidRDefault="009B7AF5" w:rsidP="009B7AF5">
            <w:pPr>
              <w:pStyle w:val="ENoteTableText"/>
            </w:pPr>
          </w:p>
        </w:tc>
        <w:tc>
          <w:tcPr>
            <w:tcW w:w="4551" w:type="dxa"/>
          </w:tcPr>
          <w:p w14:paraId="4667D864"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60ED1A22" w14:textId="77777777" w:rsidTr="00962E93">
        <w:trPr>
          <w:cantSplit/>
        </w:trPr>
        <w:tc>
          <w:tcPr>
            <w:tcW w:w="2551" w:type="dxa"/>
          </w:tcPr>
          <w:p w14:paraId="3105C403" w14:textId="77777777" w:rsidR="009B7AF5" w:rsidRPr="005071A1" w:rsidRDefault="002477D1" w:rsidP="002477D1">
            <w:pPr>
              <w:pStyle w:val="ENoteTableText"/>
              <w:tabs>
                <w:tab w:val="center" w:leader="dot" w:pos="2268"/>
              </w:tabs>
            </w:pPr>
            <w:r w:rsidRPr="005071A1">
              <w:t>s.</w:t>
            </w:r>
            <w:r w:rsidR="009B7AF5" w:rsidRPr="005071A1">
              <w:t xml:space="preserve"> 132</w:t>
            </w:r>
            <w:r w:rsidR="009B7AF5" w:rsidRPr="005071A1">
              <w:tab/>
            </w:r>
          </w:p>
        </w:tc>
        <w:tc>
          <w:tcPr>
            <w:tcW w:w="4551" w:type="dxa"/>
          </w:tcPr>
          <w:p w14:paraId="453D6F8C" w14:textId="77777777" w:rsidR="009B7AF5" w:rsidRPr="005071A1" w:rsidRDefault="009B7AF5" w:rsidP="009B7AF5">
            <w:pPr>
              <w:pStyle w:val="ENoteTableText"/>
            </w:pPr>
            <w:r w:rsidRPr="005071A1">
              <w:t>am. No.</w:t>
            </w:r>
            <w:r w:rsidR="008B2950" w:rsidRPr="005071A1">
              <w:t> </w:t>
            </w:r>
            <w:r w:rsidRPr="005071A1">
              <w:t>53, 1942</w:t>
            </w:r>
          </w:p>
        </w:tc>
      </w:tr>
      <w:tr w:rsidR="009B7AF5" w:rsidRPr="005071A1" w14:paraId="49672566" w14:textId="77777777" w:rsidTr="00962E93">
        <w:trPr>
          <w:cantSplit/>
        </w:trPr>
        <w:tc>
          <w:tcPr>
            <w:tcW w:w="2551" w:type="dxa"/>
          </w:tcPr>
          <w:p w14:paraId="0310871C" w14:textId="77777777" w:rsidR="009B7AF5" w:rsidRPr="005071A1" w:rsidRDefault="009B7AF5" w:rsidP="009B7AF5">
            <w:pPr>
              <w:pStyle w:val="ENoteTableText"/>
            </w:pPr>
          </w:p>
        </w:tc>
        <w:tc>
          <w:tcPr>
            <w:tcW w:w="4551" w:type="dxa"/>
          </w:tcPr>
          <w:p w14:paraId="2C1C0135"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50017934" w14:textId="77777777" w:rsidTr="00962E93">
        <w:trPr>
          <w:cantSplit/>
        </w:trPr>
        <w:tc>
          <w:tcPr>
            <w:tcW w:w="2551" w:type="dxa"/>
          </w:tcPr>
          <w:p w14:paraId="15128E0D" w14:textId="77777777" w:rsidR="009B7AF5" w:rsidRPr="005071A1" w:rsidRDefault="009B7AF5" w:rsidP="009B7AF5">
            <w:pPr>
              <w:pStyle w:val="ENoteTableText"/>
            </w:pPr>
          </w:p>
        </w:tc>
        <w:tc>
          <w:tcPr>
            <w:tcW w:w="4551" w:type="dxa"/>
          </w:tcPr>
          <w:p w14:paraId="03E053F4"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1FA8A94F" w14:textId="77777777" w:rsidTr="00962E93">
        <w:trPr>
          <w:cantSplit/>
        </w:trPr>
        <w:tc>
          <w:tcPr>
            <w:tcW w:w="2551" w:type="dxa"/>
          </w:tcPr>
          <w:p w14:paraId="63939741" w14:textId="77777777" w:rsidR="009B7AF5" w:rsidRPr="005071A1" w:rsidRDefault="002477D1" w:rsidP="002477D1">
            <w:pPr>
              <w:pStyle w:val="ENoteTableText"/>
              <w:tabs>
                <w:tab w:val="center" w:leader="dot" w:pos="2268"/>
              </w:tabs>
            </w:pPr>
            <w:r w:rsidRPr="005071A1">
              <w:t>s.</w:t>
            </w:r>
            <w:r w:rsidR="009B7AF5" w:rsidRPr="005071A1">
              <w:t xml:space="preserve"> 133</w:t>
            </w:r>
            <w:r w:rsidR="009B7AF5" w:rsidRPr="005071A1">
              <w:tab/>
            </w:r>
          </w:p>
        </w:tc>
        <w:tc>
          <w:tcPr>
            <w:tcW w:w="4551" w:type="dxa"/>
          </w:tcPr>
          <w:p w14:paraId="301E90E0"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14D1FB37" w14:textId="77777777" w:rsidTr="00962E93">
        <w:trPr>
          <w:cantSplit/>
        </w:trPr>
        <w:tc>
          <w:tcPr>
            <w:tcW w:w="2551" w:type="dxa"/>
          </w:tcPr>
          <w:p w14:paraId="2473FD90" w14:textId="77777777" w:rsidR="009B7AF5" w:rsidRPr="005071A1" w:rsidRDefault="009B7AF5" w:rsidP="009B7AF5">
            <w:pPr>
              <w:pStyle w:val="ENoteTableText"/>
            </w:pPr>
          </w:p>
        </w:tc>
        <w:tc>
          <w:tcPr>
            <w:tcW w:w="4551" w:type="dxa"/>
          </w:tcPr>
          <w:p w14:paraId="10D34A31"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0A9D9BB4" w14:textId="77777777" w:rsidTr="00962E93">
        <w:trPr>
          <w:cantSplit/>
        </w:trPr>
        <w:tc>
          <w:tcPr>
            <w:tcW w:w="2551" w:type="dxa"/>
          </w:tcPr>
          <w:p w14:paraId="569F3669" w14:textId="77777777" w:rsidR="009B7AF5" w:rsidRPr="005071A1" w:rsidRDefault="002477D1" w:rsidP="002477D1">
            <w:pPr>
              <w:pStyle w:val="ENoteTableText"/>
              <w:tabs>
                <w:tab w:val="center" w:leader="dot" w:pos="2268"/>
              </w:tabs>
            </w:pPr>
            <w:r w:rsidRPr="005071A1">
              <w:t>s.</w:t>
            </w:r>
            <w:r w:rsidR="009B7AF5" w:rsidRPr="005071A1">
              <w:t xml:space="preserve"> 133A</w:t>
            </w:r>
            <w:r w:rsidR="009B7AF5" w:rsidRPr="005071A1">
              <w:tab/>
            </w:r>
          </w:p>
        </w:tc>
        <w:tc>
          <w:tcPr>
            <w:tcW w:w="4551" w:type="dxa"/>
          </w:tcPr>
          <w:p w14:paraId="34F73449"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0C1380E9" w14:textId="77777777" w:rsidTr="00962E93">
        <w:trPr>
          <w:cantSplit/>
        </w:trPr>
        <w:tc>
          <w:tcPr>
            <w:tcW w:w="2551" w:type="dxa"/>
          </w:tcPr>
          <w:p w14:paraId="5B6B114B" w14:textId="77777777" w:rsidR="009B7AF5" w:rsidRPr="005071A1" w:rsidRDefault="004510F0" w:rsidP="009B7AF5">
            <w:pPr>
              <w:pStyle w:val="ENoteTableText"/>
            </w:pPr>
            <w:r>
              <w:rPr>
                <w:b/>
              </w:rPr>
              <w:t>Division 3</w:t>
            </w:r>
          </w:p>
        </w:tc>
        <w:tc>
          <w:tcPr>
            <w:tcW w:w="4551" w:type="dxa"/>
          </w:tcPr>
          <w:p w14:paraId="35836056" w14:textId="77777777" w:rsidR="009B7AF5" w:rsidRPr="005071A1" w:rsidRDefault="009B7AF5" w:rsidP="009B7AF5">
            <w:pPr>
              <w:pStyle w:val="ENoteTableText"/>
            </w:pPr>
          </w:p>
        </w:tc>
      </w:tr>
      <w:tr w:rsidR="0072383A" w:rsidRPr="005071A1" w14:paraId="0180E8C6" w14:textId="77777777" w:rsidTr="00962E93">
        <w:trPr>
          <w:cantSplit/>
        </w:trPr>
        <w:tc>
          <w:tcPr>
            <w:tcW w:w="2551" w:type="dxa"/>
          </w:tcPr>
          <w:p w14:paraId="634530ED" w14:textId="77777777" w:rsidR="0072383A" w:rsidRPr="005071A1" w:rsidRDefault="004510F0" w:rsidP="007C5FA3">
            <w:pPr>
              <w:pStyle w:val="ENoteTableText"/>
              <w:tabs>
                <w:tab w:val="center" w:leader="dot" w:pos="2268"/>
              </w:tabs>
            </w:pPr>
            <w:r>
              <w:t>Division 3</w:t>
            </w:r>
            <w:r w:rsidR="0072383A" w:rsidRPr="005071A1">
              <w:t xml:space="preserve"> heading</w:t>
            </w:r>
            <w:r w:rsidR="0072383A" w:rsidRPr="005071A1">
              <w:tab/>
            </w:r>
          </w:p>
        </w:tc>
        <w:tc>
          <w:tcPr>
            <w:tcW w:w="4551" w:type="dxa"/>
          </w:tcPr>
          <w:p w14:paraId="7072DC78" w14:textId="77777777" w:rsidR="0072383A" w:rsidRPr="005071A1" w:rsidRDefault="008336A1" w:rsidP="009B7AF5">
            <w:pPr>
              <w:pStyle w:val="ENoteTableText"/>
            </w:pPr>
            <w:r w:rsidRPr="005071A1">
              <w:t>am No 38, 2024</w:t>
            </w:r>
          </w:p>
        </w:tc>
      </w:tr>
      <w:tr w:rsidR="009B7AF5" w:rsidRPr="005071A1" w14:paraId="5ACD40AF" w14:textId="77777777" w:rsidTr="00962E93">
        <w:trPr>
          <w:cantSplit/>
        </w:trPr>
        <w:tc>
          <w:tcPr>
            <w:tcW w:w="2551" w:type="dxa"/>
          </w:tcPr>
          <w:p w14:paraId="496EAD1A" w14:textId="77777777" w:rsidR="009B7AF5" w:rsidRPr="005071A1" w:rsidRDefault="002477D1" w:rsidP="002477D1">
            <w:pPr>
              <w:pStyle w:val="ENoteTableText"/>
              <w:tabs>
                <w:tab w:val="center" w:leader="dot" w:pos="2268"/>
              </w:tabs>
            </w:pPr>
            <w:r w:rsidRPr="005071A1">
              <w:t>s</w:t>
            </w:r>
            <w:r w:rsidR="009B7AF5" w:rsidRPr="005071A1">
              <w:t xml:space="preserve"> 133B</w:t>
            </w:r>
            <w:r w:rsidR="009B7AF5" w:rsidRPr="005071A1">
              <w:tab/>
            </w:r>
          </w:p>
        </w:tc>
        <w:tc>
          <w:tcPr>
            <w:tcW w:w="4551" w:type="dxa"/>
          </w:tcPr>
          <w:p w14:paraId="35F388A0" w14:textId="77777777" w:rsidR="009B7AF5" w:rsidRPr="005071A1" w:rsidRDefault="009B7AF5" w:rsidP="009B7AF5">
            <w:pPr>
              <w:pStyle w:val="ENoteTableText"/>
            </w:pPr>
            <w:r w:rsidRPr="005071A1">
              <w:t>ad No</w:t>
            </w:r>
            <w:r w:rsidR="008B2950" w:rsidRPr="005071A1">
              <w:t> </w:t>
            </w:r>
            <w:r w:rsidRPr="005071A1">
              <w:t>58, 2011</w:t>
            </w:r>
          </w:p>
        </w:tc>
      </w:tr>
      <w:tr w:rsidR="008336A1" w:rsidRPr="005071A1" w14:paraId="43651C33" w14:textId="77777777" w:rsidTr="00962E93">
        <w:trPr>
          <w:cantSplit/>
        </w:trPr>
        <w:tc>
          <w:tcPr>
            <w:tcW w:w="2551" w:type="dxa"/>
          </w:tcPr>
          <w:p w14:paraId="0F375C42" w14:textId="77777777" w:rsidR="008336A1" w:rsidRPr="005071A1" w:rsidRDefault="008336A1" w:rsidP="002477D1">
            <w:pPr>
              <w:pStyle w:val="ENoteTableText"/>
              <w:tabs>
                <w:tab w:val="center" w:leader="dot" w:pos="2268"/>
              </w:tabs>
            </w:pPr>
          </w:p>
        </w:tc>
        <w:tc>
          <w:tcPr>
            <w:tcW w:w="4551" w:type="dxa"/>
          </w:tcPr>
          <w:p w14:paraId="59DB0BEB" w14:textId="77777777" w:rsidR="008336A1" w:rsidRPr="005071A1" w:rsidRDefault="008336A1" w:rsidP="009B7AF5">
            <w:pPr>
              <w:pStyle w:val="ENoteTableText"/>
            </w:pPr>
            <w:r w:rsidRPr="005071A1">
              <w:t>am No 38, 2024</w:t>
            </w:r>
          </w:p>
        </w:tc>
      </w:tr>
      <w:tr w:rsidR="009B7AF5" w:rsidRPr="005071A1" w14:paraId="1004DD1A" w14:textId="77777777" w:rsidTr="00962E93">
        <w:trPr>
          <w:cantSplit/>
        </w:trPr>
        <w:tc>
          <w:tcPr>
            <w:tcW w:w="2551" w:type="dxa"/>
          </w:tcPr>
          <w:p w14:paraId="18F7A499" w14:textId="77777777" w:rsidR="009B7AF5" w:rsidRPr="005071A1" w:rsidRDefault="009B7AF5" w:rsidP="009B7AF5">
            <w:pPr>
              <w:pStyle w:val="ENoteTableText"/>
            </w:pPr>
            <w:r w:rsidRPr="005071A1">
              <w:rPr>
                <w:b/>
              </w:rPr>
              <w:t>Part</w:t>
            </w:r>
            <w:r w:rsidR="002477D1" w:rsidRPr="005071A1">
              <w:rPr>
                <w:b/>
              </w:rPr>
              <w:t> </w:t>
            </w:r>
            <w:r w:rsidRPr="005071A1">
              <w:rPr>
                <w:b/>
              </w:rPr>
              <w:t>XII</w:t>
            </w:r>
          </w:p>
        </w:tc>
        <w:tc>
          <w:tcPr>
            <w:tcW w:w="4551" w:type="dxa"/>
          </w:tcPr>
          <w:p w14:paraId="6F7253C7" w14:textId="77777777" w:rsidR="009B7AF5" w:rsidRPr="005071A1" w:rsidRDefault="009B7AF5" w:rsidP="009B7AF5">
            <w:pPr>
              <w:pStyle w:val="ENoteTableText"/>
            </w:pPr>
          </w:p>
        </w:tc>
      </w:tr>
      <w:tr w:rsidR="009B7AF5" w:rsidRPr="005071A1" w14:paraId="3EE3963C" w14:textId="77777777" w:rsidTr="00962E93">
        <w:trPr>
          <w:cantSplit/>
        </w:trPr>
        <w:tc>
          <w:tcPr>
            <w:tcW w:w="2551" w:type="dxa"/>
          </w:tcPr>
          <w:p w14:paraId="25A2DFD3" w14:textId="77777777" w:rsidR="009B7AF5" w:rsidRPr="005071A1" w:rsidRDefault="002477D1" w:rsidP="002477D1">
            <w:pPr>
              <w:pStyle w:val="ENoteTableText"/>
              <w:tabs>
                <w:tab w:val="center" w:leader="dot" w:pos="2268"/>
              </w:tabs>
            </w:pPr>
            <w:r w:rsidRPr="005071A1">
              <w:t>s.</w:t>
            </w:r>
            <w:r w:rsidR="009B7AF5" w:rsidRPr="005071A1">
              <w:t xml:space="preserve"> 133C</w:t>
            </w:r>
            <w:r w:rsidR="009B7AF5" w:rsidRPr="005071A1">
              <w:tab/>
            </w:r>
          </w:p>
        </w:tc>
        <w:tc>
          <w:tcPr>
            <w:tcW w:w="4551" w:type="dxa"/>
          </w:tcPr>
          <w:p w14:paraId="74717006"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508F8500" w14:textId="77777777" w:rsidTr="00962E93">
        <w:trPr>
          <w:cantSplit/>
        </w:trPr>
        <w:tc>
          <w:tcPr>
            <w:tcW w:w="2551" w:type="dxa"/>
          </w:tcPr>
          <w:p w14:paraId="3C073F9C" w14:textId="77777777" w:rsidR="009B7AF5" w:rsidRPr="005071A1" w:rsidRDefault="002477D1" w:rsidP="002477D1">
            <w:pPr>
              <w:pStyle w:val="ENoteTableText"/>
              <w:tabs>
                <w:tab w:val="center" w:leader="dot" w:pos="2268"/>
              </w:tabs>
            </w:pPr>
            <w:r w:rsidRPr="005071A1">
              <w:t>s.</w:t>
            </w:r>
            <w:r w:rsidR="009B7AF5" w:rsidRPr="005071A1">
              <w:t xml:space="preserve"> 134</w:t>
            </w:r>
            <w:r w:rsidR="009B7AF5" w:rsidRPr="005071A1">
              <w:tab/>
            </w:r>
          </w:p>
        </w:tc>
        <w:tc>
          <w:tcPr>
            <w:tcW w:w="4551" w:type="dxa"/>
          </w:tcPr>
          <w:p w14:paraId="7D2005E8" w14:textId="77777777" w:rsidR="009B7AF5" w:rsidRPr="005071A1" w:rsidRDefault="009B7AF5" w:rsidP="009B7AF5">
            <w:pPr>
              <w:pStyle w:val="ENoteTableText"/>
            </w:pPr>
            <w:r w:rsidRPr="005071A1">
              <w:t>am. No.</w:t>
            </w:r>
            <w:r w:rsidR="008B2950" w:rsidRPr="005071A1">
              <w:t> </w:t>
            </w:r>
            <w:r w:rsidRPr="005071A1">
              <w:t>216, 1973</w:t>
            </w:r>
          </w:p>
        </w:tc>
      </w:tr>
      <w:tr w:rsidR="009B7AF5" w:rsidRPr="005071A1" w14:paraId="33A9844E" w14:textId="77777777" w:rsidTr="00962E93">
        <w:trPr>
          <w:cantSplit/>
        </w:trPr>
        <w:tc>
          <w:tcPr>
            <w:tcW w:w="2551" w:type="dxa"/>
          </w:tcPr>
          <w:p w14:paraId="2CEE243F" w14:textId="77777777" w:rsidR="009B7AF5" w:rsidRPr="005071A1" w:rsidRDefault="009B7AF5" w:rsidP="009B7AF5">
            <w:pPr>
              <w:pStyle w:val="ENoteTableText"/>
            </w:pPr>
          </w:p>
        </w:tc>
        <w:tc>
          <w:tcPr>
            <w:tcW w:w="4551" w:type="dxa"/>
          </w:tcPr>
          <w:p w14:paraId="46F15728" w14:textId="77777777" w:rsidR="009B7AF5" w:rsidRPr="005071A1" w:rsidRDefault="009B7AF5" w:rsidP="009B7AF5">
            <w:pPr>
              <w:pStyle w:val="ENoteTableText"/>
            </w:pPr>
            <w:r w:rsidRPr="005071A1">
              <w:t>rep. No.</w:t>
            </w:r>
            <w:r w:rsidR="008B2950" w:rsidRPr="005071A1">
              <w:t> </w:t>
            </w:r>
            <w:r w:rsidRPr="005071A1">
              <w:t>32, 1976</w:t>
            </w:r>
          </w:p>
        </w:tc>
      </w:tr>
      <w:tr w:rsidR="009B7AF5" w:rsidRPr="005071A1" w14:paraId="2F4A8248" w14:textId="77777777" w:rsidTr="00962E93">
        <w:trPr>
          <w:cantSplit/>
        </w:trPr>
        <w:tc>
          <w:tcPr>
            <w:tcW w:w="2551" w:type="dxa"/>
          </w:tcPr>
          <w:p w14:paraId="094577F6" w14:textId="77777777" w:rsidR="009B7AF5" w:rsidRPr="005071A1" w:rsidRDefault="009B7AF5" w:rsidP="009B7AF5">
            <w:pPr>
              <w:pStyle w:val="ENoteTableText"/>
            </w:pPr>
          </w:p>
        </w:tc>
        <w:tc>
          <w:tcPr>
            <w:tcW w:w="4551" w:type="dxa"/>
          </w:tcPr>
          <w:p w14:paraId="4917C0C1" w14:textId="77777777" w:rsidR="009B7AF5" w:rsidRPr="005071A1" w:rsidRDefault="009B7AF5" w:rsidP="009B7AF5">
            <w:pPr>
              <w:pStyle w:val="ENoteTableText"/>
            </w:pPr>
            <w:r w:rsidRPr="005071A1">
              <w:t>ad. No.</w:t>
            </w:r>
            <w:r w:rsidR="008B2950" w:rsidRPr="005071A1">
              <w:t> </w:t>
            </w:r>
            <w:r w:rsidRPr="005071A1">
              <w:t>17, 1978</w:t>
            </w:r>
          </w:p>
        </w:tc>
      </w:tr>
      <w:tr w:rsidR="009B7AF5" w:rsidRPr="005071A1" w14:paraId="31C91F6E" w14:textId="77777777" w:rsidTr="00962E93">
        <w:trPr>
          <w:cantSplit/>
        </w:trPr>
        <w:tc>
          <w:tcPr>
            <w:tcW w:w="2551" w:type="dxa"/>
          </w:tcPr>
          <w:p w14:paraId="5874D9A6" w14:textId="77777777" w:rsidR="009B7AF5" w:rsidRPr="005071A1" w:rsidRDefault="002477D1" w:rsidP="002477D1">
            <w:pPr>
              <w:pStyle w:val="ENoteTableText"/>
              <w:tabs>
                <w:tab w:val="center" w:leader="dot" w:pos="2268"/>
              </w:tabs>
            </w:pPr>
            <w:r w:rsidRPr="005071A1">
              <w:t>s.</w:t>
            </w:r>
            <w:r w:rsidR="009B7AF5" w:rsidRPr="005071A1">
              <w:t xml:space="preserve"> 135</w:t>
            </w:r>
            <w:r w:rsidR="009B7AF5" w:rsidRPr="005071A1">
              <w:tab/>
            </w:r>
          </w:p>
        </w:tc>
        <w:tc>
          <w:tcPr>
            <w:tcW w:w="4551" w:type="dxa"/>
          </w:tcPr>
          <w:p w14:paraId="15CE98D0" w14:textId="77777777" w:rsidR="009B7AF5" w:rsidRPr="005071A1" w:rsidRDefault="009B7AF5" w:rsidP="009B7AF5">
            <w:pPr>
              <w:pStyle w:val="ENoteTableText"/>
            </w:pPr>
            <w:r w:rsidRPr="005071A1">
              <w:t>ad. No.</w:t>
            </w:r>
            <w:r w:rsidR="008B2950" w:rsidRPr="005071A1">
              <w:t> </w:t>
            </w:r>
            <w:r w:rsidRPr="005071A1">
              <w:t>53, 1942</w:t>
            </w:r>
          </w:p>
        </w:tc>
      </w:tr>
      <w:tr w:rsidR="009B7AF5" w:rsidRPr="005071A1" w14:paraId="4FBB9581" w14:textId="77777777" w:rsidTr="00962E93">
        <w:trPr>
          <w:cantSplit/>
        </w:trPr>
        <w:tc>
          <w:tcPr>
            <w:tcW w:w="2551" w:type="dxa"/>
          </w:tcPr>
          <w:p w14:paraId="0BC79DD3" w14:textId="77777777" w:rsidR="009B7AF5" w:rsidRPr="005071A1" w:rsidRDefault="009B7AF5" w:rsidP="009B7AF5">
            <w:pPr>
              <w:pStyle w:val="ENoteTableText"/>
            </w:pPr>
          </w:p>
        </w:tc>
        <w:tc>
          <w:tcPr>
            <w:tcW w:w="4551" w:type="dxa"/>
          </w:tcPr>
          <w:p w14:paraId="03FE597C" w14:textId="77777777" w:rsidR="009B7AF5" w:rsidRPr="005071A1" w:rsidRDefault="009B7AF5" w:rsidP="009B7AF5">
            <w:pPr>
              <w:pStyle w:val="ENoteTableText"/>
            </w:pPr>
            <w:r w:rsidRPr="005071A1">
              <w:t>am. No.</w:t>
            </w:r>
            <w:r w:rsidR="008B2950" w:rsidRPr="005071A1">
              <w:t> </w:t>
            </w:r>
            <w:r w:rsidRPr="005071A1">
              <w:t>15, 1945; No.</w:t>
            </w:r>
            <w:r w:rsidR="008B2950" w:rsidRPr="005071A1">
              <w:t> </w:t>
            </w:r>
            <w:r w:rsidRPr="005071A1">
              <w:t>102, 1963; No.</w:t>
            </w:r>
            <w:r w:rsidR="008B2950" w:rsidRPr="005071A1">
              <w:t> </w:t>
            </w:r>
            <w:r w:rsidRPr="005071A1">
              <w:t>17, 1978</w:t>
            </w:r>
          </w:p>
        </w:tc>
      </w:tr>
      <w:tr w:rsidR="009B7AF5" w:rsidRPr="005071A1" w14:paraId="34747986" w14:textId="77777777" w:rsidTr="00962E93">
        <w:trPr>
          <w:cantSplit/>
        </w:trPr>
        <w:tc>
          <w:tcPr>
            <w:tcW w:w="2551" w:type="dxa"/>
          </w:tcPr>
          <w:p w14:paraId="6A635D30" w14:textId="77777777" w:rsidR="009B7AF5" w:rsidRPr="005071A1" w:rsidRDefault="002477D1" w:rsidP="002477D1">
            <w:pPr>
              <w:pStyle w:val="ENoteTableText"/>
              <w:tabs>
                <w:tab w:val="center" w:leader="dot" w:pos="2268"/>
              </w:tabs>
            </w:pPr>
            <w:r w:rsidRPr="005071A1">
              <w:t>s.</w:t>
            </w:r>
            <w:r w:rsidR="009B7AF5" w:rsidRPr="005071A1">
              <w:t xml:space="preserve"> 136</w:t>
            </w:r>
            <w:r w:rsidR="009B7AF5" w:rsidRPr="005071A1">
              <w:tab/>
            </w:r>
          </w:p>
        </w:tc>
        <w:tc>
          <w:tcPr>
            <w:tcW w:w="4551" w:type="dxa"/>
          </w:tcPr>
          <w:p w14:paraId="00FAE6CA"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13CD3612" w14:textId="77777777" w:rsidTr="00962E93">
        <w:trPr>
          <w:cantSplit/>
        </w:trPr>
        <w:tc>
          <w:tcPr>
            <w:tcW w:w="2551" w:type="dxa"/>
          </w:tcPr>
          <w:p w14:paraId="7366CE9D" w14:textId="77777777" w:rsidR="009B7AF5" w:rsidRPr="005071A1" w:rsidRDefault="002477D1" w:rsidP="002477D1">
            <w:pPr>
              <w:pStyle w:val="ENoteTableText"/>
              <w:tabs>
                <w:tab w:val="center" w:leader="dot" w:pos="2268"/>
              </w:tabs>
            </w:pPr>
            <w:r w:rsidRPr="005071A1">
              <w:t>s.</w:t>
            </w:r>
            <w:r w:rsidR="009B7AF5" w:rsidRPr="005071A1">
              <w:t xml:space="preserve"> 136A</w:t>
            </w:r>
            <w:r w:rsidR="009B7AF5" w:rsidRPr="005071A1">
              <w:tab/>
            </w:r>
          </w:p>
        </w:tc>
        <w:tc>
          <w:tcPr>
            <w:tcW w:w="4551" w:type="dxa"/>
          </w:tcPr>
          <w:p w14:paraId="4A114692" w14:textId="77777777" w:rsidR="009B7AF5" w:rsidRPr="005071A1" w:rsidRDefault="009B7AF5" w:rsidP="009B7AF5">
            <w:pPr>
              <w:pStyle w:val="ENoteTableText"/>
            </w:pPr>
            <w:r w:rsidRPr="005071A1">
              <w:t>ad. No.</w:t>
            </w:r>
            <w:r w:rsidR="008B2950" w:rsidRPr="005071A1">
              <w:t> </w:t>
            </w:r>
            <w:r w:rsidRPr="005071A1">
              <w:t>187, 1992</w:t>
            </w:r>
          </w:p>
        </w:tc>
      </w:tr>
      <w:tr w:rsidR="009B7AF5" w:rsidRPr="005071A1" w14:paraId="0308F3B0" w14:textId="77777777" w:rsidTr="00962E93">
        <w:trPr>
          <w:cantSplit/>
        </w:trPr>
        <w:tc>
          <w:tcPr>
            <w:tcW w:w="2551" w:type="dxa"/>
          </w:tcPr>
          <w:p w14:paraId="429FFAA6" w14:textId="77777777" w:rsidR="009B7AF5" w:rsidRPr="005071A1" w:rsidRDefault="002477D1" w:rsidP="002477D1">
            <w:pPr>
              <w:pStyle w:val="ENoteTableText"/>
              <w:tabs>
                <w:tab w:val="center" w:leader="dot" w:pos="2268"/>
              </w:tabs>
            </w:pPr>
            <w:r w:rsidRPr="005071A1">
              <w:t>s.</w:t>
            </w:r>
            <w:r w:rsidR="009B7AF5" w:rsidRPr="005071A1">
              <w:t xml:space="preserve"> 137</w:t>
            </w:r>
            <w:r w:rsidR="009B7AF5" w:rsidRPr="005071A1">
              <w:tab/>
            </w:r>
          </w:p>
        </w:tc>
        <w:tc>
          <w:tcPr>
            <w:tcW w:w="4551" w:type="dxa"/>
          </w:tcPr>
          <w:p w14:paraId="0E5F8F4B"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733C0865" w14:textId="77777777" w:rsidTr="00962E93">
        <w:trPr>
          <w:cantSplit/>
        </w:trPr>
        <w:tc>
          <w:tcPr>
            <w:tcW w:w="2551" w:type="dxa"/>
          </w:tcPr>
          <w:p w14:paraId="09794656" w14:textId="77777777" w:rsidR="009B7AF5" w:rsidRPr="005071A1" w:rsidRDefault="002477D1" w:rsidP="002477D1">
            <w:pPr>
              <w:pStyle w:val="ENoteTableText"/>
              <w:tabs>
                <w:tab w:val="center" w:leader="dot" w:pos="2268"/>
              </w:tabs>
            </w:pPr>
            <w:r w:rsidRPr="005071A1">
              <w:t>s.</w:t>
            </w:r>
            <w:r w:rsidR="009B7AF5" w:rsidRPr="005071A1">
              <w:t xml:space="preserve"> 138</w:t>
            </w:r>
            <w:r w:rsidR="009B7AF5" w:rsidRPr="005071A1">
              <w:tab/>
            </w:r>
          </w:p>
        </w:tc>
        <w:tc>
          <w:tcPr>
            <w:tcW w:w="4551" w:type="dxa"/>
          </w:tcPr>
          <w:p w14:paraId="0C8C08D8"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7833766A" w14:textId="77777777" w:rsidTr="00962E93">
        <w:trPr>
          <w:cantSplit/>
        </w:trPr>
        <w:tc>
          <w:tcPr>
            <w:tcW w:w="2551" w:type="dxa"/>
          </w:tcPr>
          <w:p w14:paraId="611AF5A4" w14:textId="77777777" w:rsidR="009B7AF5" w:rsidRPr="005071A1" w:rsidRDefault="009B7AF5" w:rsidP="009B7AF5">
            <w:pPr>
              <w:pStyle w:val="ENoteTableText"/>
            </w:pPr>
          </w:p>
        </w:tc>
        <w:tc>
          <w:tcPr>
            <w:tcW w:w="4551" w:type="dxa"/>
          </w:tcPr>
          <w:p w14:paraId="624E7D8D" w14:textId="77777777" w:rsidR="009B7AF5" w:rsidRPr="005071A1" w:rsidRDefault="009B7AF5" w:rsidP="009B7AF5">
            <w:pPr>
              <w:pStyle w:val="ENoteTableText"/>
            </w:pPr>
            <w:r w:rsidRPr="005071A1">
              <w:t>am. No.</w:t>
            </w:r>
            <w:r w:rsidR="008B2950" w:rsidRPr="005071A1">
              <w:t> </w:t>
            </w:r>
            <w:r w:rsidRPr="005071A1">
              <w:t>26, 1969; No.</w:t>
            </w:r>
            <w:r w:rsidR="008B2950" w:rsidRPr="005071A1">
              <w:t> </w:t>
            </w:r>
            <w:r w:rsidRPr="005071A1">
              <w:t>17, 1978</w:t>
            </w:r>
          </w:p>
        </w:tc>
      </w:tr>
      <w:tr w:rsidR="009B7AF5" w:rsidRPr="005071A1" w14:paraId="36965176" w14:textId="77777777" w:rsidTr="00962E93">
        <w:trPr>
          <w:cantSplit/>
        </w:trPr>
        <w:tc>
          <w:tcPr>
            <w:tcW w:w="2551" w:type="dxa"/>
          </w:tcPr>
          <w:p w14:paraId="6952CBCC" w14:textId="77777777" w:rsidR="009B7AF5" w:rsidRPr="005071A1" w:rsidRDefault="002477D1" w:rsidP="002477D1">
            <w:pPr>
              <w:pStyle w:val="ENoteTableText"/>
              <w:tabs>
                <w:tab w:val="center" w:leader="dot" w:pos="2268"/>
              </w:tabs>
            </w:pPr>
            <w:r w:rsidRPr="005071A1">
              <w:t>s.</w:t>
            </w:r>
            <w:r w:rsidR="009B7AF5" w:rsidRPr="005071A1">
              <w:t xml:space="preserve"> 139</w:t>
            </w:r>
            <w:r w:rsidR="009B7AF5" w:rsidRPr="005071A1">
              <w:tab/>
            </w:r>
          </w:p>
        </w:tc>
        <w:tc>
          <w:tcPr>
            <w:tcW w:w="4551" w:type="dxa"/>
          </w:tcPr>
          <w:p w14:paraId="286144BA"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37F18B05" w14:textId="77777777" w:rsidTr="00962E93">
        <w:trPr>
          <w:cantSplit/>
        </w:trPr>
        <w:tc>
          <w:tcPr>
            <w:tcW w:w="2551" w:type="dxa"/>
          </w:tcPr>
          <w:p w14:paraId="3FBFF70E" w14:textId="77777777" w:rsidR="009B7AF5" w:rsidRPr="005071A1" w:rsidRDefault="002477D1" w:rsidP="002477D1">
            <w:pPr>
              <w:pStyle w:val="ENoteTableText"/>
              <w:tabs>
                <w:tab w:val="center" w:leader="dot" w:pos="2268"/>
              </w:tabs>
            </w:pPr>
            <w:r w:rsidRPr="005071A1">
              <w:t>s.</w:t>
            </w:r>
            <w:r w:rsidR="009B7AF5" w:rsidRPr="005071A1">
              <w:t xml:space="preserve"> 140</w:t>
            </w:r>
            <w:r w:rsidR="009B7AF5" w:rsidRPr="005071A1">
              <w:tab/>
            </w:r>
          </w:p>
        </w:tc>
        <w:tc>
          <w:tcPr>
            <w:tcW w:w="4551" w:type="dxa"/>
          </w:tcPr>
          <w:p w14:paraId="4275B019" w14:textId="77777777" w:rsidR="009B7AF5" w:rsidRPr="005071A1" w:rsidRDefault="009B7AF5" w:rsidP="009B7AF5">
            <w:pPr>
              <w:pStyle w:val="ENoteTableText"/>
            </w:pPr>
            <w:r w:rsidRPr="005071A1">
              <w:t>am. No.</w:t>
            </w:r>
            <w:r w:rsidR="008B2950" w:rsidRPr="005071A1">
              <w:t> </w:t>
            </w:r>
            <w:r w:rsidRPr="005071A1">
              <w:t>45, 1924; No.</w:t>
            </w:r>
            <w:r w:rsidR="008B2950" w:rsidRPr="005071A1">
              <w:t> </w:t>
            </w:r>
            <w:r w:rsidRPr="005071A1">
              <w:t>53, 1942; No.</w:t>
            </w:r>
            <w:r w:rsidR="008B2950" w:rsidRPr="005071A1">
              <w:t> </w:t>
            </w:r>
            <w:r w:rsidRPr="005071A1">
              <w:t>19, 1948</w:t>
            </w:r>
          </w:p>
        </w:tc>
      </w:tr>
      <w:tr w:rsidR="009B7AF5" w:rsidRPr="005071A1" w14:paraId="67BA0DE3" w14:textId="77777777" w:rsidTr="00962E93">
        <w:trPr>
          <w:cantSplit/>
        </w:trPr>
        <w:tc>
          <w:tcPr>
            <w:tcW w:w="2551" w:type="dxa"/>
          </w:tcPr>
          <w:p w14:paraId="486F13C9" w14:textId="77777777" w:rsidR="009B7AF5" w:rsidRPr="005071A1" w:rsidRDefault="002477D1" w:rsidP="002477D1">
            <w:pPr>
              <w:pStyle w:val="ENoteTableText"/>
              <w:tabs>
                <w:tab w:val="center" w:leader="dot" w:pos="2268"/>
              </w:tabs>
            </w:pPr>
            <w:r w:rsidRPr="005071A1">
              <w:t>s.</w:t>
            </w:r>
            <w:r w:rsidR="009B7AF5" w:rsidRPr="005071A1">
              <w:t xml:space="preserve"> 141</w:t>
            </w:r>
            <w:r w:rsidR="009B7AF5" w:rsidRPr="005071A1">
              <w:tab/>
            </w:r>
          </w:p>
        </w:tc>
        <w:tc>
          <w:tcPr>
            <w:tcW w:w="4551" w:type="dxa"/>
          </w:tcPr>
          <w:p w14:paraId="6856DF1B" w14:textId="77777777" w:rsidR="009B7AF5" w:rsidRPr="005071A1" w:rsidRDefault="009B7AF5" w:rsidP="009B7AF5">
            <w:pPr>
              <w:pStyle w:val="ENoteTableText"/>
            </w:pPr>
            <w:r w:rsidRPr="005071A1">
              <w:t>rep. No.</w:t>
            </w:r>
            <w:r w:rsidR="008B2950" w:rsidRPr="005071A1">
              <w:t> </w:t>
            </w:r>
            <w:r w:rsidRPr="005071A1">
              <w:t>17, 1978</w:t>
            </w:r>
          </w:p>
        </w:tc>
      </w:tr>
      <w:tr w:rsidR="009B7AF5" w:rsidRPr="005071A1" w14:paraId="0A8A2B9F" w14:textId="77777777" w:rsidTr="00962E93">
        <w:trPr>
          <w:cantSplit/>
        </w:trPr>
        <w:tc>
          <w:tcPr>
            <w:tcW w:w="2551" w:type="dxa"/>
          </w:tcPr>
          <w:p w14:paraId="67B399B3" w14:textId="77777777" w:rsidR="009B7AF5" w:rsidRPr="005071A1" w:rsidRDefault="002477D1" w:rsidP="002477D1">
            <w:pPr>
              <w:pStyle w:val="ENoteTableText"/>
              <w:tabs>
                <w:tab w:val="center" w:leader="dot" w:pos="2268"/>
              </w:tabs>
            </w:pPr>
            <w:r w:rsidRPr="005071A1">
              <w:t>s.</w:t>
            </w:r>
            <w:r w:rsidR="009B7AF5" w:rsidRPr="005071A1">
              <w:t xml:space="preserve"> 142</w:t>
            </w:r>
            <w:r w:rsidR="009B7AF5" w:rsidRPr="005071A1">
              <w:tab/>
            </w:r>
          </w:p>
        </w:tc>
        <w:tc>
          <w:tcPr>
            <w:tcW w:w="4551" w:type="dxa"/>
          </w:tcPr>
          <w:p w14:paraId="701C58DE" w14:textId="77777777" w:rsidR="009B7AF5" w:rsidRPr="005071A1" w:rsidRDefault="009B7AF5" w:rsidP="009B7AF5">
            <w:pPr>
              <w:pStyle w:val="ENoteTableText"/>
            </w:pPr>
            <w:r w:rsidRPr="005071A1">
              <w:t>am. No.</w:t>
            </w:r>
            <w:r w:rsidR="008B2950" w:rsidRPr="005071A1">
              <w:t> </w:t>
            </w:r>
            <w:r w:rsidRPr="005071A1">
              <w:t>53, 1942; No.</w:t>
            </w:r>
            <w:r w:rsidR="008B2950" w:rsidRPr="005071A1">
              <w:t> </w:t>
            </w:r>
            <w:r w:rsidRPr="005071A1">
              <w:t>154, 1965; No.</w:t>
            </w:r>
            <w:r w:rsidR="008B2950" w:rsidRPr="005071A1">
              <w:t> </w:t>
            </w:r>
            <w:r w:rsidRPr="005071A1">
              <w:t>17, 1978</w:t>
            </w:r>
            <w:r w:rsidR="00A11EB9" w:rsidRPr="005071A1">
              <w:t>; No 4, 2016</w:t>
            </w:r>
            <w:r w:rsidR="002E26DD" w:rsidRPr="005071A1">
              <w:t>; No 61, 2016</w:t>
            </w:r>
          </w:p>
        </w:tc>
      </w:tr>
      <w:tr w:rsidR="009B7AF5" w:rsidRPr="005071A1" w14:paraId="61CF171C" w14:textId="77777777" w:rsidTr="00962E93">
        <w:trPr>
          <w:cantSplit/>
        </w:trPr>
        <w:tc>
          <w:tcPr>
            <w:tcW w:w="2551" w:type="dxa"/>
          </w:tcPr>
          <w:p w14:paraId="71B826AF" w14:textId="77777777" w:rsidR="009B7AF5" w:rsidRPr="005071A1" w:rsidRDefault="002477D1" w:rsidP="002477D1">
            <w:pPr>
              <w:pStyle w:val="ENoteTableText"/>
              <w:tabs>
                <w:tab w:val="center" w:leader="dot" w:pos="2268"/>
              </w:tabs>
            </w:pPr>
            <w:r w:rsidRPr="005071A1">
              <w:t>s.</w:t>
            </w:r>
            <w:r w:rsidR="009B7AF5" w:rsidRPr="005071A1">
              <w:t xml:space="preserve"> 143</w:t>
            </w:r>
            <w:r w:rsidR="009B7AF5" w:rsidRPr="005071A1">
              <w:tab/>
            </w:r>
          </w:p>
        </w:tc>
        <w:tc>
          <w:tcPr>
            <w:tcW w:w="4551" w:type="dxa"/>
          </w:tcPr>
          <w:p w14:paraId="40B1030E" w14:textId="77777777" w:rsidR="009B7AF5" w:rsidRPr="005071A1" w:rsidRDefault="009B7AF5" w:rsidP="009B7AF5">
            <w:pPr>
              <w:pStyle w:val="ENoteTableText"/>
            </w:pPr>
            <w:r w:rsidRPr="005071A1">
              <w:t>rs. No.</w:t>
            </w:r>
            <w:r w:rsidR="008B2950" w:rsidRPr="005071A1">
              <w:t> </w:t>
            </w:r>
            <w:r w:rsidRPr="005071A1">
              <w:t>97, 1965</w:t>
            </w:r>
          </w:p>
        </w:tc>
      </w:tr>
      <w:tr w:rsidR="009B7AF5" w:rsidRPr="005071A1" w14:paraId="0DC7B8EB" w14:textId="77777777" w:rsidTr="00962E93">
        <w:trPr>
          <w:cantSplit/>
        </w:trPr>
        <w:tc>
          <w:tcPr>
            <w:tcW w:w="2551" w:type="dxa"/>
          </w:tcPr>
          <w:p w14:paraId="60B68402" w14:textId="77777777" w:rsidR="009B7AF5" w:rsidRPr="005071A1" w:rsidRDefault="009B7AF5" w:rsidP="009B7AF5">
            <w:pPr>
              <w:pStyle w:val="ENoteTableText"/>
            </w:pPr>
          </w:p>
        </w:tc>
        <w:tc>
          <w:tcPr>
            <w:tcW w:w="4551" w:type="dxa"/>
          </w:tcPr>
          <w:p w14:paraId="54F31DB6" w14:textId="77777777" w:rsidR="009B7AF5" w:rsidRPr="005071A1" w:rsidRDefault="009B7AF5" w:rsidP="009B7AF5">
            <w:pPr>
              <w:pStyle w:val="ENoteTableText"/>
            </w:pPr>
            <w:r w:rsidRPr="005071A1">
              <w:t>am. No.</w:t>
            </w:r>
            <w:r w:rsidR="008B2950" w:rsidRPr="005071A1">
              <w:t> </w:t>
            </w:r>
            <w:r w:rsidRPr="005071A1">
              <w:t>32, 1976; No.</w:t>
            </w:r>
            <w:r w:rsidR="008B2950" w:rsidRPr="005071A1">
              <w:t> </w:t>
            </w:r>
            <w:r w:rsidRPr="005071A1">
              <w:t>17, 1978</w:t>
            </w:r>
          </w:p>
        </w:tc>
      </w:tr>
      <w:tr w:rsidR="009B7AF5" w:rsidRPr="005071A1" w14:paraId="1380AB94" w14:textId="77777777" w:rsidTr="00962E93">
        <w:trPr>
          <w:cantSplit/>
        </w:trPr>
        <w:tc>
          <w:tcPr>
            <w:tcW w:w="2551" w:type="dxa"/>
          </w:tcPr>
          <w:p w14:paraId="420DD521" w14:textId="77777777" w:rsidR="009B7AF5" w:rsidRPr="005071A1" w:rsidRDefault="002477D1" w:rsidP="002477D1">
            <w:pPr>
              <w:pStyle w:val="ENoteTableText"/>
              <w:tabs>
                <w:tab w:val="center" w:leader="dot" w:pos="2268"/>
              </w:tabs>
            </w:pPr>
            <w:r w:rsidRPr="005071A1">
              <w:t>s.</w:t>
            </w:r>
            <w:r w:rsidR="009B7AF5" w:rsidRPr="005071A1">
              <w:t xml:space="preserve"> 143A</w:t>
            </w:r>
            <w:r w:rsidR="009B7AF5" w:rsidRPr="005071A1">
              <w:tab/>
            </w:r>
          </w:p>
        </w:tc>
        <w:tc>
          <w:tcPr>
            <w:tcW w:w="4551" w:type="dxa"/>
          </w:tcPr>
          <w:p w14:paraId="27B630F3"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29267913" w14:textId="77777777" w:rsidTr="00962E93">
        <w:trPr>
          <w:cantSplit/>
        </w:trPr>
        <w:tc>
          <w:tcPr>
            <w:tcW w:w="2551" w:type="dxa"/>
          </w:tcPr>
          <w:p w14:paraId="4A430350" w14:textId="77777777" w:rsidR="009B7AF5" w:rsidRPr="005071A1" w:rsidRDefault="009B7AF5" w:rsidP="009B7AF5">
            <w:pPr>
              <w:pStyle w:val="ENoteTableText"/>
            </w:pPr>
          </w:p>
        </w:tc>
        <w:tc>
          <w:tcPr>
            <w:tcW w:w="4551" w:type="dxa"/>
          </w:tcPr>
          <w:p w14:paraId="07E2F6E6" w14:textId="77777777" w:rsidR="009B7AF5" w:rsidRPr="005071A1" w:rsidRDefault="009B7AF5" w:rsidP="009B7AF5">
            <w:pPr>
              <w:pStyle w:val="ENoteTableText"/>
            </w:pPr>
            <w:r w:rsidRPr="005071A1">
              <w:t>am. No.</w:t>
            </w:r>
            <w:r w:rsidR="008B2950" w:rsidRPr="005071A1">
              <w:t> </w:t>
            </w:r>
            <w:r w:rsidRPr="005071A1">
              <w:t>154, 1965; No.</w:t>
            </w:r>
            <w:r w:rsidR="008B2950" w:rsidRPr="005071A1">
              <w:t> </w:t>
            </w:r>
            <w:r w:rsidRPr="005071A1">
              <w:t>32, 1976; No.</w:t>
            </w:r>
            <w:r w:rsidR="008B2950" w:rsidRPr="005071A1">
              <w:t> </w:t>
            </w:r>
            <w:r w:rsidRPr="005071A1">
              <w:t>17, 1978; No.</w:t>
            </w:r>
            <w:r w:rsidR="008B2950" w:rsidRPr="005071A1">
              <w:t> </w:t>
            </w:r>
            <w:r w:rsidRPr="005071A1">
              <w:t>109, 2001</w:t>
            </w:r>
          </w:p>
        </w:tc>
      </w:tr>
      <w:tr w:rsidR="009B7AF5" w:rsidRPr="005071A1" w14:paraId="52156D91" w14:textId="77777777" w:rsidTr="00962E93">
        <w:trPr>
          <w:cantSplit/>
        </w:trPr>
        <w:tc>
          <w:tcPr>
            <w:tcW w:w="2551" w:type="dxa"/>
          </w:tcPr>
          <w:p w14:paraId="43FF8520" w14:textId="77777777" w:rsidR="009B7AF5" w:rsidRPr="005071A1" w:rsidRDefault="002477D1" w:rsidP="002477D1">
            <w:pPr>
              <w:pStyle w:val="ENoteTableText"/>
              <w:tabs>
                <w:tab w:val="center" w:leader="dot" w:pos="2268"/>
              </w:tabs>
            </w:pPr>
            <w:r w:rsidRPr="005071A1">
              <w:t>s.</w:t>
            </w:r>
            <w:r w:rsidR="009B7AF5" w:rsidRPr="005071A1">
              <w:t xml:space="preserve"> 144</w:t>
            </w:r>
            <w:r w:rsidR="009B7AF5" w:rsidRPr="005071A1">
              <w:tab/>
            </w:r>
          </w:p>
        </w:tc>
        <w:tc>
          <w:tcPr>
            <w:tcW w:w="4551" w:type="dxa"/>
          </w:tcPr>
          <w:p w14:paraId="3CA2F172" w14:textId="77777777" w:rsidR="009B7AF5" w:rsidRPr="005071A1" w:rsidRDefault="009B7AF5" w:rsidP="009B7AF5">
            <w:pPr>
              <w:pStyle w:val="ENoteTableText"/>
            </w:pPr>
            <w:r w:rsidRPr="005071A1">
              <w:t>ad. No.</w:t>
            </w:r>
            <w:r w:rsidR="008B2950" w:rsidRPr="005071A1">
              <w:t> </w:t>
            </w:r>
            <w:r w:rsidRPr="005071A1">
              <w:t>28, 1937</w:t>
            </w:r>
          </w:p>
        </w:tc>
      </w:tr>
      <w:tr w:rsidR="009B7AF5" w:rsidRPr="005071A1" w14:paraId="28D10921" w14:textId="77777777" w:rsidTr="00962E93">
        <w:trPr>
          <w:cantSplit/>
        </w:trPr>
        <w:tc>
          <w:tcPr>
            <w:tcW w:w="2551" w:type="dxa"/>
          </w:tcPr>
          <w:p w14:paraId="1B1934A3" w14:textId="77777777" w:rsidR="009B7AF5" w:rsidRPr="005071A1" w:rsidRDefault="009B7AF5" w:rsidP="009B7AF5">
            <w:pPr>
              <w:pStyle w:val="ENoteTableText"/>
            </w:pPr>
          </w:p>
        </w:tc>
        <w:tc>
          <w:tcPr>
            <w:tcW w:w="4551" w:type="dxa"/>
          </w:tcPr>
          <w:p w14:paraId="31050657" w14:textId="77777777" w:rsidR="009B7AF5" w:rsidRPr="005071A1" w:rsidRDefault="009B7AF5" w:rsidP="009B7AF5">
            <w:pPr>
              <w:pStyle w:val="ENoteTableText"/>
            </w:pPr>
            <w:r w:rsidRPr="005071A1">
              <w:t>am. No.</w:t>
            </w:r>
            <w:r w:rsidR="008B2950" w:rsidRPr="005071A1">
              <w:t> </w:t>
            </w:r>
            <w:r w:rsidRPr="005071A1">
              <w:t>35, 1947; No.</w:t>
            </w:r>
            <w:r w:rsidR="008B2950" w:rsidRPr="005071A1">
              <w:t> </w:t>
            </w:r>
            <w:r w:rsidRPr="005071A1">
              <w:t>154, 1965; No.</w:t>
            </w:r>
            <w:r w:rsidR="008B2950" w:rsidRPr="005071A1">
              <w:t> </w:t>
            </w:r>
            <w:r w:rsidRPr="005071A1">
              <w:t>17, 1978</w:t>
            </w:r>
          </w:p>
        </w:tc>
      </w:tr>
      <w:tr w:rsidR="009B7AF5" w:rsidRPr="005071A1" w14:paraId="42C2DC78" w14:textId="77777777" w:rsidTr="00962E93">
        <w:trPr>
          <w:cantSplit/>
        </w:trPr>
        <w:tc>
          <w:tcPr>
            <w:tcW w:w="2551" w:type="dxa"/>
          </w:tcPr>
          <w:p w14:paraId="76580270" w14:textId="77777777" w:rsidR="009B7AF5" w:rsidRPr="005071A1" w:rsidRDefault="002477D1" w:rsidP="002477D1">
            <w:pPr>
              <w:pStyle w:val="ENoteTableText"/>
              <w:tabs>
                <w:tab w:val="center" w:leader="dot" w:pos="2268"/>
              </w:tabs>
            </w:pPr>
            <w:r w:rsidRPr="005071A1">
              <w:t>s.</w:t>
            </w:r>
            <w:r w:rsidR="009B7AF5" w:rsidRPr="005071A1">
              <w:t xml:space="preserve"> 145</w:t>
            </w:r>
            <w:r w:rsidR="009B7AF5" w:rsidRPr="005071A1">
              <w:tab/>
            </w:r>
          </w:p>
        </w:tc>
        <w:tc>
          <w:tcPr>
            <w:tcW w:w="4551" w:type="dxa"/>
          </w:tcPr>
          <w:p w14:paraId="29627F85" w14:textId="77777777" w:rsidR="009B7AF5" w:rsidRPr="005071A1" w:rsidRDefault="009B7AF5" w:rsidP="009B7AF5">
            <w:pPr>
              <w:pStyle w:val="ENoteTableText"/>
            </w:pPr>
            <w:r w:rsidRPr="005071A1">
              <w:t>ad. No.</w:t>
            </w:r>
            <w:r w:rsidR="008B2950" w:rsidRPr="005071A1">
              <w:t> </w:t>
            </w:r>
            <w:r w:rsidRPr="005071A1">
              <w:t>53, 1942</w:t>
            </w:r>
          </w:p>
        </w:tc>
      </w:tr>
      <w:tr w:rsidR="009B7AF5" w:rsidRPr="005071A1" w14:paraId="173DABA4" w14:textId="77777777" w:rsidTr="00962E93">
        <w:trPr>
          <w:cantSplit/>
        </w:trPr>
        <w:tc>
          <w:tcPr>
            <w:tcW w:w="2551" w:type="dxa"/>
          </w:tcPr>
          <w:p w14:paraId="4890C88D" w14:textId="77777777" w:rsidR="009B7AF5" w:rsidRPr="005071A1" w:rsidRDefault="009B7AF5" w:rsidP="009B7AF5">
            <w:pPr>
              <w:pStyle w:val="ENoteTableText"/>
            </w:pPr>
          </w:p>
        </w:tc>
        <w:tc>
          <w:tcPr>
            <w:tcW w:w="4551" w:type="dxa"/>
          </w:tcPr>
          <w:p w14:paraId="756AA4B5" w14:textId="77777777" w:rsidR="009B7AF5" w:rsidRPr="005071A1" w:rsidRDefault="009B7AF5" w:rsidP="009B7AF5">
            <w:pPr>
              <w:pStyle w:val="ENoteTableText"/>
            </w:pPr>
            <w:r w:rsidRPr="005071A1">
              <w:t>rs. No.</w:t>
            </w:r>
            <w:r w:rsidR="008B2950" w:rsidRPr="005071A1">
              <w:t> </w:t>
            </w:r>
            <w:r w:rsidRPr="005071A1">
              <w:t>35, 1947</w:t>
            </w:r>
          </w:p>
        </w:tc>
      </w:tr>
      <w:tr w:rsidR="009B7AF5" w:rsidRPr="005071A1" w14:paraId="5FD160E0" w14:textId="77777777" w:rsidTr="00962E93">
        <w:trPr>
          <w:cantSplit/>
        </w:trPr>
        <w:tc>
          <w:tcPr>
            <w:tcW w:w="2551" w:type="dxa"/>
          </w:tcPr>
          <w:p w14:paraId="33EE7E08" w14:textId="77777777" w:rsidR="009B7AF5" w:rsidRPr="005071A1" w:rsidRDefault="009B7AF5" w:rsidP="009B7AF5">
            <w:pPr>
              <w:pStyle w:val="ENoteTableText"/>
            </w:pPr>
          </w:p>
        </w:tc>
        <w:tc>
          <w:tcPr>
            <w:tcW w:w="4551" w:type="dxa"/>
          </w:tcPr>
          <w:p w14:paraId="5F65CF5F" w14:textId="77777777" w:rsidR="009B7AF5" w:rsidRPr="005071A1" w:rsidRDefault="009B7AF5" w:rsidP="009B7AF5">
            <w:pPr>
              <w:pStyle w:val="ENoteTableText"/>
            </w:pPr>
            <w:r w:rsidRPr="005071A1">
              <w:t>am. No.</w:t>
            </w:r>
            <w:r w:rsidR="008B2950" w:rsidRPr="005071A1">
              <w:t> </w:t>
            </w:r>
            <w:r w:rsidRPr="005071A1">
              <w:t>27, 1955</w:t>
            </w:r>
          </w:p>
        </w:tc>
      </w:tr>
      <w:tr w:rsidR="009B7AF5" w:rsidRPr="005071A1" w14:paraId="6F5A5A19" w14:textId="77777777" w:rsidTr="00962E93">
        <w:trPr>
          <w:cantSplit/>
        </w:trPr>
        <w:tc>
          <w:tcPr>
            <w:tcW w:w="2551" w:type="dxa"/>
          </w:tcPr>
          <w:p w14:paraId="7E7E6AC1" w14:textId="77777777" w:rsidR="009B7AF5" w:rsidRPr="005071A1" w:rsidRDefault="009B7AF5" w:rsidP="009B7AF5">
            <w:pPr>
              <w:pStyle w:val="ENoteTableText"/>
            </w:pPr>
          </w:p>
        </w:tc>
        <w:tc>
          <w:tcPr>
            <w:tcW w:w="4551" w:type="dxa"/>
          </w:tcPr>
          <w:p w14:paraId="52D27835" w14:textId="77777777" w:rsidR="009B7AF5" w:rsidRPr="005071A1" w:rsidRDefault="009B7AF5" w:rsidP="009B7AF5">
            <w:pPr>
              <w:pStyle w:val="ENoteTableText"/>
            </w:pPr>
            <w:r w:rsidRPr="005071A1">
              <w:t>rs. No.</w:t>
            </w:r>
            <w:r w:rsidR="008B2950" w:rsidRPr="005071A1">
              <w:t> </w:t>
            </w:r>
            <w:r w:rsidRPr="005071A1">
              <w:t>32, 1976</w:t>
            </w:r>
          </w:p>
        </w:tc>
      </w:tr>
      <w:tr w:rsidR="009B7AF5" w:rsidRPr="005071A1" w14:paraId="6164128D" w14:textId="77777777" w:rsidTr="00962E93">
        <w:trPr>
          <w:cantSplit/>
        </w:trPr>
        <w:tc>
          <w:tcPr>
            <w:tcW w:w="2551" w:type="dxa"/>
          </w:tcPr>
          <w:p w14:paraId="783F70E8" w14:textId="77777777" w:rsidR="009B7AF5" w:rsidRPr="005071A1" w:rsidRDefault="009B7AF5" w:rsidP="009B7AF5">
            <w:pPr>
              <w:pStyle w:val="ENoteTableText"/>
            </w:pPr>
          </w:p>
        </w:tc>
        <w:tc>
          <w:tcPr>
            <w:tcW w:w="4551" w:type="dxa"/>
          </w:tcPr>
          <w:p w14:paraId="34DB6FFD"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767621FE" w14:textId="77777777" w:rsidTr="00962E93">
        <w:trPr>
          <w:cantSplit/>
        </w:trPr>
        <w:tc>
          <w:tcPr>
            <w:tcW w:w="2551" w:type="dxa"/>
          </w:tcPr>
          <w:p w14:paraId="57289CAA" w14:textId="77777777" w:rsidR="009B7AF5" w:rsidRPr="005071A1" w:rsidRDefault="009B7AF5" w:rsidP="009B7AF5">
            <w:pPr>
              <w:pStyle w:val="ENoteTableText"/>
            </w:pPr>
          </w:p>
        </w:tc>
        <w:tc>
          <w:tcPr>
            <w:tcW w:w="4551" w:type="dxa"/>
          </w:tcPr>
          <w:p w14:paraId="4C0EFFBF" w14:textId="77777777" w:rsidR="009B7AF5" w:rsidRPr="005071A1" w:rsidRDefault="009B7AF5" w:rsidP="009B7AF5">
            <w:pPr>
              <w:pStyle w:val="ENoteTableText"/>
            </w:pPr>
            <w:r w:rsidRPr="005071A1">
              <w:t>rs. No.</w:t>
            </w:r>
            <w:r w:rsidR="008B2950" w:rsidRPr="005071A1">
              <w:t> </w:t>
            </w:r>
            <w:r w:rsidRPr="005071A1">
              <w:t>80, 1986</w:t>
            </w:r>
          </w:p>
        </w:tc>
      </w:tr>
      <w:tr w:rsidR="009B7AF5" w:rsidRPr="005071A1" w14:paraId="664E1837" w14:textId="77777777" w:rsidTr="00962E93">
        <w:trPr>
          <w:cantSplit/>
        </w:trPr>
        <w:tc>
          <w:tcPr>
            <w:tcW w:w="2551" w:type="dxa"/>
          </w:tcPr>
          <w:p w14:paraId="2D0304C9" w14:textId="77777777" w:rsidR="009B7AF5" w:rsidRPr="005071A1" w:rsidRDefault="002477D1" w:rsidP="002477D1">
            <w:pPr>
              <w:pStyle w:val="ENoteTableText"/>
              <w:tabs>
                <w:tab w:val="center" w:leader="dot" w:pos="2268"/>
              </w:tabs>
            </w:pPr>
            <w:r w:rsidRPr="005071A1">
              <w:t>s.</w:t>
            </w:r>
            <w:r w:rsidR="009B7AF5" w:rsidRPr="005071A1">
              <w:t xml:space="preserve"> 146</w:t>
            </w:r>
            <w:r w:rsidR="009B7AF5" w:rsidRPr="005071A1">
              <w:tab/>
            </w:r>
          </w:p>
        </w:tc>
        <w:tc>
          <w:tcPr>
            <w:tcW w:w="4551" w:type="dxa"/>
          </w:tcPr>
          <w:p w14:paraId="67DB6211"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224B8D2D" w14:textId="77777777" w:rsidTr="00962E93">
        <w:trPr>
          <w:cantSplit/>
        </w:trPr>
        <w:tc>
          <w:tcPr>
            <w:tcW w:w="2551" w:type="dxa"/>
          </w:tcPr>
          <w:p w14:paraId="5D03E15A" w14:textId="33D3C829" w:rsidR="009B7AF5" w:rsidRPr="005071A1" w:rsidRDefault="002477D1" w:rsidP="002477D1">
            <w:pPr>
              <w:pStyle w:val="ENoteTableText"/>
              <w:tabs>
                <w:tab w:val="center" w:leader="dot" w:pos="2268"/>
              </w:tabs>
            </w:pPr>
            <w:r w:rsidRPr="005071A1">
              <w:t>s</w:t>
            </w:r>
            <w:r w:rsidR="009B7AF5" w:rsidRPr="005071A1">
              <w:t xml:space="preserve"> 147</w:t>
            </w:r>
            <w:r w:rsidR="009B7AF5" w:rsidRPr="005071A1">
              <w:tab/>
            </w:r>
          </w:p>
        </w:tc>
        <w:tc>
          <w:tcPr>
            <w:tcW w:w="4551" w:type="dxa"/>
          </w:tcPr>
          <w:p w14:paraId="78E91EB2" w14:textId="2B38DD30" w:rsidR="009B7AF5" w:rsidRPr="005071A1" w:rsidRDefault="009B7AF5" w:rsidP="009B7AF5">
            <w:pPr>
              <w:pStyle w:val="ENoteTableText"/>
            </w:pPr>
            <w:r w:rsidRPr="005071A1">
              <w:t>ad No</w:t>
            </w:r>
            <w:r w:rsidR="008B2950" w:rsidRPr="005071A1">
              <w:t> </w:t>
            </w:r>
            <w:r w:rsidRPr="005071A1">
              <w:t>53, 1942</w:t>
            </w:r>
          </w:p>
        </w:tc>
      </w:tr>
      <w:tr w:rsidR="009B7AF5" w:rsidRPr="005071A1" w14:paraId="74FD246A" w14:textId="77777777" w:rsidTr="00962E93">
        <w:trPr>
          <w:cantSplit/>
        </w:trPr>
        <w:tc>
          <w:tcPr>
            <w:tcW w:w="2551" w:type="dxa"/>
          </w:tcPr>
          <w:p w14:paraId="4773AA39" w14:textId="77777777" w:rsidR="009B7AF5" w:rsidRPr="005071A1" w:rsidRDefault="009B7AF5" w:rsidP="009B7AF5">
            <w:pPr>
              <w:pStyle w:val="ENoteTableText"/>
            </w:pPr>
          </w:p>
        </w:tc>
        <w:tc>
          <w:tcPr>
            <w:tcW w:w="4551" w:type="dxa"/>
          </w:tcPr>
          <w:p w14:paraId="3B56335C" w14:textId="6A88E5DC" w:rsidR="009B7AF5" w:rsidRPr="005071A1" w:rsidRDefault="009B7AF5" w:rsidP="009B7AF5">
            <w:pPr>
              <w:pStyle w:val="ENoteTableText"/>
            </w:pPr>
            <w:r w:rsidRPr="005071A1">
              <w:t>am No</w:t>
            </w:r>
            <w:r w:rsidR="008B2950" w:rsidRPr="005071A1">
              <w:t> </w:t>
            </w:r>
            <w:r w:rsidRPr="005071A1">
              <w:t>216, 1973; No</w:t>
            </w:r>
            <w:r w:rsidR="008B2950" w:rsidRPr="005071A1">
              <w:t> </w:t>
            </w:r>
            <w:r w:rsidRPr="005071A1">
              <w:t>17, 1978</w:t>
            </w:r>
            <w:r w:rsidR="00657810">
              <w:t>; No 115, 2024</w:t>
            </w:r>
          </w:p>
        </w:tc>
      </w:tr>
      <w:tr w:rsidR="009B7AF5" w:rsidRPr="005071A1" w14:paraId="601BF717" w14:textId="77777777" w:rsidTr="00962E93">
        <w:trPr>
          <w:cantSplit/>
        </w:trPr>
        <w:tc>
          <w:tcPr>
            <w:tcW w:w="2551" w:type="dxa"/>
          </w:tcPr>
          <w:p w14:paraId="2E6AE81A" w14:textId="77777777" w:rsidR="009B7AF5" w:rsidRPr="005071A1" w:rsidRDefault="002477D1" w:rsidP="002477D1">
            <w:pPr>
              <w:pStyle w:val="ENoteTableText"/>
              <w:tabs>
                <w:tab w:val="center" w:leader="dot" w:pos="2268"/>
              </w:tabs>
            </w:pPr>
            <w:r w:rsidRPr="005071A1">
              <w:t>s.</w:t>
            </w:r>
            <w:r w:rsidR="009B7AF5" w:rsidRPr="005071A1">
              <w:t xml:space="preserve"> 149</w:t>
            </w:r>
            <w:r w:rsidR="009B7AF5" w:rsidRPr="005071A1">
              <w:tab/>
            </w:r>
          </w:p>
        </w:tc>
        <w:tc>
          <w:tcPr>
            <w:tcW w:w="4551" w:type="dxa"/>
          </w:tcPr>
          <w:p w14:paraId="5656EF02"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235F0CBE" w14:textId="77777777" w:rsidTr="00962E93">
        <w:trPr>
          <w:cantSplit/>
        </w:trPr>
        <w:tc>
          <w:tcPr>
            <w:tcW w:w="2551" w:type="dxa"/>
          </w:tcPr>
          <w:p w14:paraId="2BE3259E" w14:textId="77777777" w:rsidR="009B7AF5" w:rsidRPr="005071A1" w:rsidRDefault="009B7AF5" w:rsidP="009B7AF5">
            <w:pPr>
              <w:pStyle w:val="ENoteTableText"/>
            </w:pPr>
          </w:p>
        </w:tc>
        <w:tc>
          <w:tcPr>
            <w:tcW w:w="4551" w:type="dxa"/>
          </w:tcPr>
          <w:p w14:paraId="4426E654"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97, 1965; No.</w:t>
            </w:r>
            <w:r w:rsidR="008B2950" w:rsidRPr="005071A1">
              <w:t> </w:t>
            </w:r>
            <w:r w:rsidRPr="005071A1">
              <w:t>46, 1971; No.</w:t>
            </w:r>
            <w:r w:rsidR="008B2950" w:rsidRPr="005071A1">
              <w:t> </w:t>
            </w:r>
            <w:r w:rsidRPr="005071A1">
              <w:t>17, 1978</w:t>
            </w:r>
          </w:p>
        </w:tc>
      </w:tr>
      <w:tr w:rsidR="009B7AF5" w:rsidRPr="005071A1" w14:paraId="1FFC7250" w14:textId="77777777" w:rsidTr="00962E93">
        <w:trPr>
          <w:cantSplit/>
        </w:trPr>
        <w:tc>
          <w:tcPr>
            <w:tcW w:w="2551" w:type="dxa"/>
          </w:tcPr>
          <w:p w14:paraId="1078A1E7" w14:textId="77777777" w:rsidR="009B7AF5" w:rsidRPr="005071A1" w:rsidRDefault="002477D1" w:rsidP="002477D1">
            <w:pPr>
              <w:pStyle w:val="ENoteTableText"/>
              <w:tabs>
                <w:tab w:val="center" w:leader="dot" w:pos="2268"/>
              </w:tabs>
            </w:pPr>
            <w:r w:rsidRPr="005071A1">
              <w:t>s.</w:t>
            </w:r>
            <w:r w:rsidR="009B7AF5" w:rsidRPr="005071A1">
              <w:t xml:space="preserve"> 149A</w:t>
            </w:r>
            <w:r w:rsidR="009B7AF5" w:rsidRPr="005071A1">
              <w:tab/>
            </w:r>
          </w:p>
        </w:tc>
        <w:tc>
          <w:tcPr>
            <w:tcW w:w="4551" w:type="dxa"/>
          </w:tcPr>
          <w:p w14:paraId="7EE7DC54"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479AECCA" w14:textId="77777777" w:rsidTr="00962E93">
        <w:trPr>
          <w:cantSplit/>
        </w:trPr>
        <w:tc>
          <w:tcPr>
            <w:tcW w:w="2551" w:type="dxa"/>
          </w:tcPr>
          <w:p w14:paraId="32BA1AD7" w14:textId="77777777" w:rsidR="009B7AF5" w:rsidRPr="005071A1" w:rsidRDefault="009B7AF5" w:rsidP="009B7AF5">
            <w:pPr>
              <w:pStyle w:val="ENoteTableText"/>
            </w:pPr>
          </w:p>
        </w:tc>
        <w:tc>
          <w:tcPr>
            <w:tcW w:w="4551" w:type="dxa"/>
          </w:tcPr>
          <w:p w14:paraId="28A4714A" w14:textId="77777777" w:rsidR="009B7AF5" w:rsidRPr="005071A1" w:rsidRDefault="009B7AF5" w:rsidP="009B7AF5">
            <w:pPr>
              <w:pStyle w:val="ENoteTableText"/>
            </w:pPr>
            <w:r w:rsidRPr="005071A1">
              <w:t>am. No.</w:t>
            </w:r>
            <w:r w:rsidR="008B2950" w:rsidRPr="005071A1">
              <w:t> </w:t>
            </w:r>
            <w:r w:rsidRPr="005071A1">
              <w:t>17, 1978</w:t>
            </w:r>
          </w:p>
        </w:tc>
      </w:tr>
      <w:tr w:rsidR="009B7AF5" w:rsidRPr="005071A1" w14:paraId="3488EA64" w14:textId="77777777" w:rsidTr="00962E93">
        <w:trPr>
          <w:cantSplit/>
        </w:trPr>
        <w:tc>
          <w:tcPr>
            <w:tcW w:w="2551" w:type="dxa"/>
          </w:tcPr>
          <w:p w14:paraId="1D7AD11C" w14:textId="77777777" w:rsidR="009B7AF5" w:rsidRPr="005071A1" w:rsidRDefault="002477D1" w:rsidP="002477D1">
            <w:pPr>
              <w:pStyle w:val="ENoteTableText"/>
              <w:tabs>
                <w:tab w:val="center" w:leader="dot" w:pos="2268"/>
              </w:tabs>
            </w:pPr>
            <w:r w:rsidRPr="005071A1">
              <w:t>ss.</w:t>
            </w:r>
            <w:r w:rsidR="008B2950" w:rsidRPr="005071A1">
              <w:t> </w:t>
            </w:r>
            <w:r w:rsidR="009B7AF5" w:rsidRPr="005071A1">
              <w:t>149AA, 149AB</w:t>
            </w:r>
            <w:r w:rsidR="009B7AF5" w:rsidRPr="005071A1">
              <w:tab/>
            </w:r>
          </w:p>
        </w:tc>
        <w:tc>
          <w:tcPr>
            <w:tcW w:w="4551" w:type="dxa"/>
          </w:tcPr>
          <w:p w14:paraId="0BB4DCD7" w14:textId="77777777" w:rsidR="009B7AF5" w:rsidRPr="005071A1" w:rsidRDefault="009B7AF5" w:rsidP="009B7AF5">
            <w:pPr>
              <w:pStyle w:val="ENoteTableText"/>
            </w:pPr>
            <w:r w:rsidRPr="005071A1">
              <w:t>ad. No.</w:t>
            </w:r>
            <w:r w:rsidR="008B2950" w:rsidRPr="005071A1">
              <w:t> </w:t>
            </w:r>
            <w:r w:rsidRPr="005071A1">
              <w:t>58, 2011</w:t>
            </w:r>
          </w:p>
        </w:tc>
      </w:tr>
      <w:tr w:rsidR="009B7AF5" w:rsidRPr="005071A1" w14:paraId="2CE77C68" w14:textId="77777777" w:rsidTr="00962E93">
        <w:trPr>
          <w:cantSplit/>
        </w:trPr>
        <w:tc>
          <w:tcPr>
            <w:tcW w:w="2551" w:type="dxa"/>
          </w:tcPr>
          <w:p w14:paraId="0394C058" w14:textId="77777777" w:rsidR="009B7AF5" w:rsidRPr="005071A1" w:rsidRDefault="002477D1" w:rsidP="002477D1">
            <w:pPr>
              <w:pStyle w:val="ENoteTableText"/>
              <w:tabs>
                <w:tab w:val="center" w:leader="dot" w:pos="2268"/>
              </w:tabs>
            </w:pPr>
            <w:r w:rsidRPr="005071A1">
              <w:t>s.</w:t>
            </w:r>
            <w:r w:rsidR="009B7AF5" w:rsidRPr="005071A1">
              <w:t xml:space="preserve"> 149B</w:t>
            </w:r>
            <w:r w:rsidR="009B7AF5" w:rsidRPr="005071A1">
              <w:tab/>
            </w:r>
          </w:p>
        </w:tc>
        <w:tc>
          <w:tcPr>
            <w:tcW w:w="4551" w:type="dxa"/>
          </w:tcPr>
          <w:p w14:paraId="7CA3A46A" w14:textId="77777777" w:rsidR="009B7AF5" w:rsidRPr="005071A1" w:rsidRDefault="009B7AF5" w:rsidP="009B7AF5">
            <w:pPr>
              <w:pStyle w:val="ENoteTableText"/>
            </w:pPr>
            <w:r w:rsidRPr="005071A1">
              <w:t>ad. No.</w:t>
            </w:r>
            <w:r w:rsidR="008B2950" w:rsidRPr="005071A1">
              <w:t> </w:t>
            </w:r>
            <w:r w:rsidRPr="005071A1">
              <w:t>32, 1976</w:t>
            </w:r>
          </w:p>
        </w:tc>
      </w:tr>
      <w:tr w:rsidR="009B7AF5" w:rsidRPr="005071A1" w14:paraId="5460F674" w14:textId="77777777" w:rsidTr="00962E93">
        <w:trPr>
          <w:cantSplit/>
        </w:trPr>
        <w:tc>
          <w:tcPr>
            <w:tcW w:w="2551" w:type="dxa"/>
          </w:tcPr>
          <w:p w14:paraId="479C6C09" w14:textId="77777777" w:rsidR="009B7AF5" w:rsidRPr="005071A1" w:rsidRDefault="009B7AF5" w:rsidP="009B7AF5">
            <w:pPr>
              <w:pStyle w:val="ENoteTableText"/>
            </w:pPr>
          </w:p>
        </w:tc>
        <w:tc>
          <w:tcPr>
            <w:tcW w:w="4551" w:type="dxa"/>
          </w:tcPr>
          <w:p w14:paraId="56E96F55" w14:textId="77777777" w:rsidR="009B7AF5" w:rsidRPr="005071A1" w:rsidRDefault="009B7AF5" w:rsidP="009B7AF5">
            <w:pPr>
              <w:pStyle w:val="ENoteTableText"/>
            </w:pPr>
            <w:r w:rsidRPr="005071A1">
              <w:t>am. No.</w:t>
            </w:r>
            <w:r w:rsidR="008B2950" w:rsidRPr="005071A1">
              <w:t> </w:t>
            </w:r>
            <w:r w:rsidRPr="005071A1">
              <w:t>17, 1978; No.</w:t>
            </w:r>
            <w:r w:rsidR="008B2950" w:rsidRPr="005071A1">
              <w:t> </w:t>
            </w:r>
            <w:r w:rsidRPr="005071A1">
              <w:t>58, 2011</w:t>
            </w:r>
          </w:p>
        </w:tc>
      </w:tr>
      <w:tr w:rsidR="009B7AF5" w:rsidRPr="005071A1" w14:paraId="25FECEAB" w14:textId="77777777" w:rsidTr="00962E93">
        <w:trPr>
          <w:cantSplit/>
        </w:trPr>
        <w:tc>
          <w:tcPr>
            <w:tcW w:w="2551" w:type="dxa"/>
          </w:tcPr>
          <w:p w14:paraId="26DBB388" w14:textId="77777777" w:rsidR="009B7AF5" w:rsidRPr="005071A1" w:rsidRDefault="002477D1" w:rsidP="002477D1">
            <w:pPr>
              <w:pStyle w:val="ENoteTableText"/>
              <w:tabs>
                <w:tab w:val="center" w:leader="dot" w:pos="2268"/>
              </w:tabs>
            </w:pPr>
            <w:r w:rsidRPr="005071A1">
              <w:t>s.</w:t>
            </w:r>
            <w:r w:rsidR="009B7AF5" w:rsidRPr="005071A1">
              <w:t xml:space="preserve"> 150</w:t>
            </w:r>
            <w:r w:rsidR="009B7AF5" w:rsidRPr="005071A1">
              <w:tab/>
            </w:r>
          </w:p>
        </w:tc>
        <w:tc>
          <w:tcPr>
            <w:tcW w:w="4551" w:type="dxa"/>
          </w:tcPr>
          <w:p w14:paraId="558337C1" w14:textId="77777777" w:rsidR="009B7AF5" w:rsidRPr="005071A1" w:rsidRDefault="009B7AF5" w:rsidP="009B7AF5">
            <w:pPr>
              <w:pStyle w:val="ENoteTableText"/>
            </w:pPr>
            <w:r w:rsidRPr="005071A1">
              <w:t>am. No.</w:t>
            </w:r>
            <w:r w:rsidR="008B2950" w:rsidRPr="005071A1">
              <w:t> </w:t>
            </w:r>
            <w:r w:rsidRPr="005071A1">
              <w:t>102, 1963; No.</w:t>
            </w:r>
            <w:r w:rsidR="008B2950" w:rsidRPr="005071A1">
              <w:t> </w:t>
            </w:r>
            <w:r w:rsidRPr="005071A1">
              <w:t>154, 1965; No.</w:t>
            </w:r>
            <w:r w:rsidR="008B2950" w:rsidRPr="005071A1">
              <w:t> </w:t>
            </w:r>
            <w:r w:rsidRPr="005071A1">
              <w:t>32, 1976; No.</w:t>
            </w:r>
            <w:r w:rsidR="008B2950" w:rsidRPr="005071A1">
              <w:t> </w:t>
            </w:r>
            <w:r w:rsidRPr="005071A1">
              <w:t>17, 1978; No.</w:t>
            </w:r>
            <w:r w:rsidR="008B2950" w:rsidRPr="005071A1">
              <w:t> </w:t>
            </w:r>
            <w:r w:rsidRPr="005071A1">
              <w:t>109, 2001</w:t>
            </w:r>
          </w:p>
        </w:tc>
      </w:tr>
      <w:tr w:rsidR="009B7AF5" w:rsidRPr="005071A1" w14:paraId="6F8EF578" w14:textId="77777777" w:rsidTr="00962E93">
        <w:trPr>
          <w:cantSplit/>
        </w:trPr>
        <w:tc>
          <w:tcPr>
            <w:tcW w:w="2551" w:type="dxa"/>
          </w:tcPr>
          <w:p w14:paraId="3B4B2AA5" w14:textId="77777777" w:rsidR="009B7AF5" w:rsidRPr="005071A1" w:rsidRDefault="009B7AF5" w:rsidP="009B7AF5">
            <w:pPr>
              <w:pStyle w:val="ENoteTableText"/>
            </w:pPr>
            <w:r w:rsidRPr="005071A1">
              <w:rPr>
                <w:b/>
              </w:rPr>
              <w:t>Schedules</w:t>
            </w:r>
          </w:p>
        </w:tc>
        <w:tc>
          <w:tcPr>
            <w:tcW w:w="4551" w:type="dxa"/>
          </w:tcPr>
          <w:p w14:paraId="4DAFE271" w14:textId="77777777" w:rsidR="009B7AF5" w:rsidRPr="005071A1" w:rsidRDefault="009B7AF5" w:rsidP="009B7AF5">
            <w:pPr>
              <w:pStyle w:val="ENoteTableText"/>
            </w:pPr>
          </w:p>
        </w:tc>
      </w:tr>
      <w:tr w:rsidR="009B7AF5" w:rsidRPr="005071A1" w14:paraId="09193C16" w14:textId="77777777" w:rsidTr="00962E93">
        <w:trPr>
          <w:cantSplit/>
        </w:trPr>
        <w:tc>
          <w:tcPr>
            <w:tcW w:w="2551" w:type="dxa"/>
          </w:tcPr>
          <w:p w14:paraId="5A6BF66D" w14:textId="77777777" w:rsidR="009B7AF5" w:rsidRPr="005071A1" w:rsidRDefault="009B7AF5" w:rsidP="002477D1">
            <w:pPr>
              <w:pStyle w:val="ENoteTableText"/>
              <w:tabs>
                <w:tab w:val="center" w:leader="dot" w:pos="2268"/>
              </w:tabs>
            </w:pPr>
            <w:r w:rsidRPr="005071A1">
              <w:t>First, Second Schedules</w:t>
            </w:r>
            <w:r w:rsidRPr="005071A1">
              <w:tab/>
            </w:r>
          </w:p>
        </w:tc>
        <w:tc>
          <w:tcPr>
            <w:tcW w:w="4551" w:type="dxa"/>
          </w:tcPr>
          <w:p w14:paraId="7AD99AEC"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5F7D1956" w14:textId="77777777" w:rsidTr="00962E93">
        <w:trPr>
          <w:cantSplit/>
        </w:trPr>
        <w:tc>
          <w:tcPr>
            <w:tcW w:w="2551" w:type="dxa"/>
          </w:tcPr>
          <w:p w14:paraId="2822BE48" w14:textId="77777777" w:rsidR="009B7AF5" w:rsidRPr="005071A1" w:rsidRDefault="009B7AF5" w:rsidP="009B7AF5">
            <w:pPr>
              <w:pStyle w:val="ENoteTableText"/>
            </w:pPr>
          </w:p>
        </w:tc>
        <w:tc>
          <w:tcPr>
            <w:tcW w:w="4551" w:type="dxa"/>
          </w:tcPr>
          <w:p w14:paraId="57EAA307" w14:textId="77777777" w:rsidR="009B7AF5" w:rsidRPr="005071A1" w:rsidRDefault="009B7AF5" w:rsidP="009B7AF5">
            <w:pPr>
              <w:pStyle w:val="ENoteTableText"/>
            </w:pPr>
            <w:r w:rsidRPr="005071A1">
              <w:t>rep. No.</w:t>
            </w:r>
            <w:r w:rsidR="008B2950" w:rsidRPr="005071A1">
              <w:t> </w:t>
            </w:r>
            <w:r w:rsidRPr="005071A1">
              <w:t>102, 1963</w:t>
            </w:r>
          </w:p>
        </w:tc>
      </w:tr>
      <w:tr w:rsidR="009B7AF5" w:rsidRPr="005071A1" w14:paraId="10407391" w14:textId="77777777" w:rsidTr="00962E93">
        <w:trPr>
          <w:cantSplit/>
        </w:trPr>
        <w:tc>
          <w:tcPr>
            <w:tcW w:w="2551" w:type="dxa"/>
          </w:tcPr>
          <w:p w14:paraId="5D41D141" w14:textId="77777777" w:rsidR="009B7AF5" w:rsidRPr="005071A1" w:rsidRDefault="009B7AF5" w:rsidP="002477D1">
            <w:pPr>
              <w:pStyle w:val="ENoteTableText"/>
              <w:tabs>
                <w:tab w:val="center" w:leader="dot" w:pos="2268"/>
              </w:tabs>
            </w:pPr>
            <w:r w:rsidRPr="005071A1">
              <w:t>Third, Fourth Schedules</w:t>
            </w:r>
            <w:r w:rsidRPr="005071A1">
              <w:tab/>
            </w:r>
          </w:p>
        </w:tc>
        <w:tc>
          <w:tcPr>
            <w:tcW w:w="4551" w:type="dxa"/>
          </w:tcPr>
          <w:p w14:paraId="4105A2B9"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0C73FE7B" w14:textId="77777777" w:rsidTr="00962E93">
        <w:trPr>
          <w:cantSplit/>
        </w:trPr>
        <w:tc>
          <w:tcPr>
            <w:tcW w:w="2551" w:type="dxa"/>
          </w:tcPr>
          <w:p w14:paraId="139E4BC8" w14:textId="77777777" w:rsidR="009B7AF5" w:rsidRPr="005071A1" w:rsidRDefault="009B7AF5" w:rsidP="009B7AF5">
            <w:pPr>
              <w:pStyle w:val="ENoteTableText"/>
            </w:pPr>
          </w:p>
        </w:tc>
        <w:tc>
          <w:tcPr>
            <w:tcW w:w="4551" w:type="dxa"/>
          </w:tcPr>
          <w:p w14:paraId="3ACE03C9" w14:textId="77777777" w:rsidR="009B7AF5" w:rsidRPr="005071A1" w:rsidRDefault="009B7AF5" w:rsidP="009B7AF5">
            <w:pPr>
              <w:pStyle w:val="ENoteTableText"/>
            </w:pPr>
            <w:r w:rsidRPr="005071A1">
              <w:t>am. No.</w:t>
            </w:r>
            <w:r w:rsidR="008B2950" w:rsidRPr="005071A1">
              <w:t> </w:t>
            </w:r>
            <w:r w:rsidRPr="005071A1">
              <w:t>102, 1959; No.</w:t>
            </w:r>
            <w:r w:rsidR="008B2950" w:rsidRPr="005071A1">
              <w:t> </w:t>
            </w:r>
            <w:r w:rsidRPr="005071A1">
              <w:t>97, 1965</w:t>
            </w:r>
          </w:p>
        </w:tc>
      </w:tr>
      <w:tr w:rsidR="009B7AF5" w:rsidRPr="005071A1" w14:paraId="2600BBDB" w14:textId="77777777" w:rsidTr="00962E93">
        <w:trPr>
          <w:cantSplit/>
        </w:trPr>
        <w:tc>
          <w:tcPr>
            <w:tcW w:w="2551" w:type="dxa"/>
          </w:tcPr>
          <w:p w14:paraId="58F65A99" w14:textId="77777777" w:rsidR="009B7AF5" w:rsidRPr="005071A1" w:rsidRDefault="009B7AF5" w:rsidP="009B7AF5">
            <w:pPr>
              <w:pStyle w:val="ENoteTableText"/>
            </w:pPr>
          </w:p>
        </w:tc>
        <w:tc>
          <w:tcPr>
            <w:tcW w:w="4551" w:type="dxa"/>
          </w:tcPr>
          <w:p w14:paraId="7DFE75F9" w14:textId="77777777" w:rsidR="009B7AF5" w:rsidRPr="005071A1" w:rsidRDefault="009B7AF5" w:rsidP="009B7AF5">
            <w:pPr>
              <w:pStyle w:val="ENoteTableText"/>
            </w:pPr>
            <w:r w:rsidRPr="005071A1">
              <w:t>rs. No.</w:t>
            </w:r>
            <w:r w:rsidR="008B2950" w:rsidRPr="005071A1">
              <w:t> </w:t>
            </w:r>
            <w:r w:rsidRPr="005071A1">
              <w:t>154, 1965</w:t>
            </w:r>
          </w:p>
        </w:tc>
      </w:tr>
      <w:tr w:rsidR="009B7AF5" w:rsidRPr="005071A1" w14:paraId="328930E6" w14:textId="77777777" w:rsidTr="00962E93">
        <w:trPr>
          <w:cantSplit/>
        </w:trPr>
        <w:tc>
          <w:tcPr>
            <w:tcW w:w="2551" w:type="dxa"/>
          </w:tcPr>
          <w:p w14:paraId="053397B4" w14:textId="77777777" w:rsidR="009B7AF5" w:rsidRPr="005071A1" w:rsidRDefault="009B7AF5" w:rsidP="002477D1">
            <w:pPr>
              <w:pStyle w:val="ENoteTableText"/>
              <w:tabs>
                <w:tab w:val="center" w:leader="dot" w:pos="2268"/>
              </w:tabs>
            </w:pPr>
            <w:r w:rsidRPr="005071A1">
              <w:t>Fifth Schedule</w:t>
            </w:r>
            <w:r w:rsidRPr="005071A1">
              <w:tab/>
            </w:r>
          </w:p>
        </w:tc>
        <w:tc>
          <w:tcPr>
            <w:tcW w:w="4551" w:type="dxa"/>
          </w:tcPr>
          <w:p w14:paraId="274F9162" w14:textId="77777777" w:rsidR="009B7AF5" w:rsidRPr="005071A1" w:rsidRDefault="009B7AF5" w:rsidP="009B7AF5">
            <w:pPr>
              <w:pStyle w:val="ENoteTableText"/>
            </w:pPr>
            <w:r w:rsidRPr="005071A1">
              <w:t>ad. No.</w:t>
            </w:r>
            <w:r w:rsidR="008B2950" w:rsidRPr="005071A1">
              <w:t> </w:t>
            </w:r>
            <w:r w:rsidRPr="005071A1">
              <w:t>102, 1959</w:t>
            </w:r>
          </w:p>
        </w:tc>
      </w:tr>
      <w:tr w:rsidR="009B7AF5" w:rsidRPr="005071A1" w14:paraId="3C7764CE" w14:textId="77777777" w:rsidTr="00962E93">
        <w:trPr>
          <w:cantSplit/>
        </w:trPr>
        <w:tc>
          <w:tcPr>
            <w:tcW w:w="2551" w:type="dxa"/>
          </w:tcPr>
          <w:p w14:paraId="5425A84B" w14:textId="77777777" w:rsidR="009B7AF5" w:rsidRPr="005071A1" w:rsidRDefault="009B7AF5" w:rsidP="009B7AF5">
            <w:pPr>
              <w:pStyle w:val="ENoteTableText"/>
            </w:pPr>
          </w:p>
        </w:tc>
        <w:tc>
          <w:tcPr>
            <w:tcW w:w="4551" w:type="dxa"/>
          </w:tcPr>
          <w:p w14:paraId="43B61CB0" w14:textId="77777777" w:rsidR="009B7AF5" w:rsidRPr="005071A1" w:rsidRDefault="009B7AF5" w:rsidP="009B7AF5">
            <w:pPr>
              <w:pStyle w:val="ENoteTableText"/>
            </w:pPr>
            <w:r w:rsidRPr="005071A1">
              <w:t>rs. No.</w:t>
            </w:r>
            <w:r w:rsidR="008B2950" w:rsidRPr="005071A1">
              <w:t> </w:t>
            </w:r>
            <w:r w:rsidRPr="005071A1">
              <w:t>154, 1965</w:t>
            </w:r>
          </w:p>
        </w:tc>
      </w:tr>
      <w:tr w:rsidR="009B7AF5" w:rsidRPr="005071A1" w14:paraId="582A9DDA" w14:textId="77777777" w:rsidTr="00962E93">
        <w:trPr>
          <w:cantSplit/>
        </w:trPr>
        <w:tc>
          <w:tcPr>
            <w:tcW w:w="2551" w:type="dxa"/>
          </w:tcPr>
          <w:p w14:paraId="4B62F6A5" w14:textId="77777777" w:rsidR="009B7AF5" w:rsidRPr="005071A1" w:rsidRDefault="009B7AF5" w:rsidP="002477D1">
            <w:pPr>
              <w:pStyle w:val="ENoteTableText"/>
              <w:tabs>
                <w:tab w:val="center" w:leader="dot" w:pos="2268"/>
              </w:tabs>
            </w:pPr>
            <w:r w:rsidRPr="005071A1">
              <w:t>Sixth Schedule</w:t>
            </w:r>
            <w:r w:rsidRPr="005071A1">
              <w:tab/>
            </w:r>
          </w:p>
        </w:tc>
        <w:tc>
          <w:tcPr>
            <w:tcW w:w="4551" w:type="dxa"/>
          </w:tcPr>
          <w:p w14:paraId="2E9D008B" w14:textId="77777777" w:rsidR="009B7AF5" w:rsidRPr="005071A1" w:rsidRDefault="009B7AF5" w:rsidP="009B7AF5">
            <w:pPr>
              <w:pStyle w:val="ENoteTableText"/>
            </w:pPr>
            <w:r w:rsidRPr="005071A1">
              <w:t>ad. No.</w:t>
            </w:r>
            <w:r w:rsidR="008B2950" w:rsidRPr="005071A1">
              <w:t> </w:t>
            </w:r>
            <w:r w:rsidRPr="005071A1">
              <w:t>97, 1965</w:t>
            </w:r>
          </w:p>
        </w:tc>
      </w:tr>
      <w:tr w:rsidR="009B7AF5" w:rsidRPr="005071A1" w14:paraId="4A82E6BF" w14:textId="77777777" w:rsidTr="00962E93">
        <w:trPr>
          <w:cantSplit/>
        </w:trPr>
        <w:tc>
          <w:tcPr>
            <w:tcW w:w="2551" w:type="dxa"/>
          </w:tcPr>
          <w:p w14:paraId="75F6875D" w14:textId="77777777" w:rsidR="009B7AF5" w:rsidRPr="005071A1" w:rsidRDefault="009B7AF5" w:rsidP="009B7AF5">
            <w:pPr>
              <w:pStyle w:val="ENoteTableText"/>
            </w:pPr>
          </w:p>
        </w:tc>
        <w:tc>
          <w:tcPr>
            <w:tcW w:w="4551" w:type="dxa"/>
          </w:tcPr>
          <w:p w14:paraId="0DB3EC74" w14:textId="77777777" w:rsidR="009B7AF5" w:rsidRPr="005071A1" w:rsidRDefault="009B7AF5" w:rsidP="009B7AF5">
            <w:pPr>
              <w:pStyle w:val="ENoteTableText"/>
            </w:pPr>
            <w:r w:rsidRPr="005071A1">
              <w:t>rs. No.</w:t>
            </w:r>
            <w:r w:rsidR="008B2950" w:rsidRPr="005071A1">
              <w:t> </w:t>
            </w:r>
            <w:r w:rsidRPr="005071A1">
              <w:t>154, 1965</w:t>
            </w:r>
          </w:p>
        </w:tc>
      </w:tr>
      <w:tr w:rsidR="009B7AF5" w:rsidRPr="005071A1" w14:paraId="4DC91CDE" w14:textId="77777777" w:rsidTr="00962E93">
        <w:trPr>
          <w:cantSplit/>
        </w:trPr>
        <w:tc>
          <w:tcPr>
            <w:tcW w:w="2551" w:type="dxa"/>
            <w:tcBorders>
              <w:bottom w:val="single" w:sz="12" w:space="0" w:color="auto"/>
            </w:tcBorders>
          </w:tcPr>
          <w:p w14:paraId="1ADB079A" w14:textId="77777777" w:rsidR="009B7AF5" w:rsidRPr="005071A1" w:rsidRDefault="009B7AF5" w:rsidP="002477D1">
            <w:pPr>
              <w:pStyle w:val="ENoteTableText"/>
              <w:tabs>
                <w:tab w:val="center" w:leader="dot" w:pos="2268"/>
              </w:tabs>
            </w:pPr>
            <w:r w:rsidRPr="005071A1">
              <w:t>Seventh Schedule</w:t>
            </w:r>
            <w:r w:rsidRPr="005071A1">
              <w:tab/>
            </w:r>
          </w:p>
        </w:tc>
        <w:tc>
          <w:tcPr>
            <w:tcW w:w="4551" w:type="dxa"/>
            <w:tcBorders>
              <w:bottom w:val="single" w:sz="12" w:space="0" w:color="auto"/>
            </w:tcBorders>
          </w:tcPr>
          <w:p w14:paraId="5FBF6D18" w14:textId="77777777" w:rsidR="009B7AF5" w:rsidRPr="005071A1" w:rsidRDefault="009B7AF5" w:rsidP="009B7AF5">
            <w:pPr>
              <w:pStyle w:val="ENoteTableText"/>
            </w:pPr>
            <w:r w:rsidRPr="005071A1">
              <w:t>ad. No.</w:t>
            </w:r>
            <w:r w:rsidR="008B2950" w:rsidRPr="005071A1">
              <w:t> </w:t>
            </w:r>
            <w:r w:rsidRPr="005071A1">
              <w:t>52, 1967</w:t>
            </w:r>
          </w:p>
        </w:tc>
      </w:tr>
    </w:tbl>
    <w:p w14:paraId="376540BF" w14:textId="77777777" w:rsidR="009B7AF5" w:rsidRPr="005071A1" w:rsidRDefault="009B7AF5" w:rsidP="00022B83">
      <w:pPr>
        <w:pStyle w:val="Tabletext"/>
      </w:pPr>
    </w:p>
    <w:p w14:paraId="4271BFE5" w14:textId="77777777" w:rsidR="005F7D0D" w:rsidRPr="00AB0E62" w:rsidRDefault="005F7D0D" w:rsidP="00AB0E62">
      <w:pPr>
        <w:pStyle w:val="ENotesHeading2"/>
        <w:pageBreakBefore/>
      </w:pPr>
      <w:bookmarkStart w:id="338" w:name="_Toc185577718"/>
      <w:r w:rsidRPr="00AB0E62">
        <w:t xml:space="preserve">Endnote </w:t>
      </w:r>
      <w:r w:rsidR="00346ECF" w:rsidRPr="00AB0E62">
        <w:t>5</w:t>
      </w:r>
      <w:r w:rsidRPr="00AB0E62">
        <w:t>—Miscellaneous</w:t>
      </w:r>
      <w:bookmarkEnd w:id="338"/>
    </w:p>
    <w:p w14:paraId="20DB8C3C" w14:textId="77777777" w:rsidR="00B33542" w:rsidRPr="005071A1" w:rsidRDefault="00B33542" w:rsidP="00180A6E">
      <w:pPr>
        <w:pStyle w:val="ENotesText"/>
        <w:rPr>
          <w:b/>
        </w:rPr>
      </w:pPr>
      <w:r w:rsidRPr="005071A1">
        <w:rPr>
          <w:b/>
        </w:rPr>
        <w:t>Repeal Table</w:t>
      </w:r>
    </w:p>
    <w:p w14:paraId="219F9DAF" w14:textId="2D3F17E4" w:rsidR="00180A6E" w:rsidRPr="005071A1" w:rsidRDefault="00180A6E" w:rsidP="00180A6E">
      <w:pPr>
        <w:pStyle w:val="ENotesText"/>
      </w:pPr>
      <w:r w:rsidRPr="005071A1">
        <w:t xml:space="preserve">The amendment history of the repealed provisions of the </w:t>
      </w:r>
      <w:r w:rsidRPr="005071A1">
        <w:rPr>
          <w:i/>
        </w:rPr>
        <w:fldChar w:fldCharType="begin"/>
      </w:r>
      <w:r w:rsidRPr="005071A1">
        <w:rPr>
          <w:i/>
        </w:rPr>
        <w:instrText xml:space="preserve"> DOCPROPERTY  ShortT </w:instrText>
      </w:r>
      <w:r w:rsidRPr="005071A1">
        <w:rPr>
          <w:i/>
        </w:rPr>
        <w:fldChar w:fldCharType="separate"/>
      </w:r>
      <w:r w:rsidR="00B1494D">
        <w:rPr>
          <w:i/>
        </w:rPr>
        <w:t>Superannuation Act 1922</w:t>
      </w:r>
      <w:r w:rsidRPr="005071A1">
        <w:rPr>
          <w:i/>
        </w:rPr>
        <w:fldChar w:fldCharType="end"/>
      </w:r>
      <w:r w:rsidRPr="005071A1">
        <w:t xml:space="preserve"> up to and including the </w:t>
      </w:r>
      <w:r w:rsidRPr="005071A1">
        <w:rPr>
          <w:i/>
        </w:rPr>
        <w:t>Superannuation Act 1959</w:t>
      </w:r>
      <w:r w:rsidRPr="005071A1">
        <w:t xml:space="preserve"> (No.</w:t>
      </w:r>
      <w:r w:rsidR="008B2950" w:rsidRPr="005071A1">
        <w:t> </w:t>
      </w:r>
      <w:r w:rsidRPr="005071A1">
        <w:t>102, 1959) appears in the table below.</w:t>
      </w:r>
    </w:p>
    <w:p w14:paraId="03710BC8" w14:textId="77777777" w:rsidR="00180A6E" w:rsidRPr="005071A1" w:rsidRDefault="00180A6E" w:rsidP="00BC0DF5">
      <w:pPr>
        <w:pStyle w:val="Tabletext"/>
      </w:pPr>
    </w:p>
    <w:tbl>
      <w:tblPr>
        <w:tblW w:w="0" w:type="auto"/>
        <w:tblInd w:w="108" w:type="dxa"/>
        <w:tblLayout w:type="fixed"/>
        <w:tblLook w:val="0000" w:firstRow="0" w:lastRow="0" w:firstColumn="0" w:lastColumn="0" w:noHBand="0" w:noVBand="0"/>
      </w:tblPr>
      <w:tblGrid>
        <w:gridCol w:w="2268"/>
        <w:gridCol w:w="4820"/>
      </w:tblGrid>
      <w:tr w:rsidR="00B33542" w:rsidRPr="005071A1" w14:paraId="4CC60CA8" w14:textId="77777777" w:rsidTr="00322DFA">
        <w:trPr>
          <w:cantSplit/>
          <w:tblHeader/>
        </w:trPr>
        <w:tc>
          <w:tcPr>
            <w:tcW w:w="2268" w:type="dxa"/>
            <w:tcBorders>
              <w:top w:val="single" w:sz="12" w:space="0" w:color="auto"/>
              <w:bottom w:val="single" w:sz="12" w:space="0" w:color="auto"/>
            </w:tcBorders>
          </w:tcPr>
          <w:p w14:paraId="22DDBCE4" w14:textId="77777777" w:rsidR="00B33542" w:rsidRPr="005071A1" w:rsidRDefault="00B33542" w:rsidP="00180A6E">
            <w:pPr>
              <w:pStyle w:val="ENoteTableHeading"/>
            </w:pPr>
            <w:r w:rsidRPr="005071A1">
              <w:t>Provision affected</w:t>
            </w:r>
          </w:p>
        </w:tc>
        <w:tc>
          <w:tcPr>
            <w:tcW w:w="4820" w:type="dxa"/>
            <w:tcBorders>
              <w:top w:val="single" w:sz="12" w:space="0" w:color="auto"/>
              <w:bottom w:val="single" w:sz="12" w:space="0" w:color="auto"/>
            </w:tcBorders>
          </w:tcPr>
          <w:p w14:paraId="2FA44A60" w14:textId="77777777" w:rsidR="00B33542" w:rsidRPr="005071A1" w:rsidRDefault="00B33542" w:rsidP="00180A6E">
            <w:pPr>
              <w:pStyle w:val="ENoteTableHeading"/>
            </w:pPr>
            <w:r w:rsidRPr="005071A1">
              <w:t>How affected</w:t>
            </w:r>
          </w:p>
        </w:tc>
      </w:tr>
      <w:tr w:rsidR="00B33542" w:rsidRPr="005071A1" w14:paraId="68084C4E" w14:textId="77777777" w:rsidTr="00322DFA">
        <w:trPr>
          <w:cantSplit/>
        </w:trPr>
        <w:tc>
          <w:tcPr>
            <w:tcW w:w="2268" w:type="dxa"/>
            <w:tcBorders>
              <w:top w:val="single" w:sz="12" w:space="0" w:color="auto"/>
            </w:tcBorders>
          </w:tcPr>
          <w:p w14:paraId="64E06351" w14:textId="77777777" w:rsidR="00B33542" w:rsidRPr="005071A1" w:rsidRDefault="002477D1" w:rsidP="002477D1">
            <w:pPr>
              <w:pStyle w:val="ENoteTableText"/>
              <w:tabs>
                <w:tab w:val="center" w:leader="dot" w:pos="2268"/>
              </w:tabs>
            </w:pPr>
            <w:r w:rsidRPr="005071A1">
              <w:t>s.</w:t>
            </w:r>
            <w:r w:rsidR="00B33542" w:rsidRPr="005071A1">
              <w:t xml:space="preserve"> 4A</w:t>
            </w:r>
            <w:r w:rsidR="00B33542" w:rsidRPr="005071A1">
              <w:tab/>
            </w:r>
          </w:p>
        </w:tc>
        <w:tc>
          <w:tcPr>
            <w:tcW w:w="4820" w:type="dxa"/>
            <w:tcBorders>
              <w:top w:val="single" w:sz="12" w:space="0" w:color="auto"/>
            </w:tcBorders>
          </w:tcPr>
          <w:p w14:paraId="0F4F15E9"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0EAAD2E5" w14:textId="77777777" w:rsidTr="00322DFA">
        <w:trPr>
          <w:cantSplit/>
        </w:trPr>
        <w:tc>
          <w:tcPr>
            <w:tcW w:w="2268" w:type="dxa"/>
          </w:tcPr>
          <w:p w14:paraId="2164432D" w14:textId="77777777" w:rsidR="00B33542" w:rsidRPr="005071A1" w:rsidRDefault="00B33542" w:rsidP="009B7AF5">
            <w:pPr>
              <w:pStyle w:val="ENoteTableText"/>
            </w:pPr>
          </w:p>
        </w:tc>
        <w:tc>
          <w:tcPr>
            <w:tcW w:w="4820" w:type="dxa"/>
          </w:tcPr>
          <w:p w14:paraId="1E71CBF9" w14:textId="77777777" w:rsidR="00B33542" w:rsidRPr="005071A1" w:rsidRDefault="00B33542" w:rsidP="009B7AF5">
            <w:pPr>
              <w:pStyle w:val="ENoteTableText"/>
            </w:pPr>
            <w:r w:rsidRPr="005071A1">
              <w:t>am. No.</w:t>
            </w:r>
            <w:r w:rsidR="008B2950" w:rsidRPr="005071A1">
              <w:t> </w:t>
            </w:r>
            <w:r w:rsidRPr="005071A1">
              <w:t>22, 1930</w:t>
            </w:r>
          </w:p>
        </w:tc>
      </w:tr>
      <w:tr w:rsidR="00B33542" w:rsidRPr="005071A1" w14:paraId="25497D76" w14:textId="77777777" w:rsidTr="00322DFA">
        <w:trPr>
          <w:cantSplit/>
        </w:trPr>
        <w:tc>
          <w:tcPr>
            <w:tcW w:w="2268" w:type="dxa"/>
          </w:tcPr>
          <w:p w14:paraId="4A6960F3" w14:textId="77777777" w:rsidR="00B33542" w:rsidRPr="005071A1" w:rsidRDefault="00B33542" w:rsidP="009B7AF5">
            <w:pPr>
              <w:pStyle w:val="ENoteTableText"/>
            </w:pPr>
          </w:p>
        </w:tc>
        <w:tc>
          <w:tcPr>
            <w:tcW w:w="4820" w:type="dxa"/>
          </w:tcPr>
          <w:p w14:paraId="47B9283D"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7B51227B" w14:textId="77777777" w:rsidTr="00322DFA">
        <w:trPr>
          <w:cantSplit/>
        </w:trPr>
        <w:tc>
          <w:tcPr>
            <w:tcW w:w="2268" w:type="dxa"/>
          </w:tcPr>
          <w:p w14:paraId="0F5ECE6B" w14:textId="77777777" w:rsidR="00B33542" w:rsidRPr="005071A1" w:rsidRDefault="002477D1" w:rsidP="002477D1">
            <w:pPr>
              <w:pStyle w:val="ENoteTableText"/>
              <w:tabs>
                <w:tab w:val="center" w:leader="dot" w:pos="2268"/>
              </w:tabs>
            </w:pPr>
            <w:r w:rsidRPr="005071A1">
              <w:t>s.</w:t>
            </w:r>
            <w:r w:rsidR="00B33542" w:rsidRPr="005071A1">
              <w:t xml:space="preserve"> 12A</w:t>
            </w:r>
            <w:r w:rsidR="00B33542" w:rsidRPr="005071A1">
              <w:tab/>
            </w:r>
          </w:p>
        </w:tc>
        <w:tc>
          <w:tcPr>
            <w:tcW w:w="4820" w:type="dxa"/>
          </w:tcPr>
          <w:p w14:paraId="43219B57" w14:textId="77777777" w:rsidR="00B33542" w:rsidRPr="005071A1" w:rsidRDefault="00B33542" w:rsidP="009B7AF5">
            <w:pPr>
              <w:pStyle w:val="ENoteTableText"/>
            </w:pPr>
            <w:r w:rsidRPr="005071A1">
              <w:t>ad. No.</w:t>
            </w:r>
            <w:r w:rsidR="008B2950" w:rsidRPr="005071A1">
              <w:t> </w:t>
            </w:r>
            <w:r w:rsidRPr="005071A1">
              <w:t>27, 1955</w:t>
            </w:r>
          </w:p>
        </w:tc>
      </w:tr>
      <w:tr w:rsidR="00B33542" w:rsidRPr="005071A1" w14:paraId="5BA66C95" w14:textId="77777777" w:rsidTr="00322DFA">
        <w:trPr>
          <w:cantSplit/>
        </w:trPr>
        <w:tc>
          <w:tcPr>
            <w:tcW w:w="2268" w:type="dxa"/>
          </w:tcPr>
          <w:p w14:paraId="72A4CCA1" w14:textId="77777777" w:rsidR="00B33542" w:rsidRPr="005071A1" w:rsidRDefault="00B33542" w:rsidP="009B7AF5">
            <w:pPr>
              <w:pStyle w:val="ENoteTableText"/>
            </w:pPr>
          </w:p>
        </w:tc>
        <w:tc>
          <w:tcPr>
            <w:tcW w:w="4820" w:type="dxa"/>
          </w:tcPr>
          <w:p w14:paraId="374B37BF" w14:textId="77777777" w:rsidR="00B33542" w:rsidRPr="005071A1" w:rsidRDefault="00B33542" w:rsidP="009B7AF5">
            <w:pPr>
              <w:pStyle w:val="ENoteTableText"/>
            </w:pPr>
            <w:r w:rsidRPr="005071A1">
              <w:t>am. No.</w:t>
            </w:r>
            <w:r w:rsidR="008B2950" w:rsidRPr="005071A1">
              <w:t> </w:t>
            </w:r>
            <w:r w:rsidRPr="005071A1">
              <w:t>112, 1956</w:t>
            </w:r>
          </w:p>
        </w:tc>
      </w:tr>
      <w:tr w:rsidR="00B33542" w:rsidRPr="005071A1" w14:paraId="5EA0DC0D" w14:textId="77777777" w:rsidTr="00322DFA">
        <w:trPr>
          <w:cantSplit/>
        </w:trPr>
        <w:tc>
          <w:tcPr>
            <w:tcW w:w="2268" w:type="dxa"/>
          </w:tcPr>
          <w:p w14:paraId="1AA073F0" w14:textId="77777777" w:rsidR="00B33542" w:rsidRPr="005071A1" w:rsidRDefault="00B33542" w:rsidP="009B7AF5">
            <w:pPr>
              <w:pStyle w:val="ENoteTableText"/>
            </w:pPr>
          </w:p>
        </w:tc>
        <w:tc>
          <w:tcPr>
            <w:tcW w:w="4820" w:type="dxa"/>
          </w:tcPr>
          <w:p w14:paraId="188C6F91" w14:textId="77777777" w:rsidR="00B33542" w:rsidRPr="005071A1" w:rsidRDefault="00B33542" w:rsidP="009B7AF5">
            <w:pPr>
              <w:pStyle w:val="ENoteTableText"/>
            </w:pPr>
            <w:r w:rsidRPr="005071A1">
              <w:t>rep. No.</w:t>
            </w:r>
            <w:r w:rsidR="008B2950" w:rsidRPr="005071A1">
              <w:t> </w:t>
            </w:r>
            <w:r w:rsidRPr="005071A1">
              <w:t>102, 1959</w:t>
            </w:r>
          </w:p>
        </w:tc>
      </w:tr>
      <w:tr w:rsidR="00B33542" w:rsidRPr="005071A1" w14:paraId="6D60F227" w14:textId="77777777" w:rsidTr="00322DFA">
        <w:trPr>
          <w:cantSplit/>
        </w:trPr>
        <w:tc>
          <w:tcPr>
            <w:tcW w:w="2268" w:type="dxa"/>
          </w:tcPr>
          <w:p w14:paraId="5C26B869" w14:textId="77777777" w:rsidR="00B33542" w:rsidRPr="005071A1" w:rsidRDefault="002477D1" w:rsidP="002477D1">
            <w:pPr>
              <w:pStyle w:val="ENoteTableText"/>
              <w:tabs>
                <w:tab w:val="center" w:leader="dot" w:pos="2268"/>
              </w:tabs>
            </w:pPr>
            <w:r w:rsidRPr="005071A1">
              <w:t>s.</w:t>
            </w:r>
            <w:r w:rsidR="00B33542" w:rsidRPr="005071A1">
              <w:t xml:space="preserve"> 17</w:t>
            </w:r>
            <w:r w:rsidR="00B33542" w:rsidRPr="005071A1">
              <w:tab/>
            </w:r>
          </w:p>
        </w:tc>
        <w:tc>
          <w:tcPr>
            <w:tcW w:w="4820" w:type="dxa"/>
          </w:tcPr>
          <w:p w14:paraId="547D7E3E" w14:textId="77777777" w:rsidR="00B33542" w:rsidRPr="005071A1" w:rsidRDefault="00B33542" w:rsidP="009B7AF5">
            <w:pPr>
              <w:pStyle w:val="ENoteTableText"/>
            </w:pPr>
            <w:r w:rsidRPr="005071A1">
              <w:t>am. No.</w:t>
            </w:r>
            <w:r w:rsidR="008B2950" w:rsidRPr="005071A1">
              <w:t> </w:t>
            </w:r>
            <w:r w:rsidRPr="005071A1">
              <w:t>22, 1930</w:t>
            </w:r>
          </w:p>
        </w:tc>
      </w:tr>
      <w:tr w:rsidR="00B33542" w:rsidRPr="005071A1" w14:paraId="0DD7CC40" w14:textId="77777777" w:rsidTr="00322DFA">
        <w:trPr>
          <w:cantSplit/>
        </w:trPr>
        <w:tc>
          <w:tcPr>
            <w:tcW w:w="2268" w:type="dxa"/>
          </w:tcPr>
          <w:p w14:paraId="3B36B602" w14:textId="77777777" w:rsidR="00B33542" w:rsidRPr="005071A1" w:rsidRDefault="00B33542" w:rsidP="009B7AF5">
            <w:pPr>
              <w:pStyle w:val="ENoteTableText"/>
            </w:pPr>
          </w:p>
        </w:tc>
        <w:tc>
          <w:tcPr>
            <w:tcW w:w="4820" w:type="dxa"/>
          </w:tcPr>
          <w:p w14:paraId="3CF13DAC" w14:textId="77777777" w:rsidR="00B33542" w:rsidRPr="005071A1" w:rsidRDefault="00B33542" w:rsidP="009B7AF5">
            <w:pPr>
              <w:pStyle w:val="ENoteTableText"/>
            </w:pPr>
            <w:r w:rsidRPr="005071A1">
              <w:t>rs. No.</w:t>
            </w:r>
            <w:r w:rsidR="008B2950" w:rsidRPr="005071A1">
              <w:t> </w:t>
            </w:r>
            <w:r w:rsidRPr="005071A1">
              <w:t>53, 1942; No.</w:t>
            </w:r>
            <w:r w:rsidR="008B2950" w:rsidRPr="005071A1">
              <w:t> </w:t>
            </w:r>
            <w:r w:rsidRPr="005071A1">
              <w:t>49, 1951</w:t>
            </w:r>
          </w:p>
        </w:tc>
      </w:tr>
      <w:tr w:rsidR="00B33542" w:rsidRPr="005071A1" w14:paraId="04B63A22" w14:textId="77777777" w:rsidTr="00322DFA">
        <w:trPr>
          <w:cantSplit/>
        </w:trPr>
        <w:tc>
          <w:tcPr>
            <w:tcW w:w="2268" w:type="dxa"/>
          </w:tcPr>
          <w:p w14:paraId="2AC361C8" w14:textId="77777777" w:rsidR="00B33542" w:rsidRPr="005071A1" w:rsidRDefault="00B33542" w:rsidP="009B7AF5">
            <w:pPr>
              <w:pStyle w:val="ENoteTableText"/>
            </w:pPr>
          </w:p>
        </w:tc>
        <w:tc>
          <w:tcPr>
            <w:tcW w:w="4820" w:type="dxa"/>
          </w:tcPr>
          <w:p w14:paraId="248B07C8" w14:textId="77777777" w:rsidR="00B33542" w:rsidRPr="005071A1" w:rsidRDefault="00B33542" w:rsidP="009B7AF5">
            <w:pPr>
              <w:pStyle w:val="ENoteTableText"/>
            </w:pPr>
            <w:r w:rsidRPr="005071A1">
              <w:t>rep. No.</w:t>
            </w:r>
            <w:r w:rsidR="008B2950" w:rsidRPr="005071A1">
              <w:t> </w:t>
            </w:r>
            <w:r w:rsidRPr="005071A1">
              <w:t>102, 1959</w:t>
            </w:r>
          </w:p>
        </w:tc>
      </w:tr>
      <w:tr w:rsidR="00B33542" w:rsidRPr="005071A1" w14:paraId="55C16760" w14:textId="77777777" w:rsidTr="00322DFA">
        <w:trPr>
          <w:cantSplit/>
        </w:trPr>
        <w:tc>
          <w:tcPr>
            <w:tcW w:w="2268" w:type="dxa"/>
          </w:tcPr>
          <w:p w14:paraId="5DE0DFD9" w14:textId="77777777" w:rsidR="00B33542" w:rsidRPr="005071A1" w:rsidRDefault="002477D1" w:rsidP="002477D1">
            <w:pPr>
              <w:pStyle w:val="ENoteTableText"/>
              <w:tabs>
                <w:tab w:val="center" w:leader="dot" w:pos="2268"/>
              </w:tabs>
            </w:pPr>
            <w:r w:rsidRPr="005071A1">
              <w:t>s.</w:t>
            </w:r>
            <w:r w:rsidR="00B33542" w:rsidRPr="005071A1">
              <w:t xml:space="preserve"> 17E</w:t>
            </w:r>
            <w:r w:rsidR="00B33542" w:rsidRPr="005071A1">
              <w:tab/>
            </w:r>
          </w:p>
        </w:tc>
        <w:tc>
          <w:tcPr>
            <w:tcW w:w="4820" w:type="dxa"/>
          </w:tcPr>
          <w:p w14:paraId="16F87C33" w14:textId="77777777" w:rsidR="00B33542" w:rsidRPr="005071A1" w:rsidRDefault="00B33542" w:rsidP="009B7AF5">
            <w:pPr>
              <w:pStyle w:val="ENoteTableText"/>
            </w:pPr>
            <w:r w:rsidRPr="005071A1">
              <w:t>ad. No.</w:t>
            </w:r>
            <w:r w:rsidR="008B2950" w:rsidRPr="005071A1">
              <w:t> </w:t>
            </w:r>
            <w:r w:rsidRPr="005071A1">
              <w:t>35, 1947</w:t>
            </w:r>
          </w:p>
        </w:tc>
      </w:tr>
      <w:tr w:rsidR="00B33542" w:rsidRPr="005071A1" w14:paraId="265210E5" w14:textId="77777777" w:rsidTr="00322DFA">
        <w:trPr>
          <w:cantSplit/>
        </w:trPr>
        <w:tc>
          <w:tcPr>
            <w:tcW w:w="2268" w:type="dxa"/>
          </w:tcPr>
          <w:p w14:paraId="77A7A636" w14:textId="77777777" w:rsidR="00B33542" w:rsidRPr="005071A1" w:rsidRDefault="00B33542" w:rsidP="009B7AF5">
            <w:pPr>
              <w:pStyle w:val="ENoteTableText"/>
            </w:pPr>
          </w:p>
        </w:tc>
        <w:tc>
          <w:tcPr>
            <w:tcW w:w="4820" w:type="dxa"/>
          </w:tcPr>
          <w:p w14:paraId="75A06BBC" w14:textId="77777777" w:rsidR="00B33542" w:rsidRPr="005071A1" w:rsidRDefault="00B33542" w:rsidP="009B7AF5">
            <w:pPr>
              <w:pStyle w:val="ENoteTableText"/>
            </w:pPr>
            <w:r w:rsidRPr="005071A1">
              <w:t>rep. No.</w:t>
            </w:r>
            <w:r w:rsidR="008B2950" w:rsidRPr="005071A1">
              <w:t> </w:t>
            </w:r>
            <w:r w:rsidRPr="005071A1">
              <w:t>27, 1955</w:t>
            </w:r>
          </w:p>
        </w:tc>
      </w:tr>
      <w:tr w:rsidR="00B33542" w:rsidRPr="005071A1" w14:paraId="05006D98" w14:textId="77777777" w:rsidTr="00322DFA">
        <w:trPr>
          <w:cantSplit/>
        </w:trPr>
        <w:tc>
          <w:tcPr>
            <w:tcW w:w="2268" w:type="dxa"/>
          </w:tcPr>
          <w:p w14:paraId="355EF5F0" w14:textId="77777777" w:rsidR="00B33542" w:rsidRPr="005071A1" w:rsidRDefault="00B33542" w:rsidP="0086505B">
            <w:pPr>
              <w:pStyle w:val="ENoteTableText"/>
              <w:tabs>
                <w:tab w:val="center" w:leader="dot" w:pos="2268"/>
              </w:tabs>
            </w:pPr>
            <w:r w:rsidRPr="005071A1">
              <w:t>Div. 4 of Part III</w:t>
            </w:r>
            <w:r w:rsidRPr="005071A1">
              <w:tab/>
            </w:r>
            <w:r w:rsidRPr="005071A1">
              <w:br/>
              <w:t>(ss.</w:t>
            </w:r>
            <w:r w:rsidR="008B2950" w:rsidRPr="005071A1">
              <w:t> </w:t>
            </w:r>
            <w:r w:rsidRPr="005071A1">
              <w:t>18–20)</w:t>
            </w:r>
          </w:p>
        </w:tc>
        <w:tc>
          <w:tcPr>
            <w:tcW w:w="4820" w:type="dxa"/>
          </w:tcPr>
          <w:p w14:paraId="170DBC60" w14:textId="77777777" w:rsidR="00B33542" w:rsidRPr="005071A1" w:rsidRDefault="00B33542" w:rsidP="009B7AF5">
            <w:pPr>
              <w:pStyle w:val="ENoteTableText"/>
            </w:pPr>
            <w:r w:rsidRPr="005071A1">
              <w:t>rep. No.</w:t>
            </w:r>
            <w:r w:rsidR="008B2950" w:rsidRPr="005071A1">
              <w:t> </w:t>
            </w:r>
            <w:r w:rsidRPr="005071A1">
              <w:t xml:space="preserve">102, 1959 </w:t>
            </w:r>
          </w:p>
        </w:tc>
      </w:tr>
      <w:tr w:rsidR="00B33542" w:rsidRPr="005071A1" w14:paraId="72EA75D8" w14:textId="77777777" w:rsidTr="00322DFA">
        <w:trPr>
          <w:cantSplit/>
        </w:trPr>
        <w:tc>
          <w:tcPr>
            <w:tcW w:w="2268" w:type="dxa"/>
          </w:tcPr>
          <w:p w14:paraId="7C7914F7" w14:textId="77777777" w:rsidR="00B33542" w:rsidRPr="005071A1" w:rsidRDefault="002477D1" w:rsidP="002477D1">
            <w:pPr>
              <w:pStyle w:val="ENoteTableText"/>
              <w:tabs>
                <w:tab w:val="center" w:leader="dot" w:pos="2268"/>
              </w:tabs>
            </w:pPr>
            <w:r w:rsidRPr="005071A1">
              <w:t>s.</w:t>
            </w:r>
            <w:r w:rsidR="00B33542" w:rsidRPr="005071A1">
              <w:t xml:space="preserve"> 18</w:t>
            </w:r>
            <w:r w:rsidR="00B33542" w:rsidRPr="005071A1">
              <w:tab/>
            </w:r>
          </w:p>
        </w:tc>
        <w:tc>
          <w:tcPr>
            <w:tcW w:w="4820" w:type="dxa"/>
          </w:tcPr>
          <w:p w14:paraId="4C264323" w14:textId="77777777" w:rsidR="00B33542" w:rsidRPr="005071A1" w:rsidRDefault="00B33542" w:rsidP="009B7AF5">
            <w:pPr>
              <w:pStyle w:val="ENoteTableText"/>
            </w:pPr>
            <w:r w:rsidRPr="005071A1">
              <w:t>am. No.</w:t>
            </w:r>
            <w:r w:rsidR="008B2950" w:rsidRPr="005071A1">
              <w:t> </w:t>
            </w:r>
            <w:r w:rsidRPr="005071A1">
              <w:t>35, 1947</w:t>
            </w:r>
          </w:p>
        </w:tc>
      </w:tr>
      <w:tr w:rsidR="00B33542" w:rsidRPr="005071A1" w14:paraId="6B026A25" w14:textId="77777777" w:rsidTr="00322DFA">
        <w:trPr>
          <w:cantSplit/>
        </w:trPr>
        <w:tc>
          <w:tcPr>
            <w:tcW w:w="2268" w:type="dxa"/>
          </w:tcPr>
          <w:p w14:paraId="27B7E165" w14:textId="77777777" w:rsidR="00B33542" w:rsidRPr="005071A1" w:rsidRDefault="00B33542" w:rsidP="009B7AF5">
            <w:pPr>
              <w:pStyle w:val="ENoteTableText"/>
            </w:pPr>
          </w:p>
        </w:tc>
        <w:tc>
          <w:tcPr>
            <w:tcW w:w="4820" w:type="dxa"/>
          </w:tcPr>
          <w:p w14:paraId="544EB855" w14:textId="77777777" w:rsidR="00B33542" w:rsidRPr="005071A1" w:rsidRDefault="00B33542" w:rsidP="009B7AF5">
            <w:pPr>
              <w:pStyle w:val="ENoteTableText"/>
            </w:pPr>
            <w:r w:rsidRPr="005071A1">
              <w:t>rs. No.</w:t>
            </w:r>
            <w:r w:rsidR="008B2950" w:rsidRPr="005071A1">
              <w:t> </w:t>
            </w:r>
            <w:r w:rsidRPr="005071A1">
              <w:t>76, 1950</w:t>
            </w:r>
          </w:p>
        </w:tc>
      </w:tr>
      <w:tr w:rsidR="00B33542" w:rsidRPr="005071A1" w14:paraId="6C34E8B2" w14:textId="77777777" w:rsidTr="00322DFA">
        <w:trPr>
          <w:cantSplit/>
        </w:trPr>
        <w:tc>
          <w:tcPr>
            <w:tcW w:w="2268" w:type="dxa"/>
          </w:tcPr>
          <w:p w14:paraId="56AF0267" w14:textId="77777777" w:rsidR="00B33542" w:rsidRPr="005071A1" w:rsidRDefault="00B33542" w:rsidP="009B7AF5">
            <w:pPr>
              <w:pStyle w:val="ENoteTableText"/>
            </w:pPr>
          </w:p>
        </w:tc>
        <w:tc>
          <w:tcPr>
            <w:tcW w:w="4820" w:type="dxa"/>
          </w:tcPr>
          <w:p w14:paraId="12FC1817" w14:textId="77777777" w:rsidR="00B33542" w:rsidRPr="005071A1" w:rsidRDefault="00B33542" w:rsidP="009B7AF5">
            <w:pPr>
              <w:pStyle w:val="ENoteTableText"/>
            </w:pPr>
            <w:r w:rsidRPr="005071A1">
              <w:t>am. No.</w:t>
            </w:r>
            <w:r w:rsidR="008B2950" w:rsidRPr="005071A1">
              <w:t> </w:t>
            </w:r>
            <w:r w:rsidRPr="005071A1">
              <w:t>49, 1951; No.</w:t>
            </w:r>
            <w:r w:rsidR="008B2950" w:rsidRPr="005071A1">
              <w:t> </w:t>
            </w:r>
            <w:r w:rsidRPr="005071A1">
              <w:t>11, 1954; No.</w:t>
            </w:r>
            <w:r w:rsidR="008B2950" w:rsidRPr="005071A1">
              <w:t> </w:t>
            </w:r>
            <w:r w:rsidRPr="005071A1">
              <w:t>94, 1957</w:t>
            </w:r>
          </w:p>
        </w:tc>
      </w:tr>
      <w:tr w:rsidR="00B33542" w:rsidRPr="005071A1" w14:paraId="714F4608" w14:textId="77777777" w:rsidTr="00322DFA">
        <w:trPr>
          <w:cantSplit/>
        </w:trPr>
        <w:tc>
          <w:tcPr>
            <w:tcW w:w="2268" w:type="dxa"/>
          </w:tcPr>
          <w:p w14:paraId="44CFD34C" w14:textId="77777777" w:rsidR="00B33542" w:rsidRPr="005071A1" w:rsidRDefault="00B33542" w:rsidP="009B7AF5">
            <w:pPr>
              <w:pStyle w:val="ENoteTableText"/>
            </w:pPr>
          </w:p>
        </w:tc>
        <w:tc>
          <w:tcPr>
            <w:tcW w:w="4820" w:type="dxa"/>
          </w:tcPr>
          <w:p w14:paraId="73E9F455" w14:textId="77777777" w:rsidR="00B33542" w:rsidRPr="005071A1" w:rsidRDefault="00B33542" w:rsidP="009B7AF5">
            <w:pPr>
              <w:pStyle w:val="ENoteTableText"/>
            </w:pPr>
            <w:r w:rsidRPr="005071A1">
              <w:t>rep. No.</w:t>
            </w:r>
            <w:r w:rsidR="008B2950" w:rsidRPr="005071A1">
              <w:t> </w:t>
            </w:r>
            <w:r w:rsidRPr="005071A1">
              <w:t>102, 1959</w:t>
            </w:r>
          </w:p>
        </w:tc>
      </w:tr>
      <w:tr w:rsidR="00B33542" w:rsidRPr="005071A1" w14:paraId="46D42377" w14:textId="77777777" w:rsidTr="00322DFA">
        <w:trPr>
          <w:cantSplit/>
        </w:trPr>
        <w:tc>
          <w:tcPr>
            <w:tcW w:w="2268" w:type="dxa"/>
          </w:tcPr>
          <w:p w14:paraId="093E8324" w14:textId="77777777" w:rsidR="00B33542" w:rsidRPr="005071A1" w:rsidRDefault="002477D1" w:rsidP="002477D1">
            <w:pPr>
              <w:pStyle w:val="ENoteTableText"/>
              <w:tabs>
                <w:tab w:val="center" w:leader="dot" w:pos="2268"/>
              </w:tabs>
            </w:pPr>
            <w:r w:rsidRPr="005071A1">
              <w:t>s.</w:t>
            </w:r>
            <w:r w:rsidR="00B33542" w:rsidRPr="005071A1">
              <w:t xml:space="preserve"> 19</w:t>
            </w:r>
            <w:r w:rsidR="00B33542" w:rsidRPr="005071A1">
              <w:tab/>
            </w:r>
          </w:p>
        </w:tc>
        <w:tc>
          <w:tcPr>
            <w:tcW w:w="4820" w:type="dxa"/>
          </w:tcPr>
          <w:p w14:paraId="3E39B4A6" w14:textId="77777777" w:rsidR="00B33542" w:rsidRPr="005071A1" w:rsidRDefault="00B33542" w:rsidP="009B7AF5">
            <w:pPr>
              <w:pStyle w:val="ENoteTableText"/>
            </w:pPr>
            <w:r w:rsidRPr="005071A1">
              <w:t>am. No.</w:t>
            </w:r>
            <w:r w:rsidR="008B2950" w:rsidRPr="005071A1">
              <w:t> </w:t>
            </w:r>
            <w:r w:rsidRPr="005071A1">
              <w:t>35, 1947; No.</w:t>
            </w:r>
            <w:r w:rsidR="008B2950" w:rsidRPr="005071A1">
              <w:t> </w:t>
            </w:r>
            <w:r w:rsidRPr="005071A1">
              <w:t>76, 1950; No.</w:t>
            </w:r>
            <w:r w:rsidR="008B2950" w:rsidRPr="005071A1">
              <w:t> </w:t>
            </w:r>
            <w:r w:rsidRPr="005071A1">
              <w:t>11, 1954; No.</w:t>
            </w:r>
            <w:r w:rsidR="008B2950" w:rsidRPr="005071A1">
              <w:t> </w:t>
            </w:r>
            <w:r w:rsidRPr="005071A1">
              <w:t>94, 1957</w:t>
            </w:r>
          </w:p>
        </w:tc>
      </w:tr>
      <w:tr w:rsidR="00B33542" w:rsidRPr="005071A1" w14:paraId="6E87F8B7" w14:textId="77777777" w:rsidTr="00322DFA">
        <w:trPr>
          <w:cantSplit/>
        </w:trPr>
        <w:tc>
          <w:tcPr>
            <w:tcW w:w="2268" w:type="dxa"/>
          </w:tcPr>
          <w:p w14:paraId="536159EE" w14:textId="77777777" w:rsidR="00B33542" w:rsidRPr="005071A1" w:rsidRDefault="00B33542" w:rsidP="009B7AF5">
            <w:pPr>
              <w:pStyle w:val="ENoteTableText"/>
            </w:pPr>
          </w:p>
        </w:tc>
        <w:tc>
          <w:tcPr>
            <w:tcW w:w="4820" w:type="dxa"/>
          </w:tcPr>
          <w:p w14:paraId="58C3E729" w14:textId="77777777" w:rsidR="00B33542" w:rsidRPr="005071A1" w:rsidRDefault="00B33542" w:rsidP="009B7AF5">
            <w:pPr>
              <w:pStyle w:val="ENoteTableText"/>
            </w:pPr>
            <w:r w:rsidRPr="005071A1">
              <w:t>rep. No.</w:t>
            </w:r>
            <w:r w:rsidR="008B2950" w:rsidRPr="005071A1">
              <w:t> </w:t>
            </w:r>
            <w:r w:rsidRPr="005071A1">
              <w:t>102, 1959</w:t>
            </w:r>
          </w:p>
        </w:tc>
      </w:tr>
      <w:tr w:rsidR="00B33542" w:rsidRPr="005071A1" w14:paraId="370814A4" w14:textId="77777777" w:rsidTr="00322DFA">
        <w:trPr>
          <w:cantSplit/>
        </w:trPr>
        <w:tc>
          <w:tcPr>
            <w:tcW w:w="2268" w:type="dxa"/>
          </w:tcPr>
          <w:p w14:paraId="715D891A" w14:textId="77777777" w:rsidR="00B33542" w:rsidRPr="005071A1" w:rsidRDefault="002477D1" w:rsidP="002477D1">
            <w:pPr>
              <w:pStyle w:val="ENoteTableText"/>
              <w:tabs>
                <w:tab w:val="center" w:leader="dot" w:pos="2268"/>
              </w:tabs>
            </w:pPr>
            <w:r w:rsidRPr="005071A1">
              <w:t>s.</w:t>
            </w:r>
            <w:r w:rsidR="00B33542" w:rsidRPr="005071A1">
              <w:t xml:space="preserve"> 20</w:t>
            </w:r>
            <w:r w:rsidR="00B33542" w:rsidRPr="005071A1">
              <w:tab/>
            </w:r>
          </w:p>
        </w:tc>
        <w:tc>
          <w:tcPr>
            <w:tcW w:w="4820" w:type="dxa"/>
          </w:tcPr>
          <w:p w14:paraId="2C6197C4" w14:textId="77777777" w:rsidR="00B33542" w:rsidRPr="005071A1" w:rsidRDefault="00B33542" w:rsidP="009B7AF5">
            <w:pPr>
              <w:pStyle w:val="ENoteTableText"/>
            </w:pPr>
            <w:r w:rsidRPr="005071A1">
              <w:t>rep. No.</w:t>
            </w:r>
            <w:r w:rsidR="008B2950" w:rsidRPr="005071A1">
              <w:t> </w:t>
            </w:r>
            <w:r w:rsidRPr="005071A1">
              <w:t>102, 1959</w:t>
            </w:r>
          </w:p>
        </w:tc>
      </w:tr>
      <w:tr w:rsidR="00B33542" w:rsidRPr="005071A1" w14:paraId="5C71B970" w14:textId="77777777" w:rsidTr="00322DFA">
        <w:trPr>
          <w:cantSplit/>
        </w:trPr>
        <w:tc>
          <w:tcPr>
            <w:tcW w:w="2268" w:type="dxa"/>
          </w:tcPr>
          <w:p w14:paraId="4C0CBAA2" w14:textId="77777777" w:rsidR="00B33542" w:rsidRPr="005071A1" w:rsidRDefault="002477D1" w:rsidP="002477D1">
            <w:pPr>
              <w:pStyle w:val="ENoteTableText"/>
              <w:tabs>
                <w:tab w:val="center" w:leader="dot" w:pos="2268"/>
              </w:tabs>
            </w:pPr>
            <w:r w:rsidRPr="005071A1">
              <w:t>s.</w:t>
            </w:r>
            <w:r w:rsidR="00B33542" w:rsidRPr="005071A1">
              <w:t xml:space="preserve"> 29B</w:t>
            </w:r>
            <w:r w:rsidR="00B33542" w:rsidRPr="005071A1">
              <w:tab/>
            </w:r>
          </w:p>
        </w:tc>
        <w:tc>
          <w:tcPr>
            <w:tcW w:w="4820" w:type="dxa"/>
          </w:tcPr>
          <w:p w14:paraId="1F60B7A3" w14:textId="77777777" w:rsidR="00B33542" w:rsidRPr="005071A1" w:rsidRDefault="00B33542" w:rsidP="009B7AF5">
            <w:pPr>
              <w:pStyle w:val="ENoteTableText"/>
            </w:pPr>
            <w:r w:rsidRPr="005071A1">
              <w:t>ad. No.</w:t>
            </w:r>
            <w:r w:rsidR="008B2950" w:rsidRPr="005071A1">
              <w:t> </w:t>
            </w:r>
            <w:r w:rsidRPr="005071A1">
              <w:t>49, 1951</w:t>
            </w:r>
          </w:p>
        </w:tc>
      </w:tr>
      <w:tr w:rsidR="00B33542" w:rsidRPr="005071A1" w14:paraId="2242EE8F" w14:textId="77777777" w:rsidTr="00322DFA">
        <w:trPr>
          <w:cantSplit/>
        </w:trPr>
        <w:tc>
          <w:tcPr>
            <w:tcW w:w="2268" w:type="dxa"/>
          </w:tcPr>
          <w:p w14:paraId="11E3D3A2" w14:textId="77777777" w:rsidR="00B33542" w:rsidRPr="005071A1" w:rsidRDefault="00B33542" w:rsidP="009B7AF5">
            <w:pPr>
              <w:pStyle w:val="ENoteTableText"/>
            </w:pPr>
          </w:p>
        </w:tc>
        <w:tc>
          <w:tcPr>
            <w:tcW w:w="4820" w:type="dxa"/>
          </w:tcPr>
          <w:p w14:paraId="6C3AAE70" w14:textId="77777777" w:rsidR="00B33542" w:rsidRPr="005071A1" w:rsidRDefault="00B33542" w:rsidP="009B7AF5">
            <w:pPr>
              <w:pStyle w:val="ENoteTableText"/>
            </w:pPr>
            <w:r w:rsidRPr="005071A1">
              <w:t>rep. No.</w:t>
            </w:r>
            <w:r w:rsidR="008B2950" w:rsidRPr="005071A1">
              <w:t> </w:t>
            </w:r>
            <w:r w:rsidRPr="005071A1">
              <w:t>112, 1956</w:t>
            </w:r>
          </w:p>
        </w:tc>
      </w:tr>
      <w:tr w:rsidR="00B33542" w:rsidRPr="005071A1" w14:paraId="3DD473BE" w14:textId="77777777" w:rsidTr="00322DFA">
        <w:trPr>
          <w:cantSplit/>
        </w:trPr>
        <w:tc>
          <w:tcPr>
            <w:tcW w:w="2268" w:type="dxa"/>
          </w:tcPr>
          <w:p w14:paraId="7CC69EC4" w14:textId="77777777" w:rsidR="00B33542" w:rsidRPr="005071A1" w:rsidRDefault="002477D1" w:rsidP="002477D1">
            <w:pPr>
              <w:pStyle w:val="ENoteTableText"/>
              <w:tabs>
                <w:tab w:val="center" w:leader="dot" w:pos="2268"/>
              </w:tabs>
            </w:pPr>
            <w:r w:rsidRPr="005071A1">
              <w:t>ss.</w:t>
            </w:r>
            <w:r w:rsidR="008B2950" w:rsidRPr="005071A1">
              <w:t> </w:t>
            </w:r>
            <w:r w:rsidR="00B33542" w:rsidRPr="005071A1">
              <w:t>35–37</w:t>
            </w:r>
            <w:r w:rsidR="00B33542" w:rsidRPr="005071A1">
              <w:tab/>
            </w:r>
          </w:p>
        </w:tc>
        <w:tc>
          <w:tcPr>
            <w:tcW w:w="4820" w:type="dxa"/>
          </w:tcPr>
          <w:p w14:paraId="6AC5B598" w14:textId="77777777" w:rsidR="00B33542" w:rsidRPr="005071A1" w:rsidRDefault="00B33542" w:rsidP="009B7AF5">
            <w:pPr>
              <w:pStyle w:val="ENoteTableText"/>
            </w:pPr>
            <w:r w:rsidRPr="005071A1">
              <w:t>rep. No.</w:t>
            </w:r>
            <w:r w:rsidR="008B2950" w:rsidRPr="005071A1">
              <w:t> </w:t>
            </w:r>
            <w:r w:rsidRPr="005071A1">
              <w:t>112, 1956</w:t>
            </w:r>
          </w:p>
        </w:tc>
      </w:tr>
      <w:tr w:rsidR="00B33542" w:rsidRPr="005071A1" w14:paraId="76EC37A2" w14:textId="77777777" w:rsidTr="00322DFA">
        <w:trPr>
          <w:cantSplit/>
        </w:trPr>
        <w:tc>
          <w:tcPr>
            <w:tcW w:w="2268" w:type="dxa"/>
          </w:tcPr>
          <w:p w14:paraId="1A690CAD" w14:textId="77777777" w:rsidR="00B33542" w:rsidRPr="005071A1" w:rsidRDefault="002477D1" w:rsidP="002477D1">
            <w:pPr>
              <w:pStyle w:val="ENoteTableText"/>
              <w:tabs>
                <w:tab w:val="center" w:leader="dot" w:pos="2268"/>
              </w:tabs>
            </w:pPr>
            <w:r w:rsidRPr="005071A1">
              <w:t>s.</w:t>
            </w:r>
            <w:r w:rsidR="00B33542" w:rsidRPr="005071A1">
              <w:t xml:space="preserve"> 38</w:t>
            </w:r>
            <w:r w:rsidR="00B33542" w:rsidRPr="005071A1">
              <w:tab/>
            </w:r>
          </w:p>
        </w:tc>
        <w:tc>
          <w:tcPr>
            <w:tcW w:w="4820" w:type="dxa"/>
          </w:tcPr>
          <w:p w14:paraId="4B181BB8" w14:textId="77777777" w:rsidR="00B33542" w:rsidRPr="005071A1" w:rsidRDefault="00B33542" w:rsidP="009B7AF5">
            <w:pPr>
              <w:pStyle w:val="ENoteTableText"/>
            </w:pPr>
            <w:r w:rsidRPr="005071A1">
              <w:t>am. No.</w:t>
            </w:r>
            <w:r w:rsidR="008B2950" w:rsidRPr="005071A1">
              <w:t> </w:t>
            </w:r>
            <w:r w:rsidRPr="005071A1">
              <w:t>45, 1924</w:t>
            </w:r>
          </w:p>
        </w:tc>
      </w:tr>
      <w:tr w:rsidR="00B33542" w:rsidRPr="005071A1" w14:paraId="6A8F3311" w14:textId="77777777" w:rsidTr="00322DFA">
        <w:trPr>
          <w:cantSplit/>
        </w:trPr>
        <w:tc>
          <w:tcPr>
            <w:tcW w:w="2268" w:type="dxa"/>
          </w:tcPr>
          <w:p w14:paraId="5F1F413A" w14:textId="77777777" w:rsidR="00B33542" w:rsidRPr="005071A1" w:rsidRDefault="00B33542" w:rsidP="009B7AF5">
            <w:pPr>
              <w:pStyle w:val="ENoteTableText"/>
            </w:pPr>
          </w:p>
        </w:tc>
        <w:tc>
          <w:tcPr>
            <w:tcW w:w="4820" w:type="dxa"/>
          </w:tcPr>
          <w:p w14:paraId="4D16462E" w14:textId="77777777" w:rsidR="00B33542" w:rsidRPr="005071A1" w:rsidRDefault="00B33542" w:rsidP="009B7AF5">
            <w:pPr>
              <w:pStyle w:val="ENoteTableText"/>
            </w:pPr>
            <w:r w:rsidRPr="005071A1">
              <w:t>rep. No.</w:t>
            </w:r>
            <w:r w:rsidR="008B2950" w:rsidRPr="005071A1">
              <w:t> </w:t>
            </w:r>
            <w:r w:rsidRPr="005071A1">
              <w:t>112, 1956</w:t>
            </w:r>
          </w:p>
        </w:tc>
      </w:tr>
      <w:tr w:rsidR="00B33542" w:rsidRPr="005071A1" w14:paraId="38ED83FF" w14:textId="77777777" w:rsidTr="00322DFA">
        <w:trPr>
          <w:cantSplit/>
        </w:trPr>
        <w:tc>
          <w:tcPr>
            <w:tcW w:w="2268" w:type="dxa"/>
          </w:tcPr>
          <w:p w14:paraId="12A703A5" w14:textId="77777777" w:rsidR="00B33542" w:rsidRPr="005071A1" w:rsidRDefault="002477D1" w:rsidP="002477D1">
            <w:pPr>
              <w:pStyle w:val="ENoteTableText"/>
              <w:tabs>
                <w:tab w:val="center" w:leader="dot" w:pos="2268"/>
              </w:tabs>
            </w:pPr>
            <w:r w:rsidRPr="005071A1">
              <w:t>s.</w:t>
            </w:r>
            <w:r w:rsidR="00B33542" w:rsidRPr="005071A1">
              <w:t xml:space="preserve"> 46A</w:t>
            </w:r>
            <w:r w:rsidR="00B33542" w:rsidRPr="005071A1">
              <w:tab/>
            </w:r>
          </w:p>
        </w:tc>
        <w:tc>
          <w:tcPr>
            <w:tcW w:w="4820" w:type="dxa"/>
          </w:tcPr>
          <w:p w14:paraId="2C439D12" w14:textId="77777777" w:rsidR="00B33542" w:rsidRPr="005071A1" w:rsidRDefault="00B33542" w:rsidP="009B7AF5">
            <w:pPr>
              <w:pStyle w:val="ENoteTableText"/>
            </w:pPr>
            <w:r w:rsidRPr="005071A1">
              <w:t>ad. No.</w:t>
            </w:r>
            <w:r w:rsidR="008B2950" w:rsidRPr="005071A1">
              <w:t> </w:t>
            </w:r>
            <w:r w:rsidRPr="005071A1">
              <w:t>22, 1930</w:t>
            </w:r>
          </w:p>
        </w:tc>
      </w:tr>
      <w:tr w:rsidR="00B33542" w:rsidRPr="005071A1" w14:paraId="3D4F3F74" w14:textId="77777777" w:rsidTr="00322DFA">
        <w:trPr>
          <w:cantSplit/>
        </w:trPr>
        <w:tc>
          <w:tcPr>
            <w:tcW w:w="2268" w:type="dxa"/>
          </w:tcPr>
          <w:p w14:paraId="0AED99EB" w14:textId="77777777" w:rsidR="00B33542" w:rsidRPr="005071A1" w:rsidRDefault="00B33542" w:rsidP="009B7AF5">
            <w:pPr>
              <w:pStyle w:val="ENoteTableText"/>
            </w:pPr>
          </w:p>
        </w:tc>
        <w:tc>
          <w:tcPr>
            <w:tcW w:w="4820" w:type="dxa"/>
          </w:tcPr>
          <w:p w14:paraId="58367C66" w14:textId="77777777" w:rsidR="00B33542" w:rsidRPr="005071A1" w:rsidRDefault="00B33542" w:rsidP="009B7AF5">
            <w:pPr>
              <w:pStyle w:val="ENoteTableText"/>
            </w:pPr>
            <w:r w:rsidRPr="005071A1">
              <w:t>rep. No.</w:t>
            </w:r>
            <w:r w:rsidR="008B2950" w:rsidRPr="005071A1">
              <w:t> </w:t>
            </w:r>
            <w:r w:rsidRPr="005071A1">
              <w:t>53, 1942</w:t>
            </w:r>
          </w:p>
        </w:tc>
      </w:tr>
      <w:tr w:rsidR="00B33542" w:rsidRPr="005071A1" w14:paraId="20FC4AE3" w14:textId="77777777" w:rsidTr="00322DFA">
        <w:trPr>
          <w:cantSplit/>
        </w:trPr>
        <w:tc>
          <w:tcPr>
            <w:tcW w:w="2268" w:type="dxa"/>
          </w:tcPr>
          <w:p w14:paraId="24421C49" w14:textId="77777777" w:rsidR="00B33542" w:rsidRPr="005071A1" w:rsidRDefault="002477D1" w:rsidP="002477D1">
            <w:pPr>
              <w:pStyle w:val="ENoteTableText"/>
              <w:tabs>
                <w:tab w:val="center" w:leader="dot" w:pos="2268"/>
              </w:tabs>
            </w:pPr>
            <w:r w:rsidRPr="005071A1">
              <w:t>ss.</w:t>
            </w:r>
            <w:r w:rsidR="008B2950" w:rsidRPr="005071A1">
              <w:t> </w:t>
            </w:r>
            <w:r w:rsidR="00B33542" w:rsidRPr="005071A1">
              <w:t>54–56</w:t>
            </w:r>
            <w:r w:rsidR="00B33542" w:rsidRPr="005071A1">
              <w:tab/>
            </w:r>
          </w:p>
        </w:tc>
        <w:tc>
          <w:tcPr>
            <w:tcW w:w="4820" w:type="dxa"/>
          </w:tcPr>
          <w:p w14:paraId="1743D984" w14:textId="77777777" w:rsidR="00B33542" w:rsidRPr="005071A1" w:rsidRDefault="00B33542" w:rsidP="009B7AF5">
            <w:pPr>
              <w:pStyle w:val="ENoteTableText"/>
            </w:pPr>
            <w:r w:rsidRPr="005071A1">
              <w:t>rep. No.</w:t>
            </w:r>
            <w:r w:rsidR="008B2950" w:rsidRPr="005071A1">
              <w:t> </w:t>
            </w:r>
            <w:r w:rsidRPr="005071A1">
              <w:t>112, 1956</w:t>
            </w:r>
          </w:p>
        </w:tc>
      </w:tr>
      <w:tr w:rsidR="00B33542" w:rsidRPr="005071A1" w14:paraId="188B8EBF" w14:textId="77777777" w:rsidTr="00322DFA">
        <w:trPr>
          <w:cantSplit/>
        </w:trPr>
        <w:tc>
          <w:tcPr>
            <w:tcW w:w="2268" w:type="dxa"/>
          </w:tcPr>
          <w:p w14:paraId="09D1A735" w14:textId="77777777" w:rsidR="00B33542" w:rsidRPr="005071A1" w:rsidRDefault="002477D1" w:rsidP="002477D1">
            <w:pPr>
              <w:pStyle w:val="ENoteTableText"/>
              <w:tabs>
                <w:tab w:val="center" w:leader="dot" w:pos="2268"/>
              </w:tabs>
            </w:pPr>
            <w:r w:rsidRPr="005071A1">
              <w:t>s.</w:t>
            </w:r>
            <w:r w:rsidR="00B33542" w:rsidRPr="005071A1">
              <w:t xml:space="preserve"> 59</w:t>
            </w:r>
            <w:r w:rsidR="00B33542" w:rsidRPr="005071A1">
              <w:tab/>
            </w:r>
          </w:p>
        </w:tc>
        <w:tc>
          <w:tcPr>
            <w:tcW w:w="4820" w:type="dxa"/>
          </w:tcPr>
          <w:p w14:paraId="4B084D55" w14:textId="77777777" w:rsidR="00B33542" w:rsidRPr="005071A1" w:rsidRDefault="00B33542" w:rsidP="009B7AF5">
            <w:pPr>
              <w:pStyle w:val="ENoteTableText"/>
            </w:pPr>
            <w:r w:rsidRPr="005071A1">
              <w:t>rep. No.</w:t>
            </w:r>
            <w:r w:rsidR="008B2950" w:rsidRPr="005071A1">
              <w:t> </w:t>
            </w:r>
            <w:r w:rsidRPr="005071A1">
              <w:t>35, 1947</w:t>
            </w:r>
          </w:p>
        </w:tc>
      </w:tr>
      <w:tr w:rsidR="00B33542" w:rsidRPr="005071A1" w14:paraId="42F6B78F" w14:textId="77777777" w:rsidTr="00322DFA">
        <w:trPr>
          <w:cantSplit/>
        </w:trPr>
        <w:tc>
          <w:tcPr>
            <w:tcW w:w="2268" w:type="dxa"/>
          </w:tcPr>
          <w:p w14:paraId="3CEFF933" w14:textId="77777777" w:rsidR="00B33542" w:rsidRPr="005071A1" w:rsidRDefault="002477D1" w:rsidP="002477D1">
            <w:pPr>
              <w:pStyle w:val="ENoteTableText"/>
              <w:tabs>
                <w:tab w:val="center" w:leader="dot" w:pos="2268"/>
              </w:tabs>
            </w:pPr>
            <w:r w:rsidRPr="005071A1">
              <w:t>s.</w:t>
            </w:r>
            <w:r w:rsidR="00B33542" w:rsidRPr="005071A1">
              <w:t xml:space="preserve"> 59A</w:t>
            </w:r>
            <w:r w:rsidR="00B33542" w:rsidRPr="005071A1">
              <w:tab/>
            </w:r>
          </w:p>
        </w:tc>
        <w:tc>
          <w:tcPr>
            <w:tcW w:w="4820" w:type="dxa"/>
          </w:tcPr>
          <w:p w14:paraId="5D37DBC3" w14:textId="77777777" w:rsidR="00B33542" w:rsidRPr="005071A1" w:rsidRDefault="00B33542" w:rsidP="009B7AF5">
            <w:pPr>
              <w:pStyle w:val="ENoteTableText"/>
            </w:pPr>
            <w:r w:rsidRPr="005071A1">
              <w:t>ad. No.</w:t>
            </w:r>
            <w:r w:rsidR="008B2950" w:rsidRPr="005071A1">
              <w:t> </w:t>
            </w:r>
            <w:r w:rsidRPr="005071A1">
              <w:t>11, 1954</w:t>
            </w:r>
          </w:p>
        </w:tc>
      </w:tr>
      <w:tr w:rsidR="00B33542" w:rsidRPr="005071A1" w14:paraId="00C3CF36" w14:textId="77777777" w:rsidTr="00322DFA">
        <w:trPr>
          <w:cantSplit/>
        </w:trPr>
        <w:tc>
          <w:tcPr>
            <w:tcW w:w="2268" w:type="dxa"/>
          </w:tcPr>
          <w:p w14:paraId="0DECBC1F" w14:textId="77777777" w:rsidR="00B33542" w:rsidRPr="005071A1" w:rsidRDefault="00B33542" w:rsidP="009B7AF5">
            <w:pPr>
              <w:pStyle w:val="ENoteTableText"/>
            </w:pPr>
          </w:p>
        </w:tc>
        <w:tc>
          <w:tcPr>
            <w:tcW w:w="4820" w:type="dxa"/>
          </w:tcPr>
          <w:p w14:paraId="4DF9BC90" w14:textId="77777777" w:rsidR="00B33542" w:rsidRPr="005071A1" w:rsidRDefault="00B33542" w:rsidP="009B7AF5">
            <w:pPr>
              <w:pStyle w:val="ENoteTableText"/>
            </w:pPr>
            <w:r w:rsidRPr="005071A1">
              <w:t>am. No.</w:t>
            </w:r>
            <w:r w:rsidR="008B2950" w:rsidRPr="005071A1">
              <w:t> </w:t>
            </w:r>
            <w:r w:rsidRPr="005071A1">
              <w:t>19, 1956</w:t>
            </w:r>
          </w:p>
        </w:tc>
      </w:tr>
      <w:tr w:rsidR="00B33542" w:rsidRPr="005071A1" w14:paraId="24576AE1" w14:textId="77777777" w:rsidTr="00322DFA">
        <w:trPr>
          <w:cantSplit/>
        </w:trPr>
        <w:tc>
          <w:tcPr>
            <w:tcW w:w="2268" w:type="dxa"/>
          </w:tcPr>
          <w:p w14:paraId="72F0F77F" w14:textId="77777777" w:rsidR="00B33542" w:rsidRPr="005071A1" w:rsidRDefault="00B33542" w:rsidP="009B7AF5">
            <w:pPr>
              <w:pStyle w:val="ENoteTableText"/>
            </w:pPr>
          </w:p>
        </w:tc>
        <w:tc>
          <w:tcPr>
            <w:tcW w:w="4820" w:type="dxa"/>
          </w:tcPr>
          <w:p w14:paraId="2153BBC6" w14:textId="77777777" w:rsidR="00B33542" w:rsidRPr="005071A1" w:rsidRDefault="00B33542" w:rsidP="009B7AF5">
            <w:pPr>
              <w:pStyle w:val="ENoteTableText"/>
            </w:pPr>
            <w:r w:rsidRPr="005071A1">
              <w:t>rep. No.</w:t>
            </w:r>
            <w:r w:rsidR="008B2950" w:rsidRPr="005071A1">
              <w:t> </w:t>
            </w:r>
            <w:r w:rsidRPr="005071A1">
              <w:t>102, 1959</w:t>
            </w:r>
          </w:p>
        </w:tc>
      </w:tr>
      <w:tr w:rsidR="00B33542" w:rsidRPr="005071A1" w14:paraId="262210AF" w14:textId="77777777" w:rsidTr="00322DFA">
        <w:trPr>
          <w:cantSplit/>
        </w:trPr>
        <w:tc>
          <w:tcPr>
            <w:tcW w:w="2268" w:type="dxa"/>
          </w:tcPr>
          <w:p w14:paraId="48AC0C4F" w14:textId="77777777" w:rsidR="00B33542" w:rsidRPr="005071A1" w:rsidRDefault="00B33542" w:rsidP="0086505B">
            <w:pPr>
              <w:pStyle w:val="ENoteTableText"/>
              <w:tabs>
                <w:tab w:val="center" w:leader="dot" w:pos="2268"/>
              </w:tabs>
            </w:pPr>
            <w:r w:rsidRPr="005071A1">
              <w:t>Part IVA</w:t>
            </w:r>
            <w:r w:rsidRPr="005071A1">
              <w:tab/>
            </w:r>
            <w:r w:rsidRPr="005071A1">
              <w:br/>
              <w:t>(ss.</w:t>
            </w:r>
            <w:r w:rsidR="008B2950" w:rsidRPr="005071A1">
              <w:t> </w:t>
            </w:r>
            <w:r w:rsidRPr="005071A1">
              <w:t>60A–60T)</w:t>
            </w:r>
          </w:p>
        </w:tc>
        <w:tc>
          <w:tcPr>
            <w:tcW w:w="4820" w:type="dxa"/>
          </w:tcPr>
          <w:p w14:paraId="0B6112FC"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76E36B18" w14:textId="77777777" w:rsidTr="00322DFA">
        <w:trPr>
          <w:cantSplit/>
        </w:trPr>
        <w:tc>
          <w:tcPr>
            <w:tcW w:w="2268" w:type="dxa"/>
          </w:tcPr>
          <w:p w14:paraId="03E6D9D4" w14:textId="77777777" w:rsidR="00B33542" w:rsidRPr="005071A1" w:rsidRDefault="00B33542" w:rsidP="0086505B">
            <w:pPr>
              <w:pStyle w:val="ENoteTableText"/>
              <w:tabs>
                <w:tab w:val="center" w:leader="dot" w:pos="2268"/>
              </w:tabs>
            </w:pPr>
            <w:r w:rsidRPr="005071A1">
              <w:t>Part IVA</w:t>
            </w:r>
            <w:r w:rsidRPr="005071A1">
              <w:tab/>
            </w:r>
            <w:r w:rsidRPr="005071A1">
              <w:br/>
              <w:t>(ss.</w:t>
            </w:r>
            <w:r w:rsidR="008B2950" w:rsidRPr="005071A1">
              <w:t> </w:t>
            </w:r>
            <w:r w:rsidRPr="005071A1">
              <w:t>60A–60S, 60SA, 60T)</w:t>
            </w:r>
          </w:p>
        </w:tc>
        <w:tc>
          <w:tcPr>
            <w:tcW w:w="4820" w:type="dxa"/>
          </w:tcPr>
          <w:p w14:paraId="4A3F3BBC"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5208E21D" w14:textId="77777777" w:rsidTr="00322DFA">
        <w:trPr>
          <w:cantSplit/>
        </w:trPr>
        <w:tc>
          <w:tcPr>
            <w:tcW w:w="2268" w:type="dxa"/>
          </w:tcPr>
          <w:p w14:paraId="0D9062B8" w14:textId="77777777" w:rsidR="00B33542" w:rsidRPr="005071A1" w:rsidRDefault="002477D1" w:rsidP="002477D1">
            <w:pPr>
              <w:pStyle w:val="ENoteTableText"/>
              <w:tabs>
                <w:tab w:val="center" w:leader="dot" w:pos="2268"/>
              </w:tabs>
            </w:pPr>
            <w:r w:rsidRPr="005071A1">
              <w:t>s.</w:t>
            </w:r>
            <w:r w:rsidR="00B33542" w:rsidRPr="005071A1">
              <w:t xml:space="preserve"> 60A</w:t>
            </w:r>
            <w:r w:rsidR="00B33542" w:rsidRPr="005071A1">
              <w:tab/>
            </w:r>
          </w:p>
        </w:tc>
        <w:tc>
          <w:tcPr>
            <w:tcW w:w="4820" w:type="dxa"/>
          </w:tcPr>
          <w:p w14:paraId="7727EF01"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461527BF" w14:textId="77777777" w:rsidTr="00322DFA">
        <w:trPr>
          <w:cantSplit/>
        </w:trPr>
        <w:tc>
          <w:tcPr>
            <w:tcW w:w="2268" w:type="dxa"/>
          </w:tcPr>
          <w:p w14:paraId="39D749FA" w14:textId="77777777" w:rsidR="00B33542" w:rsidRPr="005071A1" w:rsidRDefault="00B33542" w:rsidP="009B7AF5">
            <w:pPr>
              <w:pStyle w:val="ENoteTableText"/>
            </w:pPr>
          </w:p>
        </w:tc>
        <w:tc>
          <w:tcPr>
            <w:tcW w:w="4820" w:type="dxa"/>
          </w:tcPr>
          <w:p w14:paraId="133DD4B0" w14:textId="77777777" w:rsidR="00B33542" w:rsidRPr="005071A1" w:rsidRDefault="00B33542" w:rsidP="009B7AF5">
            <w:pPr>
              <w:pStyle w:val="ENoteTableText"/>
            </w:pPr>
            <w:r w:rsidRPr="005071A1">
              <w:t>am. No.</w:t>
            </w:r>
            <w:r w:rsidR="008B2950" w:rsidRPr="005071A1">
              <w:t> </w:t>
            </w:r>
            <w:r w:rsidRPr="005071A1">
              <w:t>22, 1930; No.</w:t>
            </w:r>
            <w:r w:rsidR="008B2950" w:rsidRPr="005071A1">
              <w:t> </w:t>
            </w:r>
            <w:r w:rsidRPr="005071A1">
              <w:t>53, 1942</w:t>
            </w:r>
          </w:p>
        </w:tc>
      </w:tr>
      <w:tr w:rsidR="00B33542" w:rsidRPr="005071A1" w14:paraId="423BCCE0" w14:textId="77777777" w:rsidTr="00322DFA">
        <w:trPr>
          <w:cantSplit/>
        </w:trPr>
        <w:tc>
          <w:tcPr>
            <w:tcW w:w="2268" w:type="dxa"/>
          </w:tcPr>
          <w:p w14:paraId="34A2B2FD" w14:textId="77777777" w:rsidR="00B33542" w:rsidRPr="005071A1" w:rsidRDefault="00B33542" w:rsidP="009B7AF5">
            <w:pPr>
              <w:pStyle w:val="ENoteTableText"/>
            </w:pPr>
          </w:p>
        </w:tc>
        <w:tc>
          <w:tcPr>
            <w:tcW w:w="4820" w:type="dxa"/>
          </w:tcPr>
          <w:p w14:paraId="60B95D43"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18A61346" w14:textId="77777777" w:rsidTr="00322DFA">
        <w:trPr>
          <w:cantSplit/>
        </w:trPr>
        <w:tc>
          <w:tcPr>
            <w:tcW w:w="2268" w:type="dxa"/>
          </w:tcPr>
          <w:p w14:paraId="0B2F78AE" w14:textId="77777777" w:rsidR="00B33542" w:rsidRPr="005071A1" w:rsidRDefault="002477D1" w:rsidP="002477D1">
            <w:pPr>
              <w:pStyle w:val="ENoteTableText"/>
              <w:tabs>
                <w:tab w:val="center" w:leader="dot" w:pos="2268"/>
              </w:tabs>
            </w:pPr>
            <w:r w:rsidRPr="005071A1">
              <w:t>ss.</w:t>
            </w:r>
            <w:r w:rsidR="008B2950" w:rsidRPr="005071A1">
              <w:t> </w:t>
            </w:r>
            <w:r w:rsidR="00B33542" w:rsidRPr="005071A1">
              <w:t>60B, 60C</w:t>
            </w:r>
            <w:r w:rsidR="00B33542" w:rsidRPr="005071A1">
              <w:tab/>
            </w:r>
          </w:p>
        </w:tc>
        <w:tc>
          <w:tcPr>
            <w:tcW w:w="4820" w:type="dxa"/>
          </w:tcPr>
          <w:p w14:paraId="373573BE"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208BD313" w14:textId="77777777" w:rsidTr="00322DFA">
        <w:trPr>
          <w:cantSplit/>
        </w:trPr>
        <w:tc>
          <w:tcPr>
            <w:tcW w:w="2268" w:type="dxa"/>
          </w:tcPr>
          <w:p w14:paraId="363E1057" w14:textId="77777777" w:rsidR="00B33542" w:rsidRPr="005071A1" w:rsidRDefault="00B33542" w:rsidP="009B7AF5">
            <w:pPr>
              <w:pStyle w:val="ENoteTableText"/>
            </w:pPr>
          </w:p>
        </w:tc>
        <w:tc>
          <w:tcPr>
            <w:tcW w:w="4820" w:type="dxa"/>
          </w:tcPr>
          <w:p w14:paraId="06059E05" w14:textId="77777777" w:rsidR="00B33542" w:rsidRPr="005071A1" w:rsidRDefault="00B33542" w:rsidP="009B7AF5">
            <w:pPr>
              <w:pStyle w:val="ENoteTableText"/>
            </w:pPr>
            <w:r w:rsidRPr="005071A1">
              <w:t>am. No.</w:t>
            </w:r>
            <w:r w:rsidR="008B2950" w:rsidRPr="005071A1">
              <w:t> </w:t>
            </w:r>
            <w:r w:rsidRPr="005071A1">
              <w:t>22, 1930</w:t>
            </w:r>
          </w:p>
        </w:tc>
      </w:tr>
      <w:tr w:rsidR="00B33542" w:rsidRPr="005071A1" w14:paraId="45BE113C" w14:textId="77777777" w:rsidTr="00322DFA">
        <w:trPr>
          <w:cantSplit/>
        </w:trPr>
        <w:tc>
          <w:tcPr>
            <w:tcW w:w="2268" w:type="dxa"/>
          </w:tcPr>
          <w:p w14:paraId="2F2D4EA7" w14:textId="77777777" w:rsidR="00B33542" w:rsidRPr="005071A1" w:rsidRDefault="00B33542" w:rsidP="009B7AF5">
            <w:pPr>
              <w:pStyle w:val="ENoteTableText"/>
            </w:pPr>
          </w:p>
        </w:tc>
        <w:tc>
          <w:tcPr>
            <w:tcW w:w="4820" w:type="dxa"/>
          </w:tcPr>
          <w:p w14:paraId="782F32D5"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288B4DA4" w14:textId="77777777" w:rsidTr="00322DFA">
        <w:trPr>
          <w:cantSplit/>
        </w:trPr>
        <w:tc>
          <w:tcPr>
            <w:tcW w:w="2268" w:type="dxa"/>
          </w:tcPr>
          <w:p w14:paraId="27A80E61" w14:textId="77777777" w:rsidR="00B33542" w:rsidRPr="005071A1" w:rsidRDefault="00B33542" w:rsidP="002477D1">
            <w:pPr>
              <w:pStyle w:val="ENoteTableText"/>
              <w:tabs>
                <w:tab w:val="center" w:leader="dot" w:pos="2268"/>
              </w:tabs>
            </w:pPr>
            <w:r w:rsidRPr="005071A1">
              <w:t xml:space="preserve"> </w:t>
            </w:r>
            <w:r w:rsidR="002477D1" w:rsidRPr="005071A1">
              <w:t>s.</w:t>
            </w:r>
            <w:r w:rsidRPr="005071A1">
              <w:t xml:space="preserve"> 60D</w:t>
            </w:r>
            <w:r w:rsidRPr="005071A1">
              <w:tab/>
            </w:r>
          </w:p>
        </w:tc>
        <w:tc>
          <w:tcPr>
            <w:tcW w:w="4820" w:type="dxa"/>
          </w:tcPr>
          <w:p w14:paraId="753C6212"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334E57A3" w14:textId="77777777" w:rsidTr="00322DFA">
        <w:trPr>
          <w:cantSplit/>
        </w:trPr>
        <w:tc>
          <w:tcPr>
            <w:tcW w:w="2268" w:type="dxa"/>
          </w:tcPr>
          <w:p w14:paraId="032E6539" w14:textId="77777777" w:rsidR="00B33542" w:rsidRPr="005071A1" w:rsidRDefault="00B33542" w:rsidP="009B7AF5">
            <w:pPr>
              <w:pStyle w:val="ENoteTableText"/>
            </w:pPr>
          </w:p>
        </w:tc>
        <w:tc>
          <w:tcPr>
            <w:tcW w:w="4820" w:type="dxa"/>
          </w:tcPr>
          <w:p w14:paraId="25EDEA9D" w14:textId="77777777" w:rsidR="00B33542" w:rsidRPr="005071A1" w:rsidRDefault="00B33542" w:rsidP="009B7AF5">
            <w:pPr>
              <w:pStyle w:val="ENoteTableText"/>
            </w:pPr>
            <w:r w:rsidRPr="005071A1">
              <w:t>am. No.</w:t>
            </w:r>
            <w:r w:rsidR="008B2950" w:rsidRPr="005071A1">
              <w:t> </w:t>
            </w:r>
            <w:r w:rsidRPr="005071A1">
              <w:t>22, 1930; No.</w:t>
            </w:r>
            <w:r w:rsidR="008B2950" w:rsidRPr="005071A1">
              <w:t> </w:t>
            </w:r>
            <w:r w:rsidRPr="005071A1">
              <w:t>53, 1942</w:t>
            </w:r>
          </w:p>
        </w:tc>
      </w:tr>
      <w:tr w:rsidR="00B33542" w:rsidRPr="005071A1" w14:paraId="624E27FE" w14:textId="77777777" w:rsidTr="00322DFA">
        <w:trPr>
          <w:cantSplit/>
        </w:trPr>
        <w:tc>
          <w:tcPr>
            <w:tcW w:w="2268" w:type="dxa"/>
          </w:tcPr>
          <w:p w14:paraId="5F84E772" w14:textId="77777777" w:rsidR="00B33542" w:rsidRPr="005071A1" w:rsidRDefault="00B33542" w:rsidP="009B7AF5">
            <w:pPr>
              <w:pStyle w:val="ENoteTableText"/>
            </w:pPr>
          </w:p>
        </w:tc>
        <w:tc>
          <w:tcPr>
            <w:tcW w:w="4820" w:type="dxa"/>
          </w:tcPr>
          <w:p w14:paraId="08AFFB73"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71AA554D" w14:textId="77777777" w:rsidTr="00322DFA">
        <w:trPr>
          <w:cantSplit/>
        </w:trPr>
        <w:tc>
          <w:tcPr>
            <w:tcW w:w="2268" w:type="dxa"/>
          </w:tcPr>
          <w:p w14:paraId="6B612478" w14:textId="77777777" w:rsidR="00B33542" w:rsidRPr="005071A1" w:rsidRDefault="002477D1" w:rsidP="002477D1">
            <w:pPr>
              <w:pStyle w:val="ENoteTableText"/>
              <w:tabs>
                <w:tab w:val="center" w:leader="dot" w:pos="2268"/>
              </w:tabs>
            </w:pPr>
            <w:r w:rsidRPr="005071A1">
              <w:t>s.</w:t>
            </w:r>
            <w:r w:rsidR="00B33542" w:rsidRPr="005071A1">
              <w:t xml:space="preserve"> 60E</w:t>
            </w:r>
            <w:r w:rsidR="00B33542" w:rsidRPr="005071A1">
              <w:tab/>
            </w:r>
          </w:p>
        </w:tc>
        <w:tc>
          <w:tcPr>
            <w:tcW w:w="4820" w:type="dxa"/>
          </w:tcPr>
          <w:p w14:paraId="08C110B3"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45A9709E" w14:textId="77777777" w:rsidTr="00322DFA">
        <w:trPr>
          <w:cantSplit/>
        </w:trPr>
        <w:tc>
          <w:tcPr>
            <w:tcW w:w="2268" w:type="dxa"/>
          </w:tcPr>
          <w:p w14:paraId="2E97669B" w14:textId="77777777" w:rsidR="00B33542" w:rsidRPr="005071A1" w:rsidRDefault="00B33542" w:rsidP="009B7AF5">
            <w:pPr>
              <w:pStyle w:val="ENoteTableText"/>
            </w:pPr>
          </w:p>
        </w:tc>
        <w:tc>
          <w:tcPr>
            <w:tcW w:w="4820" w:type="dxa"/>
          </w:tcPr>
          <w:p w14:paraId="01481710" w14:textId="77777777" w:rsidR="00B33542" w:rsidRPr="005071A1" w:rsidRDefault="00B33542" w:rsidP="009B7AF5">
            <w:pPr>
              <w:pStyle w:val="ENoteTableText"/>
            </w:pPr>
            <w:r w:rsidRPr="005071A1">
              <w:t>am. No.</w:t>
            </w:r>
            <w:r w:rsidR="008B2950" w:rsidRPr="005071A1">
              <w:t> </w:t>
            </w:r>
            <w:r w:rsidRPr="005071A1">
              <w:t>22, 1930</w:t>
            </w:r>
          </w:p>
        </w:tc>
      </w:tr>
      <w:tr w:rsidR="00B33542" w:rsidRPr="005071A1" w14:paraId="4670C353" w14:textId="77777777" w:rsidTr="00322DFA">
        <w:trPr>
          <w:cantSplit/>
        </w:trPr>
        <w:tc>
          <w:tcPr>
            <w:tcW w:w="2268" w:type="dxa"/>
          </w:tcPr>
          <w:p w14:paraId="105232E5" w14:textId="77777777" w:rsidR="00B33542" w:rsidRPr="005071A1" w:rsidRDefault="00B33542" w:rsidP="009B7AF5">
            <w:pPr>
              <w:pStyle w:val="ENoteTableText"/>
            </w:pPr>
          </w:p>
        </w:tc>
        <w:tc>
          <w:tcPr>
            <w:tcW w:w="4820" w:type="dxa"/>
          </w:tcPr>
          <w:p w14:paraId="3C7743CC" w14:textId="77777777" w:rsidR="00B33542" w:rsidRPr="005071A1" w:rsidRDefault="00B33542" w:rsidP="009B7AF5">
            <w:pPr>
              <w:pStyle w:val="ENoteTableText"/>
            </w:pPr>
            <w:r w:rsidRPr="005071A1">
              <w:t>rs. No.</w:t>
            </w:r>
            <w:r w:rsidR="008B2950" w:rsidRPr="005071A1">
              <w:t> </w:t>
            </w:r>
            <w:r w:rsidRPr="005071A1">
              <w:t>53, 1942</w:t>
            </w:r>
          </w:p>
        </w:tc>
      </w:tr>
      <w:tr w:rsidR="00B33542" w:rsidRPr="005071A1" w14:paraId="71757382" w14:textId="77777777" w:rsidTr="00322DFA">
        <w:trPr>
          <w:cantSplit/>
        </w:trPr>
        <w:tc>
          <w:tcPr>
            <w:tcW w:w="2268" w:type="dxa"/>
          </w:tcPr>
          <w:p w14:paraId="6F02154D" w14:textId="77777777" w:rsidR="00B33542" w:rsidRPr="005071A1" w:rsidRDefault="00B33542" w:rsidP="009B7AF5">
            <w:pPr>
              <w:pStyle w:val="ENoteTableText"/>
            </w:pPr>
          </w:p>
        </w:tc>
        <w:tc>
          <w:tcPr>
            <w:tcW w:w="4820" w:type="dxa"/>
          </w:tcPr>
          <w:p w14:paraId="3DF8161F"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0580A2E6" w14:textId="77777777" w:rsidTr="00322DFA">
        <w:trPr>
          <w:cantSplit/>
        </w:trPr>
        <w:tc>
          <w:tcPr>
            <w:tcW w:w="2268" w:type="dxa"/>
          </w:tcPr>
          <w:p w14:paraId="41DD30AC" w14:textId="77777777" w:rsidR="00B33542" w:rsidRPr="005071A1" w:rsidRDefault="002477D1" w:rsidP="002477D1">
            <w:pPr>
              <w:pStyle w:val="ENoteTableText"/>
              <w:tabs>
                <w:tab w:val="center" w:leader="dot" w:pos="2268"/>
              </w:tabs>
            </w:pPr>
            <w:r w:rsidRPr="005071A1">
              <w:t>s.</w:t>
            </w:r>
            <w:r w:rsidR="00B33542" w:rsidRPr="005071A1">
              <w:t xml:space="preserve"> 60F</w:t>
            </w:r>
            <w:r w:rsidR="00B33542" w:rsidRPr="005071A1">
              <w:tab/>
            </w:r>
          </w:p>
        </w:tc>
        <w:tc>
          <w:tcPr>
            <w:tcW w:w="4820" w:type="dxa"/>
          </w:tcPr>
          <w:p w14:paraId="5DA1066E"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6F54FAC0" w14:textId="77777777" w:rsidTr="00322DFA">
        <w:trPr>
          <w:cantSplit/>
        </w:trPr>
        <w:tc>
          <w:tcPr>
            <w:tcW w:w="2268" w:type="dxa"/>
          </w:tcPr>
          <w:p w14:paraId="32F60B7A" w14:textId="77777777" w:rsidR="00B33542" w:rsidRPr="005071A1" w:rsidRDefault="00B33542" w:rsidP="009B7AF5">
            <w:pPr>
              <w:pStyle w:val="ENoteTableText"/>
            </w:pPr>
          </w:p>
        </w:tc>
        <w:tc>
          <w:tcPr>
            <w:tcW w:w="4820" w:type="dxa"/>
          </w:tcPr>
          <w:p w14:paraId="24230A75" w14:textId="77777777" w:rsidR="00B33542" w:rsidRPr="005071A1" w:rsidRDefault="00B33542" w:rsidP="009B7AF5">
            <w:pPr>
              <w:pStyle w:val="ENoteTableText"/>
            </w:pPr>
            <w:r w:rsidRPr="005071A1">
              <w:t>am. No.</w:t>
            </w:r>
            <w:r w:rsidR="008B2950" w:rsidRPr="005071A1">
              <w:t> </w:t>
            </w:r>
            <w:r w:rsidRPr="005071A1">
              <w:t>22, 1930</w:t>
            </w:r>
          </w:p>
        </w:tc>
      </w:tr>
      <w:tr w:rsidR="00B33542" w:rsidRPr="005071A1" w14:paraId="7CA0B71A" w14:textId="77777777" w:rsidTr="00322DFA">
        <w:trPr>
          <w:cantSplit/>
        </w:trPr>
        <w:tc>
          <w:tcPr>
            <w:tcW w:w="2268" w:type="dxa"/>
          </w:tcPr>
          <w:p w14:paraId="2A248632" w14:textId="77777777" w:rsidR="00B33542" w:rsidRPr="005071A1" w:rsidRDefault="00B33542" w:rsidP="009B7AF5">
            <w:pPr>
              <w:pStyle w:val="ENoteTableText"/>
            </w:pPr>
          </w:p>
        </w:tc>
        <w:tc>
          <w:tcPr>
            <w:tcW w:w="4820" w:type="dxa"/>
          </w:tcPr>
          <w:p w14:paraId="563CFC1D"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03446FAE" w14:textId="77777777" w:rsidTr="00322DFA">
        <w:trPr>
          <w:cantSplit/>
        </w:trPr>
        <w:tc>
          <w:tcPr>
            <w:tcW w:w="2268" w:type="dxa"/>
          </w:tcPr>
          <w:p w14:paraId="3C9D6718" w14:textId="77777777" w:rsidR="00B33542" w:rsidRPr="005071A1" w:rsidRDefault="002477D1" w:rsidP="002477D1">
            <w:pPr>
              <w:pStyle w:val="ENoteTableText"/>
              <w:tabs>
                <w:tab w:val="center" w:leader="dot" w:pos="2268"/>
              </w:tabs>
            </w:pPr>
            <w:r w:rsidRPr="005071A1">
              <w:t>s.</w:t>
            </w:r>
            <w:r w:rsidR="00B33542" w:rsidRPr="005071A1">
              <w:t xml:space="preserve"> 60G</w:t>
            </w:r>
            <w:r w:rsidR="00B33542" w:rsidRPr="005071A1">
              <w:tab/>
            </w:r>
          </w:p>
        </w:tc>
        <w:tc>
          <w:tcPr>
            <w:tcW w:w="4820" w:type="dxa"/>
          </w:tcPr>
          <w:p w14:paraId="7D88C6ED"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3DD7BF16" w14:textId="77777777" w:rsidTr="00322DFA">
        <w:trPr>
          <w:cantSplit/>
        </w:trPr>
        <w:tc>
          <w:tcPr>
            <w:tcW w:w="2268" w:type="dxa"/>
          </w:tcPr>
          <w:p w14:paraId="737D2A2B" w14:textId="77777777" w:rsidR="00B33542" w:rsidRPr="005071A1" w:rsidRDefault="00B33542" w:rsidP="009B7AF5">
            <w:pPr>
              <w:pStyle w:val="ENoteTableText"/>
            </w:pPr>
          </w:p>
        </w:tc>
        <w:tc>
          <w:tcPr>
            <w:tcW w:w="4820" w:type="dxa"/>
          </w:tcPr>
          <w:p w14:paraId="23C7AA29" w14:textId="77777777" w:rsidR="00B33542" w:rsidRPr="005071A1" w:rsidRDefault="00B33542" w:rsidP="009B7AF5">
            <w:pPr>
              <w:pStyle w:val="ENoteTableText"/>
            </w:pPr>
            <w:r w:rsidRPr="005071A1">
              <w:t>am. No.</w:t>
            </w:r>
            <w:r w:rsidR="008B2950" w:rsidRPr="005071A1">
              <w:t> </w:t>
            </w:r>
            <w:r w:rsidRPr="005071A1">
              <w:t>22, 1930; No.</w:t>
            </w:r>
            <w:r w:rsidR="008B2950" w:rsidRPr="005071A1">
              <w:t> </w:t>
            </w:r>
            <w:r w:rsidRPr="005071A1">
              <w:t>45, 1934</w:t>
            </w:r>
          </w:p>
        </w:tc>
      </w:tr>
      <w:tr w:rsidR="00B33542" w:rsidRPr="005071A1" w14:paraId="7C5BFACF" w14:textId="77777777" w:rsidTr="00322DFA">
        <w:trPr>
          <w:cantSplit/>
        </w:trPr>
        <w:tc>
          <w:tcPr>
            <w:tcW w:w="2268" w:type="dxa"/>
          </w:tcPr>
          <w:p w14:paraId="18CA80D1" w14:textId="77777777" w:rsidR="00B33542" w:rsidRPr="005071A1" w:rsidRDefault="00B33542" w:rsidP="009B7AF5">
            <w:pPr>
              <w:pStyle w:val="ENoteTableText"/>
            </w:pPr>
          </w:p>
        </w:tc>
        <w:tc>
          <w:tcPr>
            <w:tcW w:w="4820" w:type="dxa"/>
          </w:tcPr>
          <w:p w14:paraId="2BBC92E4" w14:textId="77777777" w:rsidR="00B33542" w:rsidRPr="005071A1" w:rsidRDefault="00B33542" w:rsidP="009B7AF5">
            <w:pPr>
              <w:pStyle w:val="ENoteTableText"/>
            </w:pPr>
            <w:r w:rsidRPr="005071A1">
              <w:t>rs. No.</w:t>
            </w:r>
            <w:r w:rsidR="008B2950" w:rsidRPr="005071A1">
              <w:t> </w:t>
            </w:r>
            <w:r w:rsidRPr="005071A1">
              <w:t>53, 1942</w:t>
            </w:r>
          </w:p>
        </w:tc>
      </w:tr>
      <w:tr w:rsidR="00B33542" w:rsidRPr="005071A1" w14:paraId="6063F727" w14:textId="77777777" w:rsidTr="00322DFA">
        <w:trPr>
          <w:cantSplit/>
        </w:trPr>
        <w:tc>
          <w:tcPr>
            <w:tcW w:w="2268" w:type="dxa"/>
          </w:tcPr>
          <w:p w14:paraId="6FB1CA10" w14:textId="77777777" w:rsidR="00B33542" w:rsidRPr="005071A1" w:rsidRDefault="00B33542" w:rsidP="009B7AF5">
            <w:pPr>
              <w:pStyle w:val="ENoteTableText"/>
            </w:pPr>
          </w:p>
        </w:tc>
        <w:tc>
          <w:tcPr>
            <w:tcW w:w="4820" w:type="dxa"/>
          </w:tcPr>
          <w:p w14:paraId="12A1B330"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2104A5AA" w14:textId="77777777" w:rsidTr="00322DFA">
        <w:trPr>
          <w:cantSplit/>
        </w:trPr>
        <w:tc>
          <w:tcPr>
            <w:tcW w:w="2268" w:type="dxa"/>
          </w:tcPr>
          <w:p w14:paraId="760D6E47" w14:textId="77777777" w:rsidR="00B33542" w:rsidRPr="005071A1" w:rsidRDefault="002477D1" w:rsidP="002477D1">
            <w:pPr>
              <w:pStyle w:val="ENoteTableText"/>
              <w:tabs>
                <w:tab w:val="center" w:leader="dot" w:pos="2268"/>
              </w:tabs>
            </w:pPr>
            <w:r w:rsidRPr="005071A1">
              <w:t>s.</w:t>
            </w:r>
            <w:r w:rsidR="00B33542" w:rsidRPr="005071A1">
              <w:t xml:space="preserve"> 60H</w:t>
            </w:r>
            <w:r w:rsidR="00B33542" w:rsidRPr="005071A1">
              <w:tab/>
            </w:r>
          </w:p>
        </w:tc>
        <w:tc>
          <w:tcPr>
            <w:tcW w:w="4820" w:type="dxa"/>
          </w:tcPr>
          <w:p w14:paraId="7C4C9532"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5D90835C" w14:textId="77777777" w:rsidTr="00322DFA">
        <w:trPr>
          <w:cantSplit/>
        </w:trPr>
        <w:tc>
          <w:tcPr>
            <w:tcW w:w="2268" w:type="dxa"/>
          </w:tcPr>
          <w:p w14:paraId="4A542008" w14:textId="77777777" w:rsidR="00B33542" w:rsidRPr="005071A1" w:rsidRDefault="00B33542" w:rsidP="009B7AF5">
            <w:pPr>
              <w:pStyle w:val="ENoteTableText"/>
            </w:pPr>
          </w:p>
        </w:tc>
        <w:tc>
          <w:tcPr>
            <w:tcW w:w="4820" w:type="dxa"/>
          </w:tcPr>
          <w:p w14:paraId="185DB25E" w14:textId="77777777" w:rsidR="00B33542" w:rsidRPr="005071A1" w:rsidRDefault="00B33542" w:rsidP="009B7AF5">
            <w:pPr>
              <w:pStyle w:val="ENoteTableText"/>
            </w:pPr>
            <w:r w:rsidRPr="005071A1">
              <w:t>am. No.</w:t>
            </w:r>
            <w:r w:rsidR="008B2950" w:rsidRPr="005071A1">
              <w:t> </w:t>
            </w:r>
            <w:r w:rsidRPr="005071A1">
              <w:t>22, 1930; No.</w:t>
            </w:r>
            <w:r w:rsidR="008B2950" w:rsidRPr="005071A1">
              <w:t> </w:t>
            </w:r>
            <w:r w:rsidRPr="005071A1">
              <w:t>53, 1942</w:t>
            </w:r>
          </w:p>
        </w:tc>
      </w:tr>
      <w:tr w:rsidR="00B33542" w:rsidRPr="005071A1" w14:paraId="05CE484F" w14:textId="77777777" w:rsidTr="00322DFA">
        <w:trPr>
          <w:cantSplit/>
        </w:trPr>
        <w:tc>
          <w:tcPr>
            <w:tcW w:w="2268" w:type="dxa"/>
          </w:tcPr>
          <w:p w14:paraId="0C0C37A4" w14:textId="77777777" w:rsidR="00B33542" w:rsidRPr="005071A1" w:rsidRDefault="00B33542" w:rsidP="009B7AF5">
            <w:pPr>
              <w:pStyle w:val="ENoteTableText"/>
            </w:pPr>
          </w:p>
        </w:tc>
        <w:tc>
          <w:tcPr>
            <w:tcW w:w="4820" w:type="dxa"/>
          </w:tcPr>
          <w:p w14:paraId="4BBF528A" w14:textId="77777777" w:rsidR="00B33542" w:rsidRPr="005071A1" w:rsidRDefault="00B33542" w:rsidP="009B7AF5">
            <w:pPr>
              <w:pStyle w:val="ENoteTableText"/>
            </w:pPr>
            <w:r w:rsidRPr="005071A1">
              <w:t>rep. No.</w:t>
            </w:r>
            <w:r w:rsidR="008B2950" w:rsidRPr="005071A1">
              <w:t> </w:t>
            </w:r>
            <w:r w:rsidRPr="005071A1">
              <w:t xml:space="preserve">19, 1948 </w:t>
            </w:r>
          </w:p>
        </w:tc>
      </w:tr>
      <w:tr w:rsidR="00B33542" w:rsidRPr="005071A1" w14:paraId="3605F34F" w14:textId="77777777" w:rsidTr="00322DFA">
        <w:trPr>
          <w:cantSplit/>
        </w:trPr>
        <w:tc>
          <w:tcPr>
            <w:tcW w:w="2268" w:type="dxa"/>
          </w:tcPr>
          <w:p w14:paraId="55B8BFD0" w14:textId="77777777" w:rsidR="00B33542" w:rsidRPr="005071A1" w:rsidRDefault="002477D1" w:rsidP="002477D1">
            <w:pPr>
              <w:pStyle w:val="ENoteTableText"/>
              <w:tabs>
                <w:tab w:val="center" w:leader="dot" w:pos="2268"/>
              </w:tabs>
            </w:pPr>
            <w:r w:rsidRPr="005071A1">
              <w:t>s.</w:t>
            </w:r>
            <w:r w:rsidR="00B33542" w:rsidRPr="005071A1">
              <w:t xml:space="preserve"> 60I</w:t>
            </w:r>
            <w:r w:rsidR="00B33542" w:rsidRPr="005071A1">
              <w:tab/>
            </w:r>
          </w:p>
        </w:tc>
        <w:tc>
          <w:tcPr>
            <w:tcW w:w="4820" w:type="dxa"/>
          </w:tcPr>
          <w:p w14:paraId="2BA3627C"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5C7B85A3" w14:textId="77777777" w:rsidTr="00322DFA">
        <w:trPr>
          <w:cantSplit/>
        </w:trPr>
        <w:tc>
          <w:tcPr>
            <w:tcW w:w="2268" w:type="dxa"/>
          </w:tcPr>
          <w:p w14:paraId="1D53E363" w14:textId="77777777" w:rsidR="00B33542" w:rsidRPr="005071A1" w:rsidRDefault="00B33542" w:rsidP="009B7AF5">
            <w:pPr>
              <w:pStyle w:val="ENoteTableText"/>
            </w:pPr>
          </w:p>
        </w:tc>
        <w:tc>
          <w:tcPr>
            <w:tcW w:w="4820" w:type="dxa"/>
          </w:tcPr>
          <w:p w14:paraId="3646FD98" w14:textId="77777777" w:rsidR="00B33542" w:rsidRPr="005071A1" w:rsidRDefault="00B33542" w:rsidP="009B7AF5">
            <w:pPr>
              <w:pStyle w:val="ENoteTableText"/>
            </w:pPr>
            <w:r w:rsidRPr="005071A1">
              <w:t>am. No.</w:t>
            </w:r>
            <w:r w:rsidR="008B2950" w:rsidRPr="005071A1">
              <w:t> </w:t>
            </w:r>
            <w:r w:rsidRPr="005071A1">
              <w:t>22, 1930</w:t>
            </w:r>
          </w:p>
        </w:tc>
      </w:tr>
      <w:tr w:rsidR="00B33542" w:rsidRPr="005071A1" w14:paraId="643929EE" w14:textId="77777777" w:rsidTr="00322DFA">
        <w:trPr>
          <w:cantSplit/>
        </w:trPr>
        <w:tc>
          <w:tcPr>
            <w:tcW w:w="2268" w:type="dxa"/>
          </w:tcPr>
          <w:p w14:paraId="09C29AC1" w14:textId="77777777" w:rsidR="00B33542" w:rsidRPr="005071A1" w:rsidRDefault="00B33542" w:rsidP="009B7AF5">
            <w:pPr>
              <w:pStyle w:val="ENoteTableText"/>
            </w:pPr>
          </w:p>
        </w:tc>
        <w:tc>
          <w:tcPr>
            <w:tcW w:w="4820" w:type="dxa"/>
          </w:tcPr>
          <w:p w14:paraId="09B79E1B"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64126A99" w14:textId="77777777" w:rsidTr="00322DFA">
        <w:trPr>
          <w:cantSplit/>
        </w:trPr>
        <w:tc>
          <w:tcPr>
            <w:tcW w:w="2268" w:type="dxa"/>
          </w:tcPr>
          <w:p w14:paraId="000A6B2D" w14:textId="77777777" w:rsidR="00B33542" w:rsidRPr="005071A1" w:rsidRDefault="002477D1" w:rsidP="002477D1">
            <w:pPr>
              <w:pStyle w:val="ENoteTableText"/>
              <w:tabs>
                <w:tab w:val="center" w:leader="dot" w:pos="2268"/>
              </w:tabs>
            </w:pPr>
            <w:r w:rsidRPr="005071A1">
              <w:t>ss.</w:t>
            </w:r>
            <w:r w:rsidR="008B2950" w:rsidRPr="005071A1">
              <w:t> </w:t>
            </w:r>
            <w:r w:rsidR="00B33542" w:rsidRPr="005071A1">
              <w:t>60J, 60K</w:t>
            </w:r>
            <w:r w:rsidR="00B33542" w:rsidRPr="005071A1">
              <w:tab/>
            </w:r>
          </w:p>
        </w:tc>
        <w:tc>
          <w:tcPr>
            <w:tcW w:w="4820" w:type="dxa"/>
          </w:tcPr>
          <w:p w14:paraId="2ABE5D6A"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23B5CE0E" w14:textId="77777777" w:rsidTr="00322DFA">
        <w:trPr>
          <w:cantSplit/>
        </w:trPr>
        <w:tc>
          <w:tcPr>
            <w:tcW w:w="2268" w:type="dxa"/>
          </w:tcPr>
          <w:p w14:paraId="319054D0" w14:textId="77777777" w:rsidR="00B33542" w:rsidRPr="005071A1" w:rsidRDefault="00B33542" w:rsidP="009B7AF5">
            <w:pPr>
              <w:pStyle w:val="ENoteTableText"/>
            </w:pPr>
          </w:p>
        </w:tc>
        <w:tc>
          <w:tcPr>
            <w:tcW w:w="4820" w:type="dxa"/>
          </w:tcPr>
          <w:p w14:paraId="09127241" w14:textId="77777777" w:rsidR="00B33542" w:rsidRPr="005071A1" w:rsidRDefault="00B33542" w:rsidP="009B7AF5">
            <w:pPr>
              <w:pStyle w:val="ENoteTableText"/>
            </w:pPr>
            <w:r w:rsidRPr="005071A1">
              <w:t>am. No.</w:t>
            </w:r>
            <w:r w:rsidR="008B2950" w:rsidRPr="005071A1">
              <w:t> </w:t>
            </w:r>
            <w:r w:rsidRPr="005071A1">
              <w:t>22, 1930; No.</w:t>
            </w:r>
            <w:r w:rsidR="008B2950" w:rsidRPr="005071A1">
              <w:t> </w:t>
            </w:r>
            <w:r w:rsidRPr="005071A1">
              <w:t>53, 1942</w:t>
            </w:r>
          </w:p>
        </w:tc>
      </w:tr>
      <w:tr w:rsidR="00B33542" w:rsidRPr="005071A1" w14:paraId="05FAF7C6" w14:textId="77777777" w:rsidTr="00322DFA">
        <w:trPr>
          <w:cantSplit/>
        </w:trPr>
        <w:tc>
          <w:tcPr>
            <w:tcW w:w="2268" w:type="dxa"/>
          </w:tcPr>
          <w:p w14:paraId="10AEA989" w14:textId="77777777" w:rsidR="00B33542" w:rsidRPr="005071A1" w:rsidRDefault="00B33542" w:rsidP="009B7AF5">
            <w:pPr>
              <w:pStyle w:val="ENoteTableText"/>
            </w:pPr>
          </w:p>
        </w:tc>
        <w:tc>
          <w:tcPr>
            <w:tcW w:w="4820" w:type="dxa"/>
          </w:tcPr>
          <w:p w14:paraId="17AA93F6"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6970829D" w14:textId="77777777" w:rsidTr="00322DFA">
        <w:trPr>
          <w:cantSplit/>
        </w:trPr>
        <w:tc>
          <w:tcPr>
            <w:tcW w:w="2268" w:type="dxa"/>
          </w:tcPr>
          <w:p w14:paraId="08000B46" w14:textId="77777777" w:rsidR="00B33542" w:rsidRPr="005071A1" w:rsidRDefault="002477D1" w:rsidP="002477D1">
            <w:pPr>
              <w:pStyle w:val="ENoteTableText"/>
              <w:tabs>
                <w:tab w:val="center" w:leader="dot" w:pos="2268"/>
              </w:tabs>
            </w:pPr>
            <w:r w:rsidRPr="005071A1">
              <w:t>s.</w:t>
            </w:r>
            <w:r w:rsidR="00B33542" w:rsidRPr="005071A1">
              <w:t xml:space="preserve"> 60L</w:t>
            </w:r>
            <w:r w:rsidR="00B33542" w:rsidRPr="005071A1">
              <w:tab/>
            </w:r>
          </w:p>
        </w:tc>
        <w:tc>
          <w:tcPr>
            <w:tcW w:w="4820" w:type="dxa"/>
          </w:tcPr>
          <w:p w14:paraId="04BD3395"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12D7FC30" w14:textId="77777777" w:rsidTr="00322DFA">
        <w:trPr>
          <w:cantSplit/>
        </w:trPr>
        <w:tc>
          <w:tcPr>
            <w:tcW w:w="2268" w:type="dxa"/>
          </w:tcPr>
          <w:p w14:paraId="1C4FB6AD" w14:textId="77777777" w:rsidR="00B33542" w:rsidRPr="005071A1" w:rsidRDefault="00B33542" w:rsidP="009B7AF5">
            <w:pPr>
              <w:pStyle w:val="ENoteTableText"/>
            </w:pPr>
          </w:p>
        </w:tc>
        <w:tc>
          <w:tcPr>
            <w:tcW w:w="4820" w:type="dxa"/>
          </w:tcPr>
          <w:p w14:paraId="391FC511" w14:textId="77777777" w:rsidR="00B33542" w:rsidRPr="005071A1" w:rsidRDefault="00B33542" w:rsidP="009B7AF5">
            <w:pPr>
              <w:pStyle w:val="ENoteTableText"/>
            </w:pPr>
            <w:r w:rsidRPr="005071A1">
              <w:t>am. No.</w:t>
            </w:r>
            <w:r w:rsidR="008B2950" w:rsidRPr="005071A1">
              <w:t> </w:t>
            </w:r>
            <w:r w:rsidRPr="005071A1">
              <w:t>22, 1930; No.</w:t>
            </w:r>
            <w:r w:rsidR="008B2950" w:rsidRPr="005071A1">
              <w:t> </w:t>
            </w:r>
            <w:r w:rsidRPr="005071A1">
              <w:t>15, 1945</w:t>
            </w:r>
          </w:p>
        </w:tc>
      </w:tr>
      <w:tr w:rsidR="00B33542" w:rsidRPr="005071A1" w14:paraId="193DCCAD" w14:textId="77777777" w:rsidTr="00322DFA">
        <w:trPr>
          <w:cantSplit/>
        </w:trPr>
        <w:tc>
          <w:tcPr>
            <w:tcW w:w="2268" w:type="dxa"/>
          </w:tcPr>
          <w:p w14:paraId="02F27D35" w14:textId="77777777" w:rsidR="00B33542" w:rsidRPr="005071A1" w:rsidRDefault="00B33542" w:rsidP="009B7AF5">
            <w:pPr>
              <w:pStyle w:val="ENoteTableText"/>
            </w:pPr>
          </w:p>
        </w:tc>
        <w:tc>
          <w:tcPr>
            <w:tcW w:w="4820" w:type="dxa"/>
          </w:tcPr>
          <w:p w14:paraId="2BB9FD79"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6BBA2EE0" w14:textId="77777777" w:rsidTr="00322DFA">
        <w:trPr>
          <w:cantSplit/>
        </w:trPr>
        <w:tc>
          <w:tcPr>
            <w:tcW w:w="2268" w:type="dxa"/>
          </w:tcPr>
          <w:p w14:paraId="72E1B86D" w14:textId="77777777" w:rsidR="00B33542" w:rsidRPr="005071A1" w:rsidRDefault="002477D1" w:rsidP="002477D1">
            <w:pPr>
              <w:pStyle w:val="ENoteTableText"/>
              <w:tabs>
                <w:tab w:val="center" w:leader="dot" w:pos="2268"/>
              </w:tabs>
            </w:pPr>
            <w:r w:rsidRPr="005071A1">
              <w:t>s.</w:t>
            </w:r>
            <w:r w:rsidR="00B33542" w:rsidRPr="005071A1">
              <w:t xml:space="preserve"> 60M</w:t>
            </w:r>
            <w:r w:rsidR="00B33542" w:rsidRPr="005071A1">
              <w:tab/>
            </w:r>
          </w:p>
        </w:tc>
        <w:tc>
          <w:tcPr>
            <w:tcW w:w="4820" w:type="dxa"/>
          </w:tcPr>
          <w:p w14:paraId="586D148C"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63E70ADB" w14:textId="77777777" w:rsidTr="00322DFA">
        <w:trPr>
          <w:cantSplit/>
        </w:trPr>
        <w:tc>
          <w:tcPr>
            <w:tcW w:w="2268" w:type="dxa"/>
          </w:tcPr>
          <w:p w14:paraId="60A5366B" w14:textId="77777777" w:rsidR="00B33542" w:rsidRPr="005071A1" w:rsidRDefault="00B33542" w:rsidP="009B7AF5">
            <w:pPr>
              <w:pStyle w:val="ENoteTableText"/>
            </w:pPr>
          </w:p>
        </w:tc>
        <w:tc>
          <w:tcPr>
            <w:tcW w:w="4820" w:type="dxa"/>
          </w:tcPr>
          <w:p w14:paraId="3D258834" w14:textId="77777777" w:rsidR="00B33542" w:rsidRPr="005071A1" w:rsidRDefault="00B33542" w:rsidP="009B7AF5">
            <w:pPr>
              <w:pStyle w:val="ENoteTableText"/>
            </w:pPr>
            <w:r w:rsidRPr="005071A1">
              <w:t>rs. No.</w:t>
            </w:r>
            <w:r w:rsidR="008B2950" w:rsidRPr="005071A1">
              <w:t> </w:t>
            </w:r>
            <w:r w:rsidRPr="005071A1">
              <w:t>53, 1942</w:t>
            </w:r>
          </w:p>
        </w:tc>
      </w:tr>
      <w:tr w:rsidR="00B33542" w:rsidRPr="005071A1" w14:paraId="3B4FBE2F" w14:textId="77777777" w:rsidTr="00322DFA">
        <w:trPr>
          <w:cantSplit/>
        </w:trPr>
        <w:tc>
          <w:tcPr>
            <w:tcW w:w="2268" w:type="dxa"/>
          </w:tcPr>
          <w:p w14:paraId="319856D7" w14:textId="77777777" w:rsidR="00B33542" w:rsidRPr="005071A1" w:rsidRDefault="00B33542" w:rsidP="009B7AF5">
            <w:pPr>
              <w:pStyle w:val="ENoteTableText"/>
            </w:pPr>
          </w:p>
        </w:tc>
        <w:tc>
          <w:tcPr>
            <w:tcW w:w="4820" w:type="dxa"/>
          </w:tcPr>
          <w:p w14:paraId="3C48436F"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43DB72B9" w14:textId="77777777" w:rsidTr="00322DFA">
        <w:trPr>
          <w:cantSplit/>
        </w:trPr>
        <w:tc>
          <w:tcPr>
            <w:tcW w:w="2268" w:type="dxa"/>
          </w:tcPr>
          <w:p w14:paraId="7D3FE823" w14:textId="77777777" w:rsidR="00B33542" w:rsidRPr="005071A1" w:rsidRDefault="002477D1" w:rsidP="002477D1">
            <w:pPr>
              <w:pStyle w:val="ENoteTableText"/>
              <w:tabs>
                <w:tab w:val="center" w:leader="dot" w:pos="2268"/>
              </w:tabs>
            </w:pPr>
            <w:r w:rsidRPr="005071A1">
              <w:t>s.</w:t>
            </w:r>
            <w:r w:rsidR="00B33542" w:rsidRPr="005071A1">
              <w:t xml:space="preserve"> 60N</w:t>
            </w:r>
            <w:r w:rsidR="00B33542" w:rsidRPr="005071A1">
              <w:tab/>
            </w:r>
          </w:p>
        </w:tc>
        <w:tc>
          <w:tcPr>
            <w:tcW w:w="4820" w:type="dxa"/>
          </w:tcPr>
          <w:p w14:paraId="17B98978"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639CEC4D" w14:textId="77777777" w:rsidTr="00322DFA">
        <w:trPr>
          <w:cantSplit/>
        </w:trPr>
        <w:tc>
          <w:tcPr>
            <w:tcW w:w="2268" w:type="dxa"/>
          </w:tcPr>
          <w:p w14:paraId="54CCEA8A" w14:textId="77777777" w:rsidR="00B33542" w:rsidRPr="005071A1" w:rsidRDefault="00B33542" w:rsidP="009B7AF5">
            <w:pPr>
              <w:pStyle w:val="ENoteTableText"/>
            </w:pPr>
          </w:p>
        </w:tc>
        <w:tc>
          <w:tcPr>
            <w:tcW w:w="4820" w:type="dxa"/>
          </w:tcPr>
          <w:p w14:paraId="544E86F9" w14:textId="77777777" w:rsidR="00B33542" w:rsidRPr="005071A1" w:rsidRDefault="00B33542" w:rsidP="009B7AF5">
            <w:pPr>
              <w:pStyle w:val="ENoteTableText"/>
            </w:pPr>
            <w:r w:rsidRPr="005071A1">
              <w:t>am. No.</w:t>
            </w:r>
            <w:r w:rsidR="008B2950" w:rsidRPr="005071A1">
              <w:t> </w:t>
            </w:r>
            <w:r w:rsidRPr="005071A1">
              <w:t>53, 1942</w:t>
            </w:r>
          </w:p>
        </w:tc>
      </w:tr>
      <w:tr w:rsidR="00B33542" w:rsidRPr="005071A1" w14:paraId="18747B3A" w14:textId="77777777" w:rsidTr="00322DFA">
        <w:trPr>
          <w:cantSplit/>
        </w:trPr>
        <w:tc>
          <w:tcPr>
            <w:tcW w:w="2268" w:type="dxa"/>
          </w:tcPr>
          <w:p w14:paraId="16222AC1" w14:textId="77777777" w:rsidR="00B33542" w:rsidRPr="005071A1" w:rsidRDefault="00B33542" w:rsidP="009B7AF5">
            <w:pPr>
              <w:pStyle w:val="ENoteTableText"/>
            </w:pPr>
          </w:p>
        </w:tc>
        <w:tc>
          <w:tcPr>
            <w:tcW w:w="4820" w:type="dxa"/>
          </w:tcPr>
          <w:p w14:paraId="37CEED5B"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240250E9" w14:textId="77777777" w:rsidTr="00322DFA">
        <w:trPr>
          <w:cantSplit/>
        </w:trPr>
        <w:tc>
          <w:tcPr>
            <w:tcW w:w="2268" w:type="dxa"/>
          </w:tcPr>
          <w:p w14:paraId="47A81844" w14:textId="77777777" w:rsidR="00B33542" w:rsidRPr="005071A1" w:rsidRDefault="002477D1" w:rsidP="002477D1">
            <w:pPr>
              <w:pStyle w:val="ENoteTableText"/>
              <w:tabs>
                <w:tab w:val="center" w:leader="dot" w:pos="2268"/>
              </w:tabs>
            </w:pPr>
            <w:r w:rsidRPr="005071A1">
              <w:t>s.</w:t>
            </w:r>
            <w:r w:rsidR="00B33542" w:rsidRPr="005071A1">
              <w:t xml:space="preserve"> 60O</w:t>
            </w:r>
            <w:r w:rsidR="00B33542" w:rsidRPr="005071A1">
              <w:tab/>
            </w:r>
          </w:p>
        </w:tc>
        <w:tc>
          <w:tcPr>
            <w:tcW w:w="4820" w:type="dxa"/>
          </w:tcPr>
          <w:p w14:paraId="16B7CB63"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48A354B8" w14:textId="77777777" w:rsidTr="00322DFA">
        <w:trPr>
          <w:cantSplit/>
        </w:trPr>
        <w:tc>
          <w:tcPr>
            <w:tcW w:w="2268" w:type="dxa"/>
          </w:tcPr>
          <w:p w14:paraId="07E6BA1D" w14:textId="77777777" w:rsidR="00B33542" w:rsidRPr="005071A1" w:rsidRDefault="00B33542" w:rsidP="009B7AF5">
            <w:pPr>
              <w:pStyle w:val="ENoteTableText"/>
            </w:pPr>
          </w:p>
        </w:tc>
        <w:tc>
          <w:tcPr>
            <w:tcW w:w="4820" w:type="dxa"/>
          </w:tcPr>
          <w:p w14:paraId="397E983E" w14:textId="77777777" w:rsidR="00B33542" w:rsidRPr="005071A1" w:rsidRDefault="00B33542" w:rsidP="009B7AF5">
            <w:pPr>
              <w:pStyle w:val="ENoteTableText"/>
            </w:pPr>
            <w:r w:rsidRPr="005071A1">
              <w:t>am. No.</w:t>
            </w:r>
            <w:r w:rsidR="008B2950" w:rsidRPr="005071A1">
              <w:t> </w:t>
            </w:r>
            <w:r w:rsidRPr="005071A1">
              <w:t>22, 1930; No.</w:t>
            </w:r>
            <w:r w:rsidR="008B2950" w:rsidRPr="005071A1">
              <w:t> </w:t>
            </w:r>
            <w:r w:rsidRPr="005071A1">
              <w:t>53, 1942; No.</w:t>
            </w:r>
            <w:r w:rsidR="008B2950" w:rsidRPr="005071A1">
              <w:t> </w:t>
            </w:r>
            <w:r w:rsidRPr="005071A1">
              <w:t>15, 1945</w:t>
            </w:r>
          </w:p>
        </w:tc>
      </w:tr>
      <w:tr w:rsidR="00B33542" w:rsidRPr="005071A1" w14:paraId="0DC5BCBD" w14:textId="77777777" w:rsidTr="00322DFA">
        <w:trPr>
          <w:cantSplit/>
        </w:trPr>
        <w:tc>
          <w:tcPr>
            <w:tcW w:w="2268" w:type="dxa"/>
          </w:tcPr>
          <w:p w14:paraId="3CF5FAA6" w14:textId="77777777" w:rsidR="00B33542" w:rsidRPr="005071A1" w:rsidRDefault="00B33542" w:rsidP="009B7AF5">
            <w:pPr>
              <w:pStyle w:val="ENoteTableText"/>
            </w:pPr>
          </w:p>
        </w:tc>
        <w:tc>
          <w:tcPr>
            <w:tcW w:w="4820" w:type="dxa"/>
          </w:tcPr>
          <w:p w14:paraId="439D8A0C"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0CDF0D94" w14:textId="77777777" w:rsidTr="00322DFA">
        <w:trPr>
          <w:cantSplit/>
        </w:trPr>
        <w:tc>
          <w:tcPr>
            <w:tcW w:w="2268" w:type="dxa"/>
          </w:tcPr>
          <w:p w14:paraId="75E651FC" w14:textId="77777777" w:rsidR="00B33542" w:rsidRPr="005071A1" w:rsidRDefault="002477D1" w:rsidP="002477D1">
            <w:pPr>
              <w:pStyle w:val="ENoteTableText"/>
              <w:tabs>
                <w:tab w:val="center" w:leader="dot" w:pos="2268"/>
              </w:tabs>
            </w:pPr>
            <w:r w:rsidRPr="005071A1">
              <w:t>s.</w:t>
            </w:r>
            <w:r w:rsidR="00B33542" w:rsidRPr="005071A1">
              <w:t xml:space="preserve"> 60P</w:t>
            </w:r>
            <w:r w:rsidR="00B33542" w:rsidRPr="005071A1">
              <w:tab/>
            </w:r>
          </w:p>
        </w:tc>
        <w:tc>
          <w:tcPr>
            <w:tcW w:w="4820" w:type="dxa"/>
          </w:tcPr>
          <w:p w14:paraId="1FE41AA6"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4DE52D98" w14:textId="77777777" w:rsidTr="00322DFA">
        <w:trPr>
          <w:cantSplit/>
        </w:trPr>
        <w:tc>
          <w:tcPr>
            <w:tcW w:w="2268" w:type="dxa"/>
          </w:tcPr>
          <w:p w14:paraId="64188DE0" w14:textId="77777777" w:rsidR="00B33542" w:rsidRPr="005071A1" w:rsidRDefault="00B33542" w:rsidP="009B7AF5">
            <w:pPr>
              <w:pStyle w:val="ENoteTableText"/>
            </w:pPr>
          </w:p>
        </w:tc>
        <w:tc>
          <w:tcPr>
            <w:tcW w:w="4820" w:type="dxa"/>
          </w:tcPr>
          <w:p w14:paraId="1D07C389" w14:textId="77777777" w:rsidR="00B33542" w:rsidRPr="005071A1" w:rsidRDefault="00B33542" w:rsidP="009B7AF5">
            <w:pPr>
              <w:pStyle w:val="ENoteTableText"/>
            </w:pPr>
            <w:r w:rsidRPr="005071A1">
              <w:t>am. No.</w:t>
            </w:r>
            <w:r w:rsidR="008B2950" w:rsidRPr="005071A1">
              <w:t> </w:t>
            </w:r>
            <w:r w:rsidRPr="005071A1">
              <w:t>22, 1930</w:t>
            </w:r>
          </w:p>
        </w:tc>
      </w:tr>
      <w:tr w:rsidR="00B33542" w:rsidRPr="005071A1" w14:paraId="03A328FF" w14:textId="77777777" w:rsidTr="00322DFA">
        <w:trPr>
          <w:cantSplit/>
        </w:trPr>
        <w:tc>
          <w:tcPr>
            <w:tcW w:w="2268" w:type="dxa"/>
          </w:tcPr>
          <w:p w14:paraId="6C12FD5A" w14:textId="77777777" w:rsidR="00B33542" w:rsidRPr="005071A1" w:rsidRDefault="00B33542" w:rsidP="009B7AF5">
            <w:pPr>
              <w:pStyle w:val="ENoteTableText"/>
            </w:pPr>
          </w:p>
        </w:tc>
        <w:tc>
          <w:tcPr>
            <w:tcW w:w="4820" w:type="dxa"/>
          </w:tcPr>
          <w:p w14:paraId="2F8E5D6F"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17EE992F" w14:textId="77777777" w:rsidTr="00322DFA">
        <w:trPr>
          <w:cantSplit/>
        </w:trPr>
        <w:tc>
          <w:tcPr>
            <w:tcW w:w="2268" w:type="dxa"/>
          </w:tcPr>
          <w:p w14:paraId="25685E8F" w14:textId="77777777" w:rsidR="00B33542" w:rsidRPr="005071A1" w:rsidRDefault="002477D1" w:rsidP="002477D1">
            <w:pPr>
              <w:pStyle w:val="ENoteTableText"/>
              <w:tabs>
                <w:tab w:val="center" w:leader="dot" w:pos="2268"/>
              </w:tabs>
            </w:pPr>
            <w:r w:rsidRPr="005071A1">
              <w:t>s.</w:t>
            </w:r>
            <w:r w:rsidR="00B33542" w:rsidRPr="005071A1">
              <w:t xml:space="preserve"> 60Q</w:t>
            </w:r>
            <w:r w:rsidR="00B33542" w:rsidRPr="005071A1">
              <w:tab/>
            </w:r>
          </w:p>
        </w:tc>
        <w:tc>
          <w:tcPr>
            <w:tcW w:w="4820" w:type="dxa"/>
          </w:tcPr>
          <w:p w14:paraId="300055F6"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4F4EAF45" w14:textId="77777777" w:rsidTr="00322DFA">
        <w:trPr>
          <w:cantSplit/>
        </w:trPr>
        <w:tc>
          <w:tcPr>
            <w:tcW w:w="2268" w:type="dxa"/>
          </w:tcPr>
          <w:p w14:paraId="3777593F" w14:textId="77777777" w:rsidR="00B33542" w:rsidRPr="005071A1" w:rsidRDefault="00B33542" w:rsidP="009B7AF5">
            <w:pPr>
              <w:pStyle w:val="ENoteTableText"/>
            </w:pPr>
          </w:p>
        </w:tc>
        <w:tc>
          <w:tcPr>
            <w:tcW w:w="4820" w:type="dxa"/>
          </w:tcPr>
          <w:p w14:paraId="78A79010"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5BA82152" w14:textId="77777777" w:rsidTr="00322DFA">
        <w:trPr>
          <w:cantSplit/>
        </w:trPr>
        <w:tc>
          <w:tcPr>
            <w:tcW w:w="2268" w:type="dxa"/>
          </w:tcPr>
          <w:p w14:paraId="18A6D4D8" w14:textId="77777777" w:rsidR="00B33542" w:rsidRPr="005071A1" w:rsidRDefault="002477D1" w:rsidP="002477D1">
            <w:pPr>
              <w:pStyle w:val="ENoteTableText"/>
              <w:tabs>
                <w:tab w:val="center" w:leader="dot" w:pos="2268"/>
              </w:tabs>
            </w:pPr>
            <w:r w:rsidRPr="005071A1">
              <w:t>ss.</w:t>
            </w:r>
            <w:r w:rsidR="008B2950" w:rsidRPr="005071A1">
              <w:t> </w:t>
            </w:r>
            <w:r w:rsidR="00B33542" w:rsidRPr="005071A1">
              <w:t>60R, 60S</w:t>
            </w:r>
            <w:r w:rsidR="00B33542" w:rsidRPr="005071A1">
              <w:tab/>
            </w:r>
          </w:p>
        </w:tc>
        <w:tc>
          <w:tcPr>
            <w:tcW w:w="4820" w:type="dxa"/>
          </w:tcPr>
          <w:p w14:paraId="53400FB9"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2194C3A5" w14:textId="77777777" w:rsidTr="00322DFA">
        <w:trPr>
          <w:cantSplit/>
        </w:trPr>
        <w:tc>
          <w:tcPr>
            <w:tcW w:w="2268" w:type="dxa"/>
          </w:tcPr>
          <w:p w14:paraId="5C131CF5" w14:textId="77777777" w:rsidR="00B33542" w:rsidRPr="005071A1" w:rsidRDefault="00B33542" w:rsidP="009B7AF5">
            <w:pPr>
              <w:pStyle w:val="ENoteTableText"/>
            </w:pPr>
          </w:p>
        </w:tc>
        <w:tc>
          <w:tcPr>
            <w:tcW w:w="4820" w:type="dxa"/>
          </w:tcPr>
          <w:p w14:paraId="644AB87F" w14:textId="77777777" w:rsidR="00B33542" w:rsidRPr="005071A1" w:rsidRDefault="00B33542" w:rsidP="009B7AF5">
            <w:pPr>
              <w:pStyle w:val="ENoteTableText"/>
            </w:pPr>
            <w:r w:rsidRPr="005071A1">
              <w:t>am. No.</w:t>
            </w:r>
            <w:r w:rsidR="008B2950" w:rsidRPr="005071A1">
              <w:t> </w:t>
            </w:r>
            <w:r w:rsidRPr="005071A1">
              <w:t>22, 1930</w:t>
            </w:r>
          </w:p>
        </w:tc>
      </w:tr>
      <w:tr w:rsidR="00B33542" w:rsidRPr="005071A1" w14:paraId="59E297A3" w14:textId="77777777" w:rsidTr="00322DFA">
        <w:trPr>
          <w:cantSplit/>
        </w:trPr>
        <w:tc>
          <w:tcPr>
            <w:tcW w:w="2268" w:type="dxa"/>
          </w:tcPr>
          <w:p w14:paraId="63224CCF" w14:textId="77777777" w:rsidR="00B33542" w:rsidRPr="005071A1" w:rsidRDefault="00B33542" w:rsidP="009B7AF5">
            <w:pPr>
              <w:pStyle w:val="ENoteTableText"/>
            </w:pPr>
          </w:p>
        </w:tc>
        <w:tc>
          <w:tcPr>
            <w:tcW w:w="4820" w:type="dxa"/>
          </w:tcPr>
          <w:p w14:paraId="35E9800F"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26CB2596" w14:textId="77777777" w:rsidTr="00322DFA">
        <w:trPr>
          <w:cantSplit/>
        </w:trPr>
        <w:tc>
          <w:tcPr>
            <w:tcW w:w="2268" w:type="dxa"/>
          </w:tcPr>
          <w:p w14:paraId="64E04066" w14:textId="77777777" w:rsidR="00B33542" w:rsidRPr="005071A1" w:rsidRDefault="002477D1" w:rsidP="002477D1">
            <w:pPr>
              <w:pStyle w:val="ENoteTableText"/>
              <w:tabs>
                <w:tab w:val="center" w:leader="dot" w:pos="2268"/>
              </w:tabs>
            </w:pPr>
            <w:r w:rsidRPr="005071A1">
              <w:t>s.</w:t>
            </w:r>
            <w:r w:rsidR="00B33542" w:rsidRPr="005071A1">
              <w:t xml:space="preserve"> 60SA</w:t>
            </w:r>
            <w:r w:rsidR="00B33542" w:rsidRPr="005071A1">
              <w:tab/>
            </w:r>
          </w:p>
        </w:tc>
        <w:tc>
          <w:tcPr>
            <w:tcW w:w="4820" w:type="dxa"/>
          </w:tcPr>
          <w:p w14:paraId="0A137062" w14:textId="77777777" w:rsidR="00B33542" w:rsidRPr="005071A1" w:rsidRDefault="00B33542" w:rsidP="009B7AF5">
            <w:pPr>
              <w:pStyle w:val="ENoteTableText"/>
            </w:pPr>
            <w:r w:rsidRPr="005071A1">
              <w:t>ad. No.</w:t>
            </w:r>
            <w:r w:rsidR="008B2950" w:rsidRPr="005071A1">
              <w:t> </w:t>
            </w:r>
            <w:r w:rsidRPr="005071A1">
              <w:t>22, 1930</w:t>
            </w:r>
          </w:p>
        </w:tc>
      </w:tr>
      <w:tr w:rsidR="00B33542" w:rsidRPr="005071A1" w14:paraId="17299D14" w14:textId="77777777" w:rsidTr="00322DFA">
        <w:trPr>
          <w:cantSplit/>
        </w:trPr>
        <w:tc>
          <w:tcPr>
            <w:tcW w:w="2268" w:type="dxa"/>
          </w:tcPr>
          <w:p w14:paraId="5A6DB7FE" w14:textId="77777777" w:rsidR="00B33542" w:rsidRPr="005071A1" w:rsidRDefault="00B33542" w:rsidP="009B7AF5">
            <w:pPr>
              <w:pStyle w:val="ENoteTableText"/>
            </w:pPr>
          </w:p>
        </w:tc>
        <w:tc>
          <w:tcPr>
            <w:tcW w:w="4820" w:type="dxa"/>
          </w:tcPr>
          <w:p w14:paraId="3E387692" w14:textId="77777777" w:rsidR="00B33542" w:rsidRPr="005071A1" w:rsidRDefault="00B33542" w:rsidP="009B7AF5">
            <w:pPr>
              <w:pStyle w:val="ENoteTableText"/>
            </w:pPr>
            <w:r w:rsidRPr="005071A1">
              <w:t>rep. No.</w:t>
            </w:r>
            <w:r w:rsidR="008B2950" w:rsidRPr="005071A1">
              <w:t> </w:t>
            </w:r>
            <w:r w:rsidRPr="005071A1">
              <w:t>19, 1948</w:t>
            </w:r>
          </w:p>
        </w:tc>
      </w:tr>
      <w:tr w:rsidR="00B33542" w:rsidRPr="005071A1" w14:paraId="0F918B5A" w14:textId="77777777" w:rsidTr="00322DFA">
        <w:trPr>
          <w:cantSplit/>
        </w:trPr>
        <w:tc>
          <w:tcPr>
            <w:tcW w:w="2268" w:type="dxa"/>
          </w:tcPr>
          <w:p w14:paraId="327BBA2B" w14:textId="77777777" w:rsidR="00B33542" w:rsidRPr="005071A1" w:rsidRDefault="002477D1" w:rsidP="00EE7890">
            <w:pPr>
              <w:pStyle w:val="ENoteTableText"/>
              <w:tabs>
                <w:tab w:val="center" w:leader="dot" w:pos="2268"/>
              </w:tabs>
            </w:pPr>
            <w:r w:rsidRPr="005071A1">
              <w:t>s</w:t>
            </w:r>
            <w:r w:rsidR="006F6C93" w:rsidRPr="005071A1">
              <w:t>.</w:t>
            </w:r>
            <w:r w:rsidR="00B33542" w:rsidRPr="005071A1">
              <w:t xml:space="preserve"> 60T</w:t>
            </w:r>
            <w:r w:rsidR="00B33542" w:rsidRPr="005071A1">
              <w:tab/>
            </w:r>
          </w:p>
        </w:tc>
        <w:tc>
          <w:tcPr>
            <w:tcW w:w="4820" w:type="dxa"/>
          </w:tcPr>
          <w:p w14:paraId="4FA1DC69" w14:textId="77777777" w:rsidR="00B33542" w:rsidRPr="005071A1" w:rsidRDefault="00B33542" w:rsidP="00EE7890">
            <w:pPr>
              <w:pStyle w:val="ENoteTableText"/>
            </w:pPr>
            <w:r w:rsidRPr="005071A1">
              <w:t>ad</w:t>
            </w:r>
            <w:r w:rsidR="006F6C93" w:rsidRPr="005071A1">
              <w:t>.</w:t>
            </w:r>
            <w:r w:rsidRPr="005071A1">
              <w:t xml:space="preserve"> No</w:t>
            </w:r>
            <w:r w:rsidR="006F6C93" w:rsidRPr="005071A1">
              <w:t>.</w:t>
            </w:r>
            <w:r w:rsidR="008B2950" w:rsidRPr="005071A1">
              <w:t> </w:t>
            </w:r>
            <w:r w:rsidRPr="005071A1">
              <w:t>45, 1924</w:t>
            </w:r>
          </w:p>
        </w:tc>
      </w:tr>
      <w:tr w:rsidR="00B33542" w:rsidRPr="005071A1" w14:paraId="6088CEDE" w14:textId="77777777" w:rsidTr="00322DFA">
        <w:trPr>
          <w:cantSplit/>
        </w:trPr>
        <w:tc>
          <w:tcPr>
            <w:tcW w:w="2268" w:type="dxa"/>
          </w:tcPr>
          <w:p w14:paraId="5D9BC20D" w14:textId="77777777" w:rsidR="00B33542" w:rsidRPr="005071A1" w:rsidRDefault="00B33542" w:rsidP="009B7AF5">
            <w:pPr>
              <w:pStyle w:val="ENoteTableText"/>
            </w:pPr>
          </w:p>
        </w:tc>
        <w:tc>
          <w:tcPr>
            <w:tcW w:w="4820" w:type="dxa"/>
          </w:tcPr>
          <w:p w14:paraId="3B705C11" w14:textId="77777777" w:rsidR="00B33542" w:rsidRPr="005071A1" w:rsidRDefault="00B33542" w:rsidP="00EE7890">
            <w:pPr>
              <w:pStyle w:val="ENoteTableText"/>
            </w:pPr>
            <w:r w:rsidRPr="005071A1">
              <w:t>am</w:t>
            </w:r>
            <w:r w:rsidR="006F6C93" w:rsidRPr="005071A1">
              <w:t>.</w:t>
            </w:r>
            <w:r w:rsidRPr="005071A1">
              <w:t xml:space="preserve"> No</w:t>
            </w:r>
            <w:r w:rsidR="006F6C93" w:rsidRPr="005071A1">
              <w:t>.</w:t>
            </w:r>
            <w:r w:rsidR="008B2950" w:rsidRPr="005071A1">
              <w:t> </w:t>
            </w:r>
            <w:r w:rsidRPr="005071A1">
              <w:t>22, 1930</w:t>
            </w:r>
          </w:p>
        </w:tc>
      </w:tr>
      <w:tr w:rsidR="00B33542" w:rsidRPr="005071A1" w14:paraId="5BB34D3C" w14:textId="77777777" w:rsidTr="00322DFA">
        <w:trPr>
          <w:cantSplit/>
        </w:trPr>
        <w:tc>
          <w:tcPr>
            <w:tcW w:w="2268" w:type="dxa"/>
          </w:tcPr>
          <w:p w14:paraId="7B74FA8E" w14:textId="77777777" w:rsidR="00B33542" w:rsidRPr="005071A1" w:rsidRDefault="00B33542" w:rsidP="009B7AF5">
            <w:pPr>
              <w:pStyle w:val="ENoteTableText"/>
            </w:pPr>
          </w:p>
        </w:tc>
        <w:tc>
          <w:tcPr>
            <w:tcW w:w="4820" w:type="dxa"/>
          </w:tcPr>
          <w:p w14:paraId="51BD069B" w14:textId="77777777" w:rsidR="00B33542" w:rsidRPr="005071A1" w:rsidRDefault="00B33542" w:rsidP="00EE7890">
            <w:pPr>
              <w:pStyle w:val="ENoteTableText"/>
            </w:pPr>
            <w:r w:rsidRPr="005071A1">
              <w:t>rep</w:t>
            </w:r>
            <w:r w:rsidR="006F6C93" w:rsidRPr="005071A1">
              <w:t>.</w:t>
            </w:r>
            <w:r w:rsidRPr="005071A1">
              <w:t xml:space="preserve"> No</w:t>
            </w:r>
            <w:r w:rsidR="006F6C93" w:rsidRPr="005071A1">
              <w:t>.</w:t>
            </w:r>
            <w:r w:rsidR="008B2950" w:rsidRPr="005071A1">
              <w:t> </w:t>
            </w:r>
            <w:r w:rsidRPr="005071A1">
              <w:t>19, 1948</w:t>
            </w:r>
          </w:p>
        </w:tc>
      </w:tr>
      <w:tr w:rsidR="00B33542" w:rsidRPr="005071A1" w14:paraId="61CB945A" w14:textId="77777777" w:rsidTr="00322DFA">
        <w:trPr>
          <w:cantSplit/>
        </w:trPr>
        <w:tc>
          <w:tcPr>
            <w:tcW w:w="2268" w:type="dxa"/>
          </w:tcPr>
          <w:p w14:paraId="08A6EA57" w14:textId="77777777" w:rsidR="00B33542" w:rsidRPr="005071A1" w:rsidRDefault="002477D1" w:rsidP="00EE7890">
            <w:pPr>
              <w:pStyle w:val="ENoteTableText"/>
              <w:tabs>
                <w:tab w:val="center" w:leader="dot" w:pos="2268"/>
              </w:tabs>
            </w:pPr>
            <w:r w:rsidRPr="005071A1">
              <w:t>s</w:t>
            </w:r>
            <w:r w:rsidR="006F6C93" w:rsidRPr="005071A1">
              <w:t>.</w:t>
            </w:r>
            <w:r w:rsidR="00B33542" w:rsidRPr="005071A1">
              <w:t xml:space="preserve"> 76</w:t>
            </w:r>
            <w:r w:rsidR="00B33542" w:rsidRPr="005071A1">
              <w:tab/>
            </w:r>
          </w:p>
        </w:tc>
        <w:tc>
          <w:tcPr>
            <w:tcW w:w="4820" w:type="dxa"/>
          </w:tcPr>
          <w:p w14:paraId="0678C288" w14:textId="77777777" w:rsidR="00B33542" w:rsidRPr="005071A1" w:rsidRDefault="00B33542" w:rsidP="00EE7890">
            <w:pPr>
              <w:pStyle w:val="ENoteTableText"/>
            </w:pPr>
            <w:r w:rsidRPr="005071A1">
              <w:t>am</w:t>
            </w:r>
            <w:r w:rsidR="006F6C93" w:rsidRPr="005071A1">
              <w:t>.</w:t>
            </w:r>
            <w:r w:rsidRPr="005071A1">
              <w:t xml:space="preserve"> No</w:t>
            </w:r>
            <w:r w:rsidR="006F6C93" w:rsidRPr="005071A1">
              <w:t>.</w:t>
            </w:r>
            <w:r w:rsidR="008B2950" w:rsidRPr="005071A1">
              <w:t> </w:t>
            </w:r>
            <w:r w:rsidRPr="005071A1">
              <w:t>45, 1924</w:t>
            </w:r>
          </w:p>
        </w:tc>
      </w:tr>
      <w:tr w:rsidR="00B33542" w:rsidRPr="005071A1" w14:paraId="13D074D2" w14:textId="77777777" w:rsidTr="00322DFA">
        <w:trPr>
          <w:cantSplit/>
        </w:trPr>
        <w:tc>
          <w:tcPr>
            <w:tcW w:w="2268" w:type="dxa"/>
          </w:tcPr>
          <w:p w14:paraId="5A071C55" w14:textId="77777777" w:rsidR="00B33542" w:rsidRPr="005071A1" w:rsidRDefault="00B33542" w:rsidP="009B7AF5">
            <w:pPr>
              <w:pStyle w:val="ENoteTableText"/>
            </w:pPr>
          </w:p>
        </w:tc>
        <w:tc>
          <w:tcPr>
            <w:tcW w:w="4820" w:type="dxa"/>
          </w:tcPr>
          <w:p w14:paraId="5DD6C856" w14:textId="77777777" w:rsidR="00B33542" w:rsidRPr="005071A1" w:rsidRDefault="00B33542" w:rsidP="00EE7890">
            <w:pPr>
              <w:pStyle w:val="ENoteTableText"/>
            </w:pPr>
            <w:r w:rsidRPr="005071A1">
              <w:t>rep</w:t>
            </w:r>
            <w:r w:rsidR="006F6C93" w:rsidRPr="005071A1">
              <w:t>.</w:t>
            </w:r>
            <w:r w:rsidRPr="005071A1">
              <w:t xml:space="preserve"> No</w:t>
            </w:r>
            <w:r w:rsidR="006F6C93" w:rsidRPr="005071A1">
              <w:t>.</w:t>
            </w:r>
            <w:r w:rsidR="008B2950" w:rsidRPr="005071A1">
              <w:t> </w:t>
            </w:r>
            <w:r w:rsidRPr="005071A1">
              <w:t>76, 1950</w:t>
            </w:r>
          </w:p>
        </w:tc>
      </w:tr>
      <w:tr w:rsidR="00B33542" w:rsidRPr="005071A1" w14:paraId="09206798" w14:textId="77777777" w:rsidTr="00322DFA">
        <w:trPr>
          <w:cantSplit/>
        </w:trPr>
        <w:tc>
          <w:tcPr>
            <w:tcW w:w="2268" w:type="dxa"/>
          </w:tcPr>
          <w:p w14:paraId="3F1E4D25" w14:textId="77777777" w:rsidR="00B33542" w:rsidRPr="005071A1" w:rsidRDefault="00B33542" w:rsidP="002477D1">
            <w:pPr>
              <w:pStyle w:val="ENoteTableText"/>
              <w:tabs>
                <w:tab w:val="center" w:leader="dot" w:pos="2268"/>
              </w:tabs>
            </w:pPr>
            <w:r w:rsidRPr="005071A1">
              <w:t>Schedules I, II</w:t>
            </w:r>
            <w:r w:rsidRPr="005071A1">
              <w:tab/>
            </w:r>
          </w:p>
        </w:tc>
        <w:tc>
          <w:tcPr>
            <w:tcW w:w="4820" w:type="dxa"/>
          </w:tcPr>
          <w:p w14:paraId="08824868" w14:textId="77777777" w:rsidR="00B33542" w:rsidRPr="005071A1" w:rsidRDefault="00B33542" w:rsidP="009B7AF5">
            <w:pPr>
              <w:pStyle w:val="ENoteTableText"/>
            </w:pPr>
            <w:r w:rsidRPr="005071A1">
              <w:t>am. No.</w:t>
            </w:r>
            <w:r w:rsidR="008B2950" w:rsidRPr="005071A1">
              <w:t> </w:t>
            </w:r>
            <w:r w:rsidRPr="005071A1">
              <w:t>35, 1947; No.</w:t>
            </w:r>
            <w:r w:rsidR="008B2950" w:rsidRPr="005071A1">
              <w:t> </w:t>
            </w:r>
            <w:r w:rsidRPr="005071A1">
              <w:t>76, 1950</w:t>
            </w:r>
          </w:p>
        </w:tc>
      </w:tr>
      <w:tr w:rsidR="00B33542" w:rsidRPr="005071A1" w14:paraId="243C97BC" w14:textId="77777777" w:rsidTr="00322DFA">
        <w:trPr>
          <w:cantSplit/>
        </w:trPr>
        <w:tc>
          <w:tcPr>
            <w:tcW w:w="2268" w:type="dxa"/>
          </w:tcPr>
          <w:p w14:paraId="3B32F355" w14:textId="77777777" w:rsidR="00B33542" w:rsidRPr="005071A1" w:rsidRDefault="00B33542" w:rsidP="009B7AF5">
            <w:pPr>
              <w:pStyle w:val="ENoteTableText"/>
            </w:pPr>
          </w:p>
        </w:tc>
        <w:tc>
          <w:tcPr>
            <w:tcW w:w="4820" w:type="dxa"/>
          </w:tcPr>
          <w:p w14:paraId="2CADD7CD" w14:textId="77777777" w:rsidR="00B33542" w:rsidRPr="005071A1" w:rsidRDefault="00B33542" w:rsidP="009B7AF5">
            <w:pPr>
              <w:pStyle w:val="ENoteTableText"/>
            </w:pPr>
            <w:r w:rsidRPr="005071A1">
              <w:t>rep. No.</w:t>
            </w:r>
            <w:r w:rsidR="008B2950" w:rsidRPr="005071A1">
              <w:t> </w:t>
            </w:r>
            <w:r w:rsidRPr="005071A1">
              <w:t>102, 1959</w:t>
            </w:r>
          </w:p>
        </w:tc>
      </w:tr>
      <w:tr w:rsidR="00B33542" w:rsidRPr="005071A1" w14:paraId="55D8E3C4" w14:textId="77777777" w:rsidTr="00322DFA">
        <w:trPr>
          <w:cantSplit/>
        </w:trPr>
        <w:tc>
          <w:tcPr>
            <w:tcW w:w="2268" w:type="dxa"/>
          </w:tcPr>
          <w:p w14:paraId="4395CCFB" w14:textId="77777777" w:rsidR="00B33542" w:rsidRPr="005071A1" w:rsidRDefault="00B33542" w:rsidP="002477D1">
            <w:pPr>
              <w:pStyle w:val="ENoteTableText"/>
              <w:tabs>
                <w:tab w:val="center" w:leader="dot" w:pos="2268"/>
              </w:tabs>
            </w:pPr>
            <w:r w:rsidRPr="005071A1">
              <w:t>Schedules III, IV</w:t>
            </w:r>
            <w:r w:rsidRPr="005071A1">
              <w:tab/>
            </w:r>
          </w:p>
        </w:tc>
        <w:tc>
          <w:tcPr>
            <w:tcW w:w="4820" w:type="dxa"/>
          </w:tcPr>
          <w:p w14:paraId="64E5902C" w14:textId="77777777" w:rsidR="00B33542" w:rsidRPr="005071A1" w:rsidRDefault="00B33542" w:rsidP="009B7AF5">
            <w:pPr>
              <w:pStyle w:val="ENoteTableText"/>
            </w:pPr>
            <w:r w:rsidRPr="005071A1">
              <w:t>ad. No.</w:t>
            </w:r>
            <w:r w:rsidR="008B2950" w:rsidRPr="005071A1">
              <w:t> </w:t>
            </w:r>
            <w:r w:rsidRPr="005071A1">
              <w:t>45, 1924</w:t>
            </w:r>
          </w:p>
        </w:tc>
      </w:tr>
      <w:tr w:rsidR="00B33542" w:rsidRPr="005071A1" w14:paraId="55C8C8B9" w14:textId="77777777" w:rsidTr="00322DFA">
        <w:trPr>
          <w:cantSplit/>
        </w:trPr>
        <w:tc>
          <w:tcPr>
            <w:tcW w:w="2268" w:type="dxa"/>
          </w:tcPr>
          <w:p w14:paraId="7CA6B2BC" w14:textId="77777777" w:rsidR="00B33542" w:rsidRPr="005071A1" w:rsidRDefault="00B33542" w:rsidP="009B7AF5">
            <w:pPr>
              <w:pStyle w:val="ENoteTableText"/>
            </w:pPr>
          </w:p>
        </w:tc>
        <w:tc>
          <w:tcPr>
            <w:tcW w:w="4820" w:type="dxa"/>
          </w:tcPr>
          <w:p w14:paraId="2223E304" w14:textId="77777777" w:rsidR="00B33542" w:rsidRPr="005071A1" w:rsidRDefault="00B33542" w:rsidP="009B7AF5">
            <w:pPr>
              <w:pStyle w:val="ENoteTableText"/>
            </w:pPr>
            <w:r w:rsidRPr="005071A1">
              <w:t>am. No.</w:t>
            </w:r>
            <w:r w:rsidR="008B2950" w:rsidRPr="005071A1">
              <w:t> </w:t>
            </w:r>
            <w:r w:rsidRPr="005071A1">
              <w:t>35, 1947; No.</w:t>
            </w:r>
            <w:r w:rsidR="008B2950" w:rsidRPr="005071A1">
              <w:t> </w:t>
            </w:r>
            <w:r w:rsidRPr="005071A1">
              <w:t>76, 1950</w:t>
            </w:r>
          </w:p>
        </w:tc>
      </w:tr>
      <w:tr w:rsidR="00B33542" w:rsidRPr="005071A1" w14:paraId="54690C3A" w14:textId="77777777" w:rsidTr="00322DFA">
        <w:trPr>
          <w:cantSplit/>
        </w:trPr>
        <w:tc>
          <w:tcPr>
            <w:tcW w:w="2268" w:type="dxa"/>
          </w:tcPr>
          <w:p w14:paraId="12C94ADC" w14:textId="77777777" w:rsidR="00B33542" w:rsidRPr="005071A1" w:rsidRDefault="00B33542" w:rsidP="009B7AF5">
            <w:pPr>
              <w:pStyle w:val="ENoteTableText"/>
            </w:pPr>
          </w:p>
        </w:tc>
        <w:tc>
          <w:tcPr>
            <w:tcW w:w="4820" w:type="dxa"/>
          </w:tcPr>
          <w:p w14:paraId="4F4991BE" w14:textId="77777777" w:rsidR="00B33542" w:rsidRPr="005071A1" w:rsidRDefault="00B33542" w:rsidP="009B7AF5">
            <w:pPr>
              <w:pStyle w:val="ENoteTableText"/>
            </w:pPr>
            <w:r w:rsidRPr="005071A1">
              <w:t>rep. No.</w:t>
            </w:r>
            <w:r w:rsidR="008B2950" w:rsidRPr="005071A1">
              <w:t> </w:t>
            </w:r>
            <w:r w:rsidRPr="005071A1">
              <w:t>102, 1959</w:t>
            </w:r>
          </w:p>
        </w:tc>
      </w:tr>
      <w:tr w:rsidR="00B33542" w:rsidRPr="005071A1" w14:paraId="6375945F" w14:textId="77777777" w:rsidTr="00322DFA">
        <w:trPr>
          <w:cantSplit/>
        </w:trPr>
        <w:tc>
          <w:tcPr>
            <w:tcW w:w="2268" w:type="dxa"/>
          </w:tcPr>
          <w:p w14:paraId="5D06DD9E" w14:textId="77777777" w:rsidR="00B33542" w:rsidRPr="005071A1" w:rsidRDefault="00B33542" w:rsidP="002477D1">
            <w:pPr>
              <w:pStyle w:val="ENoteTableText"/>
              <w:tabs>
                <w:tab w:val="center" w:leader="dot" w:pos="2268"/>
              </w:tabs>
            </w:pPr>
            <w:r w:rsidRPr="005071A1">
              <w:t>Schedules V–VIII</w:t>
            </w:r>
            <w:r w:rsidRPr="005071A1">
              <w:tab/>
            </w:r>
          </w:p>
        </w:tc>
        <w:tc>
          <w:tcPr>
            <w:tcW w:w="4820" w:type="dxa"/>
          </w:tcPr>
          <w:p w14:paraId="6B70DA5A" w14:textId="77777777" w:rsidR="00B33542" w:rsidRPr="005071A1" w:rsidRDefault="00B33542" w:rsidP="009B7AF5">
            <w:pPr>
              <w:pStyle w:val="ENoteTableText"/>
            </w:pPr>
            <w:r w:rsidRPr="005071A1">
              <w:t>ad. No.</w:t>
            </w:r>
            <w:r w:rsidR="008B2950" w:rsidRPr="005071A1">
              <w:t> </w:t>
            </w:r>
            <w:r w:rsidRPr="005071A1">
              <w:t>53, 1942</w:t>
            </w:r>
          </w:p>
        </w:tc>
      </w:tr>
      <w:tr w:rsidR="00B33542" w:rsidRPr="005071A1" w14:paraId="066ED835" w14:textId="77777777" w:rsidTr="00322DFA">
        <w:trPr>
          <w:cantSplit/>
        </w:trPr>
        <w:tc>
          <w:tcPr>
            <w:tcW w:w="2268" w:type="dxa"/>
          </w:tcPr>
          <w:p w14:paraId="30C9ED16" w14:textId="77777777" w:rsidR="00B33542" w:rsidRPr="005071A1" w:rsidRDefault="00B33542" w:rsidP="009B7AF5">
            <w:pPr>
              <w:pStyle w:val="ENoteTableText"/>
            </w:pPr>
          </w:p>
        </w:tc>
        <w:tc>
          <w:tcPr>
            <w:tcW w:w="4820" w:type="dxa"/>
          </w:tcPr>
          <w:p w14:paraId="4D992009" w14:textId="77777777" w:rsidR="00B33542" w:rsidRPr="005071A1" w:rsidRDefault="00B33542" w:rsidP="009B7AF5">
            <w:pPr>
              <w:pStyle w:val="ENoteTableText"/>
            </w:pPr>
            <w:r w:rsidRPr="005071A1">
              <w:t>am. No.</w:t>
            </w:r>
            <w:r w:rsidR="008B2950" w:rsidRPr="005071A1">
              <w:t> </w:t>
            </w:r>
            <w:r w:rsidRPr="005071A1">
              <w:t>35, 1947; No.</w:t>
            </w:r>
            <w:r w:rsidR="008B2950" w:rsidRPr="005071A1">
              <w:t> </w:t>
            </w:r>
            <w:r w:rsidRPr="005071A1">
              <w:t>76, 1950</w:t>
            </w:r>
          </w:p>
        </w:tc>
      </w:tr>
      <w:tr w:rsidR="00B33542" w:rsidRPr="005071A1" w14:paraId="3B9E88F0" w14:textId="77777777" w:rsidTr="00322DFA">
        <w:trPr>
          <w:cantSplit/>
        </w:trPr>
        <w:tc>
          <w:tcPr>
            <w:tcW w:w="2268" w:type="dxa"/>
          </w:tcPr>
          <w:p w14:paraId="6569220C" w14:textId="77777777" w:rsidR="00B33542" w:rsidRPr="005071A1" w:rsidRDefault="00B33542" w:rsidP="009B7AF5">
            <w:pPr>
              <w:pStyle w:val="ENoteTableText"/>
            </w:pPr>
          </w:p>
        </w:tc>
        <w:tc>
          <w:tcPr>
            <w:tcW w:w="4820" w:type="dxa"/>
          </w:tcPr>
          <w:p w14:paraId="0D4C1A6D" w14:textId="77777777" w:rsidR="00B33542" w:rsidRPr="005071A1" w:rsidRDefault="00B33542" w:rsidP="009B7AF5">
            <w:pPr>
              <w:pStyle w:val="ENoteTableText"/>
            </w:pPr>
            <w:r w:rsidRPr="005071A1">
              <w:t>rs. No.</w:t>
            </w:r>
            <w:r w:rsidR="008B2950" w:rsidRPr="005071A1">
              <w:t> </w:t>
            </w:r>
            <w:r w:rsidRPr="005071A1">
              <w:t>49, 1951</w:t>
            </w:r>
          </w:p>
        </w:tc>
      </w:tr>
      <w:tr w:rsidR="00B33542" w:rsidRPr="005071A1" w14:paraId="073B707D" w14:textId="77777777" w:rsidTr="00322DFA">
        <w:trPr>
          <w:cantSplit/>
        </w:trPr>
        <w:tc>
          <w:tcPr>
            <w:tcW w:w="2268" w:type="dxa"/>
            <w:tcBorders>
              <w:bottom w:val="single" w:sz="12" w:space="0" w:color="auto"/>
            </w:tcBorders>
          </w:tcPr>
          <w:p w14:paraId="4BF821A6" w14:textId="77777777" w:rsidR="00B33542" w:rsidRPr="005071A1" w:rsidRDefault="00B33542" w:rsidP="009B7AF5">
            <w:pPr>
              <w:pStyle w:val="ENoteTableText"/>
            </w:pPr>
          </w:p>
        </w:tc>
        <w:tc>
          <w:tcPr>
            <w:tcW w:w="4820" w:type="dxa"/>
            <w:tcBorders>
              <w:bottom w:val="single" w:sz="12" w:space="0" w:color="auto"/>
            </w:tcBorders>
          </w:tcPr>
          <w:p w14:paraId="092FBB91" w14:textId="77777777" w:rsidR="00B33542" w:rsidRPr="005071A1" w:rsidRDefault="00B33542" w:rsidP="009B7AF5">
            <w:pPr>
              <w:pStyle w:val="ENoteTableText"/>
            </w:pPr>
            <w:r w:rsidRPr="005071A1">
              <w:t>rep. No.</w:t>
            </w:r>
            <w:r w:rsidR="008B2950" w:rsidRPr="005071A1">
              <w:t> </w:t>
            </w:r>
            <w:r w:rsidRPr="005071A1">
              <w:t xml:space="preserve">102, 1959 </w:t>
            </w:r>
          </w:p>
        </w:tc>
      </w:tr>
    </w:tbl>
    <w:p w14:paraId="0E57117A" w14:textId="77777777" w:rsidR="00BC0DF5" w:rsidRPr="005071A1" w:rsidRDefault="00BC0DF5" w:rsidP="00BC0DF5">
      <w:pPr>
        <w:pStyle w:val="Tabletext"/>
      </w:pPr>
    </w:p>
    <w:p w14:paraId="3D463349" w14:textId="77777777" w:rsidR="00B33542" w:rsidRPr="005071A1" w:rsidRDefault="00B33542" w:rsidP="00BC0DF5">
      <w:pPr>
        <w:pStyle w:val="ENotesText"/>
        <w:keepNext/>
        <w:pageBreakBefore/>
      </w:pPr>
      <w:r w:rsidRPr="005071A1">
        <w:rPr>
          <w:b/>
        </w:rPr>
        <w:t>Renumbering Table</w:t>
      </w:r>
    </w:p>
    <w:p w14:paraId="492A59AD" w14:textId="38DE3A3A" w:rsidR="00F17C5E" w:rsidRPr="005071A1" w:rsidRDefault="003162FC" w:rsidP="00F17C5E">
      <w:pPr>
        <w:pStyle w:val="ENotesText"/>
      </w:pPr>
      <w:r w:rsidRPr="005071A1">
        <w:rPr>
          <w:szCs w:val="22"/>
        </w:rPr>
        <w:t>The renumbering of provisions of the</w:t>
      </w:r>
      <w:r w:rsidR="00F17C5E" w:rsidRPr="005071A1">
        <w:t xml:space="preserve"> </w:t>
      </w:r>
      <w:r w:rsidR="00F17C5E" w:rsidRPr="005071A1">
        <w:rPr>
          <w:i/>
        </w:rPr>
        <w:fldChar w:fldCharType="begin"/>
      </w:r>
      <w:r w:rsidR="00F17C5E" w:rsidRPr="005071A1">
        <w:rPr>
          <w:i/>
        </w:rPr>
        <w:instrText xml:space="preserve"> DOCPROPERTY  ShortT </w:instrText>
      </w:r>
      <w:r w:rsidR="00F17C5E" w:rsidRPr="005071A1">
        <w:rPr>
          <w:i/>
        </w:rPr>
        <w:fldChar w:fldCharType="separate"/>
      </w:r>
      <w:r w:rsidR="00B1494D">
        <w:rPr>
          <w:i/>
        </w:rPr>
        <w:t>Superannuation Act 1922</w:t>
      </w:r>
      <w:r w:rsidR="00F17C5E" w:rsidRPr="005071A1">
        <w:rPr>
          <w:i/>
        </w:rPr>
        <w:fldChar w:fldCharType="end"/>
      </w:r>
      <w:r w:rsidR="00F17C5E" w:rsidRPr="005071A1">
        <w:t xml:space="preserve">, made by the </w:t>
      </w:r>
      <w:r w:rsidR="00F17C5E" w:rsidRPr="005071A1">
        <w:rPr>
          <w:i/>
        </w:rPr>
        <w:t>Superannuation Act 1959</w:t>
      </w:r>
      <w:r w:rsidR="00F17C5E" w:rsidRPr="005071A1">
        <w:t xml:space="preserve"> (No.</w:t>
      </w:r>
      <w:r w:rsidR="008B2950" w:rsidRPr="005071A1">
        <w:t> </w:t>
      </w:r>
      <w:r w:rsidR="00F17C5E" w:rsidRPr="005071A1">
        <w:t>102, 1959) appears in the table below.</w:t>
      </w:r>
    </w:p>
    <w:p w14:paraId="78BF19BC" w14:textId="77777777" w:rsidR="00696EF7" w:rsidRPr="005071A1" w:rsidRDefault="00696EF7" w:rsidP="00696EF7">
      <w:pPr>
        <w:pStyle w:val="Tabletext"/>
      </w:pPr>
    </w:p>
    <w:p w14:paraId="564B43F9" w14:textId="77777777" w:rsidR="00DA469E" w:rsidRPr="005071A1" w:rsidRDefault="00DA469E" w:rsidP="003735F2">
      <w:pPr>
        <w:sectPr w:rsidR="00DA469E" w:rsidRPr="005071A1" w:rsidSect="0020596F">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tbl>
      <w:tblPr>
        <w:tblW w:w="0" w:type="auto"/>
        <w:tblInd w:w="107" w:type="dxa"/>
        <w:tblLayout w:type="fixed"/>
        <w:tblCellMar>
          <w:left w:w="107" w:type="dxa"/>
          <w:right w:w="107" w:type="dxa"/>
        </w:tblCellMar>
        <w:tblLook w:val="0000" w:firstRow="0" w:lastRow="0" w:firstColumn="0" w:lastColumn="0" w:noHBand="0" w:noVBand="0"/>
      </w:tblPr>
      <w:tblGrid>
        <w:gridCol w:w="1276"/>
        <w:gridCol w:w="1418"/>
      </w:tblGrid>
      <w:tr w:rsidR="00B33542" w:rsidRPr="005071A1" w14:paraId="3A27D9CB" w14:textId="77777777" w:rsidTr="00DA469E">
        <w:trPr>
          <w:cantSplit/>
          <w:tblHeader/>
        </w:trPr>
        <w:tc>
          <w:tcPr>
            <w:tcW w:w="1276" w:type="dxa"/>
            <w:tcBorders>
              <w:top w:val="single" w:sz="12" w:space="0" w:color="auto"/>
              <w:bottom w:val="single" w:sz="12" w:space="0" w:color="auto"/>
            </w:tcBorders>
          </w:tcPr>
          <w:p w14:paraId="207B78E8" w14:textId="77777777" w:rsidR="00B33542" w:rsidRPr="005071A1" w:rsidRDefault="00B33542" w:rsidP="00DA469E">
            <w:pPr>
              <w:pStyle w:val="ENoteTableHeading"/>
              <w:keepNext w:val="0"/>
              <w:ind w:left="-107" w:right="-107"/>
            </w:pPr>
            <w:r w:rsidRPr="005071A1">
              <w:t xml:space="preserve">Old </w:t>
            </w:r>
            <w:r w:rsidR="00DA469E" w:rsidRPr="005071A1">
              <w:br/>
            </w:r>
            <w:r w:rsidRPr="005071A1">
              <w:t>number</w:t>
            </w:r>
          </w:p>
        </w:tc>
        <w:tc>
          <w:tcPr>
            <w:tcW w:w="1418" w:type="dxa"/>
            <w:tcBorders>
              <w:top w:val="single" w:sz="12" w:space="0" w:color="auto"/>
              <w:bottom w:val="single" w:sz="12" w:space="0" w:color="auto"/>
            </w:tcBorders>
          </w:tcPr>
          <w:p w14:paraId="3BDA20C4" w14:textId="77777777" w:rsidR="00B33542" w:rsidRPr="005071A1" w:rsidRDefault="00B33542" w:rsidP="00DA469E">
            <w:pPr>
              <w:pStyle w:val="ENoteTableHeading"/>
              <w:ind w:left="-107"/>
            </w:pPr>
            <w:r w:rsidRPr="005071A1">
              <w:t xml:space="preserve">New </w:t>
            </w:r>
            <w:r w:rsidR="00DA469E" w:rsidRPr="005071A1">
              <w:br/>
            </w:r>
            <w:r w:rsidRPr="005071A1">
              <w:t>number</w:t>
            </w:r>
          </w:p>
        </w:tc>
      </w:tr>
      <w:tr w:rsidR="00B33542" w:rsidRPr="005071A1" w14:paraId="239132D8" w14:textId="77777777" w:rsidTr="00DA469E">
        <w:tblPrEx>
          <w:tblCellMar>
            <w:left w:w="0" w:type="dxa"/>
            <w:right w:w="0" w:type="dxa"/>
          </w:tblCellMar>
        </w:tblPrEx>
        <w:tc>
          <w:tcPr>
            <w:tcW w:w="1276" w:type="dxa"/>
            <w:tcBorders>
              <w:top w:val="single" w:sz="12" w:space="0" w:color="auto"/>
            </w:tcBorders>
          </w:tcPr>
          <w:p w14:paraId="25DB0B60" w14:textId="77777777" w:rsidR="00B33542" w:rsidRPr="005071A1" w:rsidRDefault="00B33542" w:rsidP="009B7AF5">
            <w:pPr>
              <w:pStyle w:val="ENoteTableText"/>
            </w:pPr>
            <w:r w:rsidRPr="005071A1">
              <w:t>Section</w:t>
            </w:r>
          </w:p>
        </w:tc>
        <w:tc>
          <w:tcPr>
            <w:tcW w:w="1418" w:type="dxa"/>
            <w:tcBorders>
              <w:top w:val="single" w:sz="12" w:space="0" w:color="auto"/>
            </w:tcBorders>
          </w:tcPr>
          <w:p w14:paraId="5F50386A" w14:textId="77777777" w:rsidR="00B33542" w:rsidRPr="005071A1" w:rsidRDefault="00B33542" w:rsidP="009B7AF5">
            <w:pPr>
              <w:pStyle w:val="ENoteTableText"/>
            </w:pPr>
            <w:r w:rsidRPr="005071A1">
              <w:t>Section</w:t>
            </w:r>
          </w:p>
        </w:tc>
      </w:tr>
      <w:tr w:rsidR="00B33542" w:rsidRPr="005071A1" w14:paraId="0F96ABDE" w14:textId="77777777" w:rsidTr="00DA469E">
        <w:tblPrEx>
          <w:tblCellMar>
            <w:left w:w="0" w:type="dxa"/>
            <w:right w:w="0" w:type="dxa"/>
          </w:tblCellMar>
        </w:tblPrEx>
        <w:tc>
          <w:tcPr>
            <w:tcW w:w="1276" w:type="dxa"/>
          </w:tcPr>
          <w:p w14:paraId="1458575F" w14:textId="77777777" w:rsidR="00B33542" w:rsidRPr="005071A1" w:rsidRDefault="00B33542" w:rsidP="009B7AF5">
            <w:pPr>
              <w:pStyle w:val="ENoteTableText"/>
            </w:pPr>
            <w:r w:rsidRPr="005071A1">
              <w:t>4B</w:t>
            </w:r>
          </w:p>
        </w:tc>
        <w:tc>
          <w:tcPr>
            <w:tcW w:w="1418" w:type="dxa"/>
          </w:tcPr>
          <w:p w14:paraId="1C1C9541" w14:textId="77777777" w:rsidR="00B33542" w:rsidRPr="005071A1" w:rsidRDefault="00B33542" w:rsidP="009B7AF5">
            <w:pPr>
              <w:pStyle w:val="ENoteTableText"/>
            </w:pPr>
            <w:r w:rsidRPr="005071A1">
              <w:t>5</w:t>
            </w:r>
          </w:p>
        </w:tc>
      </w:tr>
      <w:tr w:rsidR="00B33542" w:rsidRPr="005071A1" w14:paraId="31C0D3CD" w14:textId="77777777" w:rsidTr="00DA469E">
        <w:tblPrEx>
          <w:tblCellMar>
            <w:left w:w="0" w:type="dxa"/>
            <w:right w:w="0" w:type="dxa"/>
          </w:tblCellMar>
        </w:tblPrEx>
        <w:tc>
          <w:tcPr>
            <w:tcW w:w="1276" w:type="dxa"/>
          </w:tcPr>
          <w:p w14:paraId="224C218B" w14:textId="77777777" w:rsidR="00B33542" w:rsidRPr="005071A1" w:rsidRDefault="00B33542" w:rsidP="009B7AF5">
            <w:pPr>
              <w:pStyle w:val="ENoteTableText"/>
            </w:pPr>
            <w:r w:rsidRPr="005071A1">
              <w:t>4C</w:t>
            </w:r>
          </w:p>
        </w:tc>
        <w:tc>
          <w:tcPr>
            <w:tcW w:w="1418" w:type="dxa"/>
          </w:tcPr>
          <w:p w14:paraId="5DAF8652" w14:textId="77777777" w:rsidR="00B33542" w:rsidRPr="005071A1" w:rsidRDefault="00B33542" w:rsidP="009B7AF5">
            <w:pPr>
              <w:pStyle w:val="ENoteTableText"/>
            </w:pPr>
            <w:r w:rsidRPr="005071A1">
              <w:t>6</w:t>
            </w:r>
          </w:p>
        </w:tc>
      </w:tr>
      <w:tr w:rsidR="00B33542" w:rsidRPr="005071A1" w14:paraId="260F31A0" w14:textId="77777777" w:rsidTr="00DA469E">
        <w:tblPrEx>
          <w:tblCellMar>
            <w:left w:w="0" w:type="dxa"/>
            <w:right w:w="0" w:type="dxa"/>
          </w:tblCellMar>
        </w:tblPrEx>
        <w:tc>
          <w:tcPr>
            <w:tcW w:w="1276" w:type="dxa"/>
          </w:tcPr>
          <w:p w14:paraId="4D8A3B69" w14:textId="77777777" w:rsidR="00B33542" w:rsidRPr="005071A1" w:rsidRDefault="00B33542" w:rsidP="009B7AF5">
            <w:pPr>
              <w:pStyle w:val="ENoteTableText"/>
            </w:pPr>
            <w:r w:rsidRPr="005071A1">
              <w:t>4D</w:t>
            </w:r>
          </w:p>
        </w:tc>
        <w:tc>
          <w:tcPr>
            <w:tcW w:w="1418" w:type="dxa"/>
          </w:tcPr>
          <w:p w14:paraId="4B16001D" w14:textId="77777777" w:rsidR="00B33542" w:rsidRPr="005071A1" w:rsidRDefault="00B33542" w:rsidP="009B7AF5">
            <w:pPr>
              <w:pStyle w:val="ENoteTableText"/>
            </w:pPr>
            <w:r w:rsidRPr="005071A1">
              <w:t>7</w:t>
            </w:r>
          </w:p>
        </w:tc>
      </w:tr>
      <w:tr w:rsidR="00B33542" w:rsidRPr="005071A1" w14:paraId="57F91572" w14:textId="77777777" w:rsidTr="00DA469E">
        <w:tblPrEx>
          <w:tblCellMar>
            <w:left w:w="0" w:type="dxa"/>
            <w:right w:w="0" w:type="dxa"/>
          </w:tblCellMar>
        </w:tblPrEx>
        <w:tc>
          <w:tcPr>
            <w:tcW w:w="1276" w:type="dxa"/>
          </w:tcPr>
          <w:p w14:paraId="2FEF9FD7" w14:textId="77777777" w:rsidR="00B33542" w:rsidRPr="005071A1" w:rsidRDefault="00B33542" w:rsidP="009B7AF5">
            <w:pPr>
              <w:pStyle w:val="ENoteTableText"/>
            </w:pPr>
            <w:r w:rsidRPr="005071A1">
              <w:t>5</w:t>
            </w:r>
          </w:p>
        </w:tc>
        <w:tc>
          <w:tcPr>
            <w:tcW w:w="1418" w:type="dxa"/>
          </w:tcPr>
          <w:p w14:paraId="16D3D758" w14:textId="77777777" w:rsidR="00B33542" w:rsidRPr="005071A1" w:rsidRDefault="00B33542" w:rsidP="009B7AF5">
            <w:pPr>
              <w:pStyle w:val="ENoteTableText"/>
            </w:pPr>
            <w:r w:rsidRPr="005071A1">
              <w:t>8</w:t>
            </w:r>
          </w:p>
        </w:tc>
      </w:tr>
      <w:tr w:rsidR="00B33542" w:rsidRPr="005071A1" w14:paraId="194D7214" w14:textId="77777777" w:rsidTr="00DA469E">
        <w:tblPrEx>
          <w:tblCellMar>
            <w:left w:w="0" w:type="dxa"/>
            <w:right w:w="0" w:type="dxa"/>
          </w:tblCellMar>
        </w:tblPrEx>
        <w:tc>
          <w:tcPr>
            <w:tcW w:w="1276" w:type="dxa"/>
          </w:tcPr>
          <w:p w14:paraId="09B8A563" w14:textId="77777777" w:rsidR="00B33542" w:rsidRPr="005071A1" w:rsidRDefault="00B33542" w:rsidP="009B7AF5">
            <w:pPr>
              <w:pStyle w:val="ENoteTableText"/>
            </w:pPr>
            <w:r w:rsidRPr="005071A1">
              <w:t>5A</w:t>
            </w:r>
          </w:p>
        </w:tc>
        <w:tc>
          <w:tcPr>
            <w:tcW w:w="1418" w:type="dxa"/>
          </w:tcPr>
          <w:p w14:paraId="0BAD7AD2" w14:textId="77777777" w:rsidR="00B33542" w:rsidRPr="005071A1" w:rsidRDefault="00B33542" w:rsidP="009B7AF5">
            <w:pPr>
              <w:pStyle w:val="ENoteTableText"/>
            </w:pPr>
            <w:r w:rsidRPr="005071A1">
              <w:t>9</w:t>
            </w:r>
          </w:p>
        </w:tc>
      </w:tr>
      <w:tr w:rsidR="00B33542" w:rsidRPr="005071A1" w14:paraId="34FCF0CC" w14:textId="77777777" w:rsidTr="00DA469E">
        <w:tblPrEx>
          <w:tblCellMar>
            <w:left w:w="0" w:type="dxa"/>
            <w:right w:w="0" w:type="dxa"/>
          </w:tblCellMar>
        </w:tblPrEx>
        <w:tc>
          <w:tcPr>
            <w:tcW w:w="1276" w:type="dxa"/>
          </w:tcPr>
          <w:p w14:paraId="4B1E2E0D" w14:textId="77777777" w:rsidR="00B33542" w:rsidRPr="005071A1" w:rsidRDefault="00B33542" w:rsidP="009B7AF5">
            <w:pPr>
              <w:pStyle w:val="ENoteTableText"/>
            </w:pPr>
            <w:r w:rsidRPr="005071A1">
              <w:t>5B</w:t>
            </w:r>
          </w:p>
        </w:tc>
        <w:tc>
          <w:tcPr>
            <w:tcW w:w="1418" w:type="dxa"/>
          </w:tcPr>
          <w:p w14:paraId="5FD978D2" w14:textId="77777777" w:rsidR="00B33542" w:rsidRPr="005071A1" w:rsidRDefault="00B33542" w:rsidP="009B7AF5">
            <w:pPr>
              <w:pStyle w:val="ENoteTableText"/>
            </w:pPr>
            <w:r w:rsidRPr="005071A1">
              <w:t>10</w:t>
            </w:r>
          </w:p>
        </w:tc>
      </w:tr>
      <w:tr w:rsidR="00B33542" w:rsidRPr="005071A1" w14:paraId="20C2784B" w14:textId="77777777" w:rsidTr="00DA469E">
        <w:tblPrEx>
          <w:tblCellMar>
            <w:left w:w="0" w:type="dxa"/>
            <w:right w:w="0" w:type="dxa"/>
          </w:tblCellMar>
        </w:tblPrEx>
        <w:tc>
          <w:tcPr>
            <w:tcW w:w="1276" w:type="dxa"/>
          </w:tcPr>
          <w:p w14:paraId="66AE9A26" w14:textId="77777777" w:rsidR="00B33542" w:rsidRPr="005071A1" w:rsidRDefault="00B33542" w:rsidP="009B7AF5">
            <w:pPr>
              <w:pStyle w:val="ENoteTableText"/>
            </w:pPr>
            <w:r w:rsidRPr="005071A1">
              <w:t>5C</w:t>
            </w:r>
          </w:p>
        </w:tc>
        <w:tc>
          <w:tcPr>
            <w:tcW w:w="1418" w:type="dxa"/>
          </w:tcPr>
          <w:p w14:paraId="535C8E0D" w14:textId="77777777" w:rsidR="00B33542" w:rsidRPr="005071A1" w:rsidRDefault="00B33542" w:rsidP="009B7AF5">
            <w:pPr>
              <w:pStyle w:val="ENoteTableText"/>
            </w:pPr>
            <w:r w:rsidRPr="005071A1">
              <w:t>11</w:t>
            </w:r>
          </w:p>
        </w:tc>
      </w:tr>
      <w:tr w:rsidR="00B33542" w:rsidRPr="005071A1" w14:paraId="101C8338" w14:textId="77777777" w:rsidTr="00DA469E">
        <w:tblPrEx>
          <w:tblCellMar>
            <w:left w:w="0" w:type="dxa"/>
            <w:right w:w="0" w:type="dxa"/>
          </w:tblCellMar>
        </w:tblPrEx>
        <w:tc>
          <w:tcPr>
            <w:tcW w:w="1276" w:type="dxa"/>
          </w:tcPr>
          <w:p w14:paraId="5F8D9A7A" w14:textId="77777777" w:rsidR="00B33542" w:rsidRPr="005071A1" w:rsidRDefault="00B33542" w:rsidP="009B7AF5">
            <w:pPr>
              <w:pStyle w:val="ENoteTableText"/>
            </w:pPr>
            <w:r w:rsidRPr="005071A1">
              <w:t>6</w:t>
            </w:r>
          </w:p>
        </w:tc>
        <w:tc>
          <w:tcPr>
            <w:tcW w:w="1418" w:type="dxa"/>
          </w:tcPr>
          <w:p w14:paraId="566C343A" w14:textId="77777777" w:rsidR="00B33542" w:rsidRPr="005071A1" w:rsidRDefault="00B33542" w:rsidP="009B7AF5">
            <w:pPr>
              <w:pStyle w:val="ENoteTableText"/>
            </w:pPr>
            <w:r w:rsidRPr="005071A1">
              <w:t>12</w:t>
            </w:r>
          </w:p>
        </w:tc>
      </w:tr>
      <w:tr w:rsidR="00B33542" w:rsidRPr="005071A1" w14:paraId="3135551A" w14:textId="77777777" w:rsidTr="00DA469E">
        <w:tblPrEx>
          <w:tblCellMar>
            <w:left w:w="0" w:type="dxa"/>
            <w:right w:w="0" w:type="dxa"/>
          </w:tblCellMar>
        </w:tblPrEx>
        <w:tc>
          <w:tcPr>
            <w:tcW w:w="1276" w:type="dxa"/>
          </w:tcPr>
          <w:p w14:paraId="30E2AF45" w14:textId="77777777" w:rsidR="00B33542" w:rsidRPr="005071A1" w:rsidRDefault="00B33542" w:rsidP="009B7AF5">
            <w:pPr>
              <w:pStyle w:val="ENoteTableText"/>
            </w:pPr>
            <w:r w:rsidRPr="005071A1">
              <w:t>7</w:t>
            </w:r>
          </w:p>
        </w:tc>
        <w:tc>
          <w:tcPr>
            <w:tcW w:w="1418" w:type="dxa"/>
          </w:tcPr>
          <w:p w14:paraId="036ABF30" w14:textId="77777777" w:rsidR="00B33542" w:rsidRPr="005071A1" w:rsidRDefault="00B33542" w:rsidP="009B7AF5">
            <w:pPr>
              <w:pStyle w:val="ENoteTableText"/>
            </w:pPr>
            <w:r w:rsidRPr="005071A1">
              <w:t>13</w:t>
            </w:r>
          </w:p>
        </w:tc>
      </w:tr>
      <w:tr w:rsidR="00B33542" w:rsidRPr="005071A1" w14:paraId="6EBB96DB" w14:textId="77777777" w:rsidTr="00DA469E">
        <w:tblPrEx>
          <w:tblCellMar>
            <w:left w:w="0" w:type="dxa"/>
            <w:right w:w="0" w:type="dxa"/>
          </w:tblCellMar>
        </w:tblPrEx>
        <w:tc>
          <w:tcPr>
            <w:tcW w:w="1276" w:type="dxa"/>
          </w:tcPr>
          <w:p w14:paraId="660E96EB" w14:textId="77777777" w:rsidR="00B33542" w:rsidRPr="005071A1" w:rsidRDefault="00B33542" w:rsidP="009B7AF5">
            <w:pPr>
              <w:pStyle w:val="ENoteTableText"/>
            </w:pPr>
            <w:r w:rsidRPr="005071A1">
              <w:t>8</w:t>
            </w:r>
          </w:p>
        </w:tc>
        <w:tc>
          <w:tcPr>
            <w:tcW w:w="1418" w:type="dxa"/>
          </w:tcPr>
          <w:p w14:paraId="58C0925B" w14:textId="77777777" w:rsidR="00B33542" w:rsidRPr="005071A1" w:rsidRDefault="00B33542" w:rsidP="009B7AF5">
            <w:pPr>
              <w:pStyle w:val="ENoteTableText"/>
            </w:pPr>
            <w:r w:rsidRPr="005071A1">
              <w:t>14</w:t>
            </w:r>
          </w:p>
        </w:tc>
      </w:tr>
      <w:tr w:rsidR="00B33542" w:rsidRPr="005071A1" w14:paraId="374E2927" w14:textId="77777777" w:rsidTr="00DA469E">
        <w:tblPrEx>
          <w:tblCellMar>
            <w:left w:w="0" w:type="dxa"/>
            <w:right w:w="0" w:type="dxa"/>
          </w:tblCellMar>
        </w:tblPrEx>
        <w:tc>
          <w:tcPr>
            <w:tcW w:w="1276" w:type="dxa"/>
          </w:tcPr>
          <w:p w14:paraId="2D973BAE" w14:textId="77777777" w:rsidR="00B33542" w:rsidRPr="005071A1" w:rsidRDefault="00B33542" w:rsidP="009B7AF5">
            <w:pPr>
              <w:pStyle w:val="ENoteTableText"/>
            </w:pPr>
            <w:r w:rsidRPr="005071A1">
              <w:t>9</w:t>
            </w:r>
          </w:p>
        </w:tc>
        <w:tc>
          <w:tcPr>
            <w:tcW w:w="1418" w:type="dxa"/>
          </w:tcPr>
          <w:p w14:paraId="1DD96040" w14:textId="77777777" w:rsidR="00B33542" w:rsidRPr="005071A1" w:rsidRDefault="00B33542" w:rsidP="009B7AF5">
            <w:pPr>
              <w:pStyle w:val="ENoteTableText"/>
            </w:pPr>
            <w:r w:rsidRPr="005071A1">
              <w:t>15</w:t>
            </w:r>
          </w:p>
        </w:tc>
      </w:tr>
      <w:tr w:rsidR="00B33542" w:rsidRPr="005071A1" w14:paraId="2620CCFA" w14:textId="77777777" w:rsidTr="00DA469E">
        <w:tblPrEx>
          <w:tblCellMar>
            <w:left w:w="0" w:type="dxa"/>
            <w:right w:w="0" w:type="dxa"/>
          </w:tblCellMar>
        </w:tblPrEx>
        <w:tc>
          <w:tcPr>
            <w:tcW w:w="1276" w:type="dxa"/>
          </w:tcPr>
          <w:p w14:paraId="4C8D95F5" w14:textId="77777777" w:rsidR="00B33542" w:rsidRPr="005071A1" w:rsidRDefault="00B33542" w:rsidP="009B7AF5">
            <w:pPr>
              <w:pStyle w:val="ENoteTableText"/>
            </w:pPr>
            <w:r w:rsidRPr="005071A1">
              <w:t>10</w:t>
            </w:r>
          </w:p>
        </w:tc>
        <w:tc>
          <w:tcPr>
            <w:tcW w:w="1418" w:type="dxa"/>
          </w:tcPr>
          <w:p w14:paraId="6EBEBB35" w14:textId="77777777" w:rsidR="00B33542" w:rsidRPr="005071A1" w:rsidRDefault="00B33542" w:rsidP="009B7AF5">
            <w:pPr>
              <w:pStyle w:val="ENoteTableText"/>
            </w:pPr>
            <w:r w:rsidRPr="005071A1">
              <w:t>16</w:t>
            </w:r>
          </w:p>
        </w:tc>
      </w:tr>
      <w:tr w:rsidR="00B33542" w:rsidRPr="005071A1" w14:paraId="5560FB0E" w14:textId="77777777" w:rsidTr="00DA469E">
        <w:tblPrEx>
          <w:tblCellMar>
            <w:left w:w="0" w:type="dxa"/>
            <w:right w:w="0" w:type="dxa"/>
          </w:tblCellMar>
        </w:tblPrEx>
        <w:tc>
          <w:tcPr>
            <w:tcW w:w="1276" w:type="dxa"/>
          </w:tcPr>
          <w:p w14:paraId="53645BE0" w14:textId="77777777" w:rsidR="00B33542" w:rsidRPr="005071A1" w:rsidRDefault="00B33542" w:rsidP="009B7AF5">
            <w:pPr>
              <w:pStyle w:val="ENoteTableText"/>
            </w:pPr>
            <w:r w:rsidRPr="005071A1">
              <w:t>11</w:t>
            </w:r>
          </w:p>
        </w:tc>
        <w:tc>
          <w:tcPr>
            <w:tcW w:w="1418" w:type="dxa"/>
          </w:tcPr>
          <w:p w14:paraId="4C257E09" w14:textId="77777777" w:rsidR="00B33542" w:rsidRPr="005071A1" w:rsidRDefault="00B33542" w:rsidP="009B7AF5">
            <w:pPr>
              <w:pStyle w:val="ENoteTableText"/>
            </w:pPr>
            <w:r w:rsidRPr="005071A1">
              <w:t>17</w:t>
            </w:r>
          </w:p>
        </w:tc>
      </w:tr>
      <w:tr w:rsidR="00B33542" w:rsidRPr="005071A1" w14:paraId="3B841E6B" w14:textId="77777777" w:rsidTr="00DA469E">
        <w:tblPrEx>
          <w:tblCellMar>
            <w:left w:w="0" w:type="dxa"/>
            <w:right w:w="0" w:type="dxa"/>
          </w:tblCellMar>
        </w:tblPrEx>
        <w:tc>
          <w:tcPr>
            <w:tcW w:w="1276" w:type="dxa"/>
          </w:tcPr>
          <w:p w14:paraId="048C357C" w14:textId="77777777" w:rsidR="00B33542" w:rsidRPr="005071A1" w:rsidRDefault="00B33542" w:rsidP="009B7AF5">
            <w:pPr>
              <w:pStyle w:val="ENoteTableText"/>
            </w:pPr>
            <w:r w:rsidRPr="005071A1">
              <w:t>11A</w:t>
            </w:r>
          </w:p>
        </w:tc>
        <w:tc>
          <w:tcPr>
            <w:tcW w:w="1418" w:type="dxa"/>
          </w:tcPr>
          <w:p w14:paraId="11EC9105" w14:textId="77777777" w:rsidR="00B33542" w:rsidRPr="005071A1" w:rsidRDefault="00B33542" w:rsidP="009B7AF5">
            <w:pPr>
              <w:pStyle w:val="ENoteTableText"/>
            </w:pPr>
            <w:r w:rsidRPr="005071A1">
              <w:t>18</w:t>
            </w:r>
          </w:p>
        </w:tc>
      </w:tr>
      <w:tr w:rsidR="00B33542" w:rsidRPr="005071A1" w14:paraId="0859A000" w14:textId="77777777" w:rsidTr="00DA469E">
        <w:tblPrEx>
          <w:tblCellMar>
            <w:left w:w="0" w:type="dxa"/>
            <w:right w:w="0" w:type="dxa"/>
          </w:tblCellMar>
        </w:tblPrEx>
        <w:tc>
          <w:tcPr>
            <w:tcW w:w="1276" w:type="dxa"/>
          </w:tcPr>
          <w:p w14:paraId="568FD226" w14:textId="77777777" w:rsidR="00B33542" w:rsidRPr="005071A1" w:rsidRDefault="00B33542" w:rsidP="009B7AF5">
            <w:pPr>
              <w:pStyle w:val="ENoteTableText"/>
            </w:pPr>
            <w:r w:rsidRPr="005071A1">
              <w:t>12</w:t>
            </w:r>
          </w:p>
        </w:tc>
        <w:tc>
          <w:tcPr>
            <w:tcW w:w="1418" w:type="dxa"/>
          </w:tcPr>
          <w:p w14:paraId="667DEF7E" w14:textId="77777777" w:rsidR="00B33542" w:rsidRPr="005071A1" w:rsidRDefault="00B33542" w:rsidP="009B7AF5">
            <w:pPr>
              <w:pStyle w:val="ENoteTableText"/>
            </w:pPr>
            <w:r w:rsidRPr="005071A1">
              <w:t>19</w:t>
            </w:r>
          </w:p>
        </w:tc>
      </w:tr>
      <w:tr w:rsidR="00B33542" w:rsidRPr="005071A1" w14:paraId="5BE75BC8" w14:textId="77777777" w:rsidTr="00DA469E">
        <w:tblPrEx>
          <w:tblCellMar>
            <w:left w:w="0" w:type="dxa"/>
            <w:right w:w="0" w:type="dxa"/>
          </w:tblCellMar>
        </w:tblPrEx>
        <w:tc>
          <w:tcPr>
            <w:tcW w:w="1276" w:type="dxa"/>
          </w:tcPr>
          <w:p w14:paraId="715BD0B3" w14:textId="77777777" w:rsidR="00B33542" w:rsidRPr="005071A1" w:rsidRDefault="00B33542" w:rsidP="009B7AF5">
            <w:pPr>
              <w:pStyle w:val="ENoteTableText"/>
            </w:pPr>
            <w:r w:rsidRPr="005071A1">
              <w:t>13</w:t>
            </w:r>
          </w:p>
        </w:tc>
        <w:tc>
          <w:tcPr>
            <w:tcW w:w="1418" w:type="dxa"/>
          </w:tcPr>
          <w:p w14:paraId="6A6265C6" w14:textId="77777777" w:rsidR="00B33542" w:rsidRPr="005071A1" w:rsidRDefault="00B33542" w:rsidP="009B7AF5">
            <w:pPr>
              <w:pStyle w:val="ENoteTableText"/>
            </w:pPr>
            <w:r w:rsidRPr="005071A1">
              <w:t>20</w:t>
            </w:r>
          </w:p>
        </w:tc>
      </w:tr>
      <w:tr w:rsidR="00B33542" w:rsidRPr="005071A1" w14:paraId="021CF99E" w14:textId="77777777" w:rsidTr="00DA469E">
        <w:tblPrEx>
          <w:tblCellMar>
            <w:left w:w="0" w:type="dxa"/>
            <w:right w:w="0" w:type="dxa"/>
          </w:tblCellMar>
        </w:tblPrEx>
        <w:tc>
          <w:tcPr>
            <w:tcW w:w="1276" w:type="dxa"/>
          </w:tcPr>
          <w:p w14:paraId="55B8F55A" w14:textId="77777777" w:rsidR="00B33542" w:rsidRPr="005071A1" w:rsidRDefault="00B33542" w:rsidP="009B7AF5">
            <w:pPr>
              <w:pStyle w:val="ENoteTableText"/>
            </w:pPr>
            <w:r w:rsidRPr="005071A1">
              <w:t>14</w:t>
            </w:r>
          </w:p>
        </w:tc>
        <w:tc>
          <w:tcPr>
            <w:tcW w:w="1418" w:type="dxa"/>
          </w:tcPr>
          <w:p w14:paraId="33A9548A" w14:textId="77777777" w:rsidR="00B33542" w:rsidRPr="005071A1" w:rsidRDefault="00B33542" w:rsidP="009B7AF5">
            <w:pPr>
              <w:pStyle w:val="ENoteTableText"/>
            </w:pPr>
            <w:r w:rsidRPr="005071A1">
              <w:t>21</w:t>
            </w:r>
          </w:p>
        </w:tc>
      </w:tr>
      <w:tr w:rsidR="00B33542" w:rsidRPr="005071A1" w14:paraId="744B54C9" w14:textId="77777777" w:rsidTr="00DA469E">
        <w:tblPrEx>
          <w:tblCellMar>
            <w:left w:w="0" w:type="dxa"/>
            <w:right w:w="0" w:type="dxa"/>
          </w:tblCellMar>
        </w:tblPrEx>
        <w:tc>
          <w:tcPr>
            <w:tcW w:w="1276" w:type="dxa"/>
          </w:tcPr>
          <w:p w14:paraId="2CA0E0D1" w14:textId="77777777" w:rsidR="00B33542" w:rsidRPr="005071A1" w:rsidRDefault="00B33542" w:rsidP="009B7AF5">
            <w:pPr>
              <w:pStyle w:val="ENoteTableText"/>
            </w:pPr>
            <w:r w:rsidRPr="005071A1">
              <w:t>15</w:t>
            </w:r>
          </w:p>
        </w:tc>
        <w:tc>
          <w:tcPr>
            <w:tcW w:w="1418" w:type="dxa"/>
          </w:tcPr>
          <w:p w14:paraId="32DD712B" w14:textId="77777777" w:rsidR="00B33542" w:rsidRPr="005071A1" w:rsidRDefault="00B33542" w:rsidP="009B7AF5">
            <w:pPr>
              <w:pStyle w:val="ENoteTableText"/>
            </w:pPr>
            <w:r w:rsidRPr="005071A1">
              <w:t>22</w:t>
            </w:r>
          </w:p>
        </w:tc>
      </w:tr>
      <w:tr w:rsidR="00B33542" w:rsidRPr="005071A1" w14:paraId="486BABD7" w14:textId="77777777" w:rsidTr="00DA469E">
        <w:tblPrEx>
          <w:tblCellMar>
            <w:left w:w="0" w:type="dxa"/>
            <w:right w:w="0" w:type="dxa"/>
          </w:tblCellMar>
        </w:tblPrEx>
        <w:tc>
          <w:tcPr>
            <w:tcW w:w="1276" w:type="dxa"/>
          </w:tcPr>
          <w:p w14:paraId="09009EE1" w14:textId="77777777" w:rsidR="00B33542" w:rsidRPr="005071A1" w:rsidRDefault="00B33542" w:rsidP="009B7AF5">
            <w:pPr>
              <w:pStyle w:val="ENoteTableText"/>
            </w:pPr>
            <w:r w:rsidRPr="005071A1">
              <w:t>16</w:t>
            </w:r>
          </w:p>
        </w:tc>
        <w:tc>
          <w:tcPr>
            <w:tcW w:w="1418" w:type="dxa"/>
          </w:tcPr>
          <w:p w14:paraId="77DBDAF4" w14:textId="77777777" w:rsidR="00B33542" w:rsidRPr="005071A1" w:rsidRDefault="00B33542" w:rsidP="009B7AF5">
            <w:pPr>
              <w:pStyle w:val="ENoteTableText"/>
            </w:pPr>
            <w:r w:rsidRPr="005071A1">
              <w:t>23</w:t>
            </w:r>
          </w:p>
        </w:tc>
      </w:tr>
      <w:tr w:rsidR="00B33542" w:rsidRPr="005071A1" w14:paraId="34049B92" w14:textId="77777777" w:rsidTr="00DA469E">
        <w:tblPrEx>
          <w:tblCellMar>
            <w:left w:w="0" w:type="dxa"/>
            <w:right w:w="0" w:type="dxa"/>
          </w:tblCellMar>
        </w:tblPrEx>
        <w:tc>
          <w:tcPr>
            <w:tcW w:w="1276" w:type="dxa"/>
          </w:tcPr>
          <w:p w14:paraId="65AC31D7" w14:textId="77777777" w:rsidR="00B33542" w:rsidRPr="005071A1" w:rsidRDefault="00B33542" w:rsidP="009B7AF5">
            <w:pPr>
              <w:pStyle w:val="ENoteTableText"/>
            </w:pPr>
            <w:r w:rsidRPr="005071A1">
              <w:t>16A</w:t>
            </w:r>
          </w:p>
        </w:tc>
        <w:tc>
          <w:tcPr>
            <w:tcW w:w="1418" w:type="dxa"/>
          </w:tcPr>
          <w:p w14:paraId="1A010409" w14:textId="77777777" w:rsidR="00B33542" w:rsidRPr="005071A1" w:rsidRDefault="00B33542" w:rsidP="009B7AF5">
            <w:pPr>
              <w:pStyle w:val="ENoteTableText"/>
            </w:pPr>
            <w:r w:rsidRPr="005071A1">
              <w:t>24</w:t>
            </w:r>
          </w:p>
        </w:tc>
      </w:tr>
      <w:tr w:rsidR="00B33542" w:rsidRPr="005071A1" w14:paraId="0CFE1FED" w14:textId="77777777" w:rsidTr="00DA469E">
        <w:tblPrEx>
          <w:tblCellMar>
            <w:left w:w="0" w:type="dxa"/>
            <w:right w:w="0" w:type="dxa"/>
          </w:tblCellMar>
        </w:tblPrEx>
        <w:tc>
          <w:tcPr>
            <w:tcW w:w="1276" w:type="dxa"/>
          </w:tcPr>
          <w:p w14:paraId="2FD102C3" w14:textId="77777777" w:rsidR="00B33542" w:rsidRPr="005071A1" w:rsidRDefault="00B33542" w:rsidP="009B7AF5">
            <w:pPr>
              <w:pStyle w:val="ENoteTableText"/>
            </w:pPr>
            <w:r w:rsidRPr="005071A1">
              <w:t>16B</w:t>
            </w:r>
          </w:p>
        </w:tc>
        <w:tc>
          <w:tcPr>
            <w:tcW w:w="1418" w:type="dxa"/>
          </w:tcPr>
          <w:p w14:paraId="0063BAB3" w14:textId="77777777" w:rsidR="00B33542" w:rsidRPr="005071A1" w:rsidRDefault="00B33542" w:rsidP="009B7AF5">
            <w:pPr>
              <w:pStyle w:val="ENoteTableText"/>
            </w:pPr>
            <w:r w:rsidRPr="005071A1">
              <w:t>25</w:t>
            </w:r>
          </w:p>
        </w:tc>
      </w:tr>
      <w:tr w:rsidR="00B33542" w:rsidRPr="005071A1" w14:paraId="21460D62" w14:textId="77777777" w:rsidTr="00DA469E">
        <w:tblPrEx>
          <w:tblCellMar>
            <w:left w:w="0" w:type="dxa"/>
            <w:right w:w="0" w:type="dxa"/>
          </w:tblCellMar>
        </w:tblPrEx>
        <w:tc>
          <w:tcPr>
            <w:tcW w:w="1276" w:type="dxa"/>
          </w:tcPr>
          <w:p w14:paraId="0C1B71BD" w14:textId="77777777" w:rsidR="00B33542" w:rsidRPr="005071A1" w:rsidRDefault="004510F0" w:rsidP="009B7AF5">
            <w:pPr>
              <w:pStyle w:val="ENoteTableText"/>
            </w:pPr>
            <w:r>
              <w:t>Division 3</w:t>
            </w:r>
            <w:r w:rsidR="00B33542" w:rsidRPr="005071A1">
              <w:t>AA</w:t>
            </w:r>
          </w:p>
        </w:tc>
        <w:tc>
          <w:tcPr>
            <w:tcW w:w="1418" w:type="dxa"/>
          </w:tcPr>
          <w:p w14:paraId="13E708B7" w14:textId="77777777" w:rsidR="00B33542" w:rsidRPr="005071A1" w:rsidRDefault="00B33542" w:rsidP="009B7AF5">
            <w:pPr>
              <w:pStyle w:val="ENoteTableText"/>
            </w:pPr>
            <w:r w:rsidRPr="005071A1">
              <w:t>Division</w:t>
            </w:r>
            <w:r w:rsidR="008B2950" w:rsidRPr="005071A1">
              <w:t> </w:t>
            </w:r>
            <w:r w:rsidRPr="005071A1">
              <w:t>4</w:t>
            </w:r>
          </w:p>
        </w:tc>
      </w:tr>
      <w:tr w:rsidR="00B33542" w:rsidRPr="005071A1" w14:paraId="2A2DC54C" w14:textId="77777777" w:rsidTr="00DA469E">
        <w:tblPrEx>
          <w:tblCellMar>
            <w:left w:w="0" w:type="dxa"/>
            <w:right w:w="0" w:type="dxa"/>
          </w:tblCellMar>
        </w:tblPrEx>
        <w:tc>
          <w:tcPr>
            <w:tcW w:w="1276" w:type="dxa"/>
          </w:tcPr>
          <w:p w14:paraId="177C1E54" w14:textId="77777777" w:rsidR="00B33542" w:rsidRPr="005071A1" w:rsidRDefault="00B33542" w:rsidP="009B7AF5">
            <w:pPr>
              <w:pStyle w:val="ENoteTableText"/>
            </w:pPr>
            <w:r w:rsidRPr="005071A1">
              <w:t>Section</w:t>
            </w:r>
          </w:p>
        </w:tc>
        <w:tc>
          <w:tcPr>
            <w:tcW w:w="1418" w:type="dxa"/>
          </w:tcPr>
          <w:p w14:paraId="0FA43910" w14:textId="77777777" w:rsidR="00B33542" w:rsidRPr="005071A1" w:rsidRDefault="00B33542" w:rsidP="009B7AF5">
            <w:pPr>
              <w:pStyle w:val="ENoteTableText"/>
            </w:pPr>
            <w:r w:rsidRPr="005071A1">
              <w:t>Section</w:t>
            </w:r>
          </w:p>
        </w:tc>
      </w:tr>
      <w:tr w:rsidR="00B33542" w:rsidRPr="005071A1" w14:paraId="65747AB6" w14:textId="77777777" w:rsidTr="00DA469E">
        <w:tblPrEx>
          <w:tblCellMar>
            <w:left w:w="0" w:type="dxa"/>
            <w:right w:w="0" w:type="dxa"/>
          </w:tblCellMar>
        </w:tblPrEx>
        <w:tc>
          <w:tcPr>
            <w:tcW w:w="1276" w:type="dxa"/>
          </w:tcPr>
          <w:p w14:paraId="38F6CE13" w14:textId="77777777" w:rsidR="00B33542" w:rsidRPr="005071A1" w:rsidRDefault="00B33542" w:rsidP="009B7AF5">
            <w:pPr>
              <w:pStyle w:val="ENoteTableText"/>
            </w:pPr>
            <w:r w:rsidRPr="005071A1">
              <w:t>17AA</w:t>
            </w:r>
          </w:p>
        </w:tc>
        <w:tc>
          <w:tcPr>
            <w:tcW w:w="1418" w:type="dxa"/>
          </w:tcPr>
          <w:p w14:paraId="6F4C8418" w14:textId="77777777" w:rsidR="00B33542" w:rsidRPr="005071A1" w:rsidRDefault="00B33542" w:rsidP="009B7AF5">
            <w:pPr>
              <w:pStyle w:val="ENoteTableText"/>
            </w:pPr>
            <w:r w:rsidRPr="005071A1">
              <w:t>26</w:t>
            </w:r>
          </w:p>
        </w:tc>
      </w:tr>
      <w:tr w:rsidR="00B33542" w:rsidRPr="005071A1" w14:paraId="74A03AEF" w14:textId="77777777" w:rsidTr="00DA469E">
        <w:tblPrEx>
          <w:tblCellMar>
            <w:left w:w="0" w:type="dxa"/>
            <w:right w:w="0" w:type="dxa"/>
          </w:tblCellMar>
        </w:tblPrEx>
        <w:tc>
          <w:tcPr>
            <w:tcW w:w="1276" w:type="dxa"/>
          </w:tcPr>
          <w:p w14:paraId="40948AD5" w14:textId="77777777" w:rsidR="00B33542" w:rsidRPr="005071A1" w:rsidRDefault="00B33542" w:rsidP="009B7AF5">
            <w:pPr>
              <w:pStyle w:val="ENoteTableText"/>
            </w:pPr>
            <w:r w:rsidRPr="005071A1">
              <w:t>17AB</w:t>
            </w:r>
          </w:p>
        </w:tc>
        <w:tc>
          <w:tcPr>
            <w:tcW w:w="1418" w:type="dxa"/>
          </w:tcPr>
          <w:p w14:paraId="1D9EEABE" w14:textId="77777777" w:rsidR="00B33542" w:rsidRPr="005071A1" w:rsidRDefault="00B33542" w:rsidP="009B7AF5">
            <w:pPr>
              <w:pStyle w:val="ENoteTableText"/>
            </w:pPr>
            <w:r w:rsidRPr="005071A1">
              <w:t>27</w:t>
            </w:r>
          </w:p>
        </w:tc>
      </w:tr>
      <w:tr w:rsidR="00B33542" w:rsidRPr="005071A1" w14:paraId="389E25C3" w14:textId="77777777" w:rsidTr="00DA469E">
        <w:tblPrEx>
          <w:tblCellMar>
            <w:left w:w="0" w:type="dxa"/>
            <w:right w:w="0" w:type="dxa"/>
          </w:tblCellMar>
        </w:tblPrEx>
        <w:tc>
          <w:tcPr>
            <w:tcW w:w="1276" w:type="dxa"/>
          </w:tcPr>
          <w:p w14:paraId="4201E0B4" w14:textId="77777777" w:rsidR="00B33542" w:rsidRPr="005071A1" w:rsidRDefault="00B33542" w:rsidP="009B7AF5">
            <w:pPr>
              <w:pStyle w:val="ENoteTableText"/>
            </w:pPr>
            <w:r w:rsidRPr="005071A1">
              <w:t>17AC</w:t>
            </w:r>
          </w:p>
        </w:tc>
        <w:tc>
          <w:tcPr>
            <w:tcW w:w="1418" w:type="dxa"/>
          </w:tcPr>
          <w:p w14:paraId="5D163939" w14:textId="77777777" w:rsidR="00B33542" w:rsidRPr="005071A1" w:rsidRDefault="00B33542" w:rsidP="009B7AF5">
            <w:pPr>
              <w:pStyle w:val="ENoteTableText"/>
            </w:pPr>
            <w:r w:rsidRPr="005071A1">
              <w:t>28</w:t>
            </w:r>
          </w:p>
        </w:tc>
      </w:tr>
      <w:tr w:rsidR="00B33542" w:rsidRPr="005071A1" w14:paraId="2D342C63" w14:textId="77777777" w:rsidTr="00DA469E">
        <w:tblPrEx>
          <w:tblCellMar>
            <w:left w:w="0" w:type="dxa"/>
            <w:right w:w="0" w:type="dxa"/>
          </w:tblCellMar>
        </w:tblPrEx>
        <w:tc>
          <w:tcPr>
            <w:tcW w:w="1276" w:type="dxa"/>
          </w:tcPr>
          <w:p w14:paraId="261B6C74" w14:textId="77777777" w:rsidR="00B33542" w:rsidRPr="005071A1" w:rsidRDefault="004510F0" w:rsidP="009B7AF5">
            <w:pPr>
              <w:pStyle w:val="ENoteTableText"/>
            </w:pPr>
            <w:r>
              <w:t>Division 3</w:t>
            </w:r>
            <w:r w:rsidR="00B33542" w:rsidRPr="005071A1">
              <w:t>A</w:t>
            </w:r>
          </w:p>
        </w:tc>
        <w:tc>
          <w:tcPr>
            <w:tcW w:w="1418" w:type="dxa"/>
          </w:tcPr>
          <w:p w14:paraId="051C63FA" w14:textId="77777777" w:rsidR="00B33542" w:rsidRPr="005071A1" w:rsidRDefault="00B33542" w:rsidP="009B7AF5">
            <w:pPr>
              <w:pStyle w:val="ENoteTableText"/>
            </w:pPr>
            <w:r w:rsidRPr="005071A1">
              <w:t>Division</w:t>
            </w:r>
            <w:r w:rsidR="008B2950" w:rsidRPr="005071A1">
              <w:t> </w:t>
            </w:r>
            <w:r w:rsidRPr="005071A1">
              <w:t>5</w:t>
            </w:r>
          </w:p>
        </w:tc>
      </w:tr>
      <w:tr w:rsidR="00B33542" w:rsidRPr="005071A1" w14:paraId="5BF7A018" w14:textId="77777777" w:rsidTr="00DA469E">
        <w:tblPrEx>
          <w:tblCellMar>
            <w:left w:w="0" w:type="dxa"/>
            <w:right w:w="0" w:type="dxa"/>
          </w:tblCellMar>
        </w:tblPrEx>
        <w:tc>
          <w:tcPr>
            <w:tcW w:w="1276" w:type="dxa"/>
          </w:tcPr>
          <w:p w14:paraId="45979F24" w14:textId="77777777" w:rsidR="00B33542" w:rsidRPr="005071A1" w:rsidRDefault="00B33542" w:rsidP="009B7AF5">
            <w:pPr>
              <w:pStyle w:val="ENoteTableText"/>
            </w:pPr>
            <w:r w:rsidRPr="005071A1">
              <w:t>Section</w:t>
            </w:r>
          </w:p>
        </w:tc>
        <w:tc>
          <w:tcPr>
            <w:tcW w:w="1418" w:type="dxa"/>
          </w:tcPr>
          <w:p w14:paraId="64C1055D" w14:textId="77777777" w:rsidR="00B33542" w:rsidRPr="005071A1" w:rsidRDefault="00B33542" w:rsidP="009B7AF5">
            <w:pPr>
              <w:pStyle w:val="ENoteTableText"/>
            </w:pPr>
            <w:r w:rsidRPr="005071A1">
              <w:t>Section</w:t>
            </w:r>
          </w:p>
        </w:tc>
      </w:tr>
      <w:tr w:rsidR="00B33542" w:rsidRPr="005071A1" w14:paraId="75731F86" w14:textId="77777777" w:rsidTr="00DA469E">
        <w:tblPrEx>
          <w:tblCellMar>
            <w:left w:w="0" w:type="dxa"/>
            <w:right w:w="0" w:type="dxa"/>
          </w:tblCellMar>
        </w:tblPrEx>
        <w:tc>
          <w:tcPr>
            <w:tcW w:w="1276" w:type="dxa"/>
          </w:tcPr>
          <w:p w14:paraId="45C5945B" w14:textId="77777777" w:rsidR="00B33542" w:rsidRPr="005071A1" w:rsidRDefault="00B33542" w:rsidP="009B7AF5">
            <w:pPr>
              <w:pStyle w:val="ENoteTableText"/>
            </w:pPr>
            <w:r w:rsidRPr="005071A1">
              <w:t>17A</w:t>
            </w:r>
          </w:p>
        </w:tc>
        <w:tc>
          <w:tcPr>
            <w:tcW w:w="1418" w:type="dxa"/>
          </w:tcPr>
          <w:p w14:paraId="47D94684" w14:textId="77777777" w:rsidR="00B33542" w:rsidRPr="005071A1" w:rsidRDefault="00B33542" w:rsidP="009B7AF5">
            <w:pPr>
              <w:pStyle w:val="ENoteTableText"/>
            </w:pPr>
            <w:r w:rsidRPr="005071A1">
              <w:t>29</w:t>
            </w:r>
          </w:p>
        </w:tc>
      </w:tr>
      <w:tr w:rsidR="00B33542" w:rsidRPr="005071A1" w14:paraId="42ADED25" w14:textId="77777777" w:rsidTr="00DA469E">
        <w:tblPrEx>
          <w:tblCellMar>
            <w:left w:w="0" w:type="dxa"/>
            <w:right w:w="0" w:type="dxa"/>
          </w:tblCellMar>
        </w:tblPrEx>
        <w:tc>
          <w:tcPr>
            <w:tcW w:w="1276" w:type="dxa"/>
          </w:tcPr>
          <w:p w14:paraId="5C8D5542" w14:textId="77777777" w:rsidR="00B33542" w:rsidRPr="005071A1" w:rsidRDefault="00B33542" w:rsidP="009B7AF5">
            <w:pPr>
              <w:pStyle w:val="ENoteTableText"/>
            </w:pPr>
            <w:r w:rsidRPr="005071A1">
              <w:t>17B</w:t>
            </w:r>
          </w:p>
        </w:tc>
        <w:tc>
          <w:tcPr>
            <w:tcW w:w="1418" w:type="dxa"/>
          </w:tcPr>
          <w:p w14:paraId="350CAF4D" w14:textId="77777777" w:rsidR="00B33542" w:rsidRPr="005071A1" w:rsidRDefault="00B33542" w:rsidP="009B7AF5">
            <w:pPr>
              <w:pStyle w:val="ENoteTableText"/>
            </w:pPr>
            <w:r w:rsidRPr="005071A1">
              <w:t>30</w:t>
            </w:r>
          </w:p>
        </w:tc>
      </w:tr>
      <w:tr w:rsidR="00B33542" w:rsidRPr="005071A1" w14:paraId="10612382" w14:textId="77777777" w:rsidTr="00DA469E">
        <w:tblPrEx>
          <w:tblCellMar>
            <w:left w:w="0" w:type="dxa"/>
            <w:right w:w="0" w:type="dxa"/>
          </w:tblCellMar>
        </w:tblPrEx>
        <w:tc>
          <w:tcPr>
            <w:tcW w:w="1276" w:type="dxa"/>
          </w:tcPr>
          <w:p w14:paraId="256F8BEB" w14:textId="77777777" w:rsidR="00B33542" w:rsidRPr="005071A1" w:rsidRDefault="00B33542" w:rsidP="009B7AF5">
            <w:pPr>
              <w:pStyle w:val="ENoteTableText"/>
            </w:pPr>
            <w:r w:rsidRPr="005071A1">
              <w:t>17C</w:t>
            </w:r>
          </w:p>
        </w:tc>
        <w:tc>
          <w:tcPr>
            <w:tcW w:w="1418" w:type="dxa"/>
          </w:tcPr>
          <w:p w14:paraId="43578A4A" w14:textId="77777777" w:rsidR="00B33542" w:rsidRPr="005071A1" w:rsidRDefault="00B33542" w:rsidP="009B7AF5">
            <w:pPr>
              <w:pStyle w:val="ENoteTableText"/>
            </w:pPr>
            <w:r w:rsidRPr="005071A1">
              <w:t>31</w:t>
            </w:r>
          </w:p>
        </w:tc>
      </w:tr>
      <w:tr w:rsidR="00B33542" w:rsidRPr="005071A1" w14:paraId="7BF44EB4" w14:textId="77777777" w:rsidTr="00DA469E">
        <w:tblPrEx>
          <w:tblCellMar>
            <w:left w:w="0" w:type="dxa"/>
            <w:right w:w="0" w:type="dxa"/>
          </w:tblCellMar>
        </w:tblPrEx>
        <w:tc>
          <w:tcPr>
            <w:tcW w:w="1276" w:type="dxa"/>
          </w:tcPr>
          <w:p w14:paraId="799BF7E8" w14:textId="77777777" w:rsidR="00B33542" w:rsidRPr="005071A1" w:rsidRDefault="00B33542" w:rsidP="009B7AF5">
            <w:pPr>
              <w:pStyle w:val="ENoteTableText"/>
            </w:pPr>
            <w:r w:rsidRPr="005071A1">
              <w:t>17D</w:t>
            </w:r>
          </w:p>
        </w:tc>
        <w:tc>
          <w:tcPr>
            <w:tcW w:w="1418" w:type="dxa"/>
          </w:tcPr>
          <w:p w14:paraId="6F827CA2" w14:textId="77777777" w:rsidR="00B33542" w:rsidRPr="005071A1" w:rsidRDefault="00B33542" w:rsidP="009B7AF5">
            <w:pPr>
              <w:pStyle w:val="ENoteTableText"/>
            </w:pPr>
            <w:r w:rsidRPr="005071A1">
              <w:t>32</w:t>
            </w:r>
          </w:p>
        </w:tc>
      </w:tr>
      <w:tr w:rsidR="00B33542" w:rsidRPr="005071A1" w14:paraId="6E5EE8DF" w14:textId="77777777" w:rsidTr="00DA469E">
        <w:tblPrEx>
          <w:tblCellMar>
            <w:left w:w="0" w:type="dxa"/>
            <w:right w:w="0" w:type="dxa"/>
          </w:tblCellMar>
        </w:tblPrEx>
        <w:tc>
          <w:tcPr>
            <w:tcW w:w="1276" w:type="dxa"/>
          </w:tcPr>
          <w:p w14:paraId="667C5955" w14:textId="77777777" w:rsidR="00B33542" w:rsidRPr="005071A1" w:rsidRDefault="00B33542" w:rsidP="009B7AF5">
            <w:pPr>
              <w:pStyle w:val="ENoteTableText"/>
            </w:pPr>
            <w:r w:rsidRPr="005071A1">
              <w:t>Division</w:t>
            </w:r>
            <w:r w:rsidR="008B2950" w:rsidRPr="005071A1">
              <w:t> </w:t>
            </w:r>
            <w:r w:rsidRPr="005071A1">
              <w:t>4</w:t>
            </w:r>
          </w:p>
        </w:tc>
        <w:tc>
          <w:tcPr>
            <w:tcW w:w="1418" w:type="dxa"/>
          </w:tcPr>
          <w:p w14:paraId="4B7BFB27" w14:textId="77777777" w:rsidR="00B33542" w:rsidRPr="005071A1" w:rsidRDefault="00B33542" w:rsidP="009B7AF5">
            <w:pPr>
              <w:pStyle w:val="ENoteTableText"/>
            </w:pPr>
            <w:r w:rsidRPr="005071A1">
              <w:t>Division</w:t>
            </w:r>
            <w:r w:rsidR="008B2950" w:rsidRPr="005071A1">
              <w:t> </w:t>
            </w:r>
            <w:r w:rsidRPr="005071A1">
              <w:t>6</w:t>
            </w:r>
          </w:p>
        </w:tc>
      </w:tr>
      <w:tr w:rsidR="00B33542" w:rsidRPr="005071A1" w14:paraId="04C6F5CE" w14:textId="77777777" w:rsidTr="00DA469E">
        <w:tblPrEx>
          <w:tblCellMar>
            <w:left w:w="0" w:type="dxa"/>
            <w:right w:w="0" w:type="dxa"/>
          </w:tblCellMar>
        </w:tblPrEx>
        <w:tc>
          <w:tcPr>
            <w:tcW w:w="1276" w:type="dxa"/>
          </w:tcPr>
          <w:p w14:paraId="4A18ADD2" w14:textId="77777777" w:rsidR="00B33542" w:rsidRPr="005071A1" w:rsidRDefault="00B33542" w:rsidP="009B7AF5">
            <w:pPr>
              <w:pStyle w:val="ENoteTableText"/>
            </w:pPr>
            <w:r w:rsidRPr="005071A1">
              <w:t>Section</w:t>
            </w:r>
          </w:p>
        </w:tc>
        <w:tc>
          <w:tcPr>
            <w:tcW w:w="1418" w:type="dxa"/>
          </w:tcPr>
          <w:p w14:paraId="2FD1200A" w14:textId="77777777" w:rsidR="00B33542" w:rsidRPr="005071A1" w:rsidRDefault="00B33542" w:rsidP="009B7AF5">
            <w:pPr>
              <w:pStyle w:val="ENoteTableText"/>
            </w:pPr>
            <w:r w:rsidRPr="005071A1">
              <w:t>Section</w:t>
            </w:r>
          </w:p>
        </w:tc>
      </w:tr>
      <w:tr w:rsidR="00B33542" w:rsidRPr="005071A1" w14:paraId="0A164908" w14:textId="77777777" w:rsidTr="00DA469E">
        <w:tblPrEx>
          <w:tblCellMar>
            <w:left w:w="0" w:type="dxa"/>
            <w:right w:w="0" w:type="dxa"/>
          </w:tblCellMar>
        </w:tblPrEx>
        <w:tc>
          <w:tcPr>
            <w:tcW w:w="1276" w:type="dxa"/>
          </w:tcPr>
          <w:p w14:paraId="5FD08EF7" w14:textId="77777777" w:rsidR="00B33542" w:rsidRPr="005071A1" w:rsidRDefault="00B33542" w:rsidP="009B7AF5">
            <w:pPr>
              <w:pStyle w:val="ENoteTableText"/>
            </w:pPr>
            <w:r w:rsidRPr="005071A1">
              <w:t>18</w:t>
            </w:r>
          </w:p>
        </w:tc>
        <w:tc>
          <w:tcPr>
            <w:tcW w:w="1418" w:type="dxa"/>
          </w:tcPr>
          <w:p w14:paraId="5F097D3C" w14:textId="77777777" w:rsidR="00B33542" w:rsidRPr="005071A1" w:rsidRDefault="00B33542" w:rsidP="009B7AF5">
            <w:pPr>
              <w:pStyle w:val="ENoteTableText"/>
            </w:pPr>
            <w:r w:rsidRPr="005071A1">
              <w:t>33</w:t>
            </w:r>
          </w:p>
        </w:tc>
      </w:tr>
      <w:tr w:rsidR="00B33542" w:rsidRPr="005071A1" w14:paraId="46D7ED7E" w14:textId="77777777" w:rsidTr="00DA469E">
        <w:tblPrEx>
          <w:tblCellMar>
            <w:left w:w="0" w:type="dxa"/>
            <w:right w:w="0" w:type="dxa"/>
          </w:tblCellMar>
        </w:tblPrEx>
        <w:tc>
          <w:tcPr>
            <w:tcW w:w="1276" w:type="dxa"/>
          </w:tcPr>
          <w:p w14:paraId="13FC7068" w14:textId="77777777" w:rsidR="00B33542" w:rsidRPr="005071A1" w:rsidRDefault="00B33542" w:rsidP="009B7AF5">
            <w:pPr>
              <w:pStyle w:val="ENoteTableText"/>
            </w:pPr>
            <w:r w:rsidRPr="005071A1">
              <w:t>Division</w:t>
            </w:r>
            <w:r w:rsidR="008B2950" w:rsidRPr="005071A1">
              <w:t> </w:t>
            </w:r>
            <w:r w:rsidRPr="005071A1">
              <w:t>5</w:t>
            </w:r>
          </w:p>
        </w:tc>
        <w:tc>
          <w:tcPr>
            <w:tcW w:w="1418" w:type="dxa"/>
          </w:tcPr>
          <w:p w14:paraId="5670F79C" w14:textId="77777777" w:rsidR="00B33542" w:rsidRPr="005071A1" w:rsidRDefault="00B33542" w:rsidP="009B7AF5">
            <w:pPr>
              <w:pStyle w:val="ENoteTableText"/>
            </w:pPr>
            <w:r w:rsidRPr="005071A1">
              <w:t>Division</w:t>
            </w:r>
            <w:r w:rsidR="008B2950" w:rsidRPr="005071A1">
              <w:t> </w:t>
            </w:r>
            <w:r w:rsidRPr="005071A1">
              <w:t>7</w:t>
            </w:r>
          </w:p>
        </w:tc>
      </w:tr>
      <w:tr w:rsidR="00B33542" w:rsidRPr="005071A1" w14:paraId="0E46D977" w14:textId="77777777" w:rsidTr="00DA469E">
        <w:tblPrEx>
          <w:tblCellMar>
            <w:left w:w="0" w:type="dxa"/>
            <w:right w:w="0" w:type="dxa"/>
          </w:tblCellMar>
        </w:tblPrEx>
        <w:tc>
          <w:tcPr>
            <w:tcW w:w="1276" w:type="dxa"/>
          </w:tcPr>
          <w:p w14:paraId="64BEE219" w14:textId="77777777" w:rsidR="00B33542" w:rsidRPr="005071A1" w:rsidRDefault="00B33542" w:rsidP="009B7AF5">
            <w:pPr>
              <w:pStyle w:val="ENoteTableText"/>
            </w:pPr>
            <w:r w:rsidRPr="005071A1">
              <w:t>Section</w:t>
            </w:r>
          </w:p>
        </w:tc>
        <w:tc>
          <w:tcPr>
            <w:tcW w:w="1418" w:type="dxa"/>
          </w:tcPr>
          <w:p w14:paraId="09F4C56F" w14:textId="77777777" w:rsidR="00B33542" w:rsidRPr="005071A1" w:rsidRDefault="00B33542" w:rsidP="009B7AF5">
            <w:pPr>
              <w:pStyle w:val="ENoteTableText"/>
            </w:pPr>
            <w:r w:rsidRPr="005071A1">
              <w:t>Section</w:t>
            </w:r>
          </w:p>
        </w:tc>
      </w:tr>
      <w:tr w:rsidR="00B33542" w:rsidRPr="005071A1" w14:paraId="0DC72184" w14:textId="77777777" w:rsidTr="00DA469E">
        <w:tblPrEx>
          <w:tblCellMar>
            <w:left w:w="0" w:type="dxa"/>
            <w:right w:w="0" w:type="dxa"/>
          </w:tblCellMar>
        </w:tblPrEx>
        <w:tc>
          <w:tcPr>
            <w:tcW w:w="1276" w:type="dxa"/>
          </w:tcPr>
          <w:p w14:paraId="4F116F2A" w14:textId="77777777" w:rsidR="00B33542" w:rsidRPr="005071A1" w:rsidRDefault="00B33542" w:rsidP="009B7AF5">
            <w:pPr>
              <w:pStyle w:val="ENoteTableText"/>
            </w:pPr>
            <w:r w:rsidRPr="005071A1">
              <w:t>21</w:t>
            </w:r>
          </w:p>
        </w:tc>
        <w:tc>
          <w:tcPr>
            <w:tcW w:w="1418" w:type="dxa"/>
          </w:tcPr>
          <w:p w14:paraId="6AE27C4A" w14:textId="77777777" w:rsidR="00B33542" w:rsidRPr="005071A1" w:rsidRDefault="00B33542" w:rsidP="009B7AF5">
            <w:pPr>
              <w:pStyle w:val="ENoteTableText"/>
            </w:pPr>
            <w:r w:rsidRPr="005071A1">
              <w:t>34</w:t>
            </w:r>
          </w:p>
        </w:tc>
      </w:tr>
      <w:tr w:rsidR="00B33542" w:rsidRPr="005071A1" w14:paraId="38E65A8E" w14:textId="77777777" w:rsidTr="00DA469E">
        <w:tblPrEx>
          <w:tblCellMar>
            <w:left w:w="0" w:type="dxa"/>
            <w:right w:w="0" w:type="dxa"/>
          </w:tblCellMar>
        </w:tblPrEx>
        <w:tc>
          <w:tcPr>
            <w:tcW w:w="1276" w:type="dxa"/>
          </w:tcPr>
          <w:p w14:paraId="2B5D7788" w14:textId="77777777" w:rsidR="00B33542" w:rsidRPr="005071A1" w:rsidRDefault="00B33542" w:rsidP="009B7AF5">
            <w:pPr>
              <w:pStyle w:val="ENoteTableText"/>
            </w:pPr>
            <w:r w:rsidRPr="005071A1">
              <w:t>22</w:t>
            </w:r>
          </w:p>
        </w:tc>
        <w:tc>
          <w:tcPr>
            <w:tcW w:w="1418" w:type="dxa"/>
          </w:tcPr>
          <w:p w14:paraId="3BBF672F" w14:textId="77777777" w:rsidR="00B33542" w:rsidRPr="005071A1" w:rsidRDefault="00B33542" w:rsidP="009B7AF5">
            <w:pPr>
              <w:pStyle w:val="ENoteTableText"/>
            </w:pPr>
            <w:r w:rsidRPr="005071A1">
              <w:t>35</w:t>
            </w:r>
          </w:p>
        </w:tc>
      </w:tr>
      <w:tr w:rsidR="00B33542" w:rsidRPr="005071A1" w14:paraId="0B4E180B" w14:textId="77777777" w:rsidTr="00DA469E">
        <w:tblPrEx>
          <w:tblCellMar>
            <w:left w:w="0" w:type="dxa"/>
            <w:right w:w="0" w:type="dxa"/>
          </w:tblCellMar>
        </w:tblPrEx>
        <w:tc>
          <w:tcPr>
            <w:tcW w:w="1276" w:type="dxa"/>
          </w:tcPr>
          <w:p w14:paraId="782CC350" w14:textId="77777777" w:rsidR="00B33542" w:rsidRPr="005071A1" w:rsidRDefault="00B33542" w:rsidP="009B7AF5">
            <w:pPr>
              <w:pStyle w:val="ENoteTableText"/>
            </w:pPr>
            <w:r w:rsidRPr="005071A1">
              <w:t>22A</w:t>
            </w:r>
          </w:p>
        </w:tc>
        <w:tc>
          <w:tcPr>
            <w:tcW w:w="1418" w:type="dxa"/>
          </w:tcPr>
          <w:p w14:paraId="684DCA13" w14:textId="77777777" w:rsidR="00B33542" w:rsidRPr="005071A1" w:rsidRDefault="00B33542" w:rsidP="009B7AF5">
            <w:pPr>
              <w:pStyle w:val="ENoteTableText"/>
            </w:pPr>
            <w:r w:rsidRPr="005071A1">
              <w:t>36</w:t>
            </w:r>
          </w:p>
        </w:tc>
      </w:tr>
      <w:tr w:rsidR="00B33542" w:rsidRPr="005071A1" w14:paraId="209FDC3C" w14:textId="77777777" w:rsidTr="00DA469E">
        <w:tblPrEx>
          <w:tblCellMar>
            <w:left w:w="0" w:type="dxa"/>
            <w:right w:w="0" w:type="dxa"/>
          </w:tblCellMar>
        </w:tblPrEx>
        <w:tc>
          <w:tcPr>
            <w:tcW w:w="1276" w:type="dxa"/>
          </w:tcPr>
          <w:p w14:paraId="4DFD0901" w14:textId="77777777" w:rsidR="00B33542" w:rsidRPr="005071A1" w:rsidRDefault="00B33542" w:rsidP="009B7AF5">
            <w:pPr>
              <w:pStyle w:val="ENoteTableText"/>
            </w:pPr>
            <w:r w:rsidRPr="005071A1">
              <w:t>23</w:t>
            </w:r>
          </w:p>
        </w:tc>
        <w:tc>
          <w:tcPr>
            <w:tcW w:w="1418" w:type="dxa"/>
          </w:tcPr>
          <w:p w14:paraId="7F4F4F3D" w14:textId="77777777" w:rsidR="00B33542" w:rsidRPr="005071A1" w:rsidRDefault="00B33542" w:rsidP="009B7AF5">
            <w:pPr>
              <w:pStyle w:val="ENoteTableText"/>
            </w:pPr>
            <w:r w:rsidRPr="005071A1">
              <w:t>37</w:t>
            </w:r>
          </w:p>
        </w:tc>
      </w:tr>
      <w:tr w:rsidR="00B33542" w:rsidRPr="005071A1" w14:paraId="0D94759A" w14:textId="77777777" w:rsidTr="00DA469E">
        <w:tblPrEx>
          <w:tblCellMar>
            <w:left w:w="0" w:type="dxa"/>
            <w:right w:w="0" w:type="dxa"/>
          </w:tblCellMar>
        </w:tblPrEx>
        <w:tc>
          <w:tcPr>
            <w:tcW w:w="1276" w:type="dxa"/>
          </w:tcPr>
          <w:p w14:paraId="2FD0B40D" w14:textId="77777777" w:rsidR="00B33542" w:rsidRPr="005071A1" w:rsidRDefault="00B33542" w:rsidP="009B7AF5">
            <w:pPr>
              <w:pStyle w:val="ENoteTableText"/>
            </w:pPr>
            <w:r w:rsidRPr="005071A1">
              <w:t>24</w:t>
            </w:r>
          </w:p>
        </w:tc>
        <w:tc>
          <w:tcPr>
            <w:tcW w:w="1418" w:type="dxa"/>
          </w:tcPr>
          <w:p w14:paraId="749830C9" w14:textId="77777777" w:rsidR="00B33542" w:rsidRPr="005071A1" w:rsidRDefault="00B33542" w:rsidP="009B7AF5">
            <w:pPr>
              <w:pStyle w:val="ENoteTableText"/>
            </w:pPr>
            <w:r w:rsidRPr="005071A1">
              <w:t>38</w:t>
            </w:r>
          </w:p>
        </w:tc>
      </w:tr>
      <w:tr w:rsidR="00B33542" w:rsidRPr="005071A1" w14:paraId="6846D441" w14:textId="77777777" w:rsidTr="00DA469E">
        <w:tblPrEx>
          <w:tblCellMar>
            <w:left w:w="0" w:type="dxa"/>
            <w:right w:w="0" w:type="dxa"/>
          </w:tblCellMar>
        </w:tblPrEx>
        <w:tc>
          <w:tcPr>
            <w:tcW w:w="1276" w:type="dxa"/>
          </w:tcPr>
          <w:p w14:paraId="13703BB0" w14:textId="77777777" w:rsidR="00B33542" w:rsidRPr="005071A1" w:rsidRDefault="00B33542" w:rsidP="009B7AF5">
            <w:pPr>
              <w:pStyle w:val="ENoteTableText"/>
            </w:pPr>
            <w:r w:rsidRPr="005071A1">
              <w:t>25</w:t>
            </w:r>
          </w:p>
        </w:tc>
        <w:tc>
          <w:tcPr>
            <w:tcW w:w="1418" w:type="dxa"/>
          </w:tcPr>
          <w:p w14:paraId="53AE7EE4" w14:textId="77777777" w:rsidR="00B33542" w:rsidRPr="005071A1" w:rsidRDefault="00B33542" w:rsidP="009B7AF5">
            <w:pPr>
              <w:pStyle w:val="ENoteTableText"/>
            </w:pPr>
            <w:r w:rsidRPr="005071A1">
              <w:t>39</w:t>
            </w:r>
          </w:p>
        </w:tc>
      </w:tr>
      <w:tr w:rsidR="00B33542" w:rsidRPr="005071A1" w14:paraId="62FDE2E5" w14:textId="77777777" w:rsidTr="00DA469E">
        <w:tblPrEx>
          <w:tblCellMar>
            <w:left w:w="0" w:type="dxa"/>
            <w:right w:w="0" w:type="dxa"/>
          </w:tblCellMar>
        </w:tblPrEx>
        <w:tc>
          <w:tcPr>
            <w:tcW w:w="1276" w:type="dxa"/>
          </w:tcPr>
          <w:p w14:paraId="0049C33E" w14:textId="77777777" w:rsidR="00B33542" w:rsidRPr="005071A1" w:rsidRDefault="00B33542" w:rsidP="009B7AF5">
            <w:pPr>
              <w:pStyle w:val="ENoteTableText"/>
            </w:pPr>
            <w:r w:rsidRPr="005071A1">
              <w:t>26</w:t>
            </w:r>
          </w:p>
        </w:tc>
        <w:tc>
          <w:tcPr>
            <w:tcW w:w="1418" w:type="dxa"/>
          </w:tcPr>
          <w:p w14:paraId="28D3DE24" w14:textId="77777777" w:rsidR="00B33542" w:rsidRPr="005071A1" w:rsidRDefault="00B33542" w:rsidP="009B7AF5">
            <w:pPr>
              <w:pStyle w:val="ENoteTableText"/>
            </w:pPr>
            <w:r w:rsidRPr="005071A1">
              <w:t>40</w:t>
            </w:r>
          </w:p>
        </w:tc>
      </w:tr>
      <w:tr w:rsidR="00B33542" w:rsidRPr="005071A1" w14:paraId="2D6E41B9" w14:textId="77777777" w:rsidTr="00DA469E">
        <w:tblPrEx>
          <w:tblCellMar>
            <w:left w:w="0" w:type="dxa"/>
            <w:right w:w="0" w:type="dxa"/>
          </w:tblCellMar>
        </w:tblPrEx>
        <w:tc>
          <w:tcPr>
            <w:tcW w:w="1276" w:type="dxa"/>
          </w:tcPr>
          <w:p w14:paraId="40F64EEC" w14:textId="77777777" w:rsidR="00B33542" w:rsidRPr="005071A1" w:rsidRDefault="00B33542" w:rsidP="009B7AF5">
            <w:pPr>
              <w:pStyle w:val="ENoteTableText"/>
            </w:pPr>
            <w:r w:rsidRPr="005071A1">
              <w:t>27</w:t>
            </w:r>
          </w:p>
        </w:tc>
        <w:tc>
          <w:tcPr>
            <w:tcW w:w="1418" w:type="dxa"/>
          </w:tcPr>
          <w:p w14:paraId="443E8482" w14:textId="77777777" w:rsidR="00B33542" w:rsidRPr="005071A1" w:rsidRDefault="00B33542" w:rsidP="009B7AF5">
            <w:pPr>
              <w:pStyle w:val="ENoteTableText"/>
            </w:pPr>
            <w:r w:rsidRPr="005071A1">
              <w:t>41</w:t>
            </w:r>
          </w:p>
        </w:tc>
      </w:tr>
      <w:tr w:rsidR="00B33542" w:rsidRPr="005071A1" w14:paraId="24363D23" w14:textId="77777777" w:rsidTr="00DA469E">
        <w:tblPrEx>
          <w:tblCellMar>
            <w:left w:w="0" w:type="dxa"/>
            <w:right w:w="0" w:type="dxa"/>
          </w:tblCellMar>
        </w:tblPrEx>
        <w:tc>
          <w:tcPr>
            <w:tcW w:w="1276" w:type="dxa"/>
          </w:tcPr>
          <w:p w14:paraId="79DC2F85" w14:textId="77777777" w:rsidR="00B33542" w:rsidRPr="005071A1" w:rsidRDefault="00B33542" w:rsidP="009B7AF5">
            <w:pPr>
              <w:pStyle w:val="ENoteTableText"/>
            </w:pPr>
            <w:r w:rsidRPr="005071A1">
              <w:t>28</w:t>
            </w:r>
          </w:p>
        </w:tc>
        <w:tc>
          <w:tcPr>
            <w:tcW w:w="1418" w:type="dxa"/>
          </w:tcPr>
          <w:p w14:paraId="0F17EEF1" w14:textId="77777777" w:rsidR="00B33542" w:rsidRPr="005071A1" w:rsidRDefault="00B33542" w:rsidP="009B7AF5">
            <w:pPr>
              <w:pStyle w:val="ENoteTableText"/>
            </w:pPr>
            <w:r w:rsidRPr="005071A1">
              <w:t>42</w:t>
            </w:r>
          </w:p>
        </w:tc>
      </w:tr>
      <w:tr w:rsidR="00B33542" w:rsidRPr="005071A1" w14:paraId="1E25BBF9" w14:textId="77777777" w:rsidTr="00DA469E">
        <w:tblPrEx>
          <w:tblCellMar>
            <w:left w:w="0" w:type="dxa"/>
            <w:right w:w="0" w:type="dxa"/>
          </w:tblCellMar>
        </w:tblPrEx>
        <w:tc>
          <w:tcPr>
            <w:tcW w:w="1276" w:type="dxa"/>
          </w:tcPr>
          <w:p w14:paraId="4FD43A49" w14:textId="77777777" w:rsidR="00B33542" w:rsidRPr="005071A1" w:rsidRDefault="00B33542" w:rsidP="009B7AF5">
            <w:pPr>
              <w:pStyle w:val="ENoteTableText"/>
            </w:pPr>
            <w:r w:rsidRPr="005071A1">
              <w:t>29</w:t>
            </w:r>
          </w:p>
        </w:tc>
        <w:tc>
          <w:tcPr>
            <w:tcW w:w="1418" w:type="dxa"/>
          </w:tcPr>
          <w:p w14:paraId="1BCCE2CE" w14:textId="77777777" w:rsidR="00B33542" w:rsidRPr="005071A1" w:rsidRDefault="00B33542" w:rsidP="009B7AF5">
            <w:pPr>
              <w:pStyle w:val="ENoteTableText"/>
            </w:pPr>
            <w:r w:rsidRPr="005071A1">
              <w:t>43</w:t>
            </w:r>
          </w:p>
        </w:tc>
      </w:tr>
      <w:tr w:rsidR="00B33542" w:rsidRPr="005071A1" w14:paraId="52C5938A" w14:textId="77777777" w:rsidTr="00DA469E">
        <w:tblPrEx>
          <w:tblCellMar>
            <w:left w:w="0" w:type="dxa"/>
            <w:right w:w="0" w:type="dxa"/>
          </w:tblCellMar>
        </w:tblPrEx>
        <w:tc>
          <w:tcPr>
            <w:tcW w:w="1276" w:type="dxa"/>
          </w:tcPr>
          <w:p w14:paraId="28A90FB5" w14:textId="77777777" w:rsidR="00B33542" w:rsidRPr="005071A1" w:rsidRDefault="00B33542" w:rsidP="009B7AF5">
            <w:pPr>
              <w:pStyle w:val="ENoteTableText"/>
            </w:pPr>
            <w:r w:rsidRPr="005071A1">
              <w:t>29A</w:t>
            </w:r>
          </w:p>
        </w:tc>
        <w:tc>
          <w:tcPr>
            <w:tcW w:w="1418" w:type="dxa"/>
          </w:tcPr>
          <w:p w14:paraId="78CC5AD5" w14:textId="77777777" w:rsidR="00B33542" w:rsidRPr="005071A1" w:rsidRDefault="00B33542" w:rsidP="009B7AF5">
            <w:pPr>
              <w:pStyle w:val="ENoteTableText"/>
            </w:pPr>
            <w:r w:rsidRPr="005071A1">
              <w:t>44</w:t>
            </w:r>
          </w:p>
        </w:tc>
      </w:tr>
      <w:tr w:rsidR="00B33542" w:rsidRPr="005071A1" w14:paraId="6949263B" w14:textId="77777777" w:rsidTr="00DA469E">
        <w:tblPrEx>
          <w:tblCellMar>
            <w:left w:w="0" w:type="dxa"/>
            <w:right w:w="0" w:type="dxa"/>
          </w:tblCellMar>
        </w:tblPrEx>
        <w:tc>
          <w:tcPr>
            <w:tcW w:w="1276" w:type="dxa"/>
          </w:tcPr>
          <w:p w14:paraId="00BA0036" w14:textId="77777777" w:rsidR="00B33542" w:rsidRPr="005071A1" w:rsidRDefault="00B33542" w:rsidP="009B7AF5">
            <w:pPr>
              <w:pStyle w:val="ENoteTableText"/>
            </w:pPr>
            <w:r w:rsidRPr="005071A1">
              <w:t>30</w:t>
            </w:r>
          </w:p>
        </w:tc>
        <w:tc>
          <w:tcPr>
            <w:tcW w:w="1418" w:type="dxa"/>
          </w:tcPr>
          <w:p w14:paraId="7AA6BA61" w14:textId="77777777" w:rsidR="00B33542" w:rsidRPr="005071A1" w:rsidRDefault="00B33542" w:rsidP="009B7AF5">
            <w:pPr>
              <w:pStyle w:val="ENoteTableText"/>
            </w:pPr>
            <w:r w:rsidRPr="005071A1">
              <w:t>45</w:t>
            </w:r>
          </w:p>
        </w:tc>
      </w:tr>
      <w:tr w:rsidR="00B33542" w:rsidRPr="005071A1" w14:paraId="0BBD4710" w14:textId="77777777" w:rsidTr="00DA469E">
        <w:tblPrEx>
          <w:tblCellMar>
            <w:left w:w="0" w:type="dxa"/>
            <w:right w:w="0" w:type="dxa"/>
          </w:tblCellMar>
        </w:tblPrEx>
        <w:tc>
          <w:tcPr>
            <w:tcW w:w="1276" w:type="dxa"/>
          </w:tcPr>
          <w:p w14:paraId="364C88B7" w14:textId="77777777" w:rsidR="00B33542" w:rsidRPr="005071A1" w:rsidRDefault="00B33542" w:rsidP="009B7AF5">
            <w:pPr>
              <w:pStyle w:val="ENoteTableText"/>
            </w:pPr>
            <w:r w:rsidRPr="005071A1">
              <w:t>31</w:t>
            </w:r>
          </w:p>
        </w:tc>
        <w:tc>
          <w:tcPr>
            <w:tcW w:w="1418" w:type="dxa"/>
          </w:tcPr>
          <w:p w14:paraId="3125A1CF" w14:textId="77777777" w:rsidR="00B33542" w:rsidRPr="005071A1" w:rsidRDefault="00B33542" w:rsidP="009B7AF5">
            <w:pPr>
              <w:pStyle w:val="ENoteTableText"/>
            </w:pPr>
            <w:r w:rsidRPr="005071A1">
              <w:t>46</w:t>
            </w:r>
          </w:p>
        </w:tc>
      </w:tr>
      <w:tr w:rsidR="00B33542" w:rsidRPr="005071A1" w14:paraId="398E1F19" w14:textId="77777777" w:rsidTr="00DA469E">
        <w:tblPrEx>
          <w:tblCellMar>
            <w:left w:w="0" w:type="dxa"/>
            <w:right w:w="0" w:type="dxa"/>
          </w:tblCellMar>
        </w:tblPrEx>
        <w:tc>
          <w:tcPr>
            <w:tcW w:w="1276" w:type="dxa"/>
          </w:tcPr>
          <w:p w14:paraId="775BE183" w14:textId="77777777" w:rsidR="00B33542" w:rsidRPr="005071A1" w:rsidRDefault="00B33542" w:rsidP="009B7AF5">
            <w:pPr>
              <w:pStyle w:val="ENoteTableText"/>
            </w:pPr>
            <w:r w:rsidRPr="005071A1">
              <w:t>32</w:t>
            </w:r>
          </w:p>
        </w:tc>
        <w:tc>
          <w:tcPr>
            <w:tcW w:w="1418" w:type="dxa"/>
          </w:tcPr>
          <w:p w14:paraId="1AE76158" w14:textId="77777777" w:rsidR="00B33542" w:rsidRPr="005071A1" w:rsidRDefault="00B33542" w:rsidP="009B7AF5">
            <w:pPr>
              <w:pStyle w:val="ENoteTableText"/>
            </w:pPr>
            <w:r w:rsidRPr="005071A1">
              <w:t>47</w:t>
            </w:r>
          </w:p>
        </w:tc>
      </w:tr>
      <w:tr w:rsidR="00B33542" w:rsidRPr="005071A1" w14:paraId="59E54A2D" w14:textId="77777777" w:rsidTr="00DA469E">
        <w:tblPrEx>
          <w:tblCellMar>
            <w:left w:w="0" w:type="dxa"/>
            <w:right w:w="0" w:type="dxa"/>
          </w:tblCellMar>
        </w:tblPrEx>
        <w:tc>
          <w:tcPr>
            <w:tcW w:w="1276" w:type="dxa"/>
          </w:tcPr>
          <w:p w14:paraId="1C4BC96B" w14:textId="77777777" w:rsidR="00B33542" w:rsidRPr="005071A1" w:rsidRDefault="00B33542" w:rsidP="009B7AF5">
            <w:pPr>
              <w:pStyle w:val="ENoteTableText"/>
            </w:pPr>
            <w:r w:rsidRPr="005071A1">
              <w:t>33</w:t>
            </w:r>
          </w:p>
        </w:tc>
        <w:tc>
          <w:tcPr>
            <w:tcW w:w="1418" w:type="dxa"/>
          </w:tcPr>
          <w:p w14:paraId="227ABE5A" w14:textId="77777777" w:rsidR="00B33542" w:rsidRPr="005071A1" w:rsidRDefault="00B33542" w:rsidP="009B7AF5">
            <w:pPr>
              <w:pStyle w:val="ENoteTableText"/>
            </w:pPr>
            <w:r w:rsidRPr="005071A1">
              <w:t>48</w:t>
            </w:r>
          </w:p>
        </w:tc>
      </w:tr>
      <w:tr w:rsidR="00B33542" w:rsidRPr="005071A1" w14:paraId="50D55099" w14:textId="77777777" w:rsidTr="00DA469E">
        <w:tblPrEx>
          <w:tblCellMar>
            <w:left w:w="0" w:type="dxa"/>
            <w:right w:w="0" w:type="dxa"/>
          </w:tblCellMar>
        </w:tblPrEx>
        <w:tc>
          <w:tcPr>
            <w:tcW w:w="1276" w:type="dxa"/>
          </w:tcPr>
          <w:p w14:paraId="4C5B8520" w14:textId="77777777" w:rsidR="00B33542" w:rsidRPr="005071A1" w:rsidRDefault="00B33542" w:rsidP="009B7AF5">
            <w:pPr>
              <w:pStyle w:val="ENoteTableText"/>
            </w:pPr>
            <w:r w:rsidRPr="005071A1">
              <w:t>34</w:t>
            </w:r>
          </w:p>
        </w:tc>
        <w:tc>
          <w:tcPr>
            <w:tcW w:w="1418" w:type="dxa"/>
          </w:tcPr>
          <w:p w14:paraId="6E0F023A" w14:textId="77777777" w:rsidR="00B33542" w:rsidRPr="005071A1" w:rsidRDefault="00B33542" w:rsidP="009B7AF5">
            <w:pPr>
              <w:pStyle w:val="ENoteTableText"/>
            </w:pPr>
            <w:r w:rsidRPr="005071A1">
              <w:t>49</w:t>
            </w:r>
          </w:p>
        </w:tc>
      </w:tr>
      <w:tr w:rsidR="00B33542" w:rsidRPr="005071A1" w14:paraId="30FFE5AD" w14:textId="77777777" w:rsidTr="00DA469E">
        <w:tblPrEx>
          <w:tblCellMar>
            <w:left w:w="0" w:type="dxa"/>
            <w:right w:w="0" w:type="dxa"/>
          </w:tblCellMar>
        </w:tblPrEx>
        <w:tc>
          <w:tcPr>
            <w:tcW w:w="1276" w:type="dxa"/>
          </w:tcPr>
          <w:p w14:paraId="2281DC38" w14:textId="77777777" w:rsidR="00B33542" w:rsidRPr="005071A1" w:rsidRDefault="00B33542" w:rsidP="009B7AF5">
            <w:pPr>
              <w:pStyle w:val="ENoteTableText"/>
            </w:pPr>
            <w:r w:rsidRPr="005071A1">
              <w:t>39</w:t>
            </w:r>
          </w:p>
        </w:tc>
        <w:tc>
          <w:tcPr>
            <w:tcW w:w="1418" w:type="dxa"/>
          </w:tcPr>
          <w:p w14:paraId="6AEA13A1" w14:textId="77777777" w:rsidR="00B33542" w:rsidRPr="005071A1" w:rsidRDefault="00B33542" w:rsidP="009B7AF5">
            <w:pPr>
              <w:pStyle w:val="ENoteTableText"/>
            </w:pPr>
            <w:r w:rsidRPr="005071A1">
              <w:t>50</w:t>
            </w:r>
          </w:p>
        </w:tc>
      </w:tr>
      <w:tr w:rsidR="00B33542" w:rsidRPr="005071A1" w14:paraId="0902D7E5" w14:textId="77777777" w:rsidTr="00DA469E">
        <w:tblPrEx>
          <w:tblCellMar>
            <w:left w:w="0" w:type="dxa"/>
            <w:right w:w="0" w:type="dxa"/>
          </w:tblCellMar>
        </w:tblPrEx>
        <w:tc>
          <w:tcPr>
            <w:tcW w:w="1276" w:type="dxa"/>
          </w:tcPr>
          <w:p w14:paraId="641ADDC2" w14:textId="77777777" w:rsidR="00B33542" w:rsidRPr="005071A1" w:rsidRDefault="00B33542" w:rsidP="009B7AF5">
            <w:pPr>
              <w:pStyle w:val="ENoteTableText"/>
            </w:pPr>
            <w:r w:rsidRPr="005071A1">
              <w:t>40</w:t>
            </w:r>
          </w:p>
        </w:tc>
        <w:tc>
          <w:tcPr>
            <w:tcW w:w="1418" w:type="dxa"/>
          </w:tcPr>
          <w:p w14:paraId="75BA595A" w14:textId="77777777" w:rsidR="00B33542" w:rsidRPr="005071A1" w:rsidRDefault="00B33542" w:rsidP="009B7AF5">
            <w:pPr>
              <w:pStyle w:val="ENoteTableText"/>
            </w:pPr>
            <w:r w:rsidRPr="005071A1">
              <w:t>51</w:t>
            </w:r>
          </w:p>
        </w:tc>
      </w:tr>
      <w:tr w:rsidR="00B33542" w:rsidRPr="005071A1" w14:paraId="75E87F34" w14:textId="77777777" w:rsidTr="00DA469E">
        <w:tblPrEx>
          <w:tblCellMar>
            <w:left w:w="0" w:type="dxa"/>
            <w:right w:w="0" w:type="dxa"/>
          </w:tblCellMar>
        </w:tblPrEx>
        <w:tc>
          <w:tcPr>
            <w:tcW w:w="1276" w:type="dxa"/>
          </w:tcPr>
          <w:p w14:paraId="4D212BF4" w14:textId="77777777" w:rsidR="00B33542" w:rsidRPr="005071A1" w:rsidRDefault="00B33542" w:rsidP="009B7AF5">
            <w:pPr>
              <w:pStyle w:val="ENoteTableText"/>
            </w:pPr>
            <w:r w:rsidRPr="005071A1">
              <w:t>40A</w:t>
            </w:r>
          </w:p>
        </w:tc>
        <w:tc>
          <w:tcPr>
            <w:tcW w:w="1418" w:type="dxa"/>
          </w:tcPr>
          <w:p w14:paraId="0CA01F96" w14:textId="77777777" w:rsidR="00B33542" w:rsidRPr="005071A1" w:rsidRDefault="00B33542" w:rsidP="009B7AF5">
            <w:pPr>
              <w:pStyle w:val="ENoteTableText"/>
            </w:pPr>
            <w:r w:rsidRPr="005071A1">
              <w:t>52</w:t>
            </w:r>
          </w:p>
        </w:tc>
      </w:tr>
      <w:tr w:rsidR="00B33542" w:rsidRPr="005071A1" w14:paraId="6B04B70B" w14:textId="77777777" w:rsidTr="00DA469E">
        <w:tblPrEx>
          <w:tblCellMar>
            <w:left w:w="0" w:type="dxa"/>
            <w:right w:w="0" w:type="dxa"/>
          </w:tblCellMar>
        </w:tblPrEx>
        <w:tc>
          <w:tcPr>
            <w:tcW w:w="1276" w:type="dxa"/>
          </w:tcPr>
          <w:p w14:paraId="7364D331" w14:textId="77777777" w:rsidR="00B33542" w:rsidRPr="005071A1" w:rsidRDefault="00B33542" w:rsidP="009B7AF5">
            <w:pPr>
              <w:pStyle w:val="ENoteTableText"/>
            </w:pPr>
            <w:r w:rsidRPr="005071A1">
              <w:t>40B</w:t>
            </w:r>
          </w:p>
        </w:tc>
        <w:tc>
          <w:tcPr>
            <w:tcW w:w="1418" w:type="dxa"/>
          </w:tcPr>
          <w:p w14:paraId="7E06EED1" w14:textId="77777777" w:rsidR="00B33542" w:rsidRPr="005071A1" w:rsidRDefault="00B33542" w:rsidP="009B7AF5">
            <w:pPr>
              <w:pStyle w:val="ENoteTableText"/>
            </w:pPr>
            <w:r w:rsidRPr="005071A1">
              <w:t>53</w:t>
            </w:r>
          </w:p>
        </w:tc>
      </w:tr>
      <w:tr w:rsidR="00B33542" w:rsidRPr="005071A1" w14:paraId="2723C7C7" w14:textId="77777777" w:rsidTr="00DA469E">
        <w:tblPrEx>
          <w:tblCellMar>
            <w:left w:w="0" w:type="dxa"/>
            <w:right w:w="0" w:type="dxa"/>
          </w:tblCellMar>
        </w:tblPrEx>
        <w:tc>
          <w:tcPr>
            <w:tcW w:w="1276" w:type="dxa"/>
          </w:tcPr>
          <w:p w14:paraId="2EEF0939" w14:textId="77777777" w:rsidR="00B33542" w:rsidRPr="005071A1" w:rsidRDefault="00B33542" w:rsidP="009B7AF5">
            <w:pPr>
              <w:pStyle w:val="ENoteTableText"/>
            </w:pPr>
            <w:r w:rsidRPr="005071A1">
              <w:t>41</w:t>
            </w:r>
          </w:p>
        </w:tc>
        <w:tc>
          <w:tcPr>
            <w:tcW w:w="1418" w:type="dxa"/>
          </w:tcPr>
          <w:p w14:paraId="23419CA9" w14:textId="77777777" w:rsidR="00B33542" w:rsidRPr="005071A1" w:rsidRDefault="00B33542" w:rsidP="009B7AF5">
            <w:pPr>
              <w:pStyle w:val="ENoteTableText"/>
            </w:pPr>
            <w:r w:rsidRPr="005071A1">
              <w:t>54</w:t>
            </w:r>
          </w:p>
        </w:tc>
      </w:tr>
      <w:tr w:rsidR="00B33542" w:rsidRPr="005071A1" w14:paraId="77965A86" w14:textId="77777777" w:rsidTr="00DA469E">
        <w:tblPrEx>
          <w:tblCellMar>
            <w:left w:w="0" w:type="dxa"/>
            <w:right w:w="0" w:type="dxa"/>
          </w:tblCellMar>
        </w:tblPrEx>
        <w:tc>
          <w:tcPr>
            <w:tcW w:w="1276" w:type="dxa"/>
          </w:tcPr>
          <w:p w14:paraId="22B3E29B" w14:textId="77777777" w:rsidR="00B33542" w:rsidRPr="005071A1" w:rsidRDefault="00B33542" w:rsidP="009B7AF5">
            <w:pPr>
              <w:pStyle w:val="ENoteTableText"/>
            </w:pPr>
            <w:r w:rsidRPr="005071A1">
              <w:t>42</w:t>
            </w:r>
          </w:p>
        </w:tc>
        <w:tc>
          <w:tcPr>
            <w:tcW w:w="1418" w:type="dxa"/>
          </w:tcPr>
          <w:p w14:paraId="6A090875" w14:textId="77777777" w:rsidR="00B33542" w:rsidRPr="005071A1" w:rsidRDefault="00B33542" w:rsidP="009B7AF5">
            <w:pPr>
              <w:pStyle w:val="ENoteTableText"/>
            </w:pPr>
            <w:r w:rsidRPr="005071A1">
              <w:t>55</w:t>
            </w:r>
          </w:p>
        </w:tc>
      </w:tr>
      <w:tr w:rsidR="00B33542" w:rsidRPr="005071A1" w14:paraId="4522DADC" w14:textId="77777777" w:rsidTr="00DA469E">
        <w:tblPrEx>
          <w:tblCellMar>
            <w:left w:w="0" w:type="dxa"/>
            <w:right w:w="0" w:type="dxa"/>
          </w:tblCellMar>
        </w:tblPrEx>
        <w:tc>
          <w:tcPr>
            <w:tcW w:w="1276" w:type="dxa"/>
          </w:tcPr>
          <w:p w14:paraId="5E1BC7B4" w14:textId="77777777" w:rsidR="00B33542" w:rsidRPr="005071A1" w:rsidRDefault="00B33542" w:rsidP="009B7AF5">
            <w:pPr>
              <w:pStyle w:val="ENoteTableText"/>
            </w:pPr>
            <w:r w:rsidRPr="005071A1">
              <w:t>43</w:t>
            </w:r>
          </w:p>
        </w:tc>
        <w:tc>
          <w:tcPr>
            <w:tcW w:w="1418" w:type="dxa"/>
          </w:tcPr>
          <w:p w14:paraId="6AC93C80" w14:textId="77777777" w:rsidR="00B33542" w:rsidRPr="005071A1" w:rsidRDefault="00B33542" w:rsidP="009B7AF5">
            <w:pPr>
              <w:pStyle w:val="ENoteTableText"/>
            </w:pPr>
            <w:r w:rsidRPr="005071A1">
              <w:t>56</w:t>
            </w:r>
          </w:p>
        </w:tc>
      </w:tr>
      <w:tr w:rsidR="00B33542" w:rsidRPr="005071A1" w14:paraId="78F06EB8" w14:textId="77777777" w:rsidTr="00DA469E">
        <w:tblPrEx>
          <w:tblCellMar>
            <w:left w:w="0" w:type="dxa"/>
            <w:right w:w="0" w:type="dxa"/>
          </w:tblCellMar>
        </w:tblPrEx>
        <w:tc>
          <w:tcPr>
            <w:tcW w:w="1276" w:type="dxa"/>
          </w:tcPr>
          <w:p w14:paraId="6532F42D" w14:textId="77777777" w:rsidR="00B33542" w:rsidRPr="005071A1" w:rsidRDefault="00B33542" w:rsidP="009B7AF5">
            <w:pPr>
              <w:pStyle w:val="ENoteTableText"/>
            </w:pPr>
            <w:r w:rsidRPr="005071A1">
              <w:t>44</w:t>
            </w:r>
          </w:p>
        </w:tc>
        <w:tc>
          <w:tcPr>
            <w:tcW w:w="1418" w:type="dxa"/>
          </w:tcPr>
          <w:p w14:paraId="6ECE3C69" w14:textId="77777777" w:rsidR="00B33542" w:rsidRPr="005071A1" w:rsidRDefault="00B33542" w:rsidP="009B7AF5">
            <w:pPr>
              <w:pStyle w:val="ENoteTableText"/>
            </w:pPr>
            <w:r w:rsidRPr="005071A1">
              <w:t>57</w:t>
            </w:r>
          </w:p>
        </w:tc>
      </w:tr>
      <w:tr w:rsidR="00B33542" w:rsidRPr="005071A1" w14:paraId="311691C1" w14:textId="77777777" w:rsidTr="00DA469E">
        <w:tblPrEx>
          <w:tblCellMar>
            <w:left w:w="0" w:type="dxa"/>
            <w:right w:w="0" w:type="dxa"/>
          </w:tblCellMar>
        </w:tblPrEx>
        <w:tc>
          <w:tcPr>
            <w:tcW w:w="1276" w:type="dxa"/>
          </w:tcPr>
          <w:p w14:paraId="3AD47C4F" w14:textId="77777777" w:rsidR="00B33542" w:rsidRPr="005071A1" w:rsidRDefault="00B33542" w:rsidP="009B7AF5">
            <w:pPr>
              <w:pStyle w:val="ENoteTableText"/>
            </w:pPr>
            <w:r w:rsidRPr="005071A1">
              <w:t>45</w:t>
            </w:r>
          </w:p>
        </w:tc>
        <w:tc>
          <w:tcPr>
            <w:tcW w:w="1418" w:type="dxa"/>
          </w:tcPr>
          <w:p w14:paraId="04B1B918" w14:textId="77777777" w:rsidR="00B33542" w:rsidRPr="005071A1" w:rsidRDefault="00B33542" w:rsidP="009B7AF5">
            <w:pPr>
              <w:pStyle w:val="ENoteTableText"/>
            </w:pPr>
            <w:r w:rsidRPr="005071A1">
              <w:t>58</w:t>
            </w:r>
          </w:p>
        </w:tc>
      </w:tr>
      <w:tr w:rsidR="00B33542" w:rsidRPr="005071A1" w14:paraId="0DA40E64" w14:textId="77777777" w:rsidTr="00DA469E">
        <w:tblPrEx>
          <w:tblCellMar>
            <w:left w:w="0" w:type="dxa"/>
            <w:right w:w="0" w:type="dxa"/>
          </w:tblCellMar>
        </w:tblPrEx>
        <w:tc>
          <w:tcPr>
            <w:tcW w:w="1276" w:type="dxa"/>
          </w:tcPr>
          <w:p w14:paraId="49E27041" w14:textId="77777777" w:rsidR="00B33542" w:rsidRPr="005071A1" w:rsidRDefault="00B33542" w:rsidP="009B7AF5">
            <w:pPr>
              <w:pStyle w:val="ENoteTableText"/>
            </w:pPr>
            <w:r w:rsidRPr="005071A1">
              <w:t>46</w:t>
            </w:r>
          </w:p>
        </w:tc>
        <w:tc>
          <w:tcPr>
            <w:tcW w:w="1418" w:type="dxa"/>
          </w:tcPr>
          <w:p w14:paraId="0EF950F9" w14:textId="77777777" w:rsidR="00B33542" w:rsidRPr="005071A1" w:rsidRDefault="00B33542" w:rsidP="009B7AF5">
            <w:pPr>
              <w:pStyle w:val="ENoteTableText"/>
            </w:pPr>
            <w:r w:rsidRPr="005071A1">
              <w:t>59</w:t>
            </w:r>
          </w:p>
        </w:tc>
      </w:tr>
      <w:tr w:rsidR="00B33542" w:rsidRPr="005071A1" w14:paraId="77E22843" w14:textId="77777777" w:rsidTr="00DA469E">
        <w:tblPrEx>
          <w:tblCellMar>
            <w:left w:w="0" w:type="dxa"/>
            <w:right w:w="0" w:type="dxa"/>
          </w:tblCellMar>
        </w:tblPrEx>
        <w:tc>
          <w:tcPr>
            <w:tcW w:w="1276" w:type="dxa"/>
          </w:tcPr>
          <w:p w14:paraId="69C8D310" w14:textId="77777777" w:rsidR="00B33542" w:rsidRPr="005071A1" w:rsidRDefault="00B33542" w:rsidP="009B7AF5">
            <w:pPr>
              <w:pStyle w:val="ENoteTableText"/>
            </w:pPr>
            <w:r w:rsidRPr="005071A1">
              <w:t>47</w:t>
            </w:r>
          </w:p>
        </w:tc>
        <w:tc>
          <w:tcPr>
            <w:tcW w:w="1418" w:type="dxa"/>
          </w:tcPr>
          <w:p w14:paraId="58560A9E" w14:textId="77777777" w:rsidR="00B33542" w:rsidRPr="005071A1" w:rsidRDefault="00B33542" w:rsidP="009B7AF5">
            <w:pPr>
              <w:pStyle w:val="ENoteTableText"/>
            </w:pPr>
            <w:r w:rsidRPr="005071A1">
              <w:t>60</w:t>
            </w:r>
          </w:p>
        </w:tc>
      </w:tr>
      <w:tr w:rsidR="00B33542" w:rsidRPr="005071A1" w14:paraId="0C397F08" w14:textId="77777777" w:rsidTr="00DA469E">
        <w:tblPrEx>
          <w:tblCellMar>
            <w:left w:w="0" w:type="dxa"/>
            <w:right w:w="0" w:type="dxa"/>
          </w:tblCellMar>
        </w:tblPrEx>
        <w:tc>
          <w:tcPr>
            <w:tcW w:w="1276" w:type="dxa"/>
          </w:tcPr>
          <w:p w14:paraId="3A2F7C84" w14:textId="77777777" w:rsidR="00B33542" w:rsidRPr="005071A1" w:rsidRDefault="00B33542" w:rsidP="009B7AF5">
            <w:pPr>
              <w:pStyle w:val="ENoteTableText"/>
            </w:pPr>
            <w:r w:rsidRPr="005071A1">
              <w:t>48</w:t>
            </w:r>
          </w:p>
        </w:tc>
        <w:tc>
          <w:tcPr>
            <w:tcW w:w="1418" w:type="dxa"/>
          </w:tcPr>
          <w:p w14:paraId="4AC89644" w14:textId="77777777" w:rsidR="00B33542" w:rsidRPr="005071A1" w:rsidRDefault="00B33542" w:rsidP="009B7AF5">
            <w:pPr>
              <w:pStyle w:val="ENoteTableText"/>
            </w:pPr>
            <w:r w:rsidRPr="005071A1">
              <w:t>61</w:t>
            </w:r>
          </w:p>
        </w:tc>
      </w:tr>
      <w:tr w:rsidR="00B33542" w:rsidRPr="005071A1" w14:paraId="71AEB490" w14:textId="77777777" w:rsidTr="00DA469E">
        <w:tblPrEx>
          <w:tblCellMar>
            <w:left w:w="0" w:type="dxa"/>
            <w:right w:w="0" w:type="dxa"/>
          </w:tblCellMar>
        </w:tblPrEx>
        <w:tc>
          <w:tcPr>
            <w:tcW w:w="1276" w:type="dxa"/>
          </w:tcPr>
          <w:p w14:paraId="14CAFE98" w14:textId="77777777" w:rsidR="00B33542" w:rsidRPr="005071A1" w:rsidRDefault="00B33542" w:rsidP="009B7AF5">
            <w:pPr>
              <w:pStyle w:val="ENoteTableText"/>
            </w:pPr>
            <w:r w:rsidRPr="005071A1">
              <w:t>48A</w:t>
            </w:r>
          </w:p>
        </w:tc>
        <w:tc>
          <w:tcPr>
            <w:tcW w:w="1418" w:type="dxa"/>
          </w:tcPr>
          <w:p w14:paraId="4A95D8E5" w14:textId="77777777" w:rsidR="00B33542" w:rsidRPr="005071A1" w:rsidRDefault="00B33542" w:rsidP="009B7AF5">
            <w:pPr>
              <w:pStyle w:val="ENoteTableText"/>
            </w:pPr>
            <w:r w:rsidRPr="005071A1">
              <w:t>62</w:t>
            </w:r>
          </w:p>
        </w:tc>
      </w:tr>
      <w:tr w:rsidR="00B33542" w:rsidRPr="005071A1" w14:paraId="414DFA34" w14:textId="77777777" w:rsidTr="00DA469E">
        <w:tblPrEx>
          <w:tblCellMar>
            <w:left w:w="0" w:type="dxa"/>
            <w:right w:w="0" w:type="dxa"/>
          </w:tblCellMar>
        </w:tblPrEx>
        <w:tc>
          <w:tcPr>
            <w:tcW w:w="1276" w:type="dxa"/>
          </w:tcPr>
          <w:p w14:paraId="5651DD51" w14:textId="77777777" w:rsidR="00B33542" w:rsidRPr="005071A1" w:rsidRDefault="00B33542" w:rsidP="009B7AF5">
            <w:pPr>
              <w:pStyle w:val="ENoteTableText"/>
            </w:pPr>
            <w:r w:rsidRPr="005071A1">
              <w:t>48B</w:t>
            </w:r>
          </w:p>
        </w:tc>
        <w:tc>
          <w:tcPr>
            <w:tcW w:w="1418" w:type="dxa"/>
          </w:tcPr>
          <w:p w14:paraId="1DA44093" w14:textId="77777777" w:rsidR="00B33542" w:rsidRPr="005071A1" w:rsidRDefault="00B33542" w:rsidP="009B7AF5">
            <w:pPr>
              <w:pStyle w:val="ENoteTableText"/>
            </w:pPr>
            <w:r w:rsidRPr="005071A1">
              <w:t>63</w:t>
            </w:r>
          </w:p>
        </w:tc>
      </w:tr>
      <w:tr w:rsidR="00B33542" w:rsidRPr="005071A1" w14:paraId="3E77182C" w14:textId="77777777" w:rsidTr="00DA469E">
        <w:tblPrEx>
          <w:tblCellMar>
            <w:left w:w="0" w:type="dxa"/>
            <w:right w:w="0" w:type="dxa"/>
          </w:tblCellMar>
        </w:tblPrEx>
        <w:tc>
          <w:tcPr>
            <w:tcW w:w="1276" w:type="dxa"/>
          </w:tcPr>
          <w:p w14:paraId="67847C92" w14:textId="77777777" w:rsidR="00B33542" w:rsidRPr="005071A1" w:rsidRDefault="00B33542" w:rsidP="009B7AF5">
            <w:pPr>
              <w:pStyle w:val="ENoteTableText"/>
            </w:pPr>
            <w:r w:rsidRPr="005071A1">
              <w:t>49</w:t>
            </w:r>
          </w:p>
        </w:tc>
        <w:tc>
          <w:tcPr>
            <w:tcW w:w="1418" w:type="dxa"/>
          </w:tcPr>
          <w:p w14:paraId="60ABEB84" w14:textId="77777777" w:rsidR="00B33542" w:rsidRPr="005071A1" w:rsidRDefault="00B33542" w:rsidP="009B7AF5">
            <w:pPr>
              <w:pStyle w:val="ENoteTableText"/>
            </w:pPr>
            <w:r w:rsidRPr="005071A1">
              <w:t>64</w:t>
            </w:r>
          </w:p>
        </w:tc>
      </w:tr>
      <w:tr w:rsidR="00B33542" w:rsidRPr="005071A1" w14:paraId="377196E7" w14:textId="77777777" w:rsidTr="00DA469E">
        <w:tblPrEx>
          <w:tblCellMar>
            <w:left w:w="0" w:type="dxa"/>
            <w:right w:w="0" w:type="dxa"/>
          </w:tblCellMar>
        </w:tblPrEx>
        <w:tc>
          <w:tcPr>
            <w:tcW w:w="1276" w:type="dxa"/>
          </w:tcPr>
          <w:p w14:paraId="79E71511" w14:textId="77777777" w:rsidR="00B33542" w:rsidRPr="005071A1" w:rsidRDefault="00B33542" w:rsidP="009B7AF5">
            <w:pPr>
              <w:pStyle w:val="ENoteTableText"/>
            </w:pPr>
            <w:r w:rsidRPr="005071A1">
              <w:t>50</w:t>
            </w:r>
          </w:p>
        </w:tc>
        <w:tc>
          <w:tcPr>
            <w:tcW w:w="1418" w:type="dxa"/>
          </w:tcPr>
          <w:p w14:paraId="31201926" w14:textId="77777777" w:rsidR="00B33542" w:rsidRPr="005071A1" w:rsidRDefault="00B33542" w:rsidP="009B7AF5">
            <w:pPr>
              <w:pStyle w:val="ENoteTableText"/>
            </w:pPr>
            <w:r w:rsidRPr="005071A1">
              <w:t>65</w:t>
            </w:r>
          </w:p>
        </w:tc>
      </w:tr>
      <w:tr w:rsidR="00B33542" w:rsidRPr="005071A1" w14:paraId="28248C77" w14:textId="77777777" w:rsidTr="00DA469E">
        <w:tblPrEx>
          <w:tblCellMar>
            <w:left w:w="0" w:type="dxa"/>
            <w:right w:w="0" w:type="dxa"/>
          </w:tblCellMar>
        </w:tblPrEx>
        <w:tc>
          <w:tcPr>
            <w:tcW w:w="1276" w:type="dxa"/>
          </w:tcPr>
          <w:p w14:paraId="1BB6FC6E" w14:textId="77777777" w:rsidR="00B33542" w:rsidRPr="005071A1" w:rsidRDefault="004510F0" w:rsidP="009B7AF5">
            <w:pPr>
              <w:pStyle w:val="ENoteTableText"/>
            </w:pPr>
            <w:r>
              <w:t>Division 3</w:t>
            </w:r>
            <w:r w:rsidR="00B33542" w:rsidRPr="005071A1">
              <w:t>A</w:t>
            </w:r>
          </w:p>
        </w:tc>
        <w:tc>
          <w:tcPr>
            <w:tcW w:w="1418" w:type="dxa"/>
          </w:tcPr>
          <w:p w14:paraId="55FEB9A3" w14:textId="77777777" w:rsidR="00B33542" w:rsidRPr="005071A1" w:rsidRDefault="00B33542" w:rsidP="009B7AF5">
            <w:pPr>
              <w:pStyle w:val="ENoteTableText"/>
            </w:pPr>
            <w:r w:rsidRPr="005071A1">
              <w:t>Division</w:t>
            </w:r>
            <w:r w:rsidR="008B2950" w:rsidRPr="005071A1">
              <w:t> </w:t>
            </w:r>
            <w:r w:rsidRPr="005071A1">
              <w:t>4</w:t>
            </w:r>
          </w:p>
        </w:tc>
      </w:tr>
      <w:tr w:rsidR="00B33542" w:rsidRPr="005071A1" w14:paraId="59A13447" w14:textId="77777777" w:rsidTr="00DA469E">
        <w:tblPrEx>
          <w:tblCellMar>
            <w:left w:w="0" w:type="dxa"/>
            <w:right w:w="0" w:type="dxa"/>
          </w:tblCellMar>
        </w:tblPrEx>
        <w:tc>
          <w:tcPr>
            <w:tcW w:w="1276" w:type="dxa"/>
          </w:tcPr>
          <w:p w14:paraId="1D2D7A70" w14:textId="77777777" w:rsidR="00B33542" w:rsidRPr="005071A1" w:rsidRDefault="00B33542" w:rsidP="009B7AF5">
            <w:pPr>
              <w:pStyle w:val="ENoteTableText"/>
            </w:pPr>
            <w:r w:rsidRPr="005071A1">
              <w:t>Section</w:t>
            </w:r>
          </w:p>
        </w:tc>
        <w:tc>
          <w:tcPr>
            <w:tcW w:w="1418" w:type="dxa"/>
          </w:tcPr>
          <w:p w14:paraId="74BEDFEB" w14:textId="77777777" w:rsidR="00B33542" w:rsidRPr="005071A1" w:rsidRDefault="00B33542" w:rsidP="009B7AF5">
            <w:pPr>
              <w:pStyle w:val="ENoteTableText"/>
            </w:pPr>
            <w:r w:rsidRPr="005071A1">
              <w:t>Section</w:t>
            </w:r>
          </w:p>
        </w:tc>
      </w:tr>
      <w:tr w:rsidR="00B33542" w:rsidRPr="005071A1" w14:paraId="107B5155" w14:textId="77777777" w:rsidTr="00DA469E">
        <w:tblPrEx>
          <w:tblCellMar>
            <w:left w:w="0" w:type="dxa"/>
            <w:right w:w="0" w:type="dxa"/>
          </w:tblCellMar>
        </w:tblPrEx>
        <w:tc>
          <w:tcPr>
            <w:tcW w:w="1276" w:type="dxa"/>
          </w:tcPr>
          <w:p w14:paraId="185F7604" w14:textId="77777777" w:rsidR="00B33542" w:rsidRPr="005071A1" w:rsidRDefault="00B33542" w:rsidP="009B7AF5">
            <w:pPr>
              <w:pStyle w:val="ENoteTableText"/>
            </w:pPr>
            <w:r w:rsidRPr="005071A1">
              <w:t>50A</w:t>
            </w:r>
          </w:p>
        </w:tc>
        <w:tc>
          <w:tcPr>
            <w:tcW w:w="1418" w:type="dxa"/>
          </w:tcPr>
          <w:p w14:paraId="213F3259" w14:textId="77777777" w:rsidR="00B33542" w:rsidRPr="005071A1" w:rsidRDefault="00B33542" w:rsidP="009B7AF5">
            <w:pPr>
              <w:pStyle w:val="ENoteTableText"/>
            </w:pPr>
            <w:r w:rsidRPr="005071A1">
              <w:t>66</w:t>
            </w:r>
          </w:p>
        </w:tc>
      </w:tr>
      <w:tr w:rsidR="00B33542" w:rsidRPr="005071A1" w14:paraId="641F6688" w14:textId="77777777" w:rsidTr="00DA469E">
        <w:tblPrEx>
          <w:tblCellMar>
            <w:left w:w="0" w:type="dxa"/>
            <w:right w:w="0" w:type="dxa"/>
          </w:tblCellMar>
        </w:tblPrEx>
        <w:tc>
          <w:tcPr>
            <w:tcW w:w="1276" w:type="dxa"/>
          </w:tcPr>
          <w:p w14:paraId="65EBEAEA" w14:textId="77777777" w:rsidR="00B33542" w:rsidRPr="005071A1" w:rsidRDefault="00B33542" w:rsidP="009B7AF5">
            <w:pPr>
              <w:pStyle w:val="ENoteTableText"/>
            </w:pPr>
            <w:r w:rsidRPr="005071A1">
              <w:t>50B</w:t>
            </w:r>
          </w:p>
        </w:tc>
        <w:tc>
          <w:tcPr>
            <w:tcW w:w="1418" w:type="dxa"/>
          </w:tcPr>
          <w:p w14:paraId="26A00653" w14:textId="77777777" w:rsidR="00B33542" w:rsidRPr="005071A1" w:rsidRDefault="00B33542" w:rsidP="009B7AF5">
            <w:pPr>
              <w:pStyle w:val="ENoteTableText"/>
            </w:pPr>
            <w:r w:rsidRPr="005071A1">
              <w:t>67</w:t>
            </w:r>
          </w:p>
        </w:tc>
      </w:tr>
      <w:tr w:rsidR="00B33542" w:rsidRPr="005071A1" w14:paraId="2E6E0451" w14:textId="77777777" w:rsidTr="00DA469E">
        <w:tblPrEx>
          <w:tblCellMar>
            <w:left w:w="0" w:type="dxa"/>
            <w:right w:w="0" w:type="dxa"/>
          </w:tblCellMar>
        </w:tblPrEx>
        <w:tc>
          <w:tcPr>
            <w:tcW w:w="1276" w:type="dxa"/>
          </w:tcPr>
          <w:p w14:paraId="23AD5B15" w14:textId="77777777" w:rsidR="00B33542" w:rsidRPr="005071A1" w:rsidRDefault="00B33542" w:rsidP="009B7AF5">
            <w:pPr>
              <w:pStyle w:val="ENoteTableText"/>
            </w:pPr>
            <w:r w:rsidRPr="005071A1">
              <w:t>Division</w:t>
            </w:r>
            <w:r w:rsidR="008B2950" w:rsidRPr="005071A1">
              <w:t> </w:t>
            </w:r>
            <w:r w:rsidRPr="005071A1">
              <w:t>4</w:t>
            </w:r>
          </w:p>
        </w:tc>
        <w:tc>
          <w:tcPr>
            <w:tcW w:w="1418" w:type="dxa"/>
          </w:tcPr>
          <w:p w14:paraId="4C8BE8C7" w14:textId="77777777" w:rsidR="00B33542" w:rsidRPr="005071A1" w:rsidRDefault="00B33542" w:rsidP="009B7AF5">
            <w:pPr>
              <w:pStyle w:val="ENoteTableText"/>
            </w:pPr>
            <w:r w:rsidRPr="005071A1">
              <w:t>Division</w:t>
            </w:r>
            <w:r w:rsidR="008B2950" w:rsidRPr="005071A1">
              <w:t> </w:t>
            </w:r>
            <w:r w:rsidRPr="005071A1">
              <w:t>5</w:t>
            </w:r>
          </w:p>
        </w:tc>
      </w:tr>
      <w:tr w:rsidR="00B33542" w:rsidRPr="005071A1" w14:paraId="3D773C10" w14:textId="77777777" w:rsidTr="00DA469E">
        <w:tblPrEx>
          <w:tblCellMar>
            <w:left w:w="0" w:type="dxa"/>
            <w:right w:w="0" w:type="dxa"/>
          </w:tblCellMar>
        </w:tblPrEx>
        <w:tc>
          <w:tcPr>
            <w:tcW w:w="1276" w:type="dxa"/>
          </w:tcPr>
          <w:p w14:paraId="4DA87217" w14:textId="77777777" w:rsidR="00B33542" w:rsidRPr="005071A1" w:rsidRDefault="00B33542" w:rsidP="009B7AF5">
            <w:pPr>
              <w:pStyle w:val="ENoteTableText"/>
            </w:pPr>
            <w:r w:rsidRPr="005071A1">
              <w:t>Section</w:t>
            </w:r>
          </w:p>
        </w:tc>
        <w:tc>
          <w:tcPr>
            <w:tcW w:w="1418" w:type="dxa"/>
          </w:tcPr>
          <w:p w14:paraId="522DADF4" w14:textId="77777777" w:rsidR="00B33542" w:rsidRPr="005071A1" w:rsidRDefault="00B33542" w:rsidP="009B7AF5">
            <w:pPr>
              <w:pStyle w:val="ENoteTableText"/>
            </w:pPr>
            <w:r w:rsidRPr="005071A1">
              <w:t>Section</w:t>
            </w:r>
          </w:p>
        </w:tc>
      </w:tr>
      <w:tr w:rsidR="00B33542" w:rsidRPr="005071A1" w14:paraId="5217A0EE" w14:textId="77777777" w:rsidTr="00DA469E">
        <w:tblPrEx>
          <w:tblCellMar>
            <w:left w:w="0" w:type="dxa"/>
            <w:right w:w="0" w:type="dxa"/>
          </w:tblCellMar>
        </w:tblPrEx>
        <w:tc>
          <w:tcPr>
            <w:tcW w:w="1276" w:type="dxa"/>
          </w:tcPr>
          <w:p w14:paraId="22480429" w14:textId="77777777" w:rsidR="00B33542" w:rsidRPr="005071A1" w:rsidRDefault="00B33542" w:rsidP="009B7AF5">
            <w:pPr>
              <w:pStyle w:val="ENoteTableText"/>
            </w:pPr>
            <w:r w:rsidRPr="005071A1">
              <w:t>51</w:t>
            </w:r>
          </w:p>
        </w:tc>
        <w:tc>
          <w:tcPr>
            <w:tcW w:w="1418" w:type="dxa"/>
          </w:tcPr>
          <w:p w14:paraId="3FD46446" w14:textId="77777777" w:rsidR="00B33542" w:rsidRPr="005071A1" w:rsidRDefault="00B33542" w:rsidP="009B7AF5">
            <w:pPr>
              <w:pStyle w:val="ENoteTableText"/>
            </w:pPr>
            <w:r w:rsidRPr="005071A1">
              <w:t>68</w:t>
            </w:r>
          </w:p>
        </w:tc>
      </w:tr>
      <w:tr w:rsidR="00B33542" w:rsidRPr="005071A1" w14:paraId="0D2D400B" w14:textId="77777777" w:rsidTr="00DA469E">
        <w:tblPrEx>
          <w:tblCellMar>
            <w:left w:w="0" w:type="dxa"/>
            <w:right w:w="0" w:type="dxa"/>
          </w:tblCellMar>
        </w:tblPrEx>
        <w:tc>
          <w:tcPr>
            <w:tcW w:w="1276" w:type="dxa"/>
          </w:tcPr>
          <w:p w14:paraId="6F859995" w14:textId="77777777" w:rsidR="00B33542" w:rsidRPr="005071A1" w:rsidRDefault="00B33542" w:rsidP="009B7AF5">
            <w:pPr>
              <w:pStyle w:val="ENoteTableText"/>
            </w:pPr>
            <w:r w:rsidRPr="005071A1">
              <w:t>52</w:t>
            </w:r>
          </w:p>
        </w:tc>
        <w:tc>
          <w:tcPr>
            <w:tcW w:w="1418" w:type="dxa"/>
          </w:tcPr>
          <w:p w14:paraId="7361E223" w14:textId="77777777" w:rsidR="00B33542" w:rsidRPr="005071A1" w:rsidRDefault="00B33542" w:rsidP="009B7AF5">
            <w:pPr>
              <w:pStyle w:val="ENoteTableText"/>
            </w:pPr>
            <w:r w:rsidRPr="005071A1">
              <w:t>69</w:t>
            </w:r>
          </w:p>
        </w:tc>
      </w:tr>
      <w:tr w:rsidR="00B33542" w:rsidRPr="005071A1" w14:paraId="7A86F6C2" w14:textId="77777777" w:rsidTr="00DA469E">
        <w:tblPrEx>
          <w:tblCellMar>
            <w:left w:w="0" w:type="dxa"/>
            <w:right w:w="0" w:type="dxa"/>
          </w:tblCellMar>
        </w:tblPrEx>
        <w:tc>
          <w:tcPr>
            <w:tcW w:w="1276" w:type="dxa"/>
          </w:tcPr>
          <w:p w14:paraId="1BFEAC0E" w14:textId="77777777" w:rsidR="00B33542" w:rsidRPr="005071A1" w:rsidRDefault="00B33542" w:rsidP="009B7AF5">
            <w:pPr>
              <w:pStyle w:val="ENoteTableText"/>
            </w:pPr>
            <w:r w:rsidRPr="005071A1">
              <w:t>53</w:t>
            </w:r>
          </w:p>
        </w:tc>
        <w:tc>
          <w:tcPr>
            <w:tcW w:w="1418" w:type="dxa"/>
          </w:tcPr>
          <w:p w14:paraId="141B688F" w14:textId="77777777" w:rsidR="00B33542" w:rsidRPr="005071A1" w:rsidRDefault="00B33542" w:rsidP="009B7AF5">
            <w:pPr>
              <w:pStyle w:val="ENoteTableText"/>
            </w:pPr>
            <w:r w:rsidRPr="005071A1">
              <w:t>70</w:t>
            </w:r>
          </w:p>
        </w:tc>
      </w:tr>
      <w:tr w:rsidR="00B33542" w:rsidRPr="005071A1" w14:paraId="6D13B6D2" w14:textId="77777777" w:rsidTr="00DA469E">
        <w:tblPrEx>
          <w:tblCellMar>
            <w:left w:w="0" w:type="dxa"/>
            <w:right w:w="0" w:type="dxa"/>
          </w:tblCellMar>
        </w:tblPrEx>
        <w:tc>
          <w:tcPr>
            <w:tcW w:w="1276" w:type="dxa"/>
          </w:tcPr>
          <w:p w14:paraId="26B57540" w14:textId="77777777" w:rsidR="00B33542" w:rsidRPr="005071A1" w:rsidRDefault="00B33542" w:rsidP="009B7AF5">
            <w:pPr>
              <w:pStyle w:val="ENoteTableText"/>
            </w:pPr>
            <w:r w:rsidRPr="005071A1">
              <w:t>57</w:t>
            </w:r>
          </w:p>
        </w:tc>
        <w:tc>
          <w:tcPr>
            <w:tcW w:w="1418" w:type="dxa"/>
          </w:tcPr>
          <w:p w14:paraId="1A5FECFF" w14:textId="77777777" w:rsidR="00B33542" w:rsidRPr="005071A1" w:rsidRDefault="00B33542" w:rsidP="009B7AF5">
            <w:pPr>
              <w:pStyle w:val="ENoteTableText"/>
            </w:pPr>
            <w:r w:rsidRPr="005071A1">
              <w:t>71</w:t>
            </w:r>
          </w:p>
        </w:tc>
      </w:tr>
      <w:tr w:rsidR="00B33542" w:rsidRPr="005071A1" w14:paraId="76B9DF40" w14:textId="77777777" w:rsidTr="00DA469E">
        <w:tblPrEx>
          <w:tblCellMar>
            <w:left w:w="0" w:type="dxa"/>
            <w:right w:w="0" w:type="dxa"/>
          </w:tblCellMar>
        </w:tblPrEx>
        <w:tc>
          <w:tcPr>
            <w:tcW w:w="1276" w:type="dxa"/>
          </w:tcPr>
          <w:p w14:paraId="28597B5E" w14:textId="77777777" w:rsidR="00B33542" w:rsidRPr="005071A1" w:rsidRDefault="00B33542" w:rsidP="009B7AF5">
            <w:pPr>
              <w:pStyle w:val="ENoteTableText"/>
            </w:pPr>
            <w:r w:rsidRPr="005071A1">
              <w:t>58</w:t>
            </w:r>
          </w:p>
        </w:tc>
        <w:tc>
          <w:tcPr>
            <w:tcW w:w="1418" w:type="dxa"/>
          </w:tcPr>
          <w:p w14:paraId="0BDEA057" w14:textId="77777777" w:rsidR="00B33542" w:rsidRPr="005071A1" w:rsidRDefault="00B33542" w:rsidP="009B7AF5">
            <w:pPr>
              <w:pStyle w:val="ENoteTableText"/>
            </w:pPr>
            <w:r w:rsidRPr="005071A1">
              <w:t>72</w:t>
            </w:r>
          </w:p>
        </w:tc>
      </w:tr>
      <w:tr w:rsidR="00B33542" w:rsidRPr="005071A1" w14:paraId="707DEAC2" w14:textId="77777777" w:rsidTr="00DA469E">
        <w:tblPrEx>
          <w:tblCellMar>
            <w:left w:w="0" w:type="dxa"/>
            <w:right w:w="0" w:type="dxa"/>
          </w:tblCellMar>
        </w:tblPrEx>
        <w:tc>
          <w:tcPr>
            <w:tcW w:w="1276" w:type="dxa"/>
          </w:tcPr>
          <w:p w14:paraId="53B69C8D" w14:textId="77777777" w:rsidR="00B33542" w:rsidRPr="005071A1" w:rsidRDefault="00B33542" w:rsidP="009B7AF5">
            <w:pPr>
              <w:pStyle w:val="ENoteTableText"/>
            </w:pPr>
            <w:r w:rsidRPr="005071A1">
              <w:t>59</w:t>
            </w:r>
          </w:p>
        </w:tc>
        <w:tc>
          <w:tcPr>
            <w:tcW w:w="1418" w:type="dxa"/>
          </w:tcPr>
          <w:p w14:paraId="1FA0A245" w14:textId="77777777" w:rsidR="00B33542" w:rsidRPr="005071A1" w:rsidRDefault="00B33542" w:rsidP="009B7AF5">
            <w:pPr>
              <w:pStyle w:val="ENoteTableText"/>
            </w:pPr>
            <w:r w:rsidRPr="005071A1">
              <w:t>73</w:t>
            </w:r>
          </w:p>
        </w:tc>
      </w:tr>
      <w:tr w:rsidR="00B33542" w:rsidRPr="005071A1" w14:paraId="57812B04" w14:textId="77777777" w:rsidTr="00DA469E">
        <w:tblPrEx>
          <w:tblCellMar>
            <w:left w:w="0" w:type="dxa"/>
            <w:right w:w="0" w:type="dxa"/>
          </w:tblCellMar>
        </w:tblPrEx>
        <w:tc>
          <w:tcPr>
            <w:tcW w:w="1276" w:type="dxa"/>
          </w:tcPr>
          <w:p w14:paraId="29A40F70" w14:textId="77777777" w:rsidR="00B33542" w:rsidRPr="005071A1" w:rsidRDefault="00B33542" w:rsidP="009B7AF5">
            <w:pPr>
              <w:pStyle w:val="ENoteTableText"/>
            </w:pPr>
            <w:r w:rsidRPr="005071A1">
              <w:t>Division</w:t>
            </w:r>
            <w:r w:rsidR="008B2950" w:rsidRPr="005071A1">
              <w:t> </w:t>
            </w:r>
            <w:r w:rsidRPr="005071A1">
              <w:t>5</w:t>
            </w:r>
          </w:p>
        </w:tc>
        <w:tc>
          <w:tcPr>
            <w:tcW w:w="1418" w:type="dxa"/>
          </w:tcPr>
          <w:p w14:paraId="15F0F203" w14:textId="77777777" w:rsidR="00B33542" w:rsidRPr="005071A1" w:rsidRDefault="00B33542" w:rsidP="009B7AF5">
            <w:pPr>
              <w:pStyle w:val="ENoteTableText"/>
            </w:pPr>
            <w:r w:rsidRPr="005071A1">
              <w:t>Division</w:t>
            </w:r>
            <w:r w:rsidR="008B2950" w:rsidRPr="005071A1">
              <w:t> </w:t>
            </w:r>
            <w:r w:rsidRPr="005071A1">
              <w:t>6</w:t>
            </w:r>
          </w:p>
        </w:tc>
      </w:tr>
      <w:tr w:rsidR="00B33542" w:rsidRPr="005071A1" w14:paraId="60616E02" w14:textId="77777777" w:rsidTr="00DA469E">
        <w:tblPrEx>
          <w:tblCellMar>
            <w:left w:w="0" w:type="dxa"/>
            <w:right w:w="0" w:type="dxa"/>
          </w:tblCellMar>
        </w:tblPrEx>
        <w:tc>
          <w:tcPr>
            <w:tcW w:w="1276" w:type="dxa"/>
          </w:tcPr>
          <w:p w14:paraId="115C0EB3" w14:textId="77777777" w:rsidR="00B33542" w:rsidRPr="005071A1" w:rsidRDefault="00B33542" w:rsidP="009B7AF5">
            <w:pPr>
              <w:pStyle w:val="ENoteTableText"/>
            </w:pPr>
            <w:r w:rsidRPr="005071A1">
              <w:t>Section</w:t>
            </w:r>
          </w:p>
        </w:tc>
        <w:tc>
          <w:tcPr>
            <w:tcW w:w="1418" w:type="dxa"/>
          </w:tcPr>
          <w:p w14:paraId="13AC9F21" w14:textId="77777777" w:rsidR="00B33542" w:rsidRPr="005071A1" w:rsidRDefault="00B33542" w:rsidP="009B7AF5">
            <w:pPr>
              <w:pStyle w:val="ENoteTableText"/>
            </w:pPr>
            <w:r w:rsidRPr="005071A1">
              <w:t>Section</w:t>
            </w:r>
          </w:p>
        </w:tc>
      </w:tr>
      <w:tr w:rsidR="00B33542" w:rsidRPr="005071A1" w14:paraId="73D56CED" w14:textId="77777777" w:rsidTr="00DA469E">
        <w:tblPrEx>
          <w:tblCellMar>
            <w:left w:w="0" w:type="dxa"/>
            <w:right w:w="0" w:type="dxa"/>
          </w:tblCellMar>
        </w:tblPrEx>
        <w:tc>
          <w:tcPr>
            <w:tcW w:w="1276" w:type="dxa"/>
          </w:tcPr>
          <w:p w14:paraId="14C62556" w14:textId="77777777" w:rsidR="00B33542" w:rsidRPr="005071A1" w:rsidRDefault="00B33542" w:rsidP="009B7AF5">
            <w:pPr>
              <w:pStyle w:val="ENoteTableText"/>
            </w:pPr>
            <w:r w:rsidRPr="005071A1">
              <w:t>60</w:t>
            </w:r>
          </w:p>
        </w:tc>
        <w:tc>
          <w:tcPr>
            <w:tcW w:w="1418" w:type="dxa"/>
          </w:tcPr>
          <w:p w14:paraId="10930938" w14:textId="77777777" w:rsidR="00B33542" w:rsidRPr="005071A1" w:rsidRDefault="00B33542" w:rsidP="009B7AF5">
            <w:pPr>
              <w:pStyle w:val="ENoteTableText"/>
            </w:pPr>
            <w:r w:rsidRPr="005071A1">
              <w:t>74</w:t>
            </w:r>
          </w:p>
        </w:tc>
      </w:tr>
      <w:tr w:rsidR="00B33542" w:rsidRPr="005071A1" w14:paraId="680C572A" w14:textId="77777777" w:rsidTr="00DA469E">
        <w:tblPrEx>
          <w:tblCellMar>
            <w:left w:w="0" w:type="dxa"/>
            <w:right w:w="0" w:type="dxa"/>
          </w:tblCellMar>
        </w:tblPrEx>
        <w:tc>
          <w:tcPr>
            <w:tcW w:w="1276" w:type="dxa"/>
          </w:tcPr>
          <w:p w14:paraId="5DC0BA28" w14:textId="77777777" w:rsidR="00B33542" w:rsidRPr="005071A1" w:rsidRDefault="00B33542" w:rsidP="009B7AF5">
            <w:pPr>
              <w:pStyle w:val="ENoteTableText"/>
            </w:pPr>
            <w:r w:rsidRPr="005071A1">
              <w:t>Part IVB</w:t>
            </w:r>
          </w:p>
        </w:tc>
        <w:tc>
          <w:tcPr>
            <w:tcW w:w="1418" w:type="dxa"/>
          </w:tcPr>
          <w:p w14:paraId="45B26653" w14:textId="77777777" w:rsidR="00B33542" w:rsidRPr="005071A1" w:rsidRDefault="00B33542" w:rsidP="009B7AF5">
            <w:pPr>
              <w:pStyle w:val="ENoteTableText"/>
            </w:pPr>
            <w:r w:rsidRPr="005071A1">
              <w:t>Part V</w:t>
            </w:r>
          </w:p>
        </w:tc>
      </w:tr>
      <w:tr w:rsidR="00B33542" w:rsidRPr="005071A1" w14:paraId="4D3BF155" w14:textId="77777777" w:rsidTr="00DA469E">
        <w:tblPrEx>
          <w:tblCellMar>
            <w:left w:w="0" w:type="dxa"/>
            <w:right w:w="0" w:type="dxa"/>
          </w:tblCellMar>
        </w:tblPrEx>
        <w:tc>
          <w:tcPr>
            <w:tcW w:w="1276" w:type="dxa"/>
          </w:tcPr>
          <w:p w14:paraId="3C78DE5E" w14:textId="77777777" w:rsidR="00B33542" w:rsidRPr="005071A1" w:rsidRDefault="00B33542" w:rsidP="009B7AF5">
            <w:pPr>
              <w:pStyle w:val="ENoteTableText"/>
            </w:pPr>
            <w:r w:rsidRPr="005071A1">
              <w:t>Section</w:t>
            </w:r>
          </w:p>
        </w:tc>
        <w:tc>
          <w:tcPr>
            <w:tcW w:w="1418" w:type="dxa"/>
          </w:tcPr>
          <w:p w14:paraId="03F79C83" w14:textId="77777777" w:rsidR="00B33542" w:rsidRPr="005071A1" w:rsidRDefault="00B33542" w:rsidP="009B7AF5">
            <w:pPr>
              <w:pStyle w:val="ENoteTableText"/>
            </w:pPr>
            <w:r w:rsidRPr="005071A1">
              <w:t>Section</w:t>
            </w:r>
          </w:p>
        </w:tc>
      </w:tr>
      <w:tr w:rsidR="00B33542" w:rsidRPr="005071A1" w14:paraId="3197BE5A" w14:textId="77777777" w:rsidTr="00DA469E">
        <w:tblPrEx>
          <w:tblCellMar>
            <w:left w:w="0" w:type="dxa"/>
            <w:right w:w="0" w:type="dxa"/>
          </w:tblCellMar>
        </w:tblPrEx>
        <w:tc>
          <w:tcPr>
            <w:tcW w:w="1276" w:type="dxa"/>
          </w:tcPr>
          <w:p w14:paraId="0FA61602" w14:textId="77777777" w:rsidR="00B33542" w:rsidRPr="005071A1" w:rsidRDefault="00B33542" w:rsidP="009B7AF5">
            <w:pPr>
              <w:pStyle w:val="ENoteTableText"/>
            </w:pPr>
            <w:r w:rsidRPr="005071A1">
              <w:t>60U</w:t>
            </w:r>
          </w:p>
        </w:tc>
        <w:tc>
          <w:tcPr>
            <w:tcW w:w="1418" w:type="dxa"/>
          </w:tcPr>
          <w:p w14:paraId="71A7132E" w14:textId="77777777" w:rsidR="00B33542" w:rsidRPr="005071A1" w:rsidRDefault="00B33542" w:rsidP="009B7AF5">
            <w:pPr>
              <w:pStyle w:val="ENoteTableText"/>
            </w:pPr>
            <w:r w:rsidRPr="005071A1">
              <w:t>75</w:t>
            </w:r>
          </w:p>
        </w:tc>
      </w:tr>
      <w:tr w:rsidR="00B33542" w:rsidRPr="005071A1" w14:paraId="76E9263F" w14:textId="77777777" w:rsidTr="00DA469E">
        <w:tblPrEx>
          <w:tblCellMar>
            <w:left w:w="0" w:type="dxa"/>
            <w:right w:w="0" w:type="dxa"/>
          </w:tblCellMar>
        </w:tblPrEx>
        <w:tc>
          <w:tcPr>
            <w:tcW w:w="1276" w:type="dxa"/>
          </w:tcPr>
          <w:p w14:paraId="256E593D" w14:textId="77777777" w:rsidR="00B33542" w:rsidRPr="005071A1" w:rsidRDefault="00B33542" w:rsidP="009B7AF5">
            <w:pPr>
              <w:pStyle w:val="ENoteTableText"/>
            </w:pPr>
            <w:r w:rsidRPr="005071A1">
              <w:t>60UA</w:t>
            </w:r>
          </w:p>
        </w:tc>
        <w:tc>
          <w:tcPr>
            <w:tcW w:w="1418" w:type="dxa"/>
          </w:tcPr>
          <w:p w14:paraId="15624B22" w14:textId="77777777" w:rsidR="00B33542" w:rsidRPr="005071A1" w:rsidRDefault="00B33542" w:rsidP="009B7AF5">
            <w:pPr>
              <w:pStyle w:val="ENoteTableText"/>
            </w:pPr>
            <w:r w:rsidRPr="005071A1">
              <w:t>76</w:t>
            </w:r>
          </w:p>
        </w:tc>
      </w:tr>
      <w:tr w:rsidR="00B33542" w:rsidRPr="005071A1" w14:paraId="4D06BBF4" w14:textId="77777777" w:rsidTr="00DA469E">
        <w:tblPrEx>
          <w:tblCellMar>
            <w:left w:w="0" w:type="dxa"/>
            <w:right w:w="0" w:type="dxa"/>
          </w:tblCellMar>
        </w:tblPrEx>
        <w:tc>
          <w:tcPr>
            <w:tcW w:w="1276" w:type="dxa"/>
          </w:tcPr>
          <w:p w14:paraId="696D495A" w14:textId="77777777" w:rsidR="00B33542" w:rsidRPr="005071A1" w:rsidRDefault="00B33542" w:rsidP="009B7AF5">
            <w:pPr>
              <w:pStyle w:val="ENoteTableText"/>
            </w:pPr>
            <w:r w:rsidRPr="005071A1">
              <w:t>60UB</w:t>
            </w:r>
          </w:p>
        </w:tc>
        <w:tc>
          <w:tcPr>
            <w:tcW w:w="1418" w:type="dxa"/>
          </w:tcPr>
          <w:p w14:paraId="20A3F550" w14:textId="77777777" w:rsidR="00B33542" w:rsidRPr="005071A1" w:rsidRDefault="00B33542" w:rsidP="009B7AF5">
            <w:pPr>
              <w:pStyle w:val="ENoteTableText"/>
            </w:pPr>
            <w:r w:rsidRPr="005071A1">
              <w:t>77</w:t>
            </w:r>
          </w:p>
        </w:tc>
      </w:tr>
      <w:tr w:rsidR="00B33542" w:rsidRPr="005071A1" w14:paraId="29300F7B" w14:textId="77777777" w:rsidTr="00DA469E">
        <w:tblPrEx>
          <w:tblCellMar>
            <w:left w:w="0" w:type="dxa"/>
            <w:right w:w="0" w:type="dxa"/>
          </w:tblCellMar>
        </w:tblPrEx>
        <w:tc>
          <w:tcPr>
            <w:tcW w:w="1276" w:type="dxa"/>
          </w:tcPr>
          <w:p w14:paraId="16655AD5" w14:textId="77777777" w:rsidR="00B33542" w:rsidRPr="005071A1" w:rsidRDefault="00B33542" w:rsidP="009B7AF5">
            <w:pPr>
              <w:pStyle w:val="ENoteTableText"/>
            </w:pPr>
            <w:r w:rsidRPr="005071A1">
              <w:t>60UC</w:t>
            </w:r>
          </w:p>
        </w:tc>
        <w:tc>
          <w:tcPr>
            <w:tcW w:w="1418" w:type="dxa"/>
          </w:tcPr>
          <w:p w14:paraId="495A5307" w14:textId="77777777" w:rsidR="00B33542" w:rsidRPr="005071A1" w:rsidRDefault="00B33542" w:rsidP="009B7AF5">
            <w:pPr>
              <w:pStyle w:val="ENoteTableText"/>
            </w:pPr>
            <w:r w:rsidRPr="005071A1">
              <w:t>78</w:t>
            </w:r>
          </w:p>
        </w:tc>
      </w:tr>
      <w:tr w:rsidR="00B33542" w:rsidRPr="005071A1" w14:paraId="2AB0D431" w14:textId="77777777" w:rsidTr="00DA469E">
        <w:tblPrEx>
          <w:tblCellMar>
            <w:left w:w="0" w:type="dxa"/>
            <w:right w:w="0" w:type="dxa"/>
          </w:tblCellMar>
        </w:tblPrEx>
        <w:tc>
          <w:tcPr>
            <w:tcW w:w="1276" w:type="dxa"/>
          </w:tcPr>
          <w:p w14:paraId="33CEB6A7" w14:textId="77777777" w:rsidR="00B33542" w:rsidRPr="005071A1" w:rsidRDefault="00B33542" w:rsidP="009B7AF5">
            <w:pPr>
              <w:pStyle w:val="ENoteTableText"/>
            </w:pPr>
            <w:r w:rsidRPr="005071A1">
              <w:t>60V</w:t>
            </w:r>
          </w:p>
        </w:tc>
        <w:tc>
          <w:tcPr>
            <w:tcW w:w="1418" w:type="dxa"/>
          </w:tcPr>
          <w:p w14:paraId="1C41FDC3" w14:textId="77777777" w:rsidR="00B33542" w:rsidRPr="005071A1" w:rsidRDefault="00B33542" w:rsidP="009B7AF5">
            <w:pPr>
              <w:pStyle w:val="ENoteTableText"/>
            </w:pPr>
            <w:r w:rsidRPr="005071A1">
              <w:t>79</w:t>
            </w:r>
          </w:p>
        </w:tc>
      </w:tr>
      <w:tr w:rsidR="00B33542" w:rsidRPr="005071A1" w14:paraId="3E92FB24" w14:textId="77777777" w:rsidTr="00DA469E">
        <w:tblPrEx>
          <w:tblCellMar>
            <w:left w:w="0" w:type="dxa"/>
            <w:right w:w="0" w:type="dxa"/>
          </w:tblCellMar>
        </w:tblPrEx>
        <w:tc>
          <w:tcPr>
            <w:tcW w:w="1276" w:type="dxa"/>
          </w:tcPr>
          <w:p w14:paraId="5CC93809" w14:textId="77777777" w:rsidR="00B33542" w:rsidRPr="005071A1" w:rsidRDefault="00B33542" w:rsidP="009B7AF5">
            <w:pPr>
              <w:pStyle w:val="ENoteTableText"/>
            </w:pPr>
            <w:r w:rsidRPr="005071A1">
              <w:t>60W</w:t>
            </w:r>
          </w:p>
        </w:tc>
        <w:tc>
          <w:tcPr>
            <w:tcW w:w="1418" w:type="dxa"/>
          </w:tcPr>
          <w:p w14:paraId="2E77A21D" w14:textId="77777777" w:rsidR="00B33542" w:rsidRPr="005071A1" w:rsidRDefault="00B33542" w:rsidP="009B7AF5">
            <w:pPr>
              <w:pStyle w:val="ENoteTableText"/>
            </w:pPr>
            <w:r w:rsidRPr="005071A1">
              <w:t>80</w:t>
            </w:r>
          </w:p>
        </w:tc>
      </w:tr>
      <w:tr w:rsidR="00B33542" w:rsidRPr="005071A1" w14:paraId="2D476AD7" w14:textId="77777777" w:rsidTr="00DA469E">
        <w:tblPrEx>
          <w:tblCellMar>
            <w:left w:w="0" w:type="dxa"/>
            <w:right w:w="0" w:type="dxa"/>
          </w:tblCellMar>
        </w:tblPrEx>
        <w:tc>
          <w:tcPr>
            <w:tcW w:w="1276" w:type="dxa"/>
          </w:tcPr>
          <w:p w14:paraId="27B96E4B" w14:textId="77777777" w:rsidR="00B33542" w:rsidRPr="005071A1" w:rsidRDefault="00B33542" w:rsidP="009B7AF5">
            <w:pPr>
              <w:pStyle w:val="ENoteTableText"/>
            </w:pPr>
            <w:r w:rsidRPr="005071A1">
              <w:t>60X</w:t>
            </w:r>
          </w:p>
        </w:tc>
        <w:tc>
          <w:tcPr>
            <w:tcW w:w="1418" w:type="dxa"/>
          </w:tcPr>
          <w:p w14:paraId="0FC90166" w14:textId="77777777" w:rsidR="00B33542" w:rsidRPr="005071A1" w:rsidRDefault="00B33542" w:rsidP="009B7AF5">
            <w:pPr>
              <w:pStyle w:val="ENoteTableText"/>
            </w:pPr>
            <w:r w:rsidRPr="005071A1">
              <w:t>81</w:t>
            </w:r>
          </w:p>
        </w:tc>
      </w:tr>
      <w:tr w:rsidR="00B33542" w:rsidRPr="005071A1" w14:paraId="1B789A19" w14:textId="77777777" w:rsidTr="00DA469E">
        <w:tblPrEx>
          <w:tblCellMar>
            <w:left w:w="0" w:type="dxa"/>
            <w:right w:w="0" w:type="dxa"/>
          </w:tblCellMar>
        </w:tblPrEx>
        <w:tc>
          <w:tcPr>
            <w:tcW w:w="1276" w:type="dxa"/>
          </w:tcPr>
          <w:p w14:paraId="27DA8A35" w14:textId="77777777" w:rsidR="00B33542" w:rsidRPr="005071A1" w:rsidRDefault="00B33542" w:rsidP="009B7AF5">
            <w:pPr>
              <w:pStyle w:val="ENoteTableText"/>
            </w:pPr>
            <w:r w:rsidRPr="005071A1">
              <w:t>60Y</w:t>
            </w:r>
          </w:p>
        </w:tc>
        <w:tc>
          <w:tcPr>
            <w:tcW w:w="1418" w:type="dxa"/>
          </w:tcPr>
          <w:p w14:paraId="05F4CD67" w14:textId="77777777" w:rsidR="00B33542" w:rsidRPr="005071A1" w:rsidRDefault="00B33542" w:rsidP="009B7AF5">
            <w:pPr>
              <w:pStyle w:val="ENoteTableText"/>
            </w:pPr>
            <w:r w:rsidRPr="005071A1">
              <w:t>82</w:t>
            </w:r>
          </w:p>
        </w:tc>
      </w:tr>
      <w:tr w:rsidR="00B33542" w:rsidRPr="005071A1" w14:paraId="03EAAA49" w14:textId="77777777" w:rsidTr="00DA469E">
        <w:tblPrEx>
          <w:tblCellMar>
            <w:left w:w="0" w:type="dxa"/>
            <w:right w:w="0" w:type="dxa"/>
          </w:tblCellMar>
        </w:tblPrEx>
        <w:tc>
          <w:tcPr>
            <w:tcW w:w="1276" w:type="dxa"/>
          </w:tcPr>
          <w:p w14:paraId="7CBC74F7" w14:textId="77777777" w:rsidR="00B33542" w:rsidRPr="005071A1" w:rsidRDefault="00B33542" w:rsidP="009B7AF5">
            <w:pPr>
              <w:pStyle w:val="ENoteTableText"/>
            </w:pPr>
            <w:r w:rsidRPr="005071A1">
              <w:t>60Z</w:t>
            </w:r>
          </w:p>
        </w:tc>
        <w:tc>
          <w:tcPr>
            <w:tcW w:w="1418" w:type="dxa"/>
          </w:tcPr>
          <w:p w14:paraId="64E0174C" w14:textId="77777777" w:rsidR="00B33542" w:rsidRPr="005071A1" w:rsidRDefault="00B33542" w:rsidP="009B7AF5">
            <w:pPr>
              <w:pStyle w:val="ENoteTableText"/>
            </w:pPr>
            <w:r w:rsidRPr="005071A1">
              <w:t>83</w:t>
            </w:r>
          </w:p>
        </w:tc>
      </w:tr>
      <w:tr w:rsidR="00B33542" w:rsidRPr="005071A1" w14:paraId="4C979E1B" w14:textId="77777777" w:rsidTr="00DA469E">
        <w:tblPrEx>
          <w:tblCellMar>
            <w:left w:w="0" w:type="dxa"/>
            <w:right w:w="0" w:type="dxa"/>
          </w:tblCellMar>
        </w:tblPrEx>
        <w:tc>
          <w:tcPr>
            <w:tcW w:w="1276" w:type="dxa"/>
          </w:tcPr>
          <w:p w14:paraId="5C9366AB" w14:textId="77777777" w:rsidR="00B33542" w:rsidRPr="005071A1" w:rsidRDefault="00B33542" w:rsidP="009B7AF5">
            <w:pPr>
              <w:pStyle w:val="ENoteTableText"/>
            </w:pPr>
            <w:r w:rsidRPr="005071A1">
              <w:t>60AA</w:t>
            </w:r>
          </w:p>
        </w:tc>
        <w:tc>
          <w:tcPr>
            <w:tcW w:w="1418" w:type="dxa"/>
          </w:tcPr>
          <w:p w14:paraId="1DD69826" w14:textId="77777777" w:rsidR="00B33542" w:rsidRPr="005071A1" w:rsidRDefault="00B33542" w:rsidP="009B7AF5">
            <w:pPr>
              <w:pStyle w:val="ENoteTableText"/>
            </w:pPr>
            <w:r w:rsidRPr="005071A1">
              <w:t>84</w:t>
            </w:r>
          </w:p>
        </w:tc>
      </w:tr>
      <w:tr w:rsidR="00B33542" w:rsidRPr="005071A1" w14:paraId="6EA3003C" w14:textId="77777777" w:rsidTr="00DA469E">
        <w:tblPrEx>
          <w:tblCellMar>
            <w:left w:w="0" w:type="dxa"/>
            <w:right w:w="0" w:type="dxa"/>
          </w:tblCellMar>
        </w:tblPrEx>
        <w:tc>
          <w:tcPr>
            <w:tcW w:w="1276" w:type="dxa"/>
          </w:tcPr>
          <w:p w14:paraId="6F994367" w14:textId="77777777" w:rsidR="00B33542" w:rsidRPr="005071A1" w:rsidRDefault="00B33542" w:rsidP="009B7AF5">
            <w:pPr>
              <w:pStyle w:val="ENoteTableText"/>
            </w:pPr>
            <w:r w:rsidRPr="005071A1">
              <w:t>60AB</w:t>
            </w:r>
          </w:p>
        </w:tc>
        <w:tc>
          <w:tcPr>
            <w:tcW w:w="1418" w:type="dxa"/>
          </w:tcPr>
          <w:p w14:paraId="65BBBF33" w14:textId="77777777" w:rsidR="00B33542" w:rsidRPr="005071A1" w:rsidRDefault="00B33542" w:rsidP="009B7AF5">
            <w:pPr>
              <w:pStyle w:val="ENoteTableText"/>
            </w:pPr>
            <w:r w:rsidRPr="005071A1">
              <w:t>85</w:t>
            </w:r>
          </w:p>
        </w:tc>
      </w:tr>
      <w:tr w:rsidR="00B33542" w:rsidRPr="005071A1" w14:paraId="36BDE5CB" w14:textId="77777777" w:rsidTr="00DA469E">
        <w:tblPrEx>
          <w:tblCellMar>
            <w:left w:w="0" w:type="dxa"/>
            <w:right w:w="0" w:type="dxa"/>
          </w:tblCellMar>
        </w:tblPrEx>
        <w:tc>
          <w:tcPr>
            <w:tcW w:w="1276" w:type="dxa"/>
          </w:tcPr>
          <w:p w14:paraId="7E4CEF89" w14:textId="77777777" w:rsidR="00B33542" w:rsidRPr="005071A1" w:rsidRDefault="00B33542" w:rsidP="009B7AF5">
            <w:pPr>
              <w:pStyle w:val="ENoteTableText"/>
            </w:pPr>
            <w:r w:rsidRPr="005071A1">
              <w:t>60ABA</w:t>
            </w:r>
          </w:p>
        </w:tc>
        <w:tc>
          <w:tcPr>
            <w:tcW w:w="1418" w:type="dxa"/>
          </w:tcPr>
          <w:p w14:paraId="688E50C8" w14:textId="77777777" w:rsidR="00B33542" w:rsidRPr="005071A1" w:rsidRDefault="00B33542" w:rsidP="009B7AF5">
            <w:pPr>
              <w:pStyle w:val="ENoteTableText"/>
            </w:pPr>
            <w:r w:rsidRPr="005071A1">
              <w:t>86</w:t>
            </w:r>
          </w:p>
        </w:tc>
      </w:tr>
      <w:tr w:rsidR="00B33542" w:rsidRPr="005071A1" w14:paraId="74A0A900" w14:textId="77777777" w:rsidTr="00DA469E">
        <w:tblPrEx>
          <w:tblCellMar>
            <w:left w:w="0" w:type="dxa"/>
            <w:right w:w="0" w:type="dxa"/>
          </w:tblCellMar>
        </w:tblPrEx>
        <w:tc>
          <w:tcPr>
            <w:tcW w:w="1276" w:type="dxa"/>
          </w:tcPr>
          <w:p w14:paraId="2E256E1F" w14:textId="77777777" w:rsidR="00B33542" w:rsidRPr="005071A1" w:rsidRDefault="00B33542" w:rsidP="009B7AF5">
            <w:pPr>
              <w:pStyle w:val="ENoteTableText"/>
            </w:pPr>
            <w:r w:rsidRPr="005071A1">
              <w:t>60AC</w:t>
            </w:r>
          </w:p>
        </w:tc>
        <w:tc>
          <w:tcPr>
            <w:tcW w:w="1418" w:type="dxa"/>
          </w:tcPr>
          <w:p w14:paraId="6CFE58C7" w14:textId="77777777" w:rsidR="00B33542" w:rsidRPr="005071A1" w:rsidRDefault="00B33542" w:rsidP="009B7AF5">
            <w:pPr>
              <w:pStyle w:val="ENoteTableText"/>
            </w:pPr>
            <w:r w:rsidRPr="005071A1">
              <w:t>87</w:t>
            </w:r>
          </w:p>
        </w:tc>
      </w:tr>
      <w:tr w:rsidR="00B33542" w:rsidRPr="005071A1" w14:paraId="53F43D50" w14:textId="77777777" w:rsidTr="00DA469E">
        <w:tblPrEx>
          <w:tblCellMar>
            <w:left w:w="0" w:type="dxa"/>
            <w:right w:w="0" w:type="dxa"/>
          </w:tblCellMar>
        </w:tblPrEx>
        <w:tc>
          <w:tcPr>
            <w:tcW w:w="1276" w:type="dxa"/>
          </w:tcPr>
          <w:p w14:paraId="5280559E" w14:textId="77777777" w:rsidR="00B33542" w:rsidRPr="005071A1" w:rsidRDefault="00B33542" w:rsidP="009B7AF5">
            <w:pPr>
              <w:pStyle w:val="ENoteTableText"/>
            </w:pPr>
            <w:r w:rsidRPr="005071A1">
              <w:t>60ACA</w:t>
            </w:r>
          </w:p>
        </w:tc>
        <w:tc>
          <w:tcPr>
            <w:tcW w:w="1418" w:type="dxa"/>
          </w:tcPr>
          <w:p w14:paraId="2061688A" w14:textId="77777777" w:rsidR="00B33542" w:rsidRPr="005071A1" w:rsidRDefault="00B33542" w:rsidP="009B7AF5">
            <w:pPr>
              <w:pStyle w:val="ENoteTableText"/>
            </w:pPr>
            <w:r w:rsidRPr="005071A1">
              <w:t>88</w:t>
            </w:r>
          </w:p>
        </w:tc>
      </w:tr>
      <w:tr w:rsidR="00B33542" w:rsidRPr="005071A1" w14:paraId="396E50FA" w14:textId="77777777" w:rsidTr="00DA469E">
        <w:tblPrEx>
          <w:tblCellMar>
            <w:left w:w="0" w:type="dxa"/>
            <w:right w:w="0" w:type="dxa"/>
          </w:tblCellMar>
        </w:tblPrEx>
        <w:tc>
          <w:tcPr>
            <w:tcW w:w="1276" w:type="dxa"/>
          </w:tcPr>
          <w:p w14:paraId="5BE11554" w14:textId="77777777" w:rsidR="00B33542" w:rsidRPr="005071A1" w:rsidRDefault="00B33542" w:rsidP="009B7AF5">
            <w:pPr>
              <w:pStyle w:val="ENoteTableText"/>
            </w:pPr>
            <w:r w:rsidRPr="005071A1">
              <w:t>60AD</w:t>
            </w:r>
          </w:p>
        </w:tc>
        <w:tc>
          <w:tcPr>
            <w:tcW w:w="1418" w:type="dxa"/>
          </w:tcPr>
          <w:p w14:paraId="64FC2D9A" w14:textId="77777777" w:rsidR="00B33542" w:rsidRPr="005071A1" w:rsidRDefault="00B33542" w:rsidP="009B7AF5">
            <w:pPr>
              <w:pStyle w:val="ENoteTableText"/>
            </w:pPr>
            <w:r w:rsidRPr="005071A1">
              <w:t>89</w:t>
            </w:r>
          </w:p>
        </w:tc>
      </w:tr>
      <w:tr w:rsidR="00B33542" w:rsidRPr="005071A1" w14:paraId="20D7411B" w14:textId="77777777" w:rsidTr="00DA469E">
        <w:tblPrEx>
          <w:tblCellMar>
            <w:left w:w="0" w:type="dxa"/>
            <w:right w:w="0" w:type="dxa"/>
          </w:tblCellMar>
        </w:tblPrEx>
        <w:tc>
          <w:tcPr>
            <w:tcW w:w="1276" w:type="dxa"/>
          </w:tcPr>
          <w:p w14:paraId="58254D1A" w14:textId="77777777" w:rsidR="00B33542" w:rsidRPr="005071A1" w:rsidRDefault="00B33542" w:rsidP="009B7AF5">
            <w:pPr>
              <w:pStyle w:val="ENoteTableText"/>
            </w:pPr>
            <w:r w:rsidRPr="005071A1">
              <w:t>60ADA</w:t>
            </w:r>
          </w:p>
        </w:tc>
        <w:tc>
          <w:tcPr>
            <w:tcW w:w="1418" w:type="dxa"/>
          </w:tcPr>
          <w:p w14:paraId="2A0BC6D2" w14:textId="77777777" w:rsidR="00B33542" w:rsidRPr="005071A1" w:rsidRDefault="00B33542" w:rsidP="009B7AF5">
            <w:pPr>
              <w:pStyle w:val="ENoteTableText"/>
            </w:pPr>
            <w:r w:rsidRPr="005071A1">
              <w:t>90</w:t>
            </w:r>
          </w:p>
        </w:tc>
      </w:tr>
      <w:tr w:rsidR="00B33542" w:rsidRPr="005071A1" w14:paraId="368E5708" w14:textId="77777777" w:rsidTr="00DA469E">
        <w:tblPrEx>
          <w:tblCellMar>
            <w:left w:w="0" w:type="dxa"/>
            <w:right w:w="0" w:type="dxa"/>
          </w:tblCellMar>
        </w:tblPrEx>
        <w:tc>
          <w:tcPr>
            <w:tcW w:w="1276" w:type="dxa"/>
          </w:tcPr>
          <w:p w14:paraId="7CE961FA" w14:textId="77777777" w:rsidR="00B33542" w:rsidRPr="005071A1" w:rsidRDefault="00B33542" w:rsidP="009B7AF5">
            <w:pPr>
              <w:pStyle w:val="ENoteTableText"/>
            </w:pPr>
            <w:r w:rsidRPr="005071A1">
              <w:t>60ADB</w:t>
            </w:r>
          </w:p>
        </w:tc>
        <w:tc>
          <w:tcPr>
            <w:tcW w:w="1418" w:type="dxa"/>
          </w:tcPr>
          <w:p w14:paraId="2060A45D" w14:textId="77777777" w:rsidR="00B33542" w:rsidRPr="005071A1" w:rsidRDefault="00B33542" w:rsidP="009B7AF5">
            <w:pPr>
              <w:pStyle w:val="ENoteTableText"/>
            </w:pPr>
            <w:r w:rsidRPr="005071A1">
              <w:t>91</w:t>
            </w:r>
          </w:p>
        </w:tc>
      </w:tr>
      <w:tr w:rsidR="00B33542" w:rsidRPr="005071A1" w14:paraId="28BE7DE2" w14:textId="77777777" w:rsidTr="00DA469E">
        <w:tblPrEx>
          <w:tblCellMar>
            <w:left w:w="0" w:type="dxa"/>
            <w:right w:w="0" w:type="dxa"/>
          </w:tblCellMar>
        </w:tblPrEx>
        <w:tc>
          <w:tcPr>
            <w:tcW w:w="1276" w:type="dxa"/>
          </w:tcPr>
          <w:p w14:paraId="0DADA02E" w14:textId="77777777" w:rsidR="00B33542" w:rsidRPr="005071A1" w:rsidRDefault="00B33542" w:rsidP="009B7AF5">
            <w:pPr>
              <w:pStyle w:val="ENoteTableText"/>
            </w:pPr>
            <w:r w:rsidRPr="005071A1">
              <w:t>60AE</w:t>
            </w:r>
          </w:p>
        </w:tc>
        <w:tc>
          <w:tcPr>
            <w:tcW w:w="1418" w:type="dxa"/>
          </w:tcPr>
          <w:p w14:paraId="58E6C91F" w14:textId="77777777" w:rsidR="00B33542" w:rsidRPr="005071A1" w:rsidRDefault="00B33542" w:rsidP="009B7AF5">
            <w:pPr>
              <w:pStyle w:val="ENoteTableText"/>
            </w:pPr>
            <w:r w:rsidRPr="005071A1">
              <w:t>92</w:t>
            </w:r>
          </w:p>
        </w:tc>
      </w:tr>
      <w:tr w:rsidR="00B33542" w:rsidRPr="005071A1" w14:paraId="00CA1F48" w14:textId="77777777" w:rsidTr="00DA469E">
        <w:tblPrEx>
          <w:tblCellMar>
            <w:left w:w="0" w:type="dxa"/>
            <w:right w:w="0" w:type="dxa"/>
          </w:tblCellMar>
        </w:tblPrEx>
        <w:tc>
          <w:tcPr>
            <w:tcW w:w="1276" w:type="dxa"/>
          </w:tcPr>
          <w:p w14:paraId="2EF015DA" w14:textId="77777777" w:rsidR="00B33542" w:rsidRPr="005071A1" w:rsidRDefault="00B33542" w:rsidP="009B7AF5">
            <w:pPr>
              <w:pStyle w:val="ENoteTableText"/>
            </w:pPr>
            <w:r w:rsidRPr="005071A1">
              <w:t>60AEA</w:t>
            </w:r>
          </w:p>
        </w:tc>
        <w:tc>
          <w:tcPr>
            <w:tcW w:w="1418" w:type="dxa"/>
          </w:tcPr>
          <w:p w14:paraId="4B83225D" w14:textId="77777777" w:rsidR="00B33542" w:rsidRPr="005071A1" w:rsidRDefault="00B33542" w:rsidP="009B7AF5">
            <w:pPr>
              <w:pStyle w:val="ENoteTableText"/>
            </w:pPr>
            <w:r w:rsidRPr="005071A1">
              <w:t>93</w:t>
            </w:r>
          </w:p>
        </w:tc>
      </w:tr>
      <w:tr w:rsidR="00B33542" w:rsidRPr="005071A1" w14:paraId="638ACD6D" w14:textId="77777777" w:rsidTr="00DA469E">
        <w:tblPrEx>
          <w:tblCellMar>
            <w:left w:w="0" w:type="dxa"/>
            <w:right w:w="0" w:type="dxa"/>
          </w:tblCellMar>
        </w:tblPrEx>
        <w:tc>
          <w:tcPr>
            <w:tcW w:w="1276" w:type="dxa"/>
          </w:tcPr>
          <w:p w14:paraId="651ECA4C" w14:textId="77777777" w:rsidR="00B33542" w:rsidRPr="005071A1" w:rsidRDefault="00B33542" w:rsidP="009B7AF5">
            <w:pPr>
              <w:pStyle w:val="ENoteTableText"/>
            </w:pPr>
            <w:r w:rsidRPr="005071A1">
              <w:t>Part IVC</w:t>
            </w:r>
          </w:p>
        </w:tc>
        <w:tc>
          <w:tcPr>
            <w:tcW w:w="1418" w:type="dxa"/>
          </w:tcPr>
          <w:p w14:paraId="6943A7D7" w14:textId="77777777" w:rsidR="00B33542" w:rsidRPr="005071A1" w:rsidRDefault="00B33542" w:rsidP="009B7AF5">
            <w:pPr>
              <w:pStyle w:val="ENoteTableText"/>
            </w:pPr>
            <w:r w:rsidRPr="005071A1">
              <w:t>Part VI</w:t>
            </w:r>
          </w:p>
        </w:tc>
      </w:tr>
      <w:tr w:rsidR="00B33542" w:rsidRPr="005071A1" w14:paraId="148AE8F0" w14:textId="77777777" w:rsidTr="00DA469E">
        <w:tblPrEx>
          <w:tblCellMar>
            <w:left w:w="0" w:type="dxa"/>
            <w:right w:w="0" w:type="dxa"/>
          </w:tblCellMar>
        </w:tblPrEx>
        <w:tc>
          <w:tcPr>
            <w:tcW w:w="1276" w:type="dxa"/>
          </w:tcPr>
          <w:p w14:paraId="5EF7C522" w14:textId="77777777" w:rsidR="00B33542" w:rsidRPr="005071A1" w:rsidRDefault="00B33542" w:rsidP="009B7AF5">
            <w:pPr>
              <w:pStyle w:val="ENoteTableText"/>
            </w:pPr>
            <w:r w:rsidRPr="005071A1">
              <w:t>Section</w:t>
            </w:r>
          </w:p>
        </w:tc>
        <w:tc>
          <w:tcPr>
            <w:tcW w:w="1418" w:type="dxa"/>
          </w:tcPr>
          <w:p w14:paraId="625290D3" w14:textId="77777777" w:rsidR="00B33542" w:rsidRPr="005071A1" w:rsidRDefault="00B33542" w:rsidP="009B7AF5">
            <w:pPr>
              <w:pStyle w:val="ENoteTableText"/>
            </w:pPr>
            <w:r w:rsidRPr="005071A1">
              <w:t>Section</w:t>
            </w:r>
          </w:p>
        </w:tc>
      </w:tr>
      <w:tr w:rsidR="00B33542" w:rsidRPr="005071A1" w14:paraId="65733DDB" w14:textId="77777777" w:rsidTr="00DA469E">
        <w:tblPrEx>
          <w:tblCellMar>
            <w:left w:w="0" w:type="dxa"/>
            <w:right w:w="0" w:type="dxa"/>
          </w:tblCellMar>
        </w:tblPrEx>
        <w:tc>
          <w:tcPr>
            <w:tcW w:w="1276" w:type="dxa"/>
          </w:tcPr>
          <w:p w14:paraId="30170373" w14:textId="77777777" w:rsidR="00B33542" w:rsidRPr="005071A1" w:rsidRDefault="00B33542" w:rsidP="009B7AF5">
            <w:pPr>
              <w:pStyle w:val="ENoteTableText"/>
            </w:pPr>
            <w:r w:rsidRPr="005071A1">
              <w:t>60AF</w:t>
            </w:r>
          </w:p>
        </w:tc>
        <w:tc>
          <w:tcPr>
            <w:tcW w:w="1418" w:type="dxa"/>
          </w:tcPr>
          <w:p w14:paraId="7DEC1875" w14:textId="77777777" w:rsidR="00B33542" w:rsidRPr="005071A1" w:rsidRDefault="00B33542" w:rsidP="009B7AF5">
            <w:pPr>
              <w:pStyle w:val="ENoteTableText"/>
            </w:pPr>
            <w:r w:rsidRPr="005071A1">
              <w:t>94</w:t>
            </w:r>
          </w:p>
        </w:tc>
      </w:tr>
      <w:tr w:rsidR="00B33542" w:rsidRPr="005071A1" w14:paraId="1E1C6953" w14:textId="77777777" w:rsidTr="00DA469E">
        <w:tblPrEx>
          <w:tblCellMar>
            <w:left w:w="0" w:type="dxa"/>
            <w:right w:w="0" w:type="dxa"/>
          </w:tblCellMar>
        </w:tblPrEx>
        <w:tc>
          <w:tcPr>
            <w:tcW w:w="1276" w:type="dxa"/>
          </w:tcPr>
          <w:p w14:paraId="1118F66B" w14:textId="77777777" w:rsidR="00B33542" w:rsidRPr="005071A1" w:rsidRDefault="00B33542" w:rsidP="009B7AF5">
            <w:pPr>
              <w:pStyle w:val="ENoteTableText"/>
            </w:pPr>
            <w:r w:rsidRPr="005071A1">
              <w:t>60AG</w:t>
            </w:r>
          </w:p>
        </w:tc>
        <w:tc>
          <w:tcPr>
            <w:tcW w:w="1418" w:type="dxa"/>
          </w:tcPr>
          <w:p w14:paraId="05B22404" w14:textId="77777777" w:rsidR="00B33542" w:rsidRPr="005071A1" w:rsidRDefault="00B33542" w:rsidP="009B7AF5">
            <w:pPr>
              <w:pStyle w:val="ENoteTableText"/>
            </w:pPr>
            <w:r w:rsidRPr="005071A1">
              <w:t>95</w:t>
            </w:r>
          </w:p>
        </w:tc>
      </w:tr>
      <w:tr w:rsidR="00B33542" w:rsidRPr="005071A1" w14:paraId="160226F6" w14:textId="77777777" w:rsidTr="00DA469E">
        <w:tblPrEx>
          <w:tblCellMar>
            <w:left w:w="0" w:type="dxa"/>
            <w:right w:w="0" w:type="dxa"/>
          </w:tblCellMar>
        </w:tblPrEx>
        <w:tc>
          <w:tcPr>
            <w:tcW w:w="1276" w:type="dxa"/>
          </w:tcPr>
          <w:p w14:paraId="43014DA6" w14:textId="77777777" w:rsidR="00B33542" w:rsidRPr="005071A1" w:rsidRDefault="00B33542" w:rsidP="009B7AF5">
            <w:pPr>
              <w:pStyle w:val="ENoteTableText"/>
            </w:pPr>
            <w:r w:rsidRPr="005071A1">
              <w:t>60AH</w:t>
            </w:r>
          </w:p>
        </w:tc>
        <w:tc>
          <w:tcPr>
            <w:tcW w:w="1418" w:type="dxa"/>
          </w:tcPr>
          <w:p w14:paraId="240CB17F" w14:textId="77777777" w:rsidR="00B33542" w:rsidRPr="005071A1" w:rsidRDefault="00B33542" w:rsidP="009B7AF5">
            <w:pPr>
              <w:pStyle w:val="ENoteTableText"/>
            </w:pPr>
            <w:r w:rsidRPr="005071A1">
              <w:t>96</w:t>
            </w:r>
          </w:p>
        </w:tc>
      </w:tr>
      <w:tr w:rsidR="00B33542" w:rsidRPr="005071A1" w14:paraId="0813F0F1" w14:textId="77777777" w:rsidTr="00DA469E">
        <w:tblPrEx>
          <w:tblCellMar>
            <w:left w:w="0" w:type="dxa"/>
            <w:right w:w="0" w:type="dxa"/>
          </w:tblCellMar>
        </w:tblPrEx>
        <w:tc>
          <w:tcPr>
            <w:tcW w:w="1276" w:type="dxa"/>
          </w:tcPr>
          <w:p w14:paraId="6B9D6C54" w14:textId="77777777" w:rsidR="00B33542" w:rsidRPr="005071A1" w:rsidRDefault="00B33542" w:rsidP="009B7AF5">
            <w:pPr>
              <w:pStyle w:val="ENoteTableText"/>
            </w:pPr>
            <w:r w:rsidRPr="005071A1">
              <w:t>60AJ</w:t>
            </w:r>
          </w:p>
        </w:tc>
        <w:tc>
          <w:tcPr>
            <w:tcW w:w="1418" w:type="dxa"/>
          </w:tcPr>
          <w:p w14:paraId="1151BEDD" w14:textId="77777777" w:rsidR="00B33542" w:rsidRPr="005071A1" w:rsidRDefault="00B33542" w:rsidP="009B7AF5">
            <w:pPr>
              <w:pStyle w:val="ENoteTableText"/>
            </w:pPr>
            <w:r w:rsidRPr="005071A1">
              <w:t>97</w:t>
            </w:r>
          </w:p>
        </w:tc>
      </w:tr>
      <w:tr w:rsidR="00B33542" w:rsidRPr="005071A1" w14:paraId="4D030E8A" w14:textId="77777777" w:rsidTr="00DA469E">
        <w:tblPrEx>
          <w:tblCellMar>
            <w:left w:w="0" w:type="dxa"/>
            <w:right w:w="0" w:type="dxa"/>
          </w:tblCellMar>
        </w:tblPrEx>
        <w:tc>
          <w:tcPr>
            <w:tcW w:w="1276" w:type="dxa"/>
          </w:tcPr>
          <w:p w14:paraId="000EFA10" w14:textId="77777777" w:rsidR="00B33542" w:rsidRPr="005071A1" w:rsidRDefault="00B33542" w:rsidP="009B7AF5">
            <w:pPr>
              <w:pStyle w:val="ENoteTableText"/>
            </w:pPr>
            <w:r w:rsidRPr="005071A1">
              <w:t>60AK</w:t>
            </w:r>
          </w:p>
        </w:tc>
        <w:tc>
          <w:tcPr>
            <w:tcW w:w="1418" w:type="dxa"/>
          </w:tcPr>
          <w:p w14:paraId="599BE73E" w14:textId="77777777" w:rsidR="00B33542" w:rsidRPr="005071A1" w:rsidRDefault="00B33542" w:rsidP="009B7AF5">
            <w:pPr>
              <w:pStyle w:val="ENoteTableText"/>
            </w:pPr>
            <w:r w:rsidRPr="005071A1">
              <w:t>98</w:t>
            </w:r>
          </w:p>
        </w:tc>
      </w:tr>
      <w:tr w:rsidR="00B33542" w:rsidRPr="005071A1" w14:paraId="02AC064A" w14:textId="77777777" w:rsidTr="00DA469E">
        <w:tblPrEx>
          <w:tblCellMar>
            <w:left w:w="0" w:type="dxa"/>
            <w:right w:w="0" w:type="dxa"/>
          </w:tblCellMar>
        </w:tblPrEx>
        <w:tc>
          <w:tcPr>
            <w:tcW w:w="1276" w:type="dxa"/>
          </w:tcPr>
          <w:p w14:paraId="0951A385" w14:textId="77777777" w:rsidR="00B33542" w:rsidRPr="005071A1" w:rsidRDefault="00B33542" w:rsidP="009B7AF5">
            <w:pPr>
              <w:pStyle w:val="ENoteTableText"/>
            </w:pPr>
            <w:r w:rsidRPr="005071A1">
              <w:t>60AL</w:t>
            </w:r>
          </w:p>
        </w:tc>
        <w:tc>
          <w:tcPr>
            <w:tcW w:w="1418" w:type="dxa"/>
          </w:tcPr>
          <w:p w14:paraId="1BFAE190" w14:textId="77777777" w:rsidR="00B33542" w:rsidRPr="005071A1" w:rsidRDefault="00B33542" w:rsidP="009B7AF5">
            <w:pPr>
              <w:pStyle w:val="ENoteTableText"/>
            </w:pPr>
            <w:r w:rsidRPr="005071A1">
              <w:t>99</w:t>
            </w:r>
          </w:p>
        </w:tc>
      </w:tr>
      <w:tr w:rsidR="00B33542" w:rsidRPr="005071A1" w14:paraId="73BB7E9A" w14:textId="77777777" w:rsidTr="00DA469E">
        <w:tblPrEx>
          <w:tblCellMar>
            <w:left w:w="0" w:type="dxa"/>
            <w:right w:w="0" w:type="dxa"/>
          </w:tblCellMar>
        </w:tblPrEx>
        <w:tc>
          <w:tcPr>
            <w:tcW w:w="1276" w:type="dxa"/>
          </w:tcPr>
          <w:p w14:paraId="1C7A0878" w14:textId="77777777" w:rsidR="00B33542" w:rsidRPr="005071A1" w:rsidRDefault="00B33542" w:rsidP="009B7AF5">
            <w:pPr>
              <w:pStyle w:val="ENoteTableText"/>
            </w:pPr>
            <w:r w:rsidRPr="005071A1">
              <w:t>60AM</w:t>
            </w:r>
          </w:p>
        </w:tc>
        <w:tc>
          <w:tcPr>
            <w:tcW w:w="1418" w:type="dxa"/>
          </w:tcPr>
          <w:p w14:paraId="10A3B74B" w14:textId="77777777" w:rsidR="00B33542" w:rsidRPr="005071A1" w:rsidRDefault="00B33542" w:rsidP="009B7AF5">
            <w:pPr>
              <w:pStyle w:val="ENoteTableText"/>
            </w:pPr>
            <w:r w:rsidRPr="005071A1">
              <w:t>100</w:t>
            </w:r>
          </w:p>
        </w:tc>
      </w:tr>
      <w:tr w:rsidR="00B33542" w:rsidRPr="005071A1" w14:paraId="399E9121" w14:textId="77777777" w:rsidTr="00DA469E">
        <w:tblPrEx>
          <w:tblCellMar>
            <w:left w:w="0" w:type="dxa"/>
            <w:right w:w="0" w:type="dxa"/>
          </w:tblCellMar>
        </w:tblPrEx>
        <w:tc>
          <w:tcPr>
            <w:tcW w:w="1276" w:type="dxa"/>
          </w:tcPr>
          <w:p w14:paraId="7AF4C949" w14:textId="77777777" w:rsidR="00B33542" w:rsidRPr="005071A1" w:rsidRDefault="00B33542" w:rsidP="009B7AF5">
            <w:pPr>
              <w:pStyle w:val="ENoteTableText"/>
            </w:pPr>
            <w:r w:rsidRPr="005071A1">
              <w:t>Part IVD</w:t>
            </w:r>
          </w:p>
        </w:tc>
        <w:tc>
          <w:tcPr>
            <w:tcW w:w="1418" w:type="dxa"/>
          </w:tcPr>
          <w:p w14:paraId="1BDAF2BA" w14:textId="77777777" w:rsidR="00B33542" w:rsidRPr="005071A1" w:rsidRDefault="00B33542" w:rsidP="009B7AF5">
            <w:pPr>
              <w:pStyle w:val="ENoteTableText"/>
            </w:pPr>
            <w:r w:rsidRPr="005071A1">
              <w:t>Part VII</w:t>
            </w:r>
          </w:p>
        </w:tc>
      </w:tr>
      <w:tr w:rsidR="00B33542" w:rsidRPr="005071A1" w14:paraId="5CBF032D" w14:textId="77777777" w:rsidTr="00DA469E">
        <w:tblPrEx>
          <w:tblCellMar>
            <w:left w:w="0" w:type="dxa"/>
            <w:right w:w="0" w:type="dxa"/>
          </w:tblCellMar>
        </w:tblPrEx>
        <w:tc>
          <w:tcPr>
            <w:tcW w:w="1276" w:type="dxa"/>
          </w:tcPr>
          <w:p w14:paraId="13326460" w14:textId="77777777" w:rsidR="00B33542" w:rsidRPr="005071A1" w:rsidRDefault="00B33542" w:rsidP="009B7AF5">
            <w:pPr>
              <w:pStyle w:val="ENoteTableText"/>
            </w:pPr>
            <w:r w:rsidRPr="005071A1">
              <w:t>Section</w:t>
            </w:r>
          </w:p>
        </w:tc>
        <w:tc>
          <w:tcPr>
            <w:tcW w:w="1418" w:type="dxa"/>
          </w:tcPr>
          <w:p w14:paraId="0F4171FF" w14:textId="77777777" w:rsidR="00B33542" w:rsidRPr="005071A1" w:rsidRDefault="00B33542" w:rsidP="009B7AF5">
            <w:pPr>
              <w:pStyle w:val="ENoteTableText"/>
            </w:pPr>
            <w:r w:rsidRPr="005071A1">
              <w:t>Section</w:t>
            </w:r>
          </w:p>
        </w:tc>
      </w:tr>
      <w:tr w:rsidR="00B33542" w:rsidRPr="005071A1" w14:paraId="72DC27CF" w14:textId="77777777" w:rsidTr="00DA469E">
        <w:tblPrEx>
          <w:tblCellMar>
            <w:left w:w="0" w:type="dxa"/>
            <w:right w:w="0" w:type="dxa"/>
          </w:tblCellMar>
        </w:tblPrEx>
        <w:tc>
          <w:tcPr>
            <w:tcW w:w="1276" w:type="dxa"/>
          </w:tcPr>
          <w:p w14:paraId="26E9B063" w14:textId="77777777" w:rsidR="00B33542" w:rsidRPr="005071A1" w:rsidRDefault="00B33542" w:rsidP="009B7AF5">
            <w:pPr>
              <w:pStyle w:val="ENoteTableText"/>
            </w:pPr>
            <w:r w:rsidRPr="005071A1">
              <w:t>60AN</w:t>
            </w:r>
          </w:p>
        </w:tc>
        <w:tc>
          <w:tcPr>
            <w:tcW w:w="1418" w:type="dxa"/>
          </w:tcPr>
          <w:p w14:paraId="6E20940A" w14:textId="77777777" w:rsidR="00B33542" w:rsidRPr="005071A1" w:rsidRDefault="00B33542" w:rsidP="009B7AF5">
            <w:pPr>
              <w:pStyle w:val="ENoteTableText"/>
            </w:pPr>
            <w:r w:rsidRPr="005071A1">
              <w:t>101</w:t>
            </w:r>
          </w:p>
        </w:tc>
      </w:tr>
      <w:tr w:rsidR="00B33542" w:rsidRPr="005071A1" w14:paraId="37A7DCB6" w14:textId="77777777" w:rsidTr="00DA469E">
        <w:tblPrEx>
          <w:tblCellMar>
            <w:left w:w="0" w:type="dxa"/>
            <w:right w:w="0" w:type="dxa"/>
          </w:tblCellMar>
        </w:tblPrEx>
        <w:tc>
          <w:tcPr>
            <w:tcW w:w="1276" w:type="dxa"/>
          </w:tcPr>
          <w:p w14:paraId="02F02ADC" w14:textId="77777777" w:rsidR="00B33542" w:rsidRPr="005071A1" w:rsidRDefault="00B33542" w:rsidP="009B7AF5">
            <w:pPr>
              <w:pStyle w:val="ENoteTableText"/>
            </w:pPr>
            <w:r w:rsidRPr="005071A1">
              <w:t>60AO</w:t>
            </w:r>
          </w:p>
        </w:tc>
        <w:tc>
          <w:tcPr>
            <w:tcW w:w="1418" w:type="dxa"/>
          </w:tcPr>
          <w:p w14:paraId="52A8FABC" w14:textId="77777777" w:rsidR="00B33542" w:rsidRPr="005071A1" w:rsidRDefault="00B33542" w:rsidP="009B7AF5">
            <w:pPr>
              <w:pStyle w:val="ENoteTableText"/>
            </w:pPr>
            <w:r w:rsidRPr="005071A1">
              <w:t>102</w:t>
            </w:r>
          </w:p>
        </w:tc>
      </w:tr>
      <w:tr w:rsidR="00B33542" w:rsidRPr="005071A1" w14:paraId="5DC8E516" w14:textId="77777777" w:rsidTr="00DA469E">
        <w:tblPrEx>
          <w:tblCellMar>
            <w:left w:w="0" w:type="dxa"/>
            <w:right w:w="0" w:type="dxa"/>
          </w:tblCellMar>
        </w:tblPrEx>
        <w:tc>
          <w:tcPr>
            <w:tcW w:w="1276" w:type="dxa"/>
          </w:tcPr>
          <w:p w14:paraId="3DCAF780" w14:textId="77777777" w:rsidR="00B33542" w:rsidRPr="005071A1" w:rsidRDefault="00B33542" w:rsidP="009B7AF5">
            <w:pPr>
              <w:pStyle w:val="ENoteTableText"/>
            </w:pPr>
            <w:r w:rsidRPr="005071A1">
              <w:t>60AP</w:t>
            </w:r>
          </w:p>
        </w:tc>
        <w:tc>
          <w:tcPr>
            <w:tcW w:w="1418" w:type="dxa"/>
          </w:tcPr>
          <w:p w14:paraId="2E85CAFC" w14:textId="77777777" w:rsidR="00B33542" w:rsidRPr="005071A1" w:rsidRDefault="00B33542" w:rsidP="009B7AF5">
            <w:pPr>
              <w:pStyle w:val="ENoteTableText"/>
            </w:pPr>
            <w:r w:rsidRPr="005071A1">
              <w:t>103</w:t>
            </w:r>
          </w:p>
        </w:tc>
      </w:tr>
      <w:tr w:rsidR="00B33542" w:rsidRPr="005071A1" w14:paraId="4F969983" w14:textId="77777777" w:rsidTr="00DA469E">
        <w:tblPrEx>
          <w:tblCellMar>
            <w:left w:w="0" w:type="dxa"/>
            <w:right w:w="0" w:type="dxa"/>
          </w:tblCellMar>
        </w:tblPrEx>
        <w:tc>
          <w:tcPr>
            <w:tcW w:w="1276" w:type="dxa"/>
          </w:tcPr>
          <w:p w14:paraId="7F095807" w14:textId="77777777" w:rsidR="00B33542" w:rsidRPr="005071A1" w:rsidRDefault="00B33542" w:rsidP="009B7AF5">
            <w:pPr>
              <w:pStyle w:val="ENoteTableText"/>
            </w:pPr>
            <w:r w:rsidRPr="005071A1">
              <w:t>60AQ</w:t>
            </w:r>
          </w:p>
        </w:tc>
        <w:tc>
          <w:tcPr>
            <w:tcW w:w="1418" w:type="dxa"/>
          </w:tcPr>
          <w:p w14:paraId="2482F8FC" w14:textId="77777777" w:rsidR="00B33542" w:rsidRPr="005071A1" w:rsidRDefault="00B33542" w:rsidP="009B7AF5">
            <w:pPr>
              <w:pStyle w:val="ENoteTableText"/>
            </w:pPr>
            <w:r w:rsidRPr="005071A1">
              <w:t>104</w:t>
            </w:r>
          </w:p>
        </w:tc>
      </w:tr>
      <w:tr w:rsidR="00B33542" w:rsidRPr="005071A1" w14:paraId="7B88931A" w14:textId="77777777" w:rsidTr="00DA469E">
        <w:tblPrEx>
          <w:tblCellMar>
            <w:left w:w="0" w:type="dxa"/>
            <w:right w:w="0" w:type="dxa"/>
          </w:tblCellMar>
        </w:tblPrEx>
        <w:tc>
          <w:tcPr>
            <w:tcW w:w="1276" w:type="dxa"/>
          </w:tcPr>
          <w:p w14:paraId="5F8C18BF" w14:textId="77777777" w:rsidR="00B33542" w:rsidRPr="005071A1" w:rsidRDefault="00B33542" w:rsidP="009B7AF5">
            <w:pPr>
              <w:pStyle w:val="ENoteTableText"/>
            </w:pPr>
            <w:r w:rsidRPr="005071A1">
              <w:t>60AR</w:t>
            </w:r>
          </w:p>
        </w:tc>
        <w:tc>
          <w:tcPr>
            <w:tcW w:w="1418" w:type="dxa"/>
          </w:tcPr>
          <w:p w14:paraId="1C9E2F48" w14:textId="77777777" w:rsidR="00B33542" w:rsidRPr="005071A1" w:rsidRDefault="00B33542" w:rsidP="009B7AF5">
            <w:pPr>
              <w:pStyle w:val="ENoteTableText"/>
            </w:pPr>
            <w:r w:rsidRPr="005071A1">
              <w:t>105</w:t>
            </w:r>
          </w:p>
        </w:tc>
      </w:tr>
      <w:tr w:rsidR="00B33542" w:rsidRPr="005071A1" w14:paraId="2B35D554" w14:textId="77777777" w:rsidTr="00DA469E">
        <w:tblPrEx>
          <w:tblCellMar>
            <w:left w:w="0" w:type="dxa"/>
            <w:right w:w="0" w:type="dxa"/>
          </w:tblCellMar>
        </w:tblPrEx>
        <w:tc>
          <w:tcPr>
            <w:tcW w:w="1276" w:type="dxa"/>
          </w:tcPr>
          <w:p w14:paraId="41804442" w14:textId="77777777" w:rsidR="00B33542" w:rsidRPr="005071A1" w:rsidRDefault="00B33542" w:rsidP="009B7AF5">
            <w:pPr>
              <w:pStyle w:val="ENoteTableText"/>
            </w:pPr>
            <w:r w:rsidRPr="005071A1">
              <w:t>60AS</w:t>
            </w:r>
          </w:p>
        </w:tc>
        <w:tc>
          <w:tcPr>
            <w:tcW w:w="1418" w:type="dxa"/>
          </w:tcPr>
          <w:p w14:paraId="70C75C89" w14:textId="77777777" w:rsidR="00B33542" w:rsidRPr="005071A1" w:rsidRDefault="00B33542" w:rsidP="009B7AF5">
            <w:pPr>
              <w:pStyle w:val="ENoteTableText"/>
            </w:pPr>
            <w:r w:rsidRPr="005071A1">
              <w:t>106</w:t>
            </w:r>
          </w:p>
        </w:tc>
      </w:tr>
      <w:tr w:rsidR="00B33542" w:rsidRPr="005071A1" w14:paraId="2EB13851" w14:textId="77777777" w:rsidTr="00DA469E">
        <w:tblPrEx>
          <w:tblCellMar>
            <w:left w:w="0" w:type="dxa"/>
            <w:right w:w="0" w:type="dxa"/>
          </w:tblCellMar>
        </w:tblPrEx>
        <w:tc>
          <w:tcPr>
            <w:tcW w:w="1276" w:type="dxa"/>
          </w:tcPr>
          <w:p w14:paraId="4B45BE2C" w14:textId="77777777" w:rsidR="00B33542" w:rsidRPr="005071A1" w:rsidRDefault="00B33542" w:rsidP="009B7AF5">
            <w:pPr>
              <w:pStyle w:val="ENoteTableText"/>
            </w:pPr>
            <w:r w:rsidRPr="005071A1">
              <w:t>60AT</w:t>
            </w:r>
          </w:p>
        </w:tc>
        <w:tc>
          <w:tcPr>
            <w:tcW w:w="1418" w:type="dxa"/>
          </w:tcPr>
          <w:p w14:paraId="4D9D82D6" w14:textId="77777777" w:rsidR="00B33542" w:rsidRPr="005071A1" w:rsidRDefault="00B33542" w:rsidP="009B7AF5">
            <w:pPr>
              <w:pStyle w:val="ENoteTableText"/>
            </w:pPr>
            <w:r w:rsidRPr="005071A1">
              <w:t>107</w:t>
            </w:r>
          </w:p>
        </w:tc>
      </w:tr>
      <w:tr w:rsidR="00B33542" w:rsidRPr="005071A1" w14:paraId="5354B233" w14:textId="77777777" w:rsidTr="00DA469E">
        <w:tblPrEx>
          <w:tblCellMar>
            <w:left w:w="0" w:type="dxa"/>
            <w:right w:w="0" w:type="dxa"/>
          </w:tblCellMar>
        </w:tblPrEx>
        <w:tc>
          <w:tcPr>
            <w:tcW w:w="1276" w:type="dxa"/>
          </w:tcPr>
          <w:p w14:paraId="5FCA3678" w14:textId="77777777" w:rsidR="00B33542" w:rsidRPr="005071A1" w:rsidRDefault="00B33542" w:rsidP="009B7AF5">
            <w:pPr>
              <w:pStyle w:val="ENoteTableText"/>
            </w:pPr>
            <w:r w:rsidRPr="005071A1">
              <w:t>Part IVE</w:t>
            </w:r>
          </w:p>
        </w:tc>
        <w:tc>
          <w:tcPr>
            <w:tcW w:w="1418" w:type="dxa"/>
          </w:tcPr>
          <w:p w14:paraId="6B987887" w14:textId="77777777" w:rsidR="00B33542" w:rsidRPr="005071A1" w:rsidRDefault="00B33542" w:rsidP="009B7AF5">
            <w:pPr>
              <w:pStyle w:val="ENoteTableText"/>
            </w:pPr>
            <w:r w:rsidRPr="005071A1">
              <w:t>Part VIII</w:t>
            </w:r>
          </w:p>
        </w:tc>
      </w:tr>
      <w:tr w:rsidR="00B33542" w:rsidRPr="005071A1" w14:paraId="7AE23E57" w14:textId="77777777" w:rsidTr="00DA469E">
        <w:tblPrEx>
          <w:tblCellMar>
            <w:left w:w="0" w:type="dxa"/>
            <w:right w:w="0" w:type="dxa"/>
          </w:tblCellMar>
        </w:tblPrEx>
        <w:tc>
          <w:tcPr>
            <w:tcW w:w="1276" w:type="dxa"/>
          </w:tcPr>
          <w:p w14:paraId="734542BD" w14:textId="77777777" w:rsidR="00B33542" w:rsidRPr="005071A1" w:rsidRDefault="00B33542" w:rsidP="009B7AF5">
            <w:pPr>
              <w:pStyle w:val="ENoteTableText"/>
            </w:pPr>
            <w:r w:rsidRPr="005071A1">
              <w:t>Section</w:t>
            </w:r>
          </w:p>
        </w:tc>
        <w:tc>
          <w:tcPr>
            <w:tcW w:w="1418" w:type="dxa"/>
          </w:tcPr>
          <w:p w14:paraId="431E424C" w14:textId="77777777" w:rsidR="00B33542" w:rsidRPr="005071A1" w:rsidRDefault="00B33542" w:rsidP="009B7AF5">
            <w:pPr>
              <w:pStyle w:val="ENoteTableText"/>
            </w:pPr>
            <w:r w:rsidRPr="005071A1">
              <w:t>Section</w:t>
            </w:r>
          </w:p>
        </w:tc>
      </w:tr>
      <w:tr w:rsidR="00B33542" w:rsidRPr="005071A1" w14:paraId="3F25BB3E" w14:textId="77777777" w:rsidTr="00DA469E">
        <w:tblPrEx>
          <w:tblCellMar>
            <w:left w:w="0" w:type="dxa"/>
            <w:right w:w="0" w:type="dxa"/>
          </w:tblCellMar>
        </w:tblPrEx>
        <w:tc>
          <w:tcPr>
            <w:tcW w:w="1276" w:type="dxa"/>
          </w:tcPr>
          <w:p w14:paraId="547E7C8D" w14:textId="77777777" w:rsidR="00B33542" w:rsidRPr="005071A1" w:rsidRDefault="00B33542" w:rsidP="009B7AF5">
            <w:pPr>
              <w:pStyle w:val="ENoteTableText"/>
            </w:pPr>
            <w:r w:rsidRPr="005071A1">
              <w:t>60AU</w:t>
            </w:r>
          </w:p>
        </w:tc>
        <w:tc>
          <w:tcPr>
            <w:tcW w:w="1418" w:type="dxa"/>
          </w:tcPr>
          <w:p w14:paraId="137D0B43" w14:textId="77777777" w:rsidR="00B33542" w:rsidRPr="005071A1" w:rsidRDefault="00B33542" w:rsidP="009B7AF5">
            <w:pPr>
              <w:pStyle w:val="ENoteTableText"/>
            </w:pPr>
            <w:r w:rsidRPr="005071A1">
              <w:t>108</w:t>
            </w:r>
          </w:p>
        </w:tc>
      </w:tr>
      <w:tr w:rsidR="00B33542" w:rsidRPr="005071A1" w14:paraId="346D9F6D" w14:textId="77777777" w:rsidTr="00DA469E">
        <w:tblPrEx>
          <w:tblCellMar>
            <w:left w:w="0" w:type="dxa"/>
            <w:right w:w="0" w:type="dxa"/>
          </w:tblCellMar>
        </w:tblPrEx>
        <w:tc>
          <w:tcPr>
            <w:tcW w:w="1276" w:type="dxa"/>
          </w:tcPr>
          <w:p w14:paraId="258D1251" w14:textId="77777777" w:rsidR="00B33542" w:rsidRPr="005071A1" w:rsidRDefault="00B33542" w:rsidP="009B7AF5">
            <w:pPr>
              <w:pStyle w:val="ENoteTableText"/>
            </w:pPr>
            <w:r w:rsidRPr="005071A1">
              <w:t>60AV</w:t>
            </w:r>
          </w:p>
        </w:tc>
        <w:tc>
          <w:tcPr>
            <w:tcW w:w="1418" w:type="dxa"/>
          </w:tcPr>
          <w:p w14:paraId="30046A45" w14:textId="77777777" w:rsidR="00B33542" w:rsidRPr="005071A1" w:rsidRDefault="00B33542" w:rsidP="009B7AF5">
            <w:pPr>
              <w:pStyle w:val="ENoteTableText"/>
            </w:pPr>
            <w:r w:rsidRPr="005071A1">
              <w:t>109</w:t>
            </w:r>
          </w:p>
        </w:tc>
      </w:tr>
      <w:tr w:rsidR="00B33542" w:rsidRPr="005071A1" w14:paraId="0BCD857E" w14:textId="77777777" w:rsidTr="00DA469E">
        <w:tblPrEx>
          <w:tblCellMar>
            <w:left w:w="0" w:type="dxa"/>
            <w:right w:w="0" w:type="dxa"/>
          </w:tblCellMar>
        </w:tblPrEx>
        <w:tc>
          <w:tcPr>
            <w:tcW w:w="1276" w:type="dxa"/>
          </w:tcPr>
          <w:p w14:paraId="6C89E193" w14:textId="77777777" w:rsidR="00B33542" w:rsidRPr="005071A1" w:rsidRDefault="00B33542" w:rsidP="009B7AF5">
            <w:pPr>
              <w:pStyle w:val="ENoteTableText"/>
            </w:pPr>
            <w:r w:rsidRPr="005071A1">
              <w:t>Part IVF</w:t>
            </w:r>
          </w:p>
        </w:tc>
        <w:tc>
          <w:tcPr>
            <w:tcW w:w="1418" w:type="dxa"/>
          </w:tcPr>
          <w:p w14:paraId="009FC176" w14:textId="77777777" w:rsidR="00B33542" w:rsidRPr="005071A1" w:rsidRDefault="00B33542" w:rsidP="009B7AF5">
            <w:pPr>
              <w:pStyle w:val="ENoteTableText"/>
            </w:pPr>
            <w:r w:rsidRPr="005071A1">
              <w:t>Part IX</w:t>
            </w:r>
          </w:p>
        </w:tc>
      </w:tr>
      <w:tr w:rsidR="00B33542" w:rsidRPr="005071A1" w14:paraId="42606522" w14:textId="77777777" w:rsidTr="00DA469E">
        <w:tblPrEx>
          <w:tblCellMar>
            <w:left w:w="0" w:type="dxa"/>
            <w:right w:w="0" w:type="dxa"/>
          </w:tblCellMar>
        </w:tblPrEx>
        <w:tc>
          <w:tcPr>
            <w:tcW w:w="1276" w:type="dxa"/>
          </w:tcPr>
          <w:p w14:paraId="6686DA09" w14:textId="77777777" w:rsidR="00B33542" w:rsidRPr="005071A1" w:rsidRDefault="00B33542" w:rsidP="009B7AF5">
            <w:pPr>
              <w:pStyle w:val="ENoteTableText"/>
            </w:pPr>
            <w:r w:rsidRPr="005071A1">
              <w:t>Section</w:t>
            </w:r>
          </w:p>
        </w:tc>
        <w:tc>
          <w:tcPr>
            <w:tcW w:w="1418" w:type="dxa"/>
          </w:tcPr>
          <w:p w14:paraId="5E677780" w14:textId="77777777" w:rsidR="00B33542" w:rsidRPr="005071A1" w:rsidRDefault="00B33542" w:rsidP="009B7AF5">
            <w:pPr>
              <w:pStyle w:val="ENoteTableText"/>
            </w:pPr>
            <w:r w:rsidRPr="005071A1">
              <w:t>Section</w:t>
            </w:r>
          </w:p>
        </w:tc>
      </w:tr>
      <w:tr w:rsidR="00B33542" w:rsidRPr="005071A1" w14:paraId="3AD0CFBF" w14:textId="77777777" w:rsidTr="00DA469E">
        <w:tblPrEx>
          <w:tblCellMar>
            <w:left w:w="0" w:type="dxa"/>
            <w:right w:w="0" w:type="dxa"/>
          </w:tblCellMar>
        </w:tblPrEx>
        <w:tc>
          <w:tcPr>
            <w:tcW w:w="1276" w:type="dxa"/>
          </w:tcPr>
          <w:p w14:paraId="071497F5" w14:textId="77777777" w:rsidR="00B33542" w:rsidRPr="005071A1" w:rsidRDefault="00B33542" w:rsidP="009B7AF5">
            <w:pPr>
              <w:pStyle w:val="ENoteTableText"/>
            </w:pPr>
            <w:r w:rsidRPr="005071A1">
              <w:t>60AW</w:t>
            </w:r>
          </w:p>
        </w:tc>
        <w:tc>
          <w:tcPr>
            <w:tcW w:w="1418" w:type="dxa"/>
          </w:tcPr>
          <w:p w14:paraId="3C1633DF" w14:textId="77777777" w:rsidR="00B33542" w:rsidRPr="005071A1" w:rsidRDefault="00B33542" w:rsidP="009B7AF5">
            <w:pPr>
              <w:pStyle w:val="ENoteTableText"/>
            </w:pPr>
            <w:r w:rsidRPr="005071A1">
              <w:t>110</w:t>
            </w:r>
          </w:p>
        </w:tc>
      </w:tr>
      <w:tr w:rsidR="00B33542" w:rsidRPr="005071A1" w14:paraId="03B1D17B" w14:textId="77777777" w:rsidTr="00DA469E">
        <w:tblPrEx>
          <w:tblCellMar>
            <w:left w:w="0" w:type="dxa"/>
            <w:right w:w="0" w:type="dxa"/>
          </w:tblCellMar>
        </w:tblPrEx>
        <w:tc>
          <w:tcPr>
            <w:tcW w:w="1276" w:type="dxa"/>
          </w:tcPr>
          <w:p w14:paraId="77BEB524" w14:textId="77777777" w:rsidR="00B33542" w:rsidRPr="005071A1" w:rsidRDefault="00B33542" w:rsidP="009B7AF5">
            <w:pPr>
              <w:pStyle w:val="ENoteTableText"/>
            </w:pPr>
            <w:r w:rsidRPr="005071A1">
              <w:t>60AX</w:t>
            </w:r>
          </w:p>
        </w:tc>
        <w:tc>
          <w:tcPr>
            <w:tcW w:w="1418" w:type="dxa"/>
          </w:tcPr>
          <w:p w14:paraId="6A380F5A" w14:textId="77777777" w:rsidR="00B33542" w:rsidRPr="005071A1" w:rsidRDefault="00B33542" w:rsidP="009B7AF5">
            <w:pPr>
              <w:pStyle w:val="ENoteTableText"/>
            </w:pPr>
            <w:r w:rsidRPr="005071A1">
              <w:t>111</w:t>
            </w:r>
          </w:p>
        </w:tc>
      </w:tr>
      <w:tr w:rsidR="00B33542" w:rsidRPr="005071A1" w14:paraId="339D68C5" w14:textId="77777777" w:rsidTr="00DA469E">
        <w:tblPrEx>
          <w:tblCellMar>
            <w:left w:w="0" w:type="dxa"/>
            <w:right w:w="0" w:type="dxa"/>
          </w:tblCellMar>
        </w:tblPrEx>
        <w:tc>
          <w:tcPr>
            <w:tcW w:w="1276" w:type="dxa"/>
          </w:tcPr>
          <w:p w14:paraId="57BE10BB" w14:textId="77777777" w:rsidR="00B33542" w:rsidRPr="005071A1" w:rsidRDefault="00B33542" w:rsidP="009B7AF5">
            <w:pPr>
              <w:pStyle w:val="ENoteTableText"/>
            </w:pPr>
            <w:r w:rsidRPr="005071A1">
              <w:t>60AY</w:t>
            </w:r>
          </w:p>
        </w:tc>
        <w:tc>
          <w:tcPr>
            <w:tcW w:w="1418" w:type="dxa"/>
          </w:tcPr>
          <w:p w14:paraId="3194C6DA" w14:textId="77777777" w:rsidR="00B33542" w:rsidRPr="005071A1" w:rsidRDefault="00B33542" w:rsidP="009B7AF5">
            <w:pPr>
              <w:pStyle w:val="ENoteTableText"/>
            </w:pPr>
            <w:r w:rsidRPr="005071A1">
              <w:t>112</w:t>
            </w:r>
          </w:p>
        </w:tc>
      </w:tr>
      <w:tr w:rsidR="00B33542" w:rsidRPr="005071A1" w14:paraId="52B396FF" w14:textId="77777777" w:rsidTr="00DA469E">
        <w:tblPrEx>
          <w:tblCellMar>
            <w:left w:w="0" w:type="dxa"/>
            <w:right w:w="0" w:type="dxa"/>
          </w:tblCellMar>
        </w:tblPrEx>
        <w:tc>
          <w:tcPr>
            <w:tcW w:w="1276" w:type="dxa"/>
          </w:tcPr>
          <w:p w14:paraId="38C923A9" w14:textId="77777777" w:rsidR="00B33542" w:rsidRPr="005071A1" w:rsidRDefault="00B33542" w:rsidP="009B7AF5">
            <w:pPr>
              <w:pStyle w:val="ENoteTableText"/>
            </w:pPr>
            <w:r w:rsidRPr="005071A1">
              <w:t>60AZ</w:t>
            </w:r>
          </w:p>
        </w:tc>
        <w:tc>
          <w:tcPr>
            <w:tcW w:w="1418" w:type="dxa"/>
          </w:tcPr>
          <w:p w14:paraId="1769D8EC" w14:textId="77777777" w:rsidR="00B33542" w:rsidRPr="005071A1" w:rsidRDefault="00B33542" w:rsidP="009B7AF5">
            <w:pPr>
              <w:pStyle w:val="ENoteTableText"/>
            </w:pPr>
            <w:r w:rsidRPr="005071A1">
              <w:t>113</w:t>
            </w:r>
          </w:p>
        </w:tc>
      </w:tr>
      <w:tr w:rsidR="00B33542" w:rsidRPr="005071A1" w14:paraId="353CBEF7" w14:textId="77777777" w:rsidTr="00DA469E">
        <w:tblPrEx>
          <w:tblCellMar>
            <w:left w:w="0" w:type="dxa"/>
            <w:right w:w="0" w:type="dxa"/>
          </w:tblCellMar>
        </w:tblPrEx>
        <w:tc>
          <w:tcPr>
            <w:tcW w:w="1276" w:type="dxa"/>
          </w:tcPr>
          <w:p w14:paraId="4EB4967E" w14:textId="77777777" w:rsidR="00B33542" w:rsidRPr="005071A1" w:rsidRDefault="00B33542" w:rsidP="009B7AF5">
            <w:pPr>
              <w:pStyle w:val="ENoteTableText"/>
            </w:pPr>
            <w:r w:rsidRPr="005071A1">
              <w:t>60AZA</w:t>
            </w:r>
          </w:p>
        </w:tc>
        <w:tc>
          <w:tcPr>
            <w:tcW w:w="1418" w:type="dxa"/>
          </w:tcPr>
          <w:p w14:paraId="00FE4229" w14:textId="77777777" w:rsidR="00B33542" w:rsidRPr="005071A1" w:rsidRDefault="00B33542" w:rsidP="009B7AF5">
            <w:pPr>
              <w:pStyle w:val="ENoteTableText"/>
            </w:pPr>
            <w:r w:rsidRPr="005071A1">
              <w:t>114</w:t>
            </w:r>
          </w:p>
        </w:tc>
      </w:tr>
      <w:tr w:rsidR="00B33542" w:rsidRPr="005071A1" w14:paraId="6888A71F" w14:textId="77777777" w:rsidTr="00DA469E">
        <w:tblPrEx>
          <w:tblCellMar>
            <w:left w:w="0" w:type="dxa"/>
            <w:right w:w="0" w:type="dxa"/>
          </w:tblCellMar>
        </w:tblPrEx>
        <w:tc>
          <w:tcPr>
            <w:tcW w:w="1276" w:type="dxa"/>
          </w:tcPr>
          <w:p w14:paraId="7676D9AD" w14:textId="77777777" w:rsidR="00B33542" w:rsidRPr="005071A1" w:rsidRDefault="00B33542" w:rsidP="009B7AF5">
            <w:pPr>
              <w:pStyle w:val="ENoteTableText"/>
            </w:pPr>
            <w:r w:rsidRPr="005071A1">
              <w:t>60AZB</w:t>
            </w:r>
          </w:p>
        </w:tc>
        <w:tc>
          <w:tcPr>
            <w:tcW w:w="1418" w:type="dxa"/>
          </w:tcPr>
          <w:p w14:paraId="4889C649" w14:textId="77777777" w:rsidR="00B33542" w:rsidRPr="005071A1" w:rsidRDefault="00B33542" w:rsidP="009B7AF5">
            <w:pPr>
              <w:pStyle w:val="ENoteTableText"/>
            </w:pPr>
            <w:r w:rsidRPr="005071A1">
              <w:t>115</w:t>
            </w:r>
          </w:p>
        </w:tc>
      </w:tr>
      <w:tr w:rsidR="00B33542" w:rsidRPr="005071A1" w14:paraId="7E24A6C2" w14:textId="77777777" w:rsidTr="00DA469E">
        <w:tblPrEx>
          <w:tblCellMar>
            <w:left w:w="0" w:type="dxa"/>
            <w:right w:w="0" w:type="dxa"/>
          </w:tblCellMar>
        </w:tblPrEx>
        <w:tc>
          <w:tcPr>
            <w:tcW w:w="1276" w:type="dxa"/>
          </w:tcPr>
          <w:p w14:paraId="5D8050D6" w14:textId="77777777" w:rsidR="00B33542" w:rsidRPr="005071A1" w:rsidRDefault="00B33542" w:rsidP="009B7AF5">
            <w:pPr>
              <w:pStyle w:val="ENoteTableText"/>
            </w:pPr>
            <w:r w:rsidRPr="005071A1">
              <w:t>Part IVG</w:t>
            </w:r>
          </w:p>
        </w:tc>
        <w:tc>
          <w:tcPr>
            <w:tcW w:w="1418" w:type="dxa"/>
          </w:tcPr>
          <w:p w14:paraId="1EAA1642" w14:textId="77777777" w:rsidR="00B33542" w:rsidRPr="005071A1" w:rsidRDefault="00B33542" w:rsidP="009B7AF5">
            <w:pPr>
              <w:pStyle w:val="ENoteTableText"/>
            </w:pPr>
            <w:r w:rsidRPr="005071A1">
              <w:t>Part X</w:t>
            </w:r>
          </w:p>
        </w:tc>
      </w:tr>
      <w:tr w:rsidR="00B33542" w:rsidRPr="005071A1" w14:paraId="7A220592" w14:textId="77777777" w:rsidTr="00DA469E">
        <w:tblPrEx>
          <w:tblCellMar>
            <w:left w:w="0" w:type="dxa"/>
            <w:right w:w="0" w:type="dxa"/>
          </w:tblCellMar>
        </w:tblPrEx>
        <w:tc>
          <w:tcPr>
            <w:tcW w:w="1276" w:type="dxa"/>
          </w:tcPr>
          <w:p w14:paraId="5F1E56F0" w14:textId="77777777" w:rsidR="00B33542" w:rsidRPr="005071A1" w:rsidRDefault="00B33542" w:rsidP="009B7AF5">
            <w:pPr>
              <w:pStyle w:val="ENoteTableText"/>
            </w:pPr>
            <w:r w:rsidRPr="005071A1">
              <w:t>Section</w:t>
            </w:r>
          </w:p>
        </w:tc>
        <w:tc>
          <w:tcPr>
            <w:tcW w:w="1418" w:type="dxa"/>
          </w:tcPr>
          <w:p w14:paraId="29FA15C6" w14:textId="77777777" w:rsidR="00B33542" w:rsidRPr="005071A1" w:rsidRDefault="00B33542" w:rsidP="009B7AF5">
            <w:pPr>
              <w:pStyle w:val="ENoteTableText"/>
            </w:pPr>
            <w:r w:rsidRPr="005071A1">
              <w:t>Section</w:t>
            </w:r>
          </w:p>
        </w:tc>
      </w:tr>
      <w:tr w:rsidR="00B33542" w:rsidRPr="005071A1" w14:paraId="6274FB7E" w14:textId="77777777" w:rsidTr="00DA469E">
        <w:tblPrEx>
          <w:tblCellMar>
            <w:left w:w="0" w:type="dxa"/>
            <w:right w:w="0" w:type="dxa"/>
          </w:tblCellMar>
        </w:tblPrEx>
        <w:tc>
          <w:tcPr>
            <w:tcW w:w="1276" w:type="dxa"/>
          </w:tcPr>
          <w:p w14:paraId="063CBE89" w14:textId="77777777" w:rsidR="00B33542" w:rsidRPr="005071A1" w:rsidRDefault="00B33542" w:rsidP="009B7AF5">
            <w:pPr>
              <w:pStyle w:val="ENoteTableText"/>
            </w:pPr>
            <w:r w:rsidRPr="005071A1">
              <w:t>60AZC</w:t>
            </w:r>
          </w:p>
        </w:tc>
        <w:tc>
          <w:tcPr>
            <w:tcW w:w="1418" w:type="dxa"/>
          </w:tcPr>
          <w:p w14:paraId="6366310F" w14:textId="77777777" w:rsidR="00B33542" w:rsidRPr="005071A1" w:rsidRDefault="00B33542" w:rsidP="009B7AF5">
            <w:pPr>
              <w:pStyle w:val="ENoteTableText"/>
            </w:pPr>
            <w:r w:rsidRPr="005071A1">
              <w:t>116</w:t>
            </w:r>
          </w:p>
        </w:tc>
      </w:tr>
      <w:tr w:rsidR="00B33542" w:rsidRPr="005071A1" w14:paraId="02BA346F" w14:textId="77777777" w:rsidTr="00DA469E">
        <w:tblPrEx>
          <w:tblCellMar>
            <w:left w:w="0" w:type="dxa"/>
            <w:right w:w="0" w:type="dxa"/>
          </w:tblCellMar>
        </w:tblPrEx>
        <w:tc>
          <w:tcPr>
            <w:tcW w:w="1276" w:type="dxa"/>
          </w:tcPr>
          <w:p w14:paraId="3CE0F1F5" w14:textId="77777777" w:rsidR="00B33542" w:rsidRPr="005071A1" w:rsidRDefault="00B33542" w:rsidP="009B7AF5">
            <w:pPr>
              <w:pStyle w:val="ENoteTableText"/>
            </w:pPr>
            <w:r w:rsidRPr="005071A1">
              <w:t>60AZD</w:t>
            </w:r>
          </w:p>
        </w:tc>
        <w:tc>
          <w:tcPr>
            <w:tcW w:w="1418" w:type="dxa"/>
          </w:tcPr>
          <w:p w14:paraId="1CAF0E09" w14:textId="77777777" w:rsidR="00B33542" w:rsidRPr="005071A1" w:rsidRDefault="00B33542" w:rsidP="009B7AF5">
            <w:pPr>
              <w:pStyle w:val="ENoteTableText"/>
            </w:pPr>
            <w:r w:rsidRPr="005071A1">
              <w:t>117</w:t>
            </w:r>
          </w:p>
        </w:tc>
      </w:tr>
      <w:tr w:rsidR="00B33542" w:rsidRPr="005071A1" w14:paraId="70BC282F" w14:textId="77777777" w:rsidTr="00DA469E">
        <w:tblPrEx>
          <w:tblCellMar>
            <w:left w:w="0" w:type="dxa"/>
            <w:right w:w="0" w:type="dxa"/>
          </w:tblCellMar>
        </w:tblPrEx>
        <w:tc>
          <w:tcPr>
            <w:tcW w:w="1276" w:type="dxa"/>
          </w:tcPr>
          <w:p w14:paraId="3C7A2C8A" w14:textId="77777777" w:rsidR="00B33542" w:rsidRPr="005071A1" w:rsidRDefault="00B33542" w:rsidP="009B7AF5">
            <w:pPr>
              <w:pStyle w:val="ENoteTableText"/>
            </w:pPr>
            <w:r w:rsidRPr="005071A1">
              <w:t>60AZE</w:t>
            </w:r>
          </w:p>
        </w:tc>
        <w:tc>
          <w:tcPr>
            <w:tcW w:w="1418" w:type="dxa"/>
          </w:tcPr>
          <w:p w14:paraId="360B760A" w14:textId="77777777" w:rsidR="00B33542" w:rsidRPr="005071A1" w:rsidRDefault="00B33542" w:rsidP="009B7AF5">
            <w:pPr>
              <w:pStyle w:val="ENoteTableText"/>
            </w:pPr>
            <w:r w:rsidRPr="005071A1">
              <w:t>118</w:t>
            </w:r>
          </w:p>
        </w:tc>
      </w:tr>
      <w:tr w:rsidR="00B33542" w:rsidRPr="005071A1" w14:paraId="5921AF6A" w14:textId="77777777" w:rsidTr="00DA469E">
        <w:tblPrEx>
          <w:tblCellMar>
            <w:left w:w="0" w:type="dxa"/>
            <w:right w:w="0" w:type="dxa"/>
          </w:tblCellMar>
        </w:tblPrEx>
        <w:tc>
          <w:tcPr>
            <w:tcW w:w="1276" w:type="dxa"/>
          </w:tcPr>
          <w:p w14:paraId="7D5E8902" w14:textId="77777777" w:rsidR="00B33542" w:rsidRPr="005071A1" w:rsidRDefault="00B33542" w:rsidP="009B7AF5">
            <w:pPr>
              <w:pStyle w:val="ENoteTableText"/>
            </w:pPr>
            <w:r w:rsidRPr="005071A1">
              <w:t>60AZF</w:t>
            </w:r>
          </w:p>
        </w:tc>
        <w:tc>
          <w:tcPr>
            <w:tcW w:w="1418" w:type="dxa"/>
          </w:tcPr>
          <w:p w14:paraId="2EBB0E55" w14:textId="77777777" w:rsidR="00B33542" w:rsidRPr="005071A1" w:rsidRDefault="00B33542" w:rsidP="009B7AF5">
            <w:pPr>
              <w:pStyle w:val="ENoteTableText"/>
            </w:pPr>
            <w:r w:rsidRPr="005071A1">
              <w:t>119</w:t>
            </w:r>
          </w:p>
        </w:tc>
      </w:tr>
      <w:tr w:rsidR="00B33542" w:rsidRPr="005071A1" w14:paraId="5528A291" w14:textId="77777777" w:rsidTr="00DA469E">
        <w:tblPrEx>
          <w:tblCellMar>
            <w:left w:w="0" w:type="dxa"/>
            <w:right w:w="0" w:type="dxa"/>
          </w:tblCellMar>
        </w:tblPrEx>
        <w:tc>
          <w:tcPr>
            <w:tcW w:w="1276" w:type="dxa"/>
          </w:tcPr>
          <w:p w14:paraId="7C535BDB" w14:textId="77777777" w:rsidR="00B33542" w:rsidRPr="005071A1" w:rsidRDefault="00B33542" w:rsidP="009B7AF5">
            <w:pPr>
              <w:pStyle w:val="ENoteTableText"/>
            </w:pPr>
            <w:r w:rsidRPr="005071A1">
              <w:t>Part V</w:t>
            </w:r>
          </w:p>
        </w:tc>
        <w:tc>
          <w:tcPr>
            <w:tcW w:w="1418" w:type="dxa"/>
          </w:tcPr>
          <w:p w14:paraId="24F7E569" w14:textId="77777777" w:rsidR="00B33542" w:rsidRPr="005071A1" w:rsidRDefault="00B33542" w:rsidP="009B7AF5">
            <w:pPr>
              <w:pStyle w:val="ENoteTableText"/>
            </w:pPr>
            <w:r w:rsidRPr="005071A1">
              <w:t>Part XI</w:t>
            </w:r>
          </w:p>
        </w:tc>
      </w:tr>
      <w:tr w:rsidR="00B33542" w:rsidRPr="005071A1" w14:paraId="6A41BBFA" w14:textId="77777777" w:rsidTr="00DA469E">
        <w:tblPrEx>
          <w:tblCellMar>
            <w:left w:w="0" w:type="dxa"/>
            <w:right w:w="0" w:type="dxa"/>
          </w:tblCellMar>
        </w:tblPrEx>
        <w:tc>
          <w:tcPr>
            <w:tcW w:w="1276" w:type="dxa"/>
          </w:tcPr>
          <w:p w14:paraId="12F18213" w14:textId="77777777" w:rsidR="00B33542" w:rsidRPr="005071A1" w:rsidRDefault="00B33542" w:rsidP="009B7AF5">
            <w:pPr>
              <w:pStyle w:val="ENoteTableText"/>
            </w:pPr>
            <w:r w:rsidRPr="005071A1">
              <w:t>Section</w:t>
            </w:r>
          </w:p>
        </w:tc>
        <w:tc>
          <w:tcPr>
            <w:tcW w:w="1418" w:type="dxa"/>
          </w:tcPr>
          <w:p w14:paraId="5617CDDF" w14:textId="77777777" w:rsidR="00B33542" w:rsidRPr="005071A1" w:rsidRDefault="00B33542" w:rsidP="009B7AF5">
            <w:pPr>
              <w:pStyle w:val="ENoteTableText"/>
            </w:pPr>
            <w:r w:rsidRPr="005071A1">
              <w:t>Section</w:t>
            </w:r>
          </w:p>
        </w:tc>
      </w:tr>
      <w:tr w:rsidR="00B33542" w:rsidRPr="005071A1" w14:paraId="26026BCA" w14:textId="77777777" w:rsidTr="00DA469E">
        <w:tblPrEx>
          <w:tblCellMar>
            <w:left w:w="0" w:type="dxa"/>
            <w:right w:w="0" w:type="dxa"/>
          </w:tblCellMar>
        </w:tblPrEx>
        <w:tc>
          <w:tcPr>
            <w:tcW w:w="1276" w:type="dxa"/>
          </w:tcPr>
          <w:p w14:paraId="76D54919" w14:textId="77777777" w:rsidR="00B33542" w:rsidRPr="005071A1" w:rsidRDefault="00B33542" w:rsidP="009B7AF5">
            <w:pPr>
              <w:pStyle w:val="ENoteTableText"/>
            </w:pPr>
            <w:r w:rsidRPr="005071A1">
              <w:t>61</w:t>
            </w:r>
          </w:p>
        </w:tc>
        <w:tc>
          <w:tcPr>
            <w:tcW w:w="1418" w:type="dxa"/>
          </w:tcPr>
          <w:p w14:paraId="6F6237C5" w14:textId="77777777" w:rsidR="00B33542" w:rsidRPr="005071A1" w:rsidRDefault="00B33542" w:rsidP="009B7AF5">
            <w:pPr>
              <w:pStyle w:val="ENoteTableText"/>
            </w:pPr>
            <w:r w:rsidRPr="005071A1">
              <w:t>120</w:t>
            </w:r>
          </w:p>
        </w:tc>
      </w:tr>
      <w:tr w:rsidR="00B33542" w:rsidRPr="005071A1" w14:paraId="3A015891" w14:textId="77777777" w:rsidTr="00DA469E">
        <w:tblPrEx>
          <w:tblCellMar>
            <w:left w:w="0" w:type="dxa"/>
            <w:right w:w="0" w:type="dxa"/>
          </w:tblCellMar>
        </w:tblPrEx>
        <w:tc>
          <w:tcPr>
            <w:tcW w:w="1276" w:type="dxa"/>
          </w:tcPr>
          <w:p w14:paraId="45EDFB86" w14:textId="77777777" w:rsidR="00B33542" w:rsidRPr="005071A1" w:rsidRDefault="00B33542" w:rsidP="009B7AF5">
            <w:pPr>
              <w:pStyle w:val="ENoteTableText"/>
            </w:pPr>
            <w:r w:rsidRPr="005071A1">
              <w:t>62</w:t>
            </w:r>
          </w:p>
        </w:tc>
        <w:tc>
          <w:tcPr>
            <w:tcW w:w="1418" w:type="dxa"/>
          </w:tcPr>
          <w:p w14:paraId="55D72709" w14:textId="77777777" w:rsidR="00B33542" w:rsidRPr="005071A1" w:rsidRDefault="00B33542" w:rsidP="009B7AF5">
            <w:pPr>
              <w:pStyle w:val="ENoteTableText"/>
            </w:pPr>
            <w:r w:rsidRPr="005071A1">
              <w:t>121</w:t>
            </w:r>
          </w:p>
        </w:tc>
      </w:tr>
      <w:tr w:rsidR="00B33542" w:rsidRPr="005071A1" w14:paraId="76BEC324" w14:textId="77777777" w:rsidTr="00DA469E">
        <w:tblPrEx>
          <w:tblCellMar>
            <w:left w:w="0" w:type="dxa"/>
            <w:right w:w="0" w:type="dxa"/>
          </w:tblCellMar>
        </w:tblPrEx>
        <w:tc>
          <w:tcPr>
            <w:tcW w:w="1276" w:type="dxa"/>
          </w:tcPr>
          <w:p w14:paraId="60AF736A" w14:textId="77777777" w:rsidR="00B33542" w:rsidRPr="005071A1" w:rsidRDefault="00B33542" w:rsidP="009B7AF5">
            <w:pPr>
              <w:pStyle w:val="ENoteTableText"/>
            </w:pPr>
            <w:r w:rsidRPr="005071A1">
              <w:t>63</w:t>
            </w:r>
          </w:p>
        </w:tc>
        <w:tc>
          <w:tcPr>
            <w:tcW w:w="1418" w:type="dxa"/>
          </w:tcPr>
          <w:p w14:paraId="45EB80F3" w14:textId="77777777" w:rsidR="00B33542" w:rsidRPr="005071A1" w:rsidRDefault="00B33542" w:rsidP="009B7AF5">
            <w:pPr>
              <w:pStyle w:val="ENoteTableText"/>
            </w:pPr>
            <w:r w:rsidRPr="005071A1">
              <w:t>122</w:t>
            </w:r>
          </w:p>
        </w:tc>
      </w:tr>
      <w:tr w:rsidR="00B33542" w:rsidRPr="005071A1" w14:paraId="12FB4D6D" w14:textId="77777777" w:rsidTr="00DA469E">
        <w:tblPrEx>
          <w:tblCellMar>
            <w:left w:w="0" w:type="dxa"/>
            <w:right w:w="0" w:type="dxa"/>
          </w:tblCellMar>
        </w:tblPrEx>
        <w:tc>
          <w:tcPr>
            <w:tcW w:w="1276" w:type="dxa"/>
          </w:tcPr>
          <w:p w14:paraId="0F512641" w14:textId="77777777" w:rsidR="00B33542" w:rsidRPr="005071A1" w:rsidRDefault="00B33542" w:rsidP="009B7AF5">
            <w:pPr>
              <w:pStyle w:val="ENoteTableText"/>
            </w:pPr>
            <w:r w:rsidRPr="005071A1">
              <w:t>64</w:t>
            </w:r>
          </w:p>
        </w:tc>
        <w:tc>
          <w:tcPr>
            <w:tcW w:w="1418" w:type="dxa"/>
          </w:tcPr>
          <w:p w14:paraId="37354DED" w14:textId="77777777" w:rsidR="00B33542" w:rsidRPr="005071A1" w:rsidRDefault="00B33542" w:rsidP="009B7AF5">
            <w:pPr>
              <w:pStyle w:val="ENoteTableText"/>
            </w:pPr>
            <w:r w:rsidRPr="005071A1">
              <w:t>123</w:t>
            </w:r>
          </w:p>
        </w:tc>
      </w:tr>
      <w:tr w:rsidR="00B33542" w:rsidRPr="005071A1" w14:paraId="55F5A489" w14:textId="77777777" w:rsidTr="00DA469E">
        <w:tblPrEx>
          <w:tblCellMar>
            <w:left w:w="0" w:type="dxa"/>
            <w:right w:w="0" w:type="dxa"/>
          </w:tblCellMar>
        </w:tblPrEx>
        <w:tc>
          <w:tcPr>
            <w:tcW w:w="1276" w:type="dxa"/>
          </w:tcPr>
          <w:p w14:paraId="4DD5F749" w14:textId="77777777" w:rsidR="00B33542" w:rsidRPr="005071A1" w:rsidRDefault="00B33542" w:rsidP="009B7AF5">
            <w:pPr>
              <w:pStyle w:val="ENoteTableText"/>
            </w:pPr>
            <w:r w:rsidRPr="005071A1">
              <w:t>65</w:t>
            </w:r>
          </w:p>
        </w:tc>
        <w:tc>
          <w:tcPr>
            <w:tcW w:w="1418" w:type="dxa"/>
          </w:tcPr>
          <w:p w14:paraId="247C7733" w14:textId="77777777" w:rsidR="00B33542" w:rsidRPr="005071A1" w:rsidRDefault="00B33542" w:rsidP="009B7AF5">
            <w:pPr>
              <w:pStyle w:val="ENoteTableText"/>
            </w:pPr>
            <w:r w:rsidRPr="005071A1">
              <w:t>124</w:t>
            </w:r>
          </w:p>
        </w:tc>
      </w:tr>
      <w:tr w:rsidR="00B33542" w:rsidRPr="005071A1" w14:paraId="18663212" w14:textId="77777777" w:rsidTr="00DA469E">
        <w:tblPrEx>
          <w:tblCellMar>
            <w:left w:w="0" w:type="dxa"/>
            <w:right w:w="0" w:type="dxa"/>
          </w:tblCellMar>
        </w:tblPrEx>
        <w:tc>
          <w:tcPr>
            <w:tcW w:w="1276" w:type="dxa"/>
          </w:tcPr>
          <w:p w14:paraId="4BB600C6" w14:textId="77777777" w:rsidR="00B33542" w:rsidRPr="005071A1" w:rsidRDefault="00B33542" w:rsidP="009B7AF5">
            <w:pPr>
              <w:pStyle w:val="ENoteTableText"/>
            </w:pPr>
            <w:r w:rsidRPr="005071A1">
              <w:t>66</w:t>
            </w:r>
          </w:p>
        </w:tc>
        <w:tc>
          <w:tcPr>
            <w:tcW w:w="1418" w:type="dxa"/>
          </w:tcPr>
          <w:p w14:paraId="20488014" w14:textId="77777777" w:rsidR="00B33542" w:rsidRPr="005071A1" w:rsidRDefault="00B33542" w:rsidP="009B7AF5">
            <w:pPr>
              <w:pStyle w:val="ENoteTableText"/>
            </w:pPr>
            <w:r w:rsidRPr="005071A1">
              <w:t>125</w:t>
            </w:r>
          </w:p>
        </w:tc>
      </w:tr>
      <w:tr w:rsidR="00B33542" w:rsidRPr="005071A1" w14:paraId="44BBD77C" w14:textId="77777777" w:rsidTr="00DA469E">
        <w:tblPrEx>
          <w:tblCellMar>
            <w:left w:w="0" w:type="dxa"/>
            <w:right w:w="0" w:type="dxa"/>
          </w:tblCellMar>
        </w:tblPrEx>
        <w:tc>
          <w:tcPr>
            <w:tcW w:w="1276" w:type="dxa"/>
          </w:tcPr>
          <w:p w14:paraId="239B95DC" w14:textId="77777777" w:rsidR="00B33542" w:rsidRPr="005071A1" w:rsidRDefault="00B33542" w:rsidP="009B7AF5">
            <w:pPr>
              <w:pStyle w:val="ENoteTableText"/>
            </w:pPr>
            <w:r w:rsidRPr="005071A1">
              <w:t>67</w:t>
            </w:r>
          </w:p>
        </w:tc>
        <w:tc>
          <w:tcPr>
            <w:tcW w:w="1418" w:type="dxa"/>
          </w:tcPr>
          <w:p w14:paraId="22D0F10A" w14:textId="77777777" w:rsidR="00B33542" w:rsidRPr="005071A1" w:rsidRDefault="00B33542" w:rsidP="009B7AF5">
            <w:pPr>
              <w:pStyle w:val="ENoteTableText"/>
            </w:pPr>
            <w:r w:rsidRPr="005071A1">
              <w:t>126</w:t>
            </w:r>
          </w:p>
        </w:tc>
      </w:tr>
      <w:tr w:rsidR="00B33542" w:rsidRPr="005071A1" w14:paraId="08039B7D" w14:textId="77777777" w:rsidTr="00DA469E">
        <w:tblPrEx>
          <w:tblCellMar>
            <w:left w:w="0" w:type="dxa"/>
            <w:right w:w="0" w:type="dxa"/>
          </w:tblCellMar>
        </w:tblPrEx>
        <w:tc>
          <w:tcPr>
            <w:tcW w:w="1276" w:type="dxa"/>
          </w:tcPr>
          <w:p w14:paraId="75469B7E" w14:textId="77777777" w:rsidR="00B33542" w:rsidRPr="005071A1" w:rsidRDefault="00B33542" w:rsidP="009B7AF5">
            <w:pPr>
              <w:pStyle w:val="ENoteTableText"/>
            </w:pPr>
            <w:r w:rsidRPr="005071A1">
              <w:t>68</w:t>
            </w:r>
          </w:p>
        </w:tc>
        <w:tc>
          <w:tcPr>
            <w:tcW w:w="1418" w:type="dxa"/>
          </w:tcPr>
          <w:p w14:paraId="30C81CBF" w14:textId="77777777" w:rsidR="00B33542" w:rsidRPr="005071A1" w:rsidRDefault="00B33542" w:rsidP="009B7AF5">
            <w:pPr>
              <w:pStyle w:val="ENoteTableText"/>
            </w:pPr>
            <w:r w:rsidRPr="005071A1">
              <w:t>127</w:t>
            </w:r>
          </w:p>
        </w:tc>
      </w:tr>
      <w:tr w:rsidR="00B33542" w:rsidRPr="005071A1" w14:paraId="11620B60" w14:textId="77777777" w:rsidTr="00DA469E">
        <w:tblPrEx>
          <w:tblCellMar>
            <w:left w:w="0" w:type="dxa"/>
            <w:right w:w="0" w:type="dxa"/>
          </w:tblCellMar>
        </w:tblPrEx>
        <w:tc>
          <w:tcPr>
            <w:tcW w:w="1276" w:type="dxa"/>
          </w:tcPr>
          <w:p w14:paraId="0D70C48F" w14:textId="77777777" w:rsidR="00B33542" w:rsidRPr="005071A1" w:rsidRDefault="00B33542" w:rsidP="009B7AF5">
            <w:pPr>
              <w:pStyle w:val="ENoteTableText"/>
            </w:pPr>
            <w:r w:rsidRPr="005071A1">
              <w:t>69</w:t>
            </w:r>
          </w:p>
        </w:tc>
        <w:tc>
          <w:tcPr>
            <w:tcW w:w="1418" w:type="dxa"/>
          </w:tcPr>
          <w:p w14:paraId="3A3153A1" w14:textId="77777777" w:rsidR="00B33542" w:rsidRPr="005071A1" w:rsidRDefault="00B33542" w:rsidP="009B7AF5">
            <w:pPr>
              <w:pStyle w:val="ENoteTableText"/>
            </w:pPr>
            <w:r w:rsidRPr="005071A1">
              <w:t>128</w:t>
            </w:r>
          </w:p>
        </w:tc>
      </w:tr>
      <w:tr w:rsidR="00B33542" w:rsidRPr="005071A1" w14:paraId="7905B6D4" w14:textId="77777777" w:rsidTr="00DA469E">
        <w:tblPrEx>
          <w:tblCellMar>
            <w:left w:w="0" w:type="dxa"/>
            <w:right w:w="0" w:type="dxa"/>
          </w:tblCellMar>
        </w:tblPrEx>
        <w:tc>
          <w:tcPr>
            <w:tcW w:w="1276" w:type="dxa"/>
          </w:tcPr>
          <w:p w14:paraId="795B2B14" w14:textId="77777777" w:rsidR="00B33542" w:rsidRPr="005071A1" w:rsidRDefault="00B33542" w:rsidP="009B7AF5">
            <w:pPr>
              <w:pStyle w:val="ENoteTableText"/>
            </w:pPr>
            <w:r w:rsidRPr="005071A1">
              <w:t>70</w:t>
            </w:r>
          </w:p>
        </w:tc>
        <w:tc>
          <w:tcPr>
            <w:tcW w:w="1418" w:type="dxa"/>
          </w:tcPr>
          <w:p w14:paraId="399089DD" w14:textId="77777777" w:rsidR="00B33542" w:rsidRPr="005071A1" w:rsidRDefault="00B33542" w:rsidP="009B7AF5">
            <w:pPr>
              <w:pStyle w:val="ENoteTableText"/>
            </w:pPr>
            <w:r w:rsidRPr="005071A1">
              <w:t>129</w:t>
            </w:r>
          </w:p>
        </w:tc>
      </w:tr>
      <w:tr w:rsidR="00B33542" w:rsidRPr="005071A1" w14:paraId="7B665C01" w14:textId="77777777" w:rsidTr="00DA469E">
        <w:tblPrEx>
          <w:tblCellMar>
            <w:left w:w="0" w:type="dxa"/>
            <w:right w:w="0" w:type="dxa"/>
          </w:tblCellMar>
        </w:tblPrEx>
        <w:tc>
          <w:tcPr>
            <w:tcW w:w="1276" w:type="dxa"/>
          </w:tcPr>
          <w:p w14:paraId="6B43D128" w14:textId="77777777" w:rsidR="00B33542" w:rsidRPr="005071A1" w:rsidRDefault="00B33542" w:rsidP="009B7AF5">
            <w:pPr>
              <w:pStyle w:val="ENoteTableText"/>
            </w:pPr>
            <w:r w:rsidRPr="005071A1">
              <w:t>71</w:t>
            </w:r>
          </w:p>
        </w:tc>
        <w:tc>
          <w:tcPr>
            <w:tcW w:w="1418" w:type="dxa"/>
          </w:tcPr>
          <w:p w14:paraId="23BBEC56" w14:textId="77777777" w:rsidR="00B33542" w:rsidRPr="005071A1" w:rsidRDefault="00B33542" w:rsidP="009B7AF5">
            <w:pPr>
              <w:pStyle w:val="ENoteTableText"/>
            </w:pPr>
            <w:r w:rsidRPr="005071A1">
              <w:t>130</w:t>
            </w:r>
          </w:p>
        </w:tc>
      </w:tr>
      <w:tr w:rsidR="00B33542" w:rsidRPr="005071A1" w14:paraId="16713215" w14:textId="77777777" w:rsidTr="00DA469E">
        <w:tblPrEx>
          <w:tblCellMar>
            <w:left w:w="0" w:type="dxa"/>
            <w:right w:w="0" w:type="dxa"/>
          </w:tblCellMar>
        </w:tblPrEx>
        <w:tc>
          <w:tcPr>
            <w:tcW w:w="1276" w:type="dxa"/>
          </w:tcPr>
          <w:p w14:paraId="20E49E7B" w14:textId="77777777" w:rsidR="00B33542" w:rsidRPr="005071A1" w:rsidRDefault="00B33542" w:rsidP="009B7AF5">
            <w:pPr>
              <w:pStyle w:val="ENoteTableText"/>
            </w:pPr>
            <w:r w:rsidRPr="005071A1">
              <w:t>72</w:t>
            </w:r>
          </w:p>
        </w:tc>
        <w:tc>
          <w:tcPr>
            <w:tcW w:w="1418" w:type="dxa"/>
          </w:tcPr>
          <w:p w14:paraId="7DA0A1EE" w14:textId="77777777" w:rsidR="00B33542" w:rsidRPr="005071A1" w:rsidRDefault="00B33542" w:rsidP="009B7AF5">
            <w:pPr>
              <w:pStyle w:val="ENoteTableText"/>
            </w:pPr>
            <w:r w:rsidRPr="005071A1">
              <w:t>131</w:t>
            </w:r>
          </w:p>
        </w:tc>
      </w:tr>
      <w:tr w:rsidR="00B33542" w:rsidRPr="005071A1" w14:paraId="7D7A31E2" w14:textId="77777777" w:rsidTr="00DA469E">
        <w:tblPrEx>
          <w:tblCellMar>
            <w:left w:w="0" w:type="dxa"/>
            <w:right w:w="0" w:type="dxa"/>
          </w:tblCellMar>
        </w:tblPrEx>
        <w:tc>
          <w:tcPr>
            <w:tcW w:w="1276" w:type="dxa"/>
          </w:tcPr>
          <w:p w14:paraId="0F9B049B" w14:textId="77777777" w:rsidR="00B33542" w:rsidRPr="005071A1" w:rsidRDefault="00B33542" w:rsidP="009B7AF5">
            <w:pPr>
              <w:pStyle w:val="ENoteTableText"/>
            </w:pPr>
            <w:r w:rsidRPr="005071A1">
              <w:t>73</w:t>
            </w:r>
          </w:p>
        </w:tc>
        <w:tc>
          <w:tcPr>
            <w:tcW w:w="1418" w:type="dxa"/>
          </w:tcPr>
          <w:p w14:paraId="490C71E5" w14:textId="77777777" w:rsidR="00B33542" w:rsidRPr="005071A1" w:rsidRDefault="00B33542" w:rsidP="009B7AF5">
            <w:pPr>
              <w:pStyle w:val="ENoteTableText"/>
            </w:pPr>
            <w:r w:rsidRPr="005071A1">
              <w:t>132</w:t>
            </w:r>
          </w:p>
        </w:tc>
      </w:tr>
      <w:tr w:rsidR="00B33542" w:rsidRPr="005071A1" w14:paraId="457CE321" w14:textId="77777777" w:rsidTr="00DA469E">
        <w:tblPrEx>
          <w:tblCellMar>
            <w:left w:w="0" w:type="dxa"/>
            <w:right w:w="0" w:type="dxa"/>
          </w:tblCellMar>
        </w:tblPrEx>
        <w:tc>
          <w:tcPr>
            <w:tcW w:w="1276" w:type="dxa"/>
          </w:tcPr>
          <w:p w14:paraId="53D8A72F" w14:textId="77777777" w:rsidR="00B33542" w:rsidRPr="005071A1" w:rsidRDefault="00B33542" w:rsidP="009B7AF5">
            <w:pPr>
              <w:pStyle w:val="ENoteTableText"/>
            </w:pPr>
            <w:r w:rsidRPr="005071A1">
              <w:t>74</w:t>
            </w:r>
          </w:p>
        </w:tc>
        <w:tc>
          <w:tcPr>
            <w:tcW w:w="1418" w:type="dxa"/>
          </w:tcPr>
          <w:p w14:paraId="3992881F" w14:textId="77777777" w:rsidR="00B33542" w:rsidRPr="005071A1" w:rsidRDefault="00B33542" w:rsidP="009B7AF5">
            <w:pPr>
              <w:pStyle w:val="ENoteTableText"/>
            </w:pPr>
            <w:r w:rsidRPr="005071A1">
              <w:t>133</w:t>
            </w:r>
          </w:p>
        </w:tc>
      </w:tr>
      <w:tr w:rsidR="00B33542" w:rsidRPr="005071A1" w14:paraId="49CB745C" w14:textId="77777777" w:rsidTr="00DA469E">
        <w:tblPrEx>
          <w:tblCellMar>
            <w:left w:w="0" w:type="dxa"/>
            <w:right w:w="0" w:type="dxa"/>
          </w:tblCellMar>
        </w:tblPrEx>
        <w:tc>
          <w:tcPr>
            <w:tcW w:w="1276" w:type="dxa"/>
          </w:tcPr>
          <w:p w14:paraId="632248F8" w14:textId="77777777" w:rsidR="00B33542" w:rsidRPr="005071A1" w:rsidRDefault="00B33542" w:rsidP="009B7AF5">
            <w:pPr>
              <w:pStyle w:val="ENoteTableText"/>
            </w:pPr>
            <w:r w:rsidRPr="005071A1">
              <w:t>75</w:t>
            </w:r>
          </w:p>
        </w:tc>
        <w:tc>
          <w:tcPr>
            <w:tcW w:w="1418" w:type="dxa"/>
          </w:tcPr>
          <w:p w14:paraId="35564615" w14:textId="77777777" w:rsidR="00B33542" w:rsidRPr="005071A1" w:rsidRDefault="00B33542" w:rsidP="009B7AF5">
            <w:pPr>
              <w:pStyle w:val="ENoteTableText"/>
            </w:pPr>
            <w:r w:rsidRPr="005071A1">
              <w:t>134</w:t>
            </w:r>
          </w:p>
        </w:tc>
      </w:tr>
      <w:tr w:rsidR="00B33542" w:rsidRPr="005071A1" w14:paraId="3E00F199" w14:textId="77777777" w:rsidTr="00DA469E">
        <w:tblPrEx>
          <w:tblCellMar>
            <w:left w:w="0" w:type="dxa"/>
            <w:right w:w="0" w:type="dxa"/>
          </w:tblCellMar>
        </w:tblPrEx>
        <w:tc>
          <w:tcPr>
            <w:tcW w:w="1276" w:type="dxa"/>
          </w:tcPr>
          <w:p w14:paraId="1D3BDA5F" w14:textId="77777777" w:rsidR="00B33542" w:rsidRPr="005071A1" w:rsidRDefault="00B33542" w:rsidP="009B7AF5">
            <w:pPr>
              <w:pStyle w:val="ENoteTableText"/>
            </w:pPr>
            <w:r w:rsidRPr="005071A1">
              <w:t>Part VI</w:t>
            </w:r>
          </w:p>
        </w:tc>
        <w:tc>
          <w:tcPr>
            <w:tcW w:w="1418" w:type="dxa"/>
          </w:tcPr>
          <w:p w14:paraId="1C352609" w14:textId="77777777" w:rsidR="00B33542" w:rsidRPr="005071A1" w:rsidRDefault="00B33542" w:rsidP="009B7AF5">
            <w:pPr>
              <w:pStyle w:val="ENoteTableText"/>
            </w:pPr>
            <w:r w:rsidRPr="005071A1">
              <w:t>Part XII</w:t>
            </w:r>
          </w:p>
        </w:tc>
      </w:tr>
      <w:tr w:rsidR="00B33542" w:rsidRPr="005071A1" w14:paraId="646F472C" w14:textId="77777777" w:rsidTr="00DA469E">
        <w:tblPrEx>
          <w:tblCellMar>
            <w:left w:w="0" w:type="dxa"/>
            <w:right w:w="0" w:type="dxa"/>
          </w:tblCellMar>
        </w:tblPrEx>
        <w:tc>
          <w:tcPr>
            <w:tcW w:w="1276" w:type="dxa"/>
          </w:tcPr>
          <w:p w14:paraId="45415B9D" w14:textId="77777777" w:rsidR="00B33542" w:rsidRPr="005071A1" w:rsidRDefault="00B33542" w:rsidP="009B7AF5">
            <w:pPr>
              <w:pStyle w:val="ENoteTableText"/>
            </w:pPr>
            <w:r w:rsidRPr="005071A1">
              <w:t>Section</w:t>
            </w:r>
          </w:p>
        </w:tc>
        <w:tc>
          <w:tcPr>
            <w:tcW w:w="1418" w:type="dxa"/>
          </w:tcPr>
          <w:p w14:paraId="7764787D" w14:textId="77777777" w:rsidR="00B33542" w:rsidRPr="005071A1" w:rsidRDefault="00B33542" w:rsidP="009B7AF5">
            <w:pPr>
              <w:pStyle w:val="ENoteTableText"/>
            </w:pPr>
            <w:r w:rsidRPr="005071A1">
              <w:t>Section</w:t>
            </w:r>
          </w:p>
        </w:tc>
      </w:tr>
      <w:tr w:rsidR="00B33542" w:rsidRPr="005071A1" w14:paraId="56DDEDE6" w14:textId="77777777" w:rsidTr="00DA469E">
        <w:tblPrEx>
          <w:tblCellMar>
            <w:left w:w="0" w:type="dxa"/>
            <w:right w:w="0" w:type="dxa"/>
          </w:tblCellMar>
        </w:tblPrEx>
        <w:tc>
          <w:tcPr>
            <w:tcW w:w="1276" w:type="dxa"/>
          </w:tcPr>
          <w:p w14:paraId="1C0A5541" w14:textId="77777777" w:rsidR="00B33542" w:rsidRPr="005071A1" w:rsidRDefault="00B33542" w:rsidP="009B7AF5">
            <w:pPr>
              <w:pStyle w:val="ENoteTableText"/>
            </w:pPr>
            <w:r w:rsidRPr="005071A1">
              <w:t>76A</w:t>
            </w:r>
          </w:p>
        </w:tc>
        <w:tc>
          <w:tcPr>
            <w:tcW w:w="1418" w:type="dxa"/>
          </w:tcPr>
          <w:p w14:paraId="5375522A" w14:textId="77777777" w:rsidR="00B33542" w:rsidRPr="005071A1" w:rsidRDefault="00B33542" w:rsidP="009B7AF5">
            <w:pPr>
              <w:pStyle w:val="ENoteTableText"/>
            </w:pPr>
            <w:r w:rsidRPr="005071A1">
              <w:t>135</w:t>
            </w:r>
          </w:p>
        </w:tc>
      </w:tr>
      <w:tr w:rsidR="00B33542" w:rsidRPr="005071A1" w14:paraId="74246BD7" w14:textId="77777777" w:rsidTr="00DA469E">
        <w:tblPrEx>
          <w:tblCellMar>
            <w:left w:w="0" w:type="dxa"/>
            <w:right w:w="0" w:type="dxa"/>
          </w:tblCellMar>
        </w:tblPrEx>
        <w:tc>
          <w:tcPr>
            <w:tcW w:w="1276" w:type="dxa"/>
          </w:tcPr>
          <w:p w14:paraId="1AFC65D3" w14:textId="77777777" w:rsidR="00B33542" w:rsidRPr="005071A1" w:rsidRDefault="00B33542" w:rsidP="009B7AF5">
            <w:pPr>
              <w:pStyle w:val="ENoteTableText"/>
            </w:pPr>
            <w:r w:rsidRPr="005071A1">
              <w:t>76B</w:t>
            </w:r>
          </w:p>
        </w:tc>
        <w:tc>
          <w:tcPr>
            <w:tcW w:w="1418" w:type="dxa"/>
          </w:tcPr>
          <w:p w14:paraId="5FDB1E40" w14:textId="77777777" w:rsidR="00B33542" w:rsidRPr="005071A1" w:rsidRDefault="00B33542" w:rsidP="009B7AF5">
            <w:pPr>
              <w:pStyle w:val="ENoteTableText"/>
            </w:pPr>
            <w:r w:rsidRPr="005071A1">
              <w:t>136</w:t>
            </w:r>
          </w:p>
        </w:tc>
      </w:tr>
      <w:tr w:rsidR="00B33542" w:rsidRPr="005071A1" w14:paraId="6C778F15" w14:textId="77777777" w:rsidTr="00DA469E">
        <w:tblPrEx>
          <w:tblCellMar>
            <w:left w:w="0" w:type="dxa"/>
            <w:right w:w="0" w:type="dxa"/>
          </w:tblCellMar>
        </w:tblPrEx>
        <w:tc>
          <w:tcPr>
            <w:tcW w:w="1276" w:type="dxa"/>
          </w:tcPr>
          <w:p w14:paraId="344A1B35" w14:textId="77777777" w:rsidR="00B33542" w:rsidRPr="005071A1" w:rsidRDefault="00B33542" w:rsidP="009B7AF5">
            <w:pPr>
              <w:pStyle w:val="ENoteTableText"/>
            </w:pPr>
            <w:r w:rsidRPr="005071A1">
              <w:t>76C</w:t>
            </w:r>
          </w:p>
        </w:tc>
        <w:tc>
          <w:tcPr>
            <w:tcW w:w="1418" w:type="dxa"/>
          </w:tcPr>
          <w:p w14:paraId="1A027CB9" w14:textId="77777777" w:rsidR="00B33542" w:rsidRPr="005071A1" w:rsidRDefault="00B33542" w:rsidP="009B7AF5">
            <w:pPr>
              <w:pStyle w:val="ENoteTableText"/>
            </w:pPr>
            <w:r w:rsidRPr="005071A1">
              <w:t>137</w:t>
            </w:r>
          </w:p>
        </w:tc>
      </w:tr>
      <w:tr w:rsidR="00B33542" w:rsidRPr="005071A1" w14:paraId="512CDB84" w14:textId="77777777" w:rsidTr="00DA469E">
        <w:tblPrEx>
          <w:tblCellMar>
            <w:left w:w="0" w:type="dxa"/>
            <w:right w:w="0" w:type="dxa"/>
          </w:tblCellMar>
        </w:tblPrEx>
        <w:tc>
          <w:tcPr>
            <w:tcW w:w="1276" w:type="dxa"/>
          </w:tcPr>
          <w:p w14:paraId="41B91C94" w14:textId="77777777" w:rsidR="00B33542" w:rsidRPr="005071A1" w:rsidRDefault="00B33542" w:rsidP="009B7AF5">
            <w:pPr>
              <w:pStyle w:val="ENoteTableText"/>
            </w:pPr>
            <w:r w:rsidRPr="005071A1">
              <w:t>76D</w:t>
            </w:r>
          </w:p>
        </w:tc>
        <w:tc>
          <w:tcPr>
            <w:tcW w:w="1418" w:type="dxa"/>
          </w:tcPr>
          <w:p w14:paraId="758A2EA8" w14:textId="77777777" w:rsidR="00B33542" w:rsidRPr="005071A1" w:rsidRDefault="00B33542" w:rsidP="009B7AF5">
            <w:pPr>
              <w:pStyle w:val="ENoteTableText"/>
            </w:pPr>
            <w:r w:rsidRPr="005071A1">
              <w:t>138</w:t>
            </w:r>
          </w:p>
        </w:tc>
      </w:tr>
      <w:tr w:rsidR="00B33542" w:rsidRPr="005071A1" w14:paraId="445446E3" w14:textId="77777777" w:rsidTr="00DA469E">
        <w:tblPrEx>
          <w:tblCellMar>
            <w:left w:w="0" w:type="dxa"/>
            <w:right w:w="0" w:type="dxa"/>
          </w:tblCellMar>
        </w:tblPrEx>
        <w:tc>
          <w:tcPr>
            <w:tcW w:w="1276" w:type="dxa"/>
          </w:tcPr>
          <w:p w14:paraId="40EE33CA" w14:textId="77777777" w:rsidR="00B33542" w:rsidRPr="005071A1" w:rsidRDefault="00B33542" w:rsidP="009B7AF5">
            <w:pPr>
              <w:pStyle w:val="ENoteTableText"/>
            </w:pPr>
            <w:r w:rsidRPr="005071A1">
              <w:t>76E</w:t>
            </w:r>
          </w:p>
        </w:tc>
        <w:tc>
          <w:tcPr>
            <w:tcW w:w="1418" w:type="dxa"/>
          </w:tcPr>
          <w:p w14:paraId="0D45A840" w14:textId="77777777" w:rsidR="00B33542" w:rsidRPr="005071A1" w:rsidRDefault="00B33542" w:rsidP="009B7AF5">
            <w:pPr>
              <w:pStyle w:val="ENoteTableText"/>
            </w:pPr>
            <w:r w:rsidRPr="005071A1">
              <w:t>139</w:t>
            </w:r>
          </w:p>
        </w:tc>
      </w:tr>
      <w:tr w:rsidR="00B33542" w:rsidRPr="005071A1" w14:paraId="6AA8A945" w14:textId="77777777" w:rsidTr="00DA469E">
        <w:tblPrEx>
          <w:tblCellMar>
            <w:left w:w="0" w:type="dxa"/>
            <w:right w:w="0" w:type="dxa"/>
          </w:tblCellMar>
        </w:tblPrEx>
        <w:tc>
          <w:tcPr>
            <w:tcW w:w="1276" w:type="dxa"/>
          </w:tcPr>
          <w:p w14:paraId="70304FAC" w14:textId="77777777" w:rsidR="00B33542" w:rsidRPr="005071A1" w:rsidRDefault="00B33542" w:rsidP="009B7AF5">
            <w:pPr>
              <w:pStyle w:val="ENoteTableText"/>
            </w:pPr>
            <w:r w:rsidRPr="005071A1">
              <w:t>77</w:t>
            </w:r>
          </w:p>
        </w:tc>
        <w:tc>
          <w:tcPr>
            <w:tcW w:w="1418" w:type="dxa"/>
          </w:tcPr>
          <w:p w14:paraId="086D7831" w14:textId="77777777" w:rsidR="00B33542" w:rsidRPr="005071A1" w:rsidRDefault="00B33542" w:rsidP="009B7AF5">
            <w:pPr>
              <w:pStyle w:val="ENoteTableText"/>
            </w:pPr>
            <w:r w:rsidRPr="005071A1">
              <w:t>140</w:t>
            </w:r>
          </w:p>
        </w:tc>
      </w:tr>
      <w:tr w:rsidR="00B33542" w:rsidRPr="005071A1" w14:paraId="1A65F436" w14:textId="77777777" w:rsidTr="00DA469E">
        <w:tblPrEx>
          <w:tblCellMar>
            <w:left w:w="0" w:type="dxa"/>
            <w:right w:w="0" w:type="dxa"/>
          </w:tblCellMar>
        </w:tblPrEx>
        <w:tc>
          <w:tcPr>
            <w:tcW w:w="1276" w:type="dxa"/>
          </w:tcPr>
          <w:p w14:paraId="6372A21E" w14:textId="77777777" w:rsidR="00B33542" w:rsidRPr="005071A1" w:rsidRDefault="00B33542" w:rsidP="009B7AF5">
            <w:pPr>
              <w:pStyle w:val="ENoteTableText"/>
            </w:pPr>
            <w:r w:rsidRPr="005071A1">
              <w:t>78</w:t>
            </w:r>
          </w:p>
        </w:tc>
        <w:tc>
          <w:tcPr>
            <w:tcW w:w="1418" w:type="dxa"/>
          </w:tcPr>
          <w:p w14:paraId="3FC241E0" w14:textId="77777777" w:rsidR="00B33542" w:rsidRPr="005071A1" w:rsidRDefault="00B33542" w:rsidP="009B7AF5">
            <w:pPr>
              <w:pStyle w:val="ENoteTableText"/>
            </w:pPr>
            <w:r w:rsidRPr="005071A1">
              <w:t>141</w:t>
            </w:r>
          </w:p>
        </w:tc>
      </w:tr>
      <w:tr w:rsidR="00B33542" w:rsidRPr="005071A1" w14:paraId="7953B688" w14:textId="77777777" w:rsidTr="00DA469E">
        <w:tblPrEx>
          <w:tblCellMar>
            <w:left w:w="0" w:type="dxa"/>
            <w:right w:w="0" w:type="dxa"/>
          </w:tblCellMar>
        </w:tblPrEx>
        <w:tc>
          <w:tcPr>
            <w:tcW w:w="1276" w:type="dxa"/>
          </w:tcPr>
          <w:p w14:paraId="54567A2E" w14:textId="77777777" w:rsidR="00B33542" w:rsidRPr="005071A1" w:rsidRDefault="00B33542" w:rsidP="009B7AF5">
            <w:pPr>
              <w:pStyle w:val="ENoteTableText"/>
            </w:pPr>
            <w:r w:rsidRPr="005071A1">
              <w:t>79</w:t>
            </w:r>
          </w:p>
        </w:tc>
        <w:tc>
          <w:tcPr>
            <w:tcW w:w="1418" w:type="dxa"/>
          </w:tcPr>
          <w:p w14:paraId="149A2A41" w14:textId="77777777" w:rsidR="00B33542" w:rsidRPr="005071A1" w:rsidRDefault="00B33542" w:rsidP="009B7AF5">
            <w:pPr>
              <w:pStyle w:val="ENoteTableText"/>
            </w:pPr>
            <w:r w:rsidRPr="005071A1">
              <w:t>142</w:t>
            </w:r>
          </w:p>
        </w:tc>
      </w:tr>
      <w:tr w:rsidR="00B33542" w:rsidRPr="005071A1" w14:paraId="60651C60" w14:textId="77777777" w:rsidTr="00DA469E">
        <w:tblPrEx>
          <w:tblCellMar>
            <w:left w:w="0" w:type="dxa"/>
            <w:right w:w="0" w:type="dxa"/>
          </w:tblCellMar>
        </w:tblPrEx>
        <w:tc>
          <w:tcPr>
            <w:tcW w:w="1276" w:type="dxa"/>
          </w:tcPr>
          <w:p w14:paraId="1B8E8515" w14:textId="77777777" w:rsidR="00B33542" w:rsidRPr="005071A1" w:rsidRDefault="00B33542" w:rsidP="009B7AF5">
            <w:pPr>
              <w:pStyle w:val="ENoteTableText"/>
            </w:pPr>
            <w:r w:rsidRPr="005071A1">
              <w:t xml:space="preserve">80 </w:t>
            </w:r>
          </w:p>
        </w:tc>
        <w:tc>
          <w:tcPr>
            <w:tcW w:w="1418" w:type="dxa"/>
          </w:tcPr>
          <w:p w14:paraId="45942BE7" w14:textId="77777777" w:rsidR="00B33542" w:rsidRPr="005071A1" w:rsidRDefault="00B33542" w:rsidP="009B7AF5">
            <w:pPr>
              <w:pStyle w:val="ENoteTableText"/>
            </w:pPr>
            <w:r w:rsidRPr="005071A1">
              <w:t>143</w:t>
            </w:r>
          </w:p>
        </w:tc>
      </w:tr>
      <w:tr w:rsidR="00B33542" w:rsidRPr="005071A1" w14:paraId="032FBC9A" w14:textId="77777777" w:rsidTr="00DA469E">
        <w:tblPrEx>
          <w:tblCellMar>
            <w:left w:w="0" w:type="dxa"/>
            <w:right w:w="0" w:type="dxa"/>
          </w:tblCellMar>
        </w:tblPrEx>
        <w:tc>
          <w:tcPr>
            <w:tcW w:w="1276" w:type="dxa"/>
          </w:tcPr>
          <w:p w14:paraId="21FE7873" w14:textId="77777777" w:rsidR="00B33542" w:rsidRPr="005071A1" w:rsidRDefault="00B33542" w:rsidP="009B7AF5">
            <w:pPr>
              <w:pStyle w:val="ENoteTableText"/>
            </w:pPr>
            <w:r w:rsidRPr="005071A1">
              <w:t>80A</w:t>
            </w:r>
          </w:p>
        </w:tc>
        <w:tc>
          <w:tcPr>
            <w:tcW w:w="1418" w:type="dxa"/>
          </w:tcPr>
          <w:p w14:paraId="3A5FAAFF" w14:textId="77777777" w:rsidR="00B33542" w:rsidRPr="005071A1" w:rsidRDefault="00B33542" w:rsidP="009B7AF5">
            <w:pPr>
              <w:pStyle w:val="ENoteTableText"/>
            </w:pPr>
            <w:r w:rsidRPr="005071A1">
              <w:t>144</w:t>
            </w:r>
          </w:p>
        </w:tc>
      </w:tr>
      <w:tr w:rsidR="00B33542" w:rsidRPr="005071A1" w14:paraId="320E43C8" w14:textId="77777777" w:rsidTr="00DA469E">
        <w:tblPrEx>
          <w:tblCellMar>
            <w:left w:w="0" w:type="dxa"/>
            <w:right w:w="0" w:type="dxa"/>
          </w:tblCellMar>
        </w:tblPrEx>
        <w:tc>
          <w:tcPr>
            <w:tcW w:w="1276" w:type="dxa"/>
          </w:tcPr>
          <w:p w14:paraId="596309C1" w14:textId="77777777" w:rsidR="00B33542" w:rsidRPr="005071A1" w:rsidRDefault="00B33542" w:rsidP="009B7AF5">
            <w:pPr>
              <w:pStyle w:val="ENoteTableText"/>
            </w:pPr>
            <w:r w:rsidRPr="005071A1">
              <w:t>80B</w:t>
            </w:r>
          </w:p>
        </w:tc>
        <w:tc>
          <w:tcPr>
            <w:tcW w:w="1418" w:type="dxa"/>
          </w:tcPr>
          <w:p w14:paraId="477A1897" w14:textId="77777777" w:rsidR="00B33542" w:rsidRPr="005071A1" w:rsidRDefault="00B33542" w:rsidP="009B7AF5">
            <w:pPr>
              <w:pStyle w:val="ENoteTableText"/>
            </w:pPr>
            <w:r w:rsidRPr="005071A1">
              <w:t>145</w:t>
            </w:r>
          </w:p>
        </w:tc>
      </w:tr>
      <w:tr w:rsidR="00B33542" w:rsidRPr="005071A1" w14:paraId="78BCB74E" w14:textId="77777777" w:rsidTr="00DA469E">
        <w:tblPrEx>
          <w:tblCellMar>
            <w:left w:w="0" w:type="dxa"/>
            <w:right w:w="0" w:type="dxa"/>
          </w:tblCellMar>
        </w:tblPrEx>
        <w:tc>
          <w:tcPr>
            <w:tcW w:w="1276" w:type="dxa"/>
          </w:tcPr>
          <w:p w14:paraId="684B0AD9" w14:textId="77777777" w:rsidR="00B33542" w:rsidRPr="005071A1" w:rsidRDefault="00B33542" w:rsidP="009B7AF5">
            <w:pPr>
              <w:pStyle w:val="ENoteTableText"/>
            </w:pPr>
            <w:r w:rsidRPr="005071A1">
              <w:t>80BA</w:t>
            </w:r>
          </w:p>
        </w:tc>
        <w:tc>
          <w:tcPr>
            <w:tcW w:w="1418" w:type="dxa"/>
          </w:tcPr>
          <w:p w14:paraId="21EC13B4" w14:textId="77777777" w:rsidR="00B33542" w:rsidRPr="005071A1" w:rsidRDefault="00B33542" w:rsidP="009B7AF5">
            <w:pPr>
              <w:pStyle w:val="ENoteTableText"/>
            </w:pPr>
            <w:r w:rsidRPr="005071A1">
              <w:t>146</w:t>
            </w:r>
          </w:p>
        </w:tc>
      </w:tr>
      <w:tr w:rsidR="00B33542" w:rsidRPr="005071A1" w14:paraId="655E9ECA" w14:textId="77777777" w:rsidTr="00DA469E">
        <w:tblPrEx>
          <w:tblCellMar>
            <w:left w:w="0" w:type="dxa"/>
            <w:right w:w="0" w:type="dxa"/>
          </w:tblCellMar>
        </w:tblPrEx>
        <w:tc>
          <w:tcPr>
            <w:tcW w:w="1276" w:type="dxa"/>
          </w:tcPr>
          <w:p w14:paraId="7AD12025" w14:textId="77777777" w:rsidR="00B33542" w:rsidRPr="005071A1" w:rsidRDefault="00B33542" w:rsidP="009B7AF5">
            <w:pPr>
              <w:pStyle w:val="ENoteTableText"/>
            </w:pPr>
            <w:r w:rsidRPr="005071A1">
              <w:t>80C</w:t>
            </w:r>
          </w:p>
        </w:tc>
        <w:tc>
          <w:tcPr>
            <w:tcW w:w="1418" w:type="dxa"/>
          </w:tcPr>
          <w:p w14:paraId="43CB328A" w14:textId="77777777" w:rsidR="00B33542" w:rsidRPr="005071A1" w:rsidRDefault="00B33542" w:rsidP="009B7AF5">
            <w:pPr>
              <w:pStyle w:val="ENoteTableText"/>
            </w:pPr>
            <w:r w:rsidRPr="005071A1">
              <w:t>147</w:t>
            </w:r>
          </w:p>
        </w:tc>
      </w:tr>
      <w:tr w:rsidR="00B33542" w:rsidRPr="005071A1" w14:paraId="5BFC09A1" w14:textId="77777777" w:rsidTr="00DA469E">
        <w:tblPrEx>
          <w:tblCellMar>
            <w:left w:w="0" w:type="dxa"/>
            <w:right w:w="0" w:type="dxa"/>
          </w:tblCellMar>
        </w:tblPrEx>
        <w:tc>
          <w:tcPr>
            <w:tcW w:w="1276" w:type="dxa"/>
          </w:tcPr>
          <w:p w14:paraId="79FE903C" w14:textId="77777777" w:rsidR="00B33542" w:rsidRPr="005071A1" w:rsidRDefault="00B33542" w:rsidP="009B7AF5">
            <w:pPr>
              <w:pStyle w:val="ENoteTableText"/>
            </w:pPr>
            <w:r w:rsidRPr="005071A1">
              <w:t>81</w:t>
            </w:r>
          </w:p>
        </w:tc>
        <w:tc>
          <w:tcPr>
            <w:tcW w:w="1418" w:type="dxa"/>
          </w:tcPr>
          <w:p w14:paraId="35F03A5E" w14:textId="77777777" w:rsidR="00B33542" w:rsidRPr="005071A1" w:rsidRDefault="00B33542" w:rsidP="009B7AF5">
            <w:pPr>
              <w:pStyle w:val="ENoteTableText"/>
            </w:pPr>
            <w:r w:rsidRPr="005071A1">
              <w:t>148</w:t>
            </w:r>
          </w:p>
        </w:tc>
      </w:tr>
      <w:tr w:rsidR="00B33542" w:rsidRPr="005071A1" w14:paraId="5395E24C" w14:textId="77777777" w:rsidTr="00DA469E">
        <w:tblPrEx>
          <w:tblCellMar>
            <w:left w:w="0" w:type="dxa"/>
            <w:right w:w="0" w:type="dxa"/>
          </w:tblCellMar>
        </w:tblPrEx>
        <w:tc>
          <w:tcPr>
            <w:tcW w:w="1276" w:type="dxa"/>
          </w:tcPr>
          <w:p w14:paraId="6F0A4B63" w14:textId="77777777" w:rsidR="00B33542" w:rsidRPr="005071A1" w:rsidRDefault="00B33542" w:rsidP="009B7AF5">
            <w:pPr>
              <w:pStyle w:val="ENoteTableText"/>
            </w:pPr>
            <w:r w:rsidRPr="005071A1">
              <w:t>81A</w:t>
            </w:r>
          </w:p>
        </w:tc>
        <w:tc>
          <w:tcPr>
            <w:tcW w:w="1418" w:type="dxa"/>
          </w:tcPr>
          <w:p w14:paraId="78FB165D" w14:textId="77777777" w:rsidR="00B33542" w:rsidRPr="005071A1" w:rsidRDefault="00B33542" w:rsidP="009B7AF5">
            <w:pPr>
              <w:pStyle w:val="ENoteTableText"/>
            </w:pPr>
            <w:r w:rsidRPr="005071A1">
              <w:t>149</w:t>
            </w:r>
          </w:p>
        </w:tc>
      </w:tr>
      <w:tr w:rsidR="00B33542" w:rsidRPr="005071A1" w14:paraId="095513CE" w14:textId="77777777" w:rsidTr="00DA469E">
        <w:tblPrEx>
          <w:tblCellMar>
            <w:left w:w="0" w:type="dxa"/>
            <w:right w:w="0" w:type="dxa"/>
          </w:tblCellMar>
        </w:tblPrEx>
        <w:tc>
          <w:tcPr>
            <w:tcW w:w="1276" w:type="dxa"/>
            <w:tcBorders>
              <w:bottom w:val="single" w:sz="12" w:space="0" w:color="auto"/>
            </w:tcBorders>
          </w:tcPr>
          <w:p w14:paraId="381768D5" w14:textId="77777777" w:rsidR="00B33542" w:rsidRPr="005071A1" w:rsidRDefault="00B33542" w:rsidP="009B7AF5">
            <w:pPr>
              <w:pStyle w:val="ENoteTableText"/>
            </w:pPr>
            <w:r w:rsidRPr="005071A1">
              <w:t>82</w:t>
            </w:r>
          </w:p>
        </w:tc>
        <w:tc>
          <w:tcPr>
            <w:tcW w:w="1418" w:type="dxa"/>
            <w:tcBorders>
              <w:bottom w:val="single" w:sz="12" w:space="0" w:color="auto"/>
            </w:tcBorders>
          </w:tcPr>
          <w:p w14:paraId="751D8A71" w14:textId="77777777" w:rsidR="00B33542" w:rsidRPr="005071A1" w:rsidRDefault="00B33542" w:rsidP="009B7AF5">
            <w:pPr>
              <w:pStyle w:val="ENoteTableText"/>
            </w:pPr>
            <w:r w:rsidRPr="005071A1">
              <w:t xml:space="preserve">150 </w:t>
            </w:r>
          </w:p>
        </w:tc>
      </w:tr>
    </w:tbl>
    <w:p w14:paraId="1FE577F7" w14:textId="77777777" w:rsidR="00BC0DF5" w:rsidRPr="005071A1" w:rsidRDefault="00BC0DF5" w:rsidP="00156E45">
      <w:pPr>
        <w:sectPr w:rsidR="00BC0DF5" w:rsidRPr="005071A1" w:rsidSect="0020596F">
          <w:headerReference w:type="even" r:id="rId44"/>
          <w:headerReference w:type="default" r:id="rId45"/>
          <w:footerReference w:type="even" r:id="rId46"/>
          <w:footerReference w:type="default" r:id="rId47"/>
          <w:footerReference w:type="first" r:id="rId48"/>
          <w:type w:val="continuous"/>
          <w:pgSz w:w="11907" w:h="16839" w:code="9"/>
          <w:pgMar w:top="2381" w:right="2410" w:bottom="4253" w:left="2410" w:header="720" w:footer="3402" w:gutter="0"/>
          <w:cols w:num="2" w:space="708"/>
          <w:docGrid w:linePitch="360"/>
        </w:sectPr>
      </w:pPr>
    </w:p>
    <w:p w14:paraId="41380610" w14:textId="77777777" w:rsidR="00C74397" w:rsidRPr="005071A1" w:rsidRDefault="00C74397" w:rsidP="00696EF7">
      <w:pPr>
        <w:pStyle w:val="Tabletext"/>
      </w:pPr>
    </w:p>
    <w:p w14:paraId="1D4D6AA8" w14:textId="1EEC896D" w:rsidR="00E048F7" w:rsidRPr="005071A1" w:rsidRDefault="00E048F7" w:rsidP="008D2598">
      <w:pPr>
        <w:pStyle w:val="ENotesText"/>
        <w:keepNext/>
      </w:pPr>
      <w:r w:rsidRPr="005071A1">
        <w:t xml:space="preserve">Other information relating to the </w:t>
      </w:r>
      <w:r w:rsidRPr="005071A1">
        <w:rPr>
          <w:i/>
        </w:rPr>
        <w:fldChar w:fldCharType="begin"/>
      </w:r>
      <w:r w:rsidRPr="005071A1">
        <w:rPr>
          <w:i/>
        </w:rPr>
        <w:instrText xml:space="preserve"> DOCPROPERTY  ShortT </w:instrText>
      </w:r>
      <w:r w:rsidRPr="005071A1">
        <w:rPr>
          <w:i/>
        </w:rPr>
        <w:fldChar w:fldCharType="separate"/>
      </w:r>
      <w:r w:rsidR="00B1494D">
        <w:rPr>
          <w:i/>
        </w:rPr>
        <w:t>Superannuation Act 1922</w:t>
      </w:r>
      <w:r w:rsidRPr="005071A1">
        <w:rPr>
          <w:i/>
        </w:rPr>
        <w:fldChar w:fldCharType="end"/>
      </w:r>
      <w:r w:rsidRPr="005071A1">
        <w:t xml:space="preserve"> is set out below.</w:t>
      </w:r>
    </w:p>
    <w:p w14:paraId="3E017683" w14:textId="77777777" w:rsidR="00C74397" w:rsidRPr="005071A1" w:rsidRDefault="00C74397" w:rsidP="00C74397">
      <w:pPr>
        <w:pStyle w:val="ENotesText"/>
      </w:pPr>
      <w:r w:rsidRPr="005071A1">
        <w:t xml:space="preserve">The </w:t>
      </w:r>
      <w:r w:rsidRPr="005071A1">
        <w:rPr>
          <w:i/>
        </w:rPr>
        <w:t xml:space="preserve">Superannuation Act 1922 </w:t>
      </w:r>
      <w:r w:rsidRPr="005071A1">
        <w:t>is affected by section</w:t>
      </w:r>
      <w:r w:rsidR="008B2950" w:rsidRPr="005071A1">
        <w:t> </w:t>
      </w:r>
      <w:r w:rsidRPr="005071A1">
        <w:t xml:space="preserve">33 of the </w:t>
      </w:r>
      <w:r w:rsidRPr="005071A1">
        <w:rPr>
          <w:i/>
        </w:rPr>
        <w:t>Qantas Sale Act 1992</w:t>
      </w:r>
      <w:r w:rsidRPr="005071A1">
        <w:t>.</w:t>
      </w:r>
    </w:p>
    <w:p w14:paraId="592C645E" w14:textId="77777777" w:rsidR="00C74397" w:rsidRPr="005071A1" w:rsidRDefault="00C74397" w:rsidP="00C74397">
      <w:pPr>
        <w:pStyle w:val="ENotesText"/>
      </w:pPr>
      <w:r w:rsidRPr="005071A1">
        <w:t xml:space="preserve">The </w:t>
      </w:r>
      <w:r w:rsidRPr="005071A1">
        <w:rPr>
          <w:i/>
        </w:rPr>
        <w:t xml:space="preserve">Superannuation Act 1922 </w:t>
      </w:r>
      <w:r w:rsidRPr="005071A1">
        <w:t>is affected by section</w:t>
      </w:r>
      <w:r w:rsidR="008B2950" w:rsidRPr="005071A1">
        <w:t> </w:t>
      </w:r>
      <w:r w:rsidR="009113A7" w:rsidRPr="005071A1">
        <w:t>36</w:t>
      </w:r>
      <w:r w:rsidRPr="005071A1">
        <w:t xml:space="preserve"> of the </w:t>
      </w:r>
      <w:r w:rsidRPr="005071A1">
        <w:rPr>
          <w:i/>
        </w:rPr>
        <w:t xml:space="preserve">CSL </w:t>
      </w:r>
      <w:smartTag w:uri="urn:schemas-microsoft-com:office:smarttags" w:element="place">
        <w:smartTag w:uri="urn:schemas-microsoft-com:office:smarttags" w:element="City">
          <w:r w:rsidRPr="005071A1">
            <w:rPr>
              <w:i/>
            </w:rPr>
            <w:t>Sale</w:t>
          </w:r>
        </w:smartTag>
      </w:smartTag>
      <w:r w:rsidRPr="005071A1">
        <w:rPr>
          <w:i/>
        </w:rPr>
        <w:t xml:space="preserve"> Act 1993</w:t>
      </w:r>
      <w:r w:rsidRPr="005071A1">
        <w:t>.</w:t>
      </w:r>
    </w:p>
    <w:p w14:paraId="17134FC1" w14:textId="77777777" w:rsidR="00C74397" w:rsidRPr="005071A1" w:rsidRDefault="00C74397" w:rsidP="00640BB6">
      <w:pPr>
        <w:sectPr w:rsidR="00C74397" w:rsidRPr="005071A1" w:rsidSect="0020596F">
          <w:type w:val="continuous"/>
          <w:pgSz w:w="11907" w:h="16839"/>
          <w:pgMar w:top="2381" w:right="2410" w:bottom="4252" w:left="2410" w:header="720" w:footer="3402" w:gutter="0"/>
          <w:cols w:space="708"/>
          <w:docGrid w:linePitch="360"/>
        </w:sectPr>
      </w:pPr>
    </w:p>
    <w:p w14:paraId="5AE75E47" w14:textId="77777777" w:rsidR="002C2532" w:rsidRPr="005071A1" w:rsidRDefault="002C2532" w:rsidP="006C71E2"/>
    <w:sectPr w:rsidR="002C2532" w:rsidRPr="005071A1" w:rsidSect="0020596F">
      <w:headerReference w:type="even" r:id="rId49"/>
      <w:headerReference w:type="default" r:id="rId50"/>
      <w:footerReference w:type="even" r:id="rId51"/>
      <w:footerReference w:type="default" r:id="rId52"/>
      <w:headerReference w:type="first" r:id="rId53"/>
      <w:footerReference w:type="first" r:id="rId54"/>
      <w:type w:val="continuous"/>
      <w:pgSz w:w="11907" w:h="16839" w:code="9"/>
      <w:pgMar w:top="2381" w:right="2410" w:bottom="4253" w:left="2410" w:header="720" w:footer="340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BE0D" w14:textId="77777777" w:rsidR="009A3F32" w:rsidRPr="004C5EEB" w:rsidRDefault="009A3F32" w:rsidP="001A280C">
      <w:pPr>
        <w:spacing w:line="240" w:lineRule="auto"/>
      </w:pPr>
      <w:r>
        <w:separator/>
      </w:r>
    </w:p>
  </w:endnote>
  <w:endnote w:type="continuationSeparator" w:id="0">
    <w:p w14:paraId="7697C4AC" w14:textId="77777777" w:rsidR="009A3F32" w:rsidRPr="004C5EEB" w:rsidRDefault="009A3F32" w:rsidP="001A2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6E511" w14:textId="77777777" w:rsidR="009A3F32" w:rsidRDefault="009A3F3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E28AB"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1494D" w:rsidRPr="007B3B51" w14:paraId="5582E38F" w14:textId="77777777" w:rsidTr="00B1494D">
      <w:tc>
        <w:tcPr>
          <w:tcW w:w="854" w:type="pct"/>
        </w:tcPr>
        <w:p w14:paraId="46DAFB5E" w14:textId="77777777" w:rsidR="00B1494D" w:rsidRPr="007B3B51" w:rsidRDefault="00B1494D" w:rsidP="00C94853">
          <w:pPr>
            <w:rPr>
              <w:i/>
              <w:sz w:val="16"/>
              <w:szCs w:val="16"/>
            </w:rPr>
          </w:pPr>
        </w:p>
      </w:tc>
      <w:tc>
        <w:tcPr>
          <w:tcW w:w="3688" w:type="pct"/>
          <w:gridSpan w:val="3"/>
        </w:tcPr>
        <w:p w14:paraId="59EA176B" w14:textId="215E73DB"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04914EA6" w14:textId="77777777" w:rsidR="00B1494D" w:rsidRPr="007B3B51" w:rsidRDefault="00B1494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1494D" w:rsidRPr="00130F37" w14:paraId="531ECF5A" w14:textId="77777777" w:rsidTr="00B1494D">
      <w:tc>
        <w:tcPr>
          <w:tcW w:w="1499" w:type="pct"/>
          <w:gridSpan w:val="2"/>
        </w:tcPr>
        <w:p w14:paraId="1960DA11" w14:textId="3DDCFE8C" w:rsidR="00B1494D" w:rsidRPr="00130F37" w:rsidRDefault="00B1494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45A31">
            <w:rPr>
              <w:rFonts w:cs="Times New Roman"/>
              <w:sz w:val="16"/>
              <w:szCs w:val="16"/>
            </w:rPr>
            <w:t>28</w:t>
          </w:r>
          <w:r w:rsidRPr="00A02D20">
            <w:rPr>
              <w:sz w:val="16"/>
              <w:szCs w:val="16"/>
            </w:rPr>
            <w:fldChar w:fldCharType="end"/>
          </w:r>
        </w:p>
      </w:tc>
      <w:tc>
        <w:tcPr>
          <w:tcW w:w="1703" w:type="pct"/>
        </w:tcPr>
        <w:p w14:paraId="339A6DFB" w14:textId="77777777" w:rsidR="00B1494D" w:rsidRPr="00130F37" w:rsidRDefault="00B1494D" w:rsidP="006D2C4C">
          <w:pPr>
            <w:spacing w:before="120"/>
            <w:rPr>
              <w:sz w:val="16"/>
              <w:szCs w:val="16"/>
            </w:rPr>
          </w:pPr>
        </w:p>
      </w:tc>
      <w:tc>
        <w:tcPr>
          <w:tcW w:w="1798" w:type="pct"/>
          <w:gridSpan w:val="2"/>
        </w:tcPr>
        <w:p w14:paraId="467A0BAD" w14:textId="07E92980" w:rsidR="00B1494D" w:rsidRPr="00130F37" w:rsidRDefault="00B1494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45A31">
            <w:rPr>
              <w:rFonts w:cs="Times New Roman"/>
              <w:sz w:val="16"/>
              <w:szCs w:val="16"/>
            </w:rPr>
            <w:t>11/12/2024</w:t>
          </w:r>
          <w:r w:rsidRPr="00A02D20">
            <w:rPr>
              <w:sz w:val="16"/>
              <w:szCs w:val="16"/>
            </w:rPr>
            <w:fldChar w:fldCharType="end"/>
          </w:r>
        </w:p>
      </w:tc>
    </w:tr>
  </w:tbl>
  <w:p w14:paraId="606379FB" w14:textId="29B2387F" w:rsidR="009A3F32" w:rsidRPr="003D373C" w:rsidRDefault="009A3F32" w:rsidP="003D373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DA5F" w14:textId="77777777" w:rsidR="009A3F32" w:rsidRPr="007B3B51" w:rsidRDefault="009A3F32" w:rsidP="003D373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9A3F32" w:rsidRPr="007B3B51" w14:paraId="381DC891" w14:textId="77777777" w:rsidTr="00B1494D">
      <w:tc>
        <w:tcPr>
          <w:tcW w:w="854" w:type="pct"/>
        </w:tcPr>
        <w:p w14:paraId="7EEB4F8A" w14:textId="77777777" w:rsidR="009A3F32" w:rsidRPr="007B3B51" w:rsidRDefault="009A3F32" w:rsidP="003D373C">
          <w:pPr>
            <w:rPr>
              <w:i/>
              <w:sz w:val="16"/>
              <w:szCs w:val="16"/>
            </w:rPr>
          </w:pPr>
        </w:p>
      </w:tc>
      <w:tc>
        <w:tcPr>
          <w:tcW w:w="3688" w:type="pct"/>
          <w:gridSpan w:val="3"/>
        </w:tcPr>
        <w:p w14:paraId="245769F4" w14:textId="22FBC58D" w:rsidR="009A3F32" w:rsidRPr="007B3B51" w:rsidRDefault="009A3F32" w:rsidP="003D37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A31">
            <w:rPr>
              <w:i/>
              <w:noProof/>
              <w:sz w:val="16"/>
              <w:szCs w:val="16"/>
            </w:rPr>
            <w:t>Superannuation Act 1922</w:t>
          </w:r>
          <w:r w:rsidRPr="007B3B51">
            <w:rPr>
              <w:i/>
              <w:sz w:val="16"/>
              <w:szCs w:val="16"/>
            </w:rPr>
            <w:fldChar w:fldCharType="end"/>
          </w:r>
        </w:p>
      </w:tc>
      <w:tc>
        <w:tcPr>
          <w:tcW w:w="458" w:type="pct"/>
        </w:tcPr>
        <w:p w14:paraId="48888331" w14:textId="77777777" w:rsidR="009A3F32" w:rsidRPr="007B3B51" w:rsidRDefault="009A3F32" w:rsidP="003D37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422</w:t>
          </w:r>
          <w:r w:rsidRPr="007B3B51">
            <w:rPr>
              <w:i/>
              <w:sz w:val="16"/>
              <w:szCs w:val="16"/>
            </w:rPr>
            <w:fldChar w:fldCharType="end"/>
          </w:r>
        </w:p>
      </w:tc>
    </w:tr>
    <w:tr w:rsidR="009A3F32" w:rsidRPr="00130F37" w14:paraId="2C3E4139" w14:textId="77777777" w:rsidTr="00B1494D">
      <w:tc>
        <w:tcPr>
          <w:tcW w:w="1499" w:type="pct"/>
          <w:gridSpan w:val="2"/>
        </w:tcPr>
        <w:p w14:paraId="69A42D61" w14:textId="544C790B" w:rsidR="009A3F32" w:rsidRPr="00130F37" w:rsidRDefault="009A3F32" w:rsidP="003D37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45A31">
            <w:rPr>
              <w:sz w:val="16"/>
              <w:szCs w:val="16"/>
            </w:rPr>
            <w:t>28</w:t>
          </w:r>
          <w:r w:rsidRPr="00130F37">
            <w:rPr>
              <w:sz w:val="16"/>
              <w:szCs w:val="16"/>
            </w:rPr>
            <w:fldChar w:fldCharType="end"/>
          </w:r>
        </w:p>
      </w:tc>
      <w:tc>
        <w:tcPr>
          <w:tcW w:w="1999" w:type="pct"/>
        </w:tcPr>
        <w:p w14:paraId="5A6DBFBF" w14:textId="78236EE4" w:rsidR="009A3F32" w:rsidRPr="00130F37" w:rsidRDefault="009A3F32" w:rsidP="003D37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845A31">
            <w:rPr>
              <w:sz w:val="16"/>
              <w:szCs w:val="16"/>
            </w:rPr>
            <w:t>11/12/2024</w:t>
          </w:r>
          <w:r w:rsidRPr="00130F37">
            <w:rPr>
              <w:sz w:val="16"/>
              <w:szCs w:val="16"/>
            </w:rPr>
            <w:fldChar w:fldCharType="end"/>
          </w:r>
        </w:p>
      </w:tc>
      <w:tc>
        <w:tcPr>
          <w:tcW w:w="1502" w:type="pct"/>
          <w:gridSpan w:val="2"/>
        </w:tcPr>
        <w:p w14:paraId="3F61F69A" w14:textId="6FB1187A" w:rsidR="009A3F32" w:rsidRPr="00130F37" w:rsidRDefault="009A3F32" w:rsidP="003D37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45A31">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845A31">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45A31">
            <w:rPr>
              <w:noProof/>
              <w:sz w:val="16"/>
              <w:szCs w:val="16"/>
            </w:rPr>
            <w:t>01/01/1901</w:t>
          </w:r>
          <w:r w:rsidRPr="00130F37">
            <w:rPr>
              <w:sz w:val="16"/>
              <w:szCs w:val="16"/>
            </w:rPr>
            <w:fldChar w:fldCharType="end"/>
          </w:r>
        </w:p>
      </w:tc>
    </w:tr>
  </w:tbl>
  <w:p w14:paraId="6B58E1ED" w14:textId="77777777" w:rsidR="009A3F32" w:rsidRPr="00640BB6" w:rsidRDefault="009A3F32" w:rsidP="003D373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5B156"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1494D" w:rsidRPr="007B3B51" w14:paraId="23278F9E" w14:textId="77777777" w:rsidTr="00B1494D">
      <w:tc>
        <w:tcPr>
          <w:tcW w:w="854" w:type="pct"/>
        </w:tcPr>
        <w:p w14:paraId="67512547" w14:textId="77777777" w:rsidR="00B1494D" w:rsidRPr="007B3B51" w:rsidRDefault="00B1494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F100A5B" w14:textId="67E23C1B"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156A1EAD" w14:textId="77777777" w:rsidR="00B1494D" w:rsidRPr="007B3B51" w:rsidRDefault="00B1494D" w:rsidP="00C94853">
          <w:pPr>
            <w:jc w:val="right"/>
            <w:rPr>
              <w:sz w:val="16"/>
              <w:szCs w:val="16"/>
            </w:rPr>
          </w:pPr>
        </w:p>
      </w:tc>
    </w:tr>
    <w:tr w:rsidR="00B1494D" w:rsidRPr="0055472E" w14:paraId="2C6CAF37" w14:textId="77777777" w:rsidTr="00B1494D">
      <w:tc>
        <w:tcPr>
          <w:tcW w:w="1498" w:type="pct"/>
          <w:gridSpan w:val="2"/>
        </w:tcPr>
        <w:p w14:paraId="3FBD5FCA" w14:textId="18580DCD" w:rsidR="00B1494D" w:rsidRPr="0055472E" w:rsidRDefault="00B1494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5A31">
            <w:rPr>
              <w:sz w:val="16"/>
              <w:szCs w:val="16"/>
            </w:rPr>
            <w:t>28</w:t>
          </w:r>
          <w:r w:rsidRPr="0055472E">
            <w:rPr>
              <w:sz w:val="16"/>
              <w:szCs w:val="16"/>
            </w:rPr>
            <w:fldChar w:fldCharType="end"/>
          </w:r>
        </w:p>
      </w:tc>
      <w:tc>
        <w:tcPr>
          <w:tcW w:w="1703" w:type="pct"/>
        </w:tcPr>
        <w:p w14:paraId="5F10957C" w14:textId="77777777" w:rsidR="00B1494D" w:rsidRPr="0055472E" w:rsidRDefault="00B1494D" w:rsidP="006D2C4C">
          <w:pPr>
            <w:spacing w:before="120"/>
            <w:rPr>
              <w:sz w:val="16"/>
              <w:szCs w:val="16"/>
            </w:rPr>
          </w:pPr>
        </w:p>
      </w:tc>
      <w:tc>
        <w:tcPr>
          <w:tcW w:w="1799" w:type="pct"/>
          <w:gridSpan w:val="2"/>
        </w:tcPr>
        <w:p w14:paraId="1A438C5E" w14:textId="26D21AC6" w:rsidR="00B1494D" w:rsidRPr="0055472E" w:rsidRDefault="00B1494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45A31">
            <w:rPr>
              <w:sz w:val="16"/>
              <w:szCs w:val="16"/>
            </w:rPr>
            <w:t>11/12/2024</w:t>
          </w:r>
          <w:r w:rsidRPr="0055472E">
            <w:rPr>
              <w:sz w:val="16"/>
              <w:szCs w:val="16"/>
            </w:rPr>
            <w:fldChar w:fldCharType="end"/>
          </w:r>
        </w:p>
      </w:tc>
    </w:tr>
  </w:tbl>
  <w:p w14:paraId="25F646F9" w14:textId="30021829" w:rsidR="009A3F32" w:rsidRPr="003D373C" w:rsidRDefault="009A3F32" w:rsidP="003D373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EEFA"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1494D" w:rsidRPr="007B3B51" w14:paraId="5868D635" w14:textId="77777777" w:rsidTr="00B1494D">
      <w:tc>
        <w:tcPr>
          <w:tcW w:w="854" w:type="pct"/>
        </w:tcPr>
        <w:p w14:paraId="4863A3AB" w14:textId="77777777" w:rsidR="00B1494D" w:rsidRPr="007B3B51" w:rsidRDefault="00B1494D" w:rsidP="00C94853">
          <w:pPr>
            <w:rPr>
              <w:i/>
              <w:sz w:val="16"/>
              <w:szCs w:val="16"/>
            </w:rPr>
          </w:pPr>
        </w:p>
      </w:tc>
      <w:tc>
        <w:tcPr>
          <w:tcW w:w="3688" w:type="pct"/>
          <w:gridSpan w:val="3"/>
        </w:tcPr>
        <w:p w14:paraId="318AAF76" w14:textId="52EDFD05"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307A21A0" w14:textId="77777777" w:rsidR="00B1494D" w:rsidRPr="007B3B51" w:rsidRDefault="00B1494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1494D" w:rsidRPr="00130F37" w14:paraId="0C552D2F" w14:textId="77777777" w:rsidTr="00B1494D">
      <w:tc>
        <w:tcPr>
          <w:tcW w:w="1499" w:type="pct"/>
          <w:gridSpan w:val="2"/>
        </w:tcPr>
        <w:p w14:paraId="48EE9C59" w14:textId="59E667C6" w:rsidR="00B1494D" w:rsidRPr="00130F37" w:rsidRDefault="00B1494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45A31">
            <w:rPr>
              <w:rFonts w:cs="Times New Roman"/>
              <w:sz w:val="16"/>
              <w:szCs w:val="16"/>
            </w:rPr>
            <w:t>28</w:t>
          </w:r>
          <w:r w:rsidRPr="00A02D20">
            <w:rPr>
              <w:sz w:val="16"/>
              <w:szCs w:val="16"/>
            </w:rPr>
            <w:fldChar w:fldCharType="end"/>
          </w:r>
        </w:p>
      </w:tc>
      <w:tc>
        <w:tcPr>
          <w:tcW w:w="1703" w:type="pct"/>
        </w:tcPr>
        <w:p w14:paraId="04F0EE28" w14:textId="77777777" w:rsidR="00B1494D" w:rsidRPr="00130F37" w:rsidRDefault="00B1494D" w:rsidP="006D2C4C">
          <w:pPr>
            <w:spacing w:before="120"/>
            <w:rPr>
              <w:sz w:val="16"/>
              <w:szCs w:val="16"/>
            </w:rPr>
          </w:pPr>
        </w:p>
      </w:tc>
      <w:tc>
        <w:tcPr>
          <w:tcW w:w="1798" w:type="pct"/>
          <w:gridSpan w:val="2"/>
        </w:tcPr>
        <w:p w14:paraId="29ED369F" w14:textId="7BDB02C5" w:rsidR="00B1494D" w:rsidRPr="00130F37" w:rsidRDefault="00B1494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45A31">
            <w:rPr>
              <w:rFonts w:cs="Times New Roman"/>
              <w:sz w:val="16"/>
              <w:szCs w:val="16"/>
            </w:rPr>
            <w:t>11/12/2024</w:t>
          </w:r>
          <w:r w:rsidRPr="00A02D20">
            <w:rPr>
              <w:sz w:val="16"/>
              <w:szCs w:val="16"/>
            </w:rPr>
            <w:fldChar w:fldCharType="end"/>
          </w:r>
        </w:p>
      </w:tc>
    </w:tr>
  </w:tbl>
  <w:p w14:paraId="2CC635D8" w14:textId="08C2834E" w:rsidR="009A3F32" w:rsidRPr="003D373C" w:rsidRDefault="009A3F32" w:rsidP="003D373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E9B3F" w14:textId="77777777" w:rsidR="009A3F32" w:rsidRPr="007A1328" w:rsidRDefault="009A3F32" w:rsidP="000E0CCB">
    <w:pPr>
      <w:pBdr>
        <w:top w:val="single" w:sz="6" w:space="1" w:color="auto"/>
      </w:pBdr>
      <w:spacing w:before="120"/>
      <w:rPr>
        <w:sz w:val="18"/>
      </w:rPr>
    </w:pPr>
  </w:p>
  <w:p w14:paraId="03969229" w14:textId="6A1702AC" w:rsidR="009A3F32" w:rsidRPr="007A1328" w:rsidRDefault="009A3F32" w:rsidP="000E0CC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45A31">
      <w:rPr>
        <w:i/>
        <w:noProof/>
        <w:sz w:val="18"/>
      </w:rPr>
      <w:t>Superannuation Act 1922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45A3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422</w:t>
    </w:r>
    <w:r w:rsidRPr="007A1328">
      <w:rPr>
        <w:i/>
        <w:sz w:val="18"/>
      </w:rPr>
      <w:fldChar w:fldCharType="end"/>
    </w:r>
  </w:p>
  <w:p w14:paraId="4271F34E" w14:textId="77777777" w:rsidR="009A3F32" w:rsidRPr="007A1328" w:rsidRDefault="009A3F32" w:rsidP="000E0CCB">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80E9C"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1494D" w:rsidRPr="007B3B51" w14:paraId="51EEF991" w14:textId="77777777" w:rsidTr="00B1494D">
      <w:tc>
        <w:tcPr>
          <w:tcW w:w="854" w:type="pct"/>
        </w:tcPr>
        <w:p w14:paraId="079545F3" w14:textId="77777777" w:rsidR="00B1494D" w:rsidRPr="007B3B51" w:rsidRDefault="00B1494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4A93580" w14:textId="360AFE6B"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6A762825" w14:textId="77777777" w:rsidR="00B1494D" w:rsidRPr="007B3B51" w:rsidRDefault="00B1494D" w:rsidP="00C94853">
          <w:pPr>
            <w:jc w:val="right"/>
            <w:rPr>
              <w:sz w:val="16"/>
              <w:szCs w:val="16"/>
            </w:rPr>
          </w:pPr>
        </w:p>
      </w:tc>
    </w:tr>
    <w:tr w:rsidR="00B1494D" w:rsidRPr="0055472E" w14:paraId="71E5F6FE" w14:textId="77777777" w:rsidTr="00B1494D">
      <w:tc>
        <w:tcPr>
          <w:tcW w:w="1498" w:type="pct"/>
          <w:gridSpan w:val="2"/>
        </w:tcPr>
        <w:p w14:paraId="57E91F9E" w14:textId="340F2095" w:rsidR="00B1494D" w:rsidRPr="0055472E" w:rsidRDefault="00B1494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5A31">
            <w:rPr>
              <w:sz w:val="16"/>
              <w:szCs w:val="16"/>
            </w:rPr>
            <w:t>28</w:t>
          </w:r>
          <w:r w:rsidRPr="0055472E">
            <w:rPr>
              <w:sz w:val="16"/>
              <w:szCs w:val="16"/>
            </w:rPr>
            <w:fldChar w:fldCharType="end"/>
          </w:r>
        </w:p>
      </w:tc>
      <w:tc>
        <w:tcPr>
          <w:tcW w:w="1703" w:type="pct"/>
        </w:tcPr>
        <w:p w14:paraId="256ED87A" w14:textId="77777777" w:rsidR="00B1494D" w:rsidRPr="0055472E" w:rsidRDefault="00B1494D" w:rsidP="006D2C4C">
          <w:pPr>
            <w:spacing w:before="120"/>
            <w:rPr>
              <w:sz w:val="16"/>
              <w:szCs w:val="16"/>
            </w:rPr>
          </w:pPr>
        </w:p>
      </w:tc>
      <w:tc>
        <w:tcPr>
          <w:tcW w:w="1799" w:type="pct"/>
          <w:gridSpan w:val="2"/>
        </w:tcPr>
        <w:p w14:paraId="28737F43" w14:textId="092DE3DD" w:rsidR="00B1494D" w:rsidRPr="0055472E" w:rsidRDefault="00B1494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45A31">
            <w:rPr>
              <w:sz w:val="16"/>
              <w:szCs w:val="16"/>
            </w:rPr>
            <w:t>11/12/2024</w:t>
          </w:r>
          <w:r w:rsidRPr="0055472E">
            <w:rPr>
              <w:sz w:val="16"/>
              <w:szCs w:val="16"/>
            </w:rPr>
            <w:fldChar w:fldCharType="end"/>
          </w:r>
        </w:p>
      </w:tc>
    </w:tr>
  </w:tbl>
  <w:p w14:paraId="1C3FB5AD" w14:textId="4FCE73AA" w:rsidR="009A3F32" w:rsidRPr="003D373C" w:rsidRDefault="009A3F32" w:rsidP="003D373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C5421"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1494D" w:rsidRPr="007B3B51" w14:paraId="78191566" w14:textId="77777777" w:rsidTr="00B1494D">
      <w:tc>
        <w:tcPr>
          <w:tcW w:w="854" w:type="pct"/>
        </w:tcPr>
        <w:p w14:paraId="24445E24" w14:textId="77777777" w:rsidR="00B1494D" w:rsidRPr="007B3B51" w:rsidRDefault="00B1494D" w:rsidP="00C94853">
          <w:pPr>
            <w:rPr>
              <w:i/>
              <w:sz w:val="16"/>
              <w:szCs w:val="16"/>
            </w:rPr>
          </w:pPr>
        </w:p>
      </w:tc>
      <w:tc>
        <w:tcPr>
          <w:tcW w:w="3688" w:type="pct"/>
          <w:gridSpan w:val="3"/>
        </w:tcPr>
        <w:p w14:paraId="6DDC5122" w14:textId="4834EF83"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38217F30" w14:textId="77777777" w:rsidR="00B1494D" w:rsidRPr="007B3B51" w:rsidRDefault="00B1494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1494D" w:rsidRPr="00130F37" w14:paraId="26DA0CCF" w14:textId="77777777" w:rsidTr="00B1494D">
      <w:tc>
        <w:tcPr>
          <w:tcW w:w="1499" w:type="pct"/>
          <w:gridSpan w:val="2"/>
        </w:tcPr>
        <w:p w14:paraId="7556D666" w14:textId="54D313B4" w:rsidR="00B1494D" w:rsidRPr="00130F37" w:rsidRDefault="00B1494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45A31">
            <w:rPr>
              <w:rFonts w:cs="Times New Roman"/>
              <w:sz w:val="16"/>
              <w:szCs w:val="16"/>
            </w:rPr>
            <w:t>28</w:t>
          </w:r>
          <w:r w:rsidRPr="00A02D20">
            <w:rPr>
              <w:sz w:val="16"/>
              <w:szCs w:val="16"/>
            </w:rPr>
            <w:fldChar w:fldCharType="end"/>
          </w:r>
        </w:p>
      </w:tc>
      <w:tc>
        <w:tcPr>
          <w:tcW w:w="1703" w:type="pct"/>
        </w:tcPr>
        <w:p w14:paraId="1F6BFA12" w14:textId="77777777" w:rsidR="00B1494D" w:rsidRPr="00130F37" w:rsidRDefault="00B1494D" w:rsidP="006D2C4C">
          <w:pPr>
            <w:spacing w:before="120"/>
            <w:rPr>
              <w:sz w:val="16"/>
              <w:szCs w:val="16"/>
            </w:rPr>
          </w:pPr>
        </w:p>
      </w:tc>
      <w:tc>
        <w:tcPr>
          <w:tcW w:w="1798" w:type="pct"/>
          <w:gridSpan w:val="2"/>
        </w:tcPr>
        <w:p w14:paraId="0C65577D" w14:textId="15A59CFE" w:rsidR="00B1494D" w:rsidRPr="00130F37" w:rsidRDefault="00B1494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45A31">
            <w:rPr>
              <w:rFonts w:cs="Times New Roman"/>
              <w:sz w:val="16"/>
              <w:szCs w:val="16"/>
            </w:rPr>
            <w:t>11/12/2024</w:t>
          </w:r>
          <w:r w:rsidRPr="00A02D20">
            <w:rPr>
              <w:sz w:val="16"/>
              <w:szCs w:val="16"/>
            </w:rPr>
            <w:fldChar w:fldCharType="end"/>
          </w:r>
        </w:p>
      </w:tc>
    </w:tr>
  </w:tbl>
  <w:p w14:paraId="717A9756" w14:textId="318242E0" w:rsidR="009A3F32" w:rsidRPr="003D373C" w:rsidRDefault="009A3F32" w:rsidP="003D373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12321" w14:textId="77777777" w:rsidR="009A3F32" w:rsidRDefault="009A3F32" w:rsidP="00C74397">
    <w:pPr>
      <w:pBdr>
        <w:top w:val="single" w:sz="6" w:space="1" w:color="auto"/>
      </w:pBdr>
      <w:spacing w:before="120"/>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A3F32" w14:paraId="36838948" w14:textId="77777777" w:rsidTr="00B1494D">
      <w:tc>
        <w:tcPr>
          <w:tcW w:w="854" w:type="pct"/>
        </w:tcPr>
        <w:p w14:paraId="39ED70EC" w14:textId="77777777" w:rsidR="009A3F32" w:rsidRDefault="009A3F32" w:rsidP="00640BB6">
          <w:pPr>
            <w:rPr>
              <w:sz w:val="18"/>
            </w:rPr>
          </w:pPr>
        </w:p>
      </w:tc>
      <w:tc>
        <w:tcPr>
          <w:tcW w:w="3688" w:type="pct"/>
        </w:tcPr>
        <w:p w14:paraId="6511CF98" w14:textId="2DFC1C33" w:rsidR="009A3F32" w:rsidRDefault="009A3F32" w:rsidP="00640BB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45A31">
            <w:rPr>
              <w:i/>
              <w:sz w:val="18"/>
            </w:rPr>
            <w:t>Superannuation Act 1922</w:t>
          </w:r>
          <w:r w:rsidRPr="007A1328">
            <w:rPr>
              <w:i/>
              <w:sz w:val="18"/>
            </w:rPr>
            <w:fldChar w:fldCharType="end"/>
          </w:r>
        </w:p>
      </w:tc>
      <w:tc>
        <w:tcPr>
          <w:tcW w:w="458" w:type="pct"/>
        </w:tcPr>
        <w:p w14:paraId="7755ED75" w14:textId="77777777" w:rsidR="009A3F32" w:rsidRDefault="009A3F32" w:rsidP="00640BB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422</w:t>
          </w:r>
          <w:r w:rsidRPr="007A1328">
            <w:rPr>
              <w:i/>
              <w:sz w:val="18"/>
            </w:rPr>
            <w:fldChar w:fldCharType="end"/>
          </w:r>
        </w:p>
      </w:tc>
    </w:tr>
  </w:tbl>
  <w:p w14:paraId="6F3658A9" w14:textId="77777777" w:rsidR="009A3F32" w:rsidRPr="0078369C" w:rsidRDefault="009A3F32" w:rsidP="00C7439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417EB"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1494D" w:rsidRPr="007B3B51" w14:paraId="404C20EA" w14:textId="77777777" w:rsidTr="00B1494D">
      <w:tc>
        <w:tcPr>
          <w:tcW w:w="854" w:type="pct"/>
        </w:tcPr>
        <w:p w14:paraId="23E65D87" w14:textId="77777777" w:rsidR="00B1494D" w:rsidRPr="007B3B51" w:rsidRDefault="00B1494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79EBEA3" w14:textId="171BE0A8"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A31">
            <w:rPr>
              <w:i/>
              <w:noProof/>
              <w:sz w:val="16"/>
              <w:szCs w:val="16"/>
            </w:rPr>
            <w:t>Superannuation Act 1922</w:t>
          </w:r>
          <w:r w:rsidRPr="007B3B51">
            <w:rPr>
              <w:i/>
              <w:sz w:val="16"/>
              <w:szCs w:val="16"/>
            </w:rPr>
            <w:fldChar w:fldCharType="end"/>
          </w:r>
        </w:p>
      </w:tc>
      <w:tc>
        <w:tcPr>
          <w:tcW w:w="458" w:type="pct"/>
        </w:tcPr>
        <w:p w14:paraId="00044EB5" w14:textId="77777777" w:rsidR="00B1494D" w:rsidRPr="007B3B51" w:rsidRDefault="00B1494D" w:rsidP="00C94853">
          <w:pPr>
            <w:jc w:val="right"/>
            <w:rPr>
              <w:sz w:val="16"/>
              <w:szCs w:val="16"/>
            </w:rPr>
          </w:pPr>
        </w:p>
      </w:tc>
    </w:tr>
    <w:tr w:rsidR="00B1494D" w:rsidRPr="0055472E" w14:paraId="611DD8AE" w14:textId="77777777" w:rsidTr="00B1494D">
      <w:tc>
        <w:tcPr>
          <w:tcW w:w="1498" w:type="pct"/>
          <w:gridSpan w:val="2"/>
        </w:tcPr>
        <w:p w14:paraId="43977C76" w14:textId="73792976" w:rsidR="00B1494D" w:rsidRPr="0055472E" w:rsidRDefault="00B1494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5A31">
            <w:rPr>
              <w:sz w:val="16"/>
              <w:szCs w:val="16"/>
            </w:rPr>
            <w:t>28</w:t>
          </w:r>
          <w:r w:rsidRPr="0055472E">
            <w:rPr>
              <w:sz w:val="16"/>
              <w:szCs w:val="16"/>
            </w:rPr>
            <w:fldChar w:fldCharType="end"/>
          </w:r>
        </w:p>
      </w:tc>
      <w:tc>
        <w:tcPr>
          <w:tcW w:w="1703" w:type="pct"/>
        </w:tcPr>
        <w:p w14:paraId="258E9F33" w14:textId="77777777" w:rsidR="00B1494D" w:rsidRPr="0055472E" w:rsidRDefault="00B1494D" w:rsidP="006D2C4C">
          <w:pPr>
            <w:spacing w:before="120"/>
            <w:rPr>
              <w:sz w:val="16"/>
              <w:szCs w:val="16"/>
            </w:rPr>
          </w:pPr>
        </w:p>
      </w:tc>
      <w:tc>
        <w:tcPr>
          <w:tcW w:w="1799" w:type="pct"/>
          <w:gridSpan w:val="2"/>
        </w:tcPr>
        <w:p w14:paraId="6B7E2351" w14:textId="2243825F" w:rsidR="00B1494D" w:rsidRPr="0055472E" w:rsidRDefault="00B1494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45A31">
            <w:rPr>
              <w:sz w:val="16"/>
              <w:szCs w:val="16"/>
            </w:rPr>
            <w:t>11/12/2024</w:t>
          </w:r>
          <w:r w:rsidRPr="0055472E">
            <w:rPr>
              <w:sz w:val="16"/>
              <w:szCs w:val="16"/>
            </w:rPr>
            <w:fldChar w:fldCharType="end"/>
          </w:r>
        </w:p>
      </w:tc>
    </w:tr>
  </w:tbl>
  <w:p w14:paraId="3DBA8C8C" w14:textId="5ED8CBEC" w:rsidR="009A3F32" w:rsidRPr="003D373C" w:rsidRDefault="009A3F32" w:rsidP="003D373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B03E3"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1494D" w:rsidRPr="007B3B51" w14:paraId="7B7AC4B3" w14:textId="77777777" w:rsidTr="00B1494D">
      <w:tc>
        <w:tcPr>
          <w:tcW w:w="854" w:type="pct"/>
        </w:tcPr>
        <w:p w14:paraId="3AB0F4C8" w14:textId="77777777" w:rsidR="00B1494D" w:rsidRPr="007B3B51" w:rsidRDefault="00B1494D" w:rsidP="00C94853">
          <w:pPr>
            <w:rPr>
              <w:i/>
              <w:sz w:val="16"/>
              <w:szCs w:val="16"/>
            </w:rPr>
          </w:pPr>
        </w:p>
      </w:tc>
      <w:tc>
        <w:tcPr>
          <w:tcW w:w="3688" w:type="pct"/>
          <w:gridSpan w:val="3"/>
        </w:tcPr>
        <w:p w14:paraId="31AB63EA" w14:textId="32649E92"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45A31">
            <w:rPr>
              <w:i/>
              <w:noProof/>
              <w:sz w:val="16"/>
              <w:szCs w:val="16"/>
            </w:rPr>
            <w:t>Superannuation Act 1922</w:t>
          </w:r>
          <w:r w:rsidRPr="007B3B51">
            <w:rPr>
              <w:i/>
              <w:sz w:val="16"/>
              <w:szCs w:val="16"/>
            </w:rPr>
            <w:fldChar w:fldCharType="end"/>
          </w:r>
        </w:p>
      </w:tc>
      <w:tc>
        <w:tcPr>
          <w:tcW w:w="458" w:type="pct"/>
        </w:tcPr>
        <w:p w14:paraId="1724D7E2" w14:textId="77777777" w:rsidR="00B1494D" w:rsidRPr="007B3B51" w:rsidRDefault="00B1494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1494D" w:rsidRPr="00130F37" w14:paraId="5DB9A457" w14:textId="77777777" w:rsidTr="00B1494D">
      <w:tc>
        <w:tcPr>
          <w:tcW w:w="1499" w:type="pct"/>
          <w:gridSpan w:val="2"/>
        </w:tcPr>
        <w:p w14:paraId="2FD911CC" w14:textId="588A1ADE" w:rsidR="00B1494D" w:rsidRPr="00130F37" w:rsidRDefault="00B1494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45A31">
            <w:rPr>
              <w:rFonts w:cs="Times New Roman"/>
              <w:sz w:val="16"/>
              <w:szCs w:val="16"/>
            </w:rPr>
            <w:t>28</w:t>
          </w:r>
          <w:r w:rsidRPr="00A02D20">
            <w:rPr>
              <w:sz w:val="16"/>
              <w:szCs w:val="16"/>
            </w:rPr>
            <w:fldChar w:fldCharType="end"/>
          </w:r>
        </w:p>
      </w:tc>
      <w:tc>
        <w:tcPr>
          <w:tcW w:w="1703" w:type="pct"/>
        </w:tcPr>
        <w:p w14:paraId="358C81DF" w14:textId="77777777" w:rsidR="00B1494D" w:rsidRPr="00130F37" w:rsidRDefault="00B1494D" w:rsidP="006D2C4C">
          <w:pPr>
            <w:spacing w:before="120"/>
            <w:rPr>
              <w:sz w:val="16"/>
              <w:szCs w:val="16"/>
            </w:rPr>
          </w:pPr>
        </w:p>
      </w:tc>
      <w:tc>
        <w:tcPr>
          <w:tcW w:w="1798" w:type="pct"/>
          <w:gridSpan w:val="2"/>
        </w:tcPr>
        <w:p w14:paraId="6A5F1BC7" w14:textId="34481E3F" w:rsidR="00B1494D" w:rsidRPr="00130F37" w:rsidRDefault="00B1494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45A31">
            <w:rPr>
              <w:rFonts w:cs="Times New Roman"/>
              <w:sz w:val="16"/>
              <w:szCs w:val="16"/>
            </w:rPr>
            <w:t>11/12/2024</w:t>
          </w:r>
          <w:r w:rsidRPr="00A02D20">
            <w:rPr>
              <w:sz w:val="16"/>
              <w:szCs w:val="16"/>
            </w:rPr>
            <w:fldChar w:fldCharType="end"/>
          </w:r>
        </w:p>
      </w:tc>
    </w:tr>
  </w:tbl>
  <w:p w14:paraId="4A2ACA04" w14:textId="655C98B3" w:rsidR="009A3F32" w:rsidRPr="003D373C" w:rsidRDefault="009A3F32" w:rsidP="003D3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3DEA0" w14:textId="77777777" w:rsidR="009A3F32" w:rsidRDefault="009A3F32" w:rsidP="008C3244">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329E7" w14:textId="77777777" w:rsidR="009A3F32" w:rsidRPr="007A1328" w:rsidRDefault="009A3F32" w:rsidP="000E0CCB">
    <w:pPr>
      <w:pBdr>
        <w:top w:val="single" w:sz="6" w:space="1" w:color="auto"/>
      </w:pBdr>
      <w:spacing w:before="120"/>
      <w:rPr>
        <w:sz w:val="18"/>
      </w:rPr>
    </w:pPr>
  </w:p>
  <w:p w14:paraId="18FB4934" w14:textId="2C583964" w:rsidR="009A3F32" w:rsidRPr="007A1328" w:rsidRDefault="009A3F32" w:rsidP="000E0CC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45A31">
      <w:rPr>
        <w:i/>
        <w:noProof/>
        <w:sz w:val="18"/>
      </w:rPr>
      <w:t>Superannuation Act 1922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45A3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422</w:t>
    </w:r>
    <w:r w:rsidRPr="007A1328">
      <w:rPr>
        <w:i/>
        <w:sz w:val="18"/>
      </w:rPr>
      <w:fldChar w:fldCharType="end"/>
    </w:r>
  </w:p>
  <w:p w14:paraId="7B3411E6" w14:textId="77777777" w:rsidR="009A3F32" w:rsidRPr="007A1328" w:rsidRDefault="009A3F32" w:rsidP="000E0CCB">
    <w:pPr>
      <w:rPr>
        <w:i/>
        <w:sz w:val="18"/>
      </w:rPr>
    </w:pPr>
    <w:r w:rsidRPr="007A1328">
      <w:rPr>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6465" w14:textId="77777777" w:rsidR="009A3F32" w:rsidRPr="00ED79B6" w:rsidRDefault="009A3F32" w:rsidP="008C324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FEDF5"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1494D" w:rsidRPr="007B3B51" w14:paraId="169180BB" w14:textId="77777777" w:rsidTr="00B1494D">
      <w:tc>
        <w:tcPr>
          <w:tcW w:w="854" w:type="pct"/>
        </w:tcPr>
        <w:p w14:paraId="5078BD06" w14:textId="77777777" w:rsidR="00B1494D" w:rsidRPr="007B3B51" w:rsidRDefault="00B1494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2F87409" w14:textId="4E53DC7E"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5088437A" w14:textId="77777777" w:rsidR="00B1494D" w:rsidRPr="007B3B51" w:rsidRDefault="00B1494D" w:rsidP="00C94853">
          <w:pPr>
            <w:jc w:val="right"/>
            <w:rPr>
              <w:sz w:val="16"/>
              <w:szCs w:val="16"/>
            </w:rPr>
          </w:pPr>
        </w:p>
      </w:tc>
    </w:tr>
    <w:tr w:rsidR="00B1494D" w:rsidRPr="0055472E" w14:paraId="43ECB070" w14:textId="77777777" w:rsidTr="00B1494D">
      <w:tc>
        <w:tcPr>
          <w:tcW w:w="1498" w:type="pct"/>
          <w:gridSpan w:val="2"/>
        </w:tcPr>
        <w:p w14:paraId="67043E81" w14:textId="7D6B90C0" w:rsidR="00B1494D" w:rsidRPr="0055472E" w:rsidRDefault="00B1494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5A31">
            <w:rPr>
              <w:sz w:val="16"/>
              <w:szCs w:val="16"/>
            </w:rPr>
            <w:t>28</w:t>
          </w:r>
          <w:r w:rsidRPr="0055472E">
            <w:rPr>
              <w:sz w:val="16"/>
              <w:szCs w:val="16"/>
            </w:rPr>
            <w:fldChar w:fldCharType="end"/>
          </w:r>
        </w:p>
      </w:tc>
      <w:tc>
        <w:tcPr>
          <w:tcW w:w="1703" w:type="pct"/>
        </w:tcPr>
        <w:p w14:paraId="28DEBA06" w14:textId="77777777" w:rsidR="00B1494D" w:rsidRPr="0055472E" w:rsidRDefault="00B1494D" w:rsidP="006D2C4C">
          <w:pPr>
            <w:spacing w:before="120"/>
            <w:rPr>
              <w:sz w:val="16"/>
              <w:szCs w:val="16"/>
            </w:rPr>
          </w:pPr>
        </w:p>
      </w:tc>
      <w:tc>
        <w:tcPr>
          <w:tcW w:w="1799" w:type="pct"/>
          <w:gridSpan w:val="2"/>
        </w:tcPr>
        <w:p w14:paraId="039345E2" w14:textId="78415527" w:rsidR="00B1494D" w:rsidRPr="0055472E" w:rsidRDefault="00B1494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45A31">
            <w:rPr>
              <w:sz w:val="16"/>
              <w:szCs w:val="16"/>
            </w:rPr>
            <w:t>11/12/2024</w:t>
          </w:r>
          <w:r w:rsidRPr="0055472E">
            <w:rPr>
              <w:sz w:val="16"/>
              <w:szCs w:val="16"/>
            </w:rPr>
            <w:fldChar w:fldCharType="end"/>
          </w:r>
        </w:p>
      </w:tc>
    </w:tr>
  </w:tbl>
  <w:p w14:paraId="104D5E24" w14:textId="074AAB72" w:rsidR="009A3F32" w:rsidRPr="003D373C" w:rsidRDefault="009A3F32" w:rsidP="003D37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36EB0"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1494D" w:rsidRPr="007B3B51" w14:paraId="37EB6404" w14:textId="77777777" w:rsidTr="00B1494D">
      <w:tc>
        <w:tcPr>
          <w:tcW w:w="854" w:type="pct"/>
        </w:tcPr>
        <w:p w14:paraId="0A5A12C8" w14:textId="77777777" w:rsidR="00B1494D" w:rsidRPr="007B3B51" w:rsidRDefault="00B1494D" w:rsidP="00C94853">
          <w:pPr>
            <w:rPr>
              <w:i/>
              <w:sz w:val="16"/>
              <w:szCs w:val="16"/>
            </w:rPr>
          </w:pPr>
        </w:p>
      </w:tc>
      <w:tc>
        <w:tcPr>
          <w:tcW w:w="3688" w:type="pct"/>
          <w:gridSpan w:val="3"/>
        </w:tcPr>
        <w:p w14:paraId="3C8F4904" w14:textId="70AC5387"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5FF0E76F" w14:textId="77777777" w:rsidR="00B1494D" w:rsidRPr="007B3B51" w:rsidRDefault="00B1494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1494D" w:rsidRPr="00130F37" w14:paraId="51E2187D" w14:textId="77777777" w:rsidTr="00B1494D">
      <w:tc>
        <w:tcPr>
          <w:tcW w:w="1499" w:type="pct"/>
          <w:gridSpan w:val="2"/>
        </w:tcPr>
        <w:p w14:paraId="5C68CD5C" w14:textId="68884274" w:rsidR="00B1494D" w:rsidRPr="00130F37" w:rsidRDefault="00B1494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45A31">
            <w:rPr>
              <w:rFonts w:cs="Times New Roman"/>
              <w:sz w:val="16"/>
              <w:szCs w:val="16"/>
            </w:rPr>
            <w:t>28</w:t>
          </w:r>
          <w:r w:rsidRPr="00A02D20">
            <w:rPr>
              <w:sz w:val="16"/>
              <w:szCs w:val="16"/>
            </w:rPr>
            <w:fldChar w:fldCharType="end"/>
          </w:r>
        </w:p>
      </w:tc>
      <w:tc>
        <w:tcPr>
          <w:tcW w:w="1703" w:type="pct"/>
        </w:tcPr>
        <w:p w14:paraId="3B9B2F71" w14:textId="77777777" w:rsidR="00B1494D" w:rsidRPr="00130F37" w:rsidRDefault="00B1494D" w:rsidP="006D2C4C">
          <w:pPr>
            <w:spacing w:before="120"/>
            <w:rPr>
              <w:sz w:val="16"/>
              <w:szCs w:val="16"/>
            </w:rPr>
          </w:pPr>
        </w:p>
      </w:tc>
      <w:tc>
        <w:tcPr>
          <w:tcW w:w="1798" w:type="pct"/>
          <w:gridSpan w:val="2"/>
        </w:tcPr>
        <w:p w14:paraId="4B77E6E7" w14:textId="4B35533B" w:rsidR="00B1494D" w:rsidRPr="00130F37" w:rsidRDefault="00B1494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45A31">
            <w:rPr>
              <w:rFonts w:cs="Times New Roman"/>
              <w:sz w:val="16"/>
              <w:szCs w:val="16"/>
            </w:rPr>
            <w:t>11/12/2024</w:t>
          </w:r>
          <w:r w:rsidRPr="00A02D20">
            <w:rPr>
              <w:sz w:val="16"/>
              <w:szCs w:val="16"/>
            </w:rPr>
            <w:fldChar w:fldCharType="end"/>
          </w:r>
        </w:p>
      </w:tc>
    </w:tr>
  </w:tbl>
  <w:p w14:paraId="5127EE89" w14:textId="5B492529" w:rsidR="009A3F32" w:rsidRPr="003D373C" w:rsidRDefault="009A3F32" w:rsidP="003D37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E3DE"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1494D" w:rsidRPr="007B3B51" w14:paraId="50DE98CB" w14:textId="77777777" w:rsidTr="00B1494D">
      <w:tc>
        <w:tcPr>
          <w:tcW w:w="854" w:type="pct"/>
        </w:tcPr>
        <w:p w14:paraId="669A9F00" w14:textId="77777777" w:rsidR="00B1494D" w:rsidRPr="007B3B51" w:rsidRDefault="00B1494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4D2BDA8" w14:textId="08CA05D1"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33C2BD22" w14:textId="77777777" w:rsidR="00B1494D" w:rsidRPr="007B3B51" w:rsidRDefault="00B1494D" w:rsidP="00C94853">
          <w:pPr>
            <w:jc w:val="right"/>
            <w:rPr>
              <w:sz w:val="16"/>
              <w:szCs w:val="16"/>
            </w:rPr>
          </w:pPr>
        </w:p>
      </w:tc>
    </w:tr>
    <w:tr w:rsidR="00B1494D" w:rsidRPr="0055472E" w14:paraId="7906CCE4" w14:textId="77777777" w:rsidTr="00B1494D">
      <w:tc>
        <w:tcPr>
          <w:tcW w:w="1498" w:type="pct"/>
          <w:gridSpan w:val="2"/>
        </w:tcPr>
        <w:p w14:paraId="06987C9D" w14:textId="40CB80D8" w:rsidR="00B1494D" w:rsidRPr="0055472E" w:rsidRDefault="00B1494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5A31">
            <w:rPr>
              <w:sz w:val="16"/>
              <w:szCs w:val="16"/>
            </w:rPr>
            <w:t>28</w:t>
          </w:r>
          <w:r w:rsidRPr="0055472E">
            <w:rPr>
              <w:sz w:val="16"/>
              <w:szCs w:val="16"/>
            </w:rPr>
            <w:fldChar w:fldCharType="end"/>
          </w:r>
        </w:p>
      </w:tc>
      <w:tc>
        <w:tcPr>
          <w:tcW w:w="1703" w:type="pct"/>
        </w:tcPr>
        <w:p w14:paraId="22F156D9" w14:textId="77777777" w:rsidR="00B1494D" w:rsidRPr="0055472E" w:rsidRDefault="00B1494D" w:rsidP="006D2C4C">
          <w:pPr>
            <w:spacing w:before="120"/>
            <w:rPr>
              <w:sz w:val="16"/>
              <w:szCs w:val="16"/>
            </w:rPr>
          </w:pPr>
        </w:p>
      </w:tc>
      <w:tc>
        <w:tcPr>
          <w:tcW w:w="1799" w:type="pct"/>
          <w:gridSpan w:val="2"/>
        </w:tcPr>
        <w:p w14:paraId="1F9D8512" w14:textId="2438033E" w:rsidR="00B1494D" w:rsidRPr="0055472E" w:rsidRDefault="00B1494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45A31">
            <w:rPr>
              <w:sz w:val="16"/>
              <w:szCs w:val="16"/>
            </w:rPr>
            <w:t>11/12/2024</w:t>
          </w:r>
          <w:r w:rsidRPr="0055472E">
            <w:rPr>
              <w:sz w:val="16"/>
              <w:szCs w:val="16"/>
            </w:rPr>
            <w:fldChar w:fldCharType="end"/>
          </w:r>
        </w:p>
      </w:tc>
    </w:tr>
  </w:tbl>
  <w:p w14:paraId="09F3B7D0" w14:textId="3C2EC002" w:rsidR="009A3F32" w:rsidRPr="003D373C" w:rsidRDefault="009A3F32" w:rsidP="003D37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1AE2"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1494D" w:rsidRPr="007B3B51" w14:paraId="7750C2F8" w14:textId="77777777" w:rsidTr="00B1494D">
      <w:tc>
        <w:tcPr>
          <w:tcW w:w="854" w:type="pct"/>
        </w:tcPr>
        <w:p w14:paraId="7EB50872" w14:textId="77777777" w:rsidR="00B1494D" w:rsidRPr="007B3B51" w:rsidRDefault="00B1494D" w:rsidP="00C94853">
          <w:pPr>
            <w:rPr>
              <w:i/>
              <w:sz w:val="16"/>
              <w:szCs w:val="16"/>
            </w:rPr>
          </w:pPr>
        </w:p>
      </w:tc>
      <w:tc>
        <w:tcPr>
          <w:tcW w:w="3688" w:type="pct"/>
          <w:gridSpan w:val="3"/>
        </w:tcPr>
        <w:p w14:paraId="0211EE0A" w14:textId="0AA76C8F"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04E599FA" w14:textId="77777777" w:rsidR="00B1494D" w:rsidRPr="007B3B51" w:rsidRDefault="00B1494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1494D" w:rsidRPr="00130F37" w14:paraId="51D13911" w14:textId="77777777" w:rsidTr="00B1494D">
      <w:tc>
        <w:tcPr>
          <w:tcW w:w="1499" w:type="pct"/>
          <w:gridSpan w:val="2"/>
        </w:tcPr>
        <w:p w14:paraId="705488EF" w14:textId="2C0A68B2" w:rsidR="00B1494D" w:rsidRPr="00130F37" w:rsidRDefault="00B1494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45A31">
            <w:rPr>
              <w:rFonts w:cs="Times New Roman"/>
              <w:sz w:val="16"/>
              <w:szCs w:val="16"/>
            </w:rPr>
            <w:t>28</w:t>
          </w:r>
          <w:r w:rsidRPr="00A02D20">
            <w:rPr>
              <w:sz w:val="16"/>
              <w:szCs w:val="16"/>
            </w:rPr>
            <w:fldChar w:fldCharType="end"/>
          </w:r>
        </w:p>
      </w:tc>
      <w:tc>
        <w:tcPr>
          <w:tcW w:w="1703" w:type="pct"/>
        </w:tcPr>
        <w:p w14:paraId="76163C9F" w14:textId="77777777" w:rsidR="00B1494D" w:rsidRPr="00130F37" w:rsidRDefault="00B1494D" w:rsidP="006D2C4C">
          <w:pPr>
            <w:spacing w:before="120"/>
            <w:rPr>
              <w:sz w:val="16"/>
              <w:szCs w:val="16"/>
            </w:rPr>
          </w:pPr>
        </w:p>
      </w:tc>
      <w:tc>
        <w:tcPr>
          <w:tcW w:w="1798" w:type="pct"/>
          <w:gridSpan w:val="2"/>
        </w:tcPr>
        <w:p w14:paraId="4E208D15" w14:textId="2E1E481D" w:rsidR="00B1494D" w:rsidRPr="00130F37" w:rsidRDefault="00B1494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45A31">
            <w:rPr>
              <w:rFonts w:cs="Times New Roman"/>
              <w:sz w:val="16"/>
              <w:szCs w:val="16"/>
            </w:rPr>
            <w:t>11/12/2024</w:t>
          </w:r>
          <w:r w:rsidRPr="00A02D20">
            <w:rPr>
              <w:sz w:val="16"/>
              <w:szCs w:val="16"/>
            </w:rPr>
            <w:fldChar w:fldCharType="end"/>
          </w:r>
        </w:p>
      </w:tc>
    </w:tr>
  </w:tbl>
  <w:p w14:paraId="193AD9CA" w14:textId="0957A301" w:rsidR="009A3F32" w:rsidRPr="003D373C" w:rsidRDefault="009A3F32" w:rsidP="003D37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E884" w14:textId="77777777" w:rsidR="009A3F32" w:rsidRPr="007A1328" w:rsidRDefault="009A3F32" w:rsidP="009B667D">
    <w:pPr>
      <w:pBdr>
        <w:top w:val="single" w:sz="6" w:space="1" w:color="auto"/>
      </w:pBdr>
      <w:spacing w:before="120"/>
      <w:rPr>
        <w:sz w:val="18"/>
      </w:rPr>
    </w:pPr>
  </w:p>
  <w:p w14:paraId="75D7FBE1" w14:textId="44A1C689" w:rsidR="009A3F32" w:rsidRPr="007A1328" w:rsidRDefault="009A3F32" w:rsidP="009B667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45A31">
      <w:rPr>
        <w:i/>
        <w:noProof/>
        <w:sz w:val="18"/>
      </w:rPr>
      <w:t>Superannuation Act 1922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45A31">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422</w:t>
    </w:r>
    <w:r w:rsidRPr="007A1328">
      <w:rPr>
        <w:i/>
        <w:sz w:val="18"/>
      </w:rPr>
      <w:fldChar w:fldCharType="end"/>
    </w:r>
  </w:p>
  <w:p w14:paraId="79E6CE36" w14:textId="77777777" w:rsidR="009A3F32" w:rsidRPr="007A1328" w:rsidRDefault="009A3F32" w:rsidP="009B667D">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99F9A" w14:textId="77777777" w:rsidR="00B1494D" w:rsidRPr="007B3B51" w:rsidRDefault="00B1494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1494D" w:rsidRPr="007B3B51" w14:paraId="4AFDC7BF" w14:textId="77777777" w:rsidTr="00B1494D">
      <w:tc>
        <w:tcPr>
          <w:tcW w:w="854" w:type="pct"/>
        </w:tcPr>
        <w:p w14:paraId="603CB6C7" w14:textId="77777777" w:rsidR="00B1494D" w:rsidRPr="007B3B51" w:rsidRDefault="00B1494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43CD659" w14:textId="6FFF836E" w:rsidR="00B1494D" w:rsidRPr="007B3B51" w:rsidRDefault="00B1494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0596F">
            <w:rPr>
              <w:i/>
              <w:noProof/>
              <w:sz w:val="16"/>
              <w:szCs w:val="16"/>
            </w:rPr>
            <w:t>Superannuation Act 1922</w:t>
          </w:r>
          <w:r w:rsidRPr="007B3B51">
            <w:rPr>
              <w:i/>
              <w:sz w:val="16"/>
              <w:szCs w:val="16"/>
            </w:rPr>
            <w:fldChar w:fldCharType="end"/>
          </w:r>
        </w:p>
      </w:tc>
      <w:tc>
        <w:tcPr>
          <w:tcW w:w="458" w:type="pct"/>
        </w:tcPr>
        <w:p w14:paraId="7CF7D6F1" w14:textId="77777777" w:rsidR="00B1494D" w:rsidRPr="007B3B51" w:rsidRDefault="00B1494D" w:rsidP="00C94853">
          <w:pPr>
            <w:jc w:val="right"/>
            <w:rPr>
              <w:sz w:val="16"/>
              <w:szCs w:val="16"/>
            </w:rPr>
          </w:pPr>
        </w:p>
      </w:tc>
    </w:tr>
    <w:tr w:rsidR="00B1494D" w:rsidRPr="0055472E" w14:paraId="03DEBEBF" w14:textId="77777777" w:rsidTr="00B1494D">
      <w:tc>
        <w:tcPr>
          <w:tcW w:w="1498" w:type="pct"/>
          <w:gridSpan w:val="2"/>
        </w:tcPr>
        <w:p w14:paraId="04E4CF52" w14:textId="65E6D6DD" w:rsidR="00B1494D" w:rsidRPr="0055472E" w:rsidRDefault="00B1494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45A31">
            <w:rPr>
              <w:sz w:val="16"/>
              <w:szCs w:val="16"/>
            </w:rPr>
            <w:t>28</w:t>
          </w:r>
          <w:r w:rsidRPr="0055472E">
            <w:rPr>
              <w:sz w:val="16"/>
              <w:szCs w:val="16"/>
            </w:rPr>
            <w:fldChar w:fldCharType="end"/>
          </w:r>
        </w:p>
      </w:tc>
      <w:tc>
        <w:tcPr>
          <w:tcW w:w="1703" w:type="pct"/>
        </w:tcPr>
        <w:p w14:paraId="58F2239A" w14:textId="77777777" w:rsidR="00B1494D" w:rsidRPr="0055472E" w:rsidRDefault="00B1494D" w:rsidP="006D2C4C">
          <w:pPr>
            <w:spacing w:before="120"/>
            <w:rPr>
              <w:sz w:val="16"/>
              <w:szCs w:val="16"/>
            </w:rPr>
          </w:pPr>
        </w:p>
      </w:tc>
      <w:tc>
        <w:tcPr>
          <w:tcW w:w="1799" w:type="pct"/>
          <w:gridSpan w:val="2"/>
        </w:tcPr>
        <w:p w14:paraId="5C4CA83B" w14:textId="2AAC64DC" w:rsidR="00B1494D" w:rsidRPr="0055472E" w:rsidRDefault="00B1494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45A31">
            <w:rPr>
              <w:sz w:val="16"/>
              <w:szCs w:val="16"/>
            </w:rPr>
            <w:t>11/12/2024</w:t>
          </w:r>
          <w:r w:rsidRPr="0055472E">
            <w:rPr>
              <w:sz w:val="16"/>
              <w:szCs w:val="16"/>
            </w:rPr>
            <w:fldChar w:fldCharType="end"/>
          </w:r>
        </w:p>
      </w:tc>
    </w:tr>
  </w:tbl>
  <w:p w14:paraId="3E8CD213" w14:textId="6CD28A1E" w:rsidR="009A3F32" w:rsidRPr="003D373C" w:rsidRDefault="009A3F32" w:rsidP="003D3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573B1" w14:textId="77777777" w:rsidR="009A3F32" w:rsidRPr="004C5EEB" w:rsidRDefault="009A3F32" w:rsidP="001A280C">
      <w:pPr>
        <w:spacing w:line="240" w:lineRule="auto"/>
      </w:pPr>
      <w:r>
        <w:separator/>
      </w:r>
    </w:p>
  </w:footnote>
  <w:footnote w:type="continuationSeparator" w:id="0">
    <w:p w14:paraId="4536F6F6" w14:textId="77777777" w:rsidR="009A3F32" w:rsidRPr="004C5EEB" w:rsidRDefault="009A3F32" w:rsidP="001A28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0B80C" w14:textId="77777777" w:rsidR="009A3F32" w:rsidRDefault="009A3F32" w:rsidP="008C3244">
    <w:pPr>
      <w:pStyle w:val="Header"/>
      <w:pBdr>
        <w:bottom w:val="single" w:sz="6" w:space="1" w:color="auto"/>
      </w:pBdr>
    </w:pPr>
  </w:p>
  <w:p w14:paraId="28216B18" w14:textId="77777777" w:rsidR="009A3F32" w:rsidRDefault="009A3F32" w:rsidP="008C3244">
    <w:pPr>
      <w:pStyle w:val="Header"/>
      <w:pBdr>
        <w:bottom w:val="single" w:sz="6" w:space="1" w:color="auto"/>
      </w:pBdr>
    </w:pPr>
  </w:p>
  <w:p w14:paraId="25163D2E" w14:textId="77777777" w:rsidR="009A3F32" w:rsidRPr="001E77D2" w:rsidRDefault="009A3F32" w:rsidP="008C324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D2D1F" w14:textId="0A2B70FD" w:rsidR="009A3F32" w:rsidRDefault="009A3F32">
    <w:pPr>
      <w:rPr>
        <w:sz w:val="20"/>
      </w:rPr>
    </w:pPr>
    <w:r>
      <w:rPr>
        <w:b/>
        <w:sz w:val="20"/>
      </w:rPr>
      <w:fldChar w:fldCharType="begin"/>
    </w:r>
    <w:r>
      <w:rPr>
        <w:b/>
        <w:sz w:val="20"/>
      </w:rPr>
      <w:instrText xml:space="preserve"> STYLEREF CharChapNo </w:instrText>
    </w:r>
    <w:r w:rsidR="00845A31">
      <w:rPr>
        <w:b/>
        <w:sz w:val="20"/>
      </w:rPr>
      <w:fldChar w:fldCharType="separate"/>
    </w:r>
    <w:r w:rsidR="0020596F">
      <w:rPr>
        <w:b/>
        <w:noProof/>
        <w:sz w:val="20"/>
      </w:rPr>
      <w:t>Seventh Schedule</w:t>
    </w:r>
    <w:r>
      <w:rPr>
        <w:b/>
        <w:sz w:val="20"/>
      </w:rPr>
      <w:fldChar w:fldCharType="end"/>
    </w:r>
    <w:r>
      <w:rPr>
        <w:b/>
        <w:sz w:val="20"/>
      </w:rPr>
      <w:t xml:space="preserve">  </w:t>
    </w:r>
    <w:r>
      <w:rPr>
        <w:sz w:val="20"/>
      </w:rPr>
      <w:fldChar w:fldCharType="begin"/>
    </w:r>
    <w:r>
      <w:rPr>
        <w:sz w:val="20"/>
      </w:rPr>
      <w:instrText xml:space="preserve"> STYLEREF CharChapText </w:instrText>
    </w:r>
    <w:r w:rsidR="00105318">
      <w:rPr>
        <w:sz w:val="20"/>
      </w:rPr>
      <w:fldChar w:fldCharType="separate"/>
    </w:r>
    <w:r w:rsidR="0020596F">
      <w:rPr>
        <w:noProof/>
        <w:sz w:val="20"/>
      </w:rPr>
      <w:t>Factors applicable under section 44</w:t>
    </w:r>
    <w:r>
      <w:rPr>
        <w:sz w:val="20"/>
      </w:rPr>
      <w:fldChar w:fldCharType="end"/>
    </w:r>
  </w:p>
  <w:p w14:paraId="6EA8ED27" w14:textId="3EB7C993" w:rsidR="009A3F32" w:rsidRDefault="009A3F3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619EEAC6" w14:textId="77777777" w:rsidR="009A3F32" w:rsidRDefault="009A3F32" w:rsidP="003D373C">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ACF4" w14:textId="21E53560" w:rsidR="009A3F32" w:rsidRDefault="009A3F32" w:rsidP="003D373C">
    <w:pPr>
      <w:jc w:val="right"/>
      <w:rPr>
        <w:sz w:val="20"/>
      </w:rPr>
    </w:pPr>
    <w:r>
      <w:rPr>
        <w:sz w:val="20"/>
      </w:rPr>
      <w:fldChar w:fldCharType="begin"/>
    </w:r>
    <w:r>
      <w:rPr>
        <w:sz w:val="20"/>
      </w:rPr>
      <w:instrText xml:space="preserve"> STYLEREF CharChapText </w:instrText>
    </w:r>
    <w:r w:rsidR="00105318">
      <w:rPr>
        <w:sz w:val="20"/>
      </w:rPr>
      <w:fldChar w:fldCharType="separate"/>
    </w:r>
    <w:r w:rsidR="0020596F">
      <w:rPr>
        <w:noProof/>
        <w:sz w:val="20"/>
      </w:rPr>
      <w:t>Factors applicable under section 44</w:t>
    </w:r>
    <w:r>
      <w:rPr>
        <w:sz w:val="20"/>
      </w:rPr>
      <w:fldChar w:fldCharType="end"/>
    </w:r>
    <w:r>
      <w:rPr>
        <w:sz w:val="20"/>
      </w:rPr>
      <w:t xml:space="preserve">  </w:t>
    </w:r>
    <w:r>
      <w:rPr>
        <w:b/>
        <w:sz w:val="20"/>
      </w:rPr>
      <w:fldChar w:fldCharType="begin"/>
    </w:r>
    <w:r>
      <w:rPr>
        <w:b/>
        <w:sz w:val="20"/>
      </w:rPr>
      <w:instrText xml:space="preserve"> STYLEREF CharChapNo </w:instrText>
    </w:r>
    <w:r w:rsidR="00845A31">
      <w:rPr>
        <w:b/>
        <w:sz w:val="20"/>
      </w:rPr>
      <w:fldChar w:fldCharType="separate"/>
    </w:r>
    <w:r w:rsidR="0020596F">
      <w:rPr>
        <w:b/>
        <w:noProof/>
        <w:sz w:val="20"/>
      </w:rPr>
      <w:t>Seventh Schedule</w:t>
    </w:r>
    <w:r>
      <w:rPr>
        <w:b/>
        <w:sz w:val="20"/>
      </w:rPr>
      <w:fldChar w:fldCharType="end"/>
    </w:r>
  </w:p>
  <w:p w14:paraId="1C320281" w14:textId="31848F4A" w:rsidR="009A3F32" w:rsidRDefault="009A3F32" w:rsidP="003D373C">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4596DDFD" w14:textId="77777777" w:rsidR="009A3F32" w:rsidRDefault="009A3F32" w:rsidP="003D373C">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467F4" w14:textId="77777777" w:rsidR="009A3F32" w:rsidRDefault="009A3F3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C91EF" w14:textId="77777777" w:rsidR="009A3F32" w:rsidRPr="007E528B" w:rsidRDefault="009A3F32" w:rsidP="00022B83">
    <w:pPr>
      <w:rPr>
        <w:sz w:val="26"/>
        <w:szCs w:val="26"/>
      </w:rPr>
    </w:pPr>
  </w:p>
  <w:p w14:paraId="5EB76DC4" w14:textId="77777777" w:rsidR="009A3F32" w:rsidRPr="00750516" w:rsidRDefault="009A3F32" w:rsidP="00022B83">
    <w:pPr>
      <w:rPr>
        <w:b/>
        <w:sz w:val="20"/>
      </w:rPr>
    </w:pPr>
    <w:r w:rsidRPr="00750516">
      <w:rPr>
        <w:b/>
        <w:sz w:val="20"/>
      </w:rPr>
      <w:t>Endnotes</w:t>
    </w:r>
  </w:p>
  <w:p w14:paraId="3DFAE06E" w14:textId="77777777" w:rsidR="009A3F32" w:rsidRPr="007A1328" w:rsidRDefault="009A3F32" w:rsidP="00022B83">
    <w:pPr>
      <w:rPr>
        <w:sz w:val="20"/>
      </w:rPr>
    </w:pPr>
  </w:p>
  <w:p w14:paraId="5C80A8D6" w14:textId="77777777" w:rsidR="009A3F32" w:rsidRPr="007A1328" w:rsidRDefault="009A3F32" w:rsidP="00022B83">
    <w:pPr>
      <w:rPr>
        <w:b/>
        <w:sz w:val="24"/>
      </w:rPr>
    </w:pPr>
  </w:p>
  <w:p w14:paraId="4EDA0184" w14:textId="7CA8EA49" w:rsidR="009A3F32" w:rsidRPr="007E528B" w:rsidRDefault="009A3F32" w:rsidP="00022B8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20596F">
      <w:rPr>
        <w:noProof/>
        <w:szCs w:val="22"/>
      </w:rPr>
      <w:t>Endnote 5—Miscellaneous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BD86" w14:textId="77777777" w:rsidR="009A3F32" w:rsidRPr="007E528B" w:rsidRDefault="009A3F32" w:rsidP="00022B83">
    <w:pPr>
      <w:jc w:val="right"/>
      <w:rPr>
        <w:sz w:val="26"/>
        <w:szCs w:val="26"/>
      </w:rPr>
    </w:pPr>
  </w:p>
  <w:p w14:paraId="4BFCAB39" w14:textId="77777777" w:rsidR="009A3F32" w:rsidRPr="00750516" w:rsidRDefault="009A3F32" w:rsidP="00022B83">
    <w:pPr>
      <w:jc w:val="right"/>
      <w:rPr>
        <w:b/>
        <w:sz w:val="20"/>
      </w:rPr>
    </w:pPr>
    <w:r w:rsidRPr="00750516">
      <w:rPr>
        <w:b/>
        <w:sz w:val="20"/>
      </w:rPr>
      <w:t>Endnotes</w:t>
    </w:r>
  </w:p>
  <w:p w14:paraId="37419920" w14:textId="77777777" w:rsidR="009A3F32" w:rsidRPr="007A1328" w:rsidRDefault="009A3F32" w:rsidP="00022B83">
    <w:pPr>
      <w:jc w:val="right"/>
      <w:rPr>
        <w:sz w:val="20"/>
      </w:rPr>
    </w:pPr>
  </w:p>
  <w:p w14:paraId="6A9C3E48" w14:textId="77777777" w:rsidR="009A3F32" w:rsidRPr="007A1328" w:rsidRDefault="009A3F32" w:rsidP="00022B83">
    <w:pPr>
      <w:jc w:val="right"/>
      <w:rPr>
        <w:b/>
        <w:sz w:val="24"/>
      </w:rPr>
    </w:pPr>
  </w:p>
  <w:p w14:paraId="070E524F" w14:textId="299AAF06" w:rsidR="009A3F32" w:rsidRPr="007E528B" w:rsidRDefault="009A3F32" w:rsidP="00022B8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20596F">
      <w:rPr>
        <w:noProof/>
        <w:szCs w:val="22"/>
      </w:rPr>
      <w:t>Endnote 5—Miscellaneous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E7C1" w14:textId="77777777" w:rsidR="009A3F32" w:rsidRPr="007E528B" w:rsidRDefault="009A3F32" w:rsidP="00640BB6">
    <w:pPr>
      <w:rPr>
        <w:sz w:val="26"/>
        <w:szCs w:val="26"/>
      </w:rPr>
    </w:pPr>
  </w:p>
  <w:p w14:paraId="0CECAD49" w14:textId="77777777" w:rsidR="009A3F32" w:rsidRPr="00750516" w:rsidRDefault="009A3F32" w:rsidP="00640BB6">
    <w:pPr>
      <w:rPr>
        <w:b/>
        <w:sz w:val="20"/>
      </w:rPr>
    </w:pPr>
    <w:r w:rsidRPr="00750516">
      <w:rPr>
        <w:b/>
        <w:sz w:val="20"/>
      </w:rPr>
      <w:t>Endnotes</w:t>
    </w:r>
  </w:p>
  <w:p w14:paraId="6EC078A6" w14:textId="77777777" w:rsidR="009A3F32" w:rsidRPr="007A1328" w:rsidRDefault="009A3F32" w:rsidP="00640BB6">
    <w:pPr>
      <w:rPr>
        <w:sz w:val="20"/>
      </w:rPr>
    </w:pPr>
  </w:p>
  <w:p w14:paraId="68E15BCF" w14:textId="77777777" w:rsidR="009A3F32" w:rsidRPr="007A1328" w:rsidRDefault="009A3F32" w:rsidP="00640BB6">
    <w:pPr>
      <w:rPr>
        <w:b/>
        <w:sz w:val="24"/>
      </w:rPr>
    </w:pPr>
  </w:p>
  <w:p w14:paraId="288BF66F" w14:textId="71E5C984" w:rsidR="009A3F32" w:rsidRPr="007E528B" w:rsidRDefault="009A3F32" w:rsidP="00C7439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0596F">
      <w:rPr>
        <w:noProof/>
        <w:szCs w:val="22"/>
      </w:rPr>
      <w:t>Endnote 5—Miscellaneous</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287C" w14:textId="77777777" w:rsidR="009A3F32" w:rsidRPr="007E528B" w:rsidRDefault="009A3F32" w:rsidP="00640BB6">
    <w:pPr>
      <w:jc w:val="right"/>
      <w:rPr>
        <w:sz w:val="26"/>
        <w:szCs w:val="26"/>
      </w:rPr>
    </w:pPr>
  </w:p>
  <w:p w14:paraId="0E81C882" w14:textId="77777777" w:rsidR="009A3F32" w:rsidRPr="00750516" w:rsidRDefault="009A3F32" w:rsidP="00640BB6">
    <w:pPr>
      <w:jc w:val="right"/>
      <w:rPr>
        <w:b/>
        <w:sz w:val="20"/>
      </w:rPr>
    </w:pPr>
    <w:r w:rsidRPr="00750516">
      <w:rPr>
        <w:b/>
        <w:sz w:val="20"/>
      </w:rPr>
      <w:t>Endnotes</w:t>
    </w:r>
  </w:p>
  <w:p w14:paraId="23F5E431" w14:textId="77777777" w:rsidR="009A3F32" w:rsidRPr="007A1328" w:rsidRDefault="009A3F32" w:rsidP="00640BB6">
    <w:pPr>
      <w:jc w:val="right"/>
      <w:rPr>
        <w:sz w:val="20"/>
      </w:rPr>
    </w:pPr>
  </w:p>
  <w:p w14:paraId="2B3FF1C9" w14:textId="77777777" w:rsidR="009A3F32" w:rsidRPr="007A1328" w:rsidRDefault="009A3F32" w:rsidP="00640BB6">
    <w:pPr>
      <w:jc w:val="right"/>
      <w:rPr>
        <w:b/>
        <w:sz w:val="24"/>
      </w:rPr>
    </w:pPr>
  </w:p>
  <w:p w14:paraId="4F2B7885" w14:textId="5C4D8DDC" w:rsidR="009A3F32" w:rsidRPr="007E528B" w:rsidRDefault="009A3F32" w:rsidP="00C7439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0596F">
      <w:rPr>
        <w:noProof/>
        <w:szCs w:val="22"/>
      </w:rPr>
      <w:t>Endnote 5—Miscellaneous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13ED" w14:textId="77777777" w:rsidR="009A3F32" w:rsidRDefault="009A3F32">
    <w:pPr>
      <w:jc w:val="right"/>
    </w:pPr>
  </w:p>
  <w:p w14:paraId="33753461" w14:textId="77777777" w:rsidR="009A3F32" w:rsidRDefault="009A3F32">
    <w:pPr>
      <w:jc w:val="right"/>
      <w:rPr>
        <w:i/>
      </w:rPr>
    </w:pPr>
  </w:p>
  <w:p w14:paraId="32673971" w14:textId="77777777" w:rsidR="009A3F32" w:rsidRDefault="009A3F32">
    <w:pPr>
      <w:jc w:val="right"/>
    </w:pPr>
  </w:p>
  <w:p w14:paraId="3D13737A" w14:textId="77777777" w:rsidR="009A3F32" w:rsidRDefault="009A3F32">
    <w:pPr>
      <w:jc w:val="right"/>
      <w:rPr>
        <w:sz w:val="24"/>
      </w:rPr>
    </w:pPr>
  </w:p>
  <w:p w14:paraId="2E41D77A" w14:textId="77777777" w:rsidR="009A3F32" w:rsidRDefault="009A3F32">
    <w:pPr>
      <w:pBdr>
        <w:bottom w:val="single" w:sz="12" w:space="1" w:color="auto"/>
      </w:pBdr>
      <w:jc w:val="right"/>
      <w:rPr>
        <w:i/>
        <w:sz w:val="24"/>
      </w:rPr>
    </w:pPr>
  </w:p>
  <w:p w14:paraId="2EF43A17" w14:textId="77777777" w:rsidR="009A3F32" w:rsidRDefault="009A3F3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E18C" w14:textId="77777777" w:rsidR="009A3F32" w:rsidRDefault="009A3F32">
    <w:pPr>
      <w:jc w:val="right"/>
      <w:rPr>
        <w:b/>
      </w:rPr>
    </w:pPr>
  </w:p>
  <w:p w14:paraId="5E4C9D16" w14:textId="77777777" w:rsidR="009A3F32" w:rsidRDefault="009A3F32">
    <w:pPr>
      <w:jc w:val="right"/>
      <w:rPr>
        <w:b/>
        <w:i/>
      </w:rPr>
    </w:pPr>
  </w:p>
  <w:p w14:paraId="3C333E0B" w14:textId="77777777" w:rsidR="009A3F32" w:rsidRDefault="009A3F32">
    <w:pPr>
      <w:jc w:val="right"/>
    </w:pPr>
  </w:p>
  <w:p w14:paraId="14DFF8CD" w14:textId="77777777" w:rsidR="009A3F32" w:rsidRDefault="009A3F32">
    <w:pPr>
      <w:jc w:val="right"/>
      <w:rPr>
        <w:b/>
        <w:sz w:val="24"/>
      </w:rPr>
    </w:pPr>
  </w:p>
  <w:p w14:paraId="6F588AEA" w14:textId="77777777" w:rsidR="009A3F32" w:rsidRDefault="009A3F32">
    <w:pPr>
      <w:pBdr>
        <w:bottom w:val="single" w:sz="12" w:space="1" w:color="auto"/>
      </w:pBdr>
      <w:jc w:val="right"/>
      <w:rPr>
        <w:b/>
        <w:i/>
        <w:sz w:val="24"/>
      </w:rPr>
    </w:pPr>
  </w:p>
  <w:p w14:paraId="32D626EC" w14:textId="77777777" w:rsidR="009A3F32" w:rsidRDefault="009A3F3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E286A" w14:textId="77777777" w:rsidR="009A3F32" w:rsidRDefault="009A3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A6E3" w14:textId="77777777" w:rsidR="009A3F32" w:rsidRDefault="009A3F32" w:rsidP="008C3244">
    <w:pPr>
      <w:pStyle w:val="Header"/>
      <w:pBdr>
        <w:bottom w:val="single" w:sz="4" w:space="1" w:color="auto"/>
      </w:pBdr>
    </w:pPr>
  </w:p>
  <w:p w14:paraId="6B1C543D" w14:textId="77777777" w:rsidR="009A3F32" w:rsidRDefault="009A3F32" w:rsidP="008C3244">
    <w:pPr>
      <w:pStyle w:val="Header"/>
      <w:pBdr>
        <w:bottom w:val="single" w:sz="4" w:space="1" w:color="auto"/>
      </w:pBdr>
    </w:pPr>
  </w:p>
  <w:p w14:paraId="38D89914" w14:textId="77777777" w:rsidR="009A3F32" w:rsidRPr="001E77D2" w:rsidRDefault="009A3F32" w:rsidP="008C324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969D" w14:textId="77777777" w:rsidR="009A3F32" w:rsidRPr="005F1388" w:rsidRDefault="009A3F32" w:rsidP="008C324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0F974" w14:textId="77777777" w:rsidR="009A3F32" w:rsidRPr="00ED79B6" w:rsidRDefault="009A3F32" w:rsidP="00022B8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DB2D" w14:textId="77777777" w:rsidR="009A3F32" w:rsidRPr="00ED79B6" w:rsidRDefault="009A3F32" w:rsidP="00022B8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4F6A" w14:textId="77777777" w:rsidR="009A3F32" w:rsidRPr="00ED79B6" w:rsidRDefault="009A3F32" w:rsidP="00022B8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04E68" w14:textId="4A4D0032" w:rsidR="009A3F32" w:rsidRDefault="009A3F32" w:rsidP="009B667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50CA328" w14:textId="1EAAF5F2" w:rsidR="009A3F32" w:rsidRDefault="009A3F32" w:rsidP="009B667D">
    <w:pPr>
      <w:rPr>
        <w:sz w:val="20"/>
      </w:rPr>
    </w:pPr>
    <w:r w:rsidRPr="007A1328">
      <w:rPr>
        <w:b/>
        <w:sz w:val="20"/>
      </w:rPr>
      <w:fldChar w:fldCharType="begin"/>
    </w:r>
    <w:r w:rsidRPr="007A1328">
      <w:rPr>
        <w:b/>
        <w:sz w:val="20"/>
      </w:rPr>
      <w:instrText xml:space="preserve"> STYLEREF CharPartNo </w:instrText>
    </w:r>
    <w:r w:rsidR="00845A31">
      <w:rPr>
        <w:b/>
        <w:sz w:val="20"/>
      </w:rPr>
      <w:fldChar w:fldCharType="separate"/>
    </w:r>
    <w:r w:rsidR="0020596F">
      <w:rPr>
        <w:b/>
        <w:noProof/>
        <w:sz w:val="20"/>
      </w:rPr>
      <w:t>Part VIIA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45A31">
      <w:rPr>
        <w:sz w:val="20"/>
      </w:rPr>
      <w:fldChar w:fldCharType="separate"/>
    </w:r>
    <w:r w:rsidR="0020596F">
      <w:rPr>
        <w:noProof/>
        <w:sz w:val="20"/>
      </w:rPr>
      <w:t>Special provisions in relation to certain employees who transfer from State employment</w:t>
    </w:r>
    <w:r>
      <w:rPr>
        <w:sz w:val="20"/>
      </w:rPr>
      <w:fldChar w:fldCharType="end"/>
    </w:r>
  </w:p>
  <w:p w14:paraId="70DBF1EC" w14:textId="7FF9CAA3" w:rsidR="009A3F32" w:rsidRPr="007A1328" w:rsidRDefault="009A3F32" w:rsidP="009B667D">
    <w:pPr>
      <w:rPr>
        <w:sz w:val="20"/>
      </w:rPr>
    </w:pPr>
    <w:r>
      <w:rPr>
        <w:b/>
        <w:sz w:val="20"/>
      </w:rPr>
      <w:fldChar w:fldCharType="begin"/>
    </w:r>
    <w:r>
      <w:rPr>
        <w:b/>
        <w:sz w:val="20"/>
      </w:rPr>
      <w:instrText xml:space="preserve"> STYLEREF CharDivNo </w:instrText>
    </w:r>
    <w:r w:rsidR="0020596F">
      <w:rPr>
        <w:b/>
        <w:sz w:val="20"/>
      </w:rPr>
      <w:fldChar w:fldCharType="separate"/>
    </w:r>
    <w:r w:rsidR="0020596F">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0596F">
      <w:rPr>
        <w:sz w:val="20"/>
      </w:rPr>
      <w:fldChar w:fldCharType="separate"/>
    </w:r>
    <w:r w:rsidR="0020596F">
      <w:rPr>
        <w:noProof/>
        <w:sz w:val="20"/>
      </w:rPr>
      <w:t>Preliminary</w:t>
    </w:r>
    <w:r>
      <w:rPr>
        <w:sz w:val="20"/>
      </w:rPr>
      <w:fldChar w:fldCharType="end"/>
    </w:r>
  </w:p>
  <w:p w14:paraId="40DCD402" w14:textId="77777777" w:rsidR="009A3F32" w:rsidRPr="007A1328" w:rsidRDefault="009A3F32" w:rsidP="009B667D">
    <w:pPr>
      <w:rPr>
        <w:b/>
        <w:sz w:val="24"/>
      </w:rPr>
    </w:pPr>
  </w:p>
  <w:p w14:paraId="72BE3281" w14:textId="21A387EE" w:rsidR="009A3F32" w:rsidRPr="007A1328" w:rsidRDefault="009A3F32" w:rsidP="0087686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0596F">
      <w:rPr>
        <w:noProof/>
        <w:sz w:val="24"/>
      </w:rPr>
      <w:t>107A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DE23" w14:textId="3E6E84D2" w:rsidR="009A3F32" w:rsidRPr="007A1328" w:rsidRDefault="009A3F32" w:rsidP="009B667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4418DEC" w14:textId="4BE3BCEF" w:rsidR="009A3F32" w:rsidRPr="007A1328" w:rsidRDefault="009A3F32" w:rsidP="009B667D">
    <w:pPr>
      <w:jc w:val="right"/>
      <w:rPr>
        <w:sz w:val="20"/>
      </w:rPr>
    </w:pPr>
    <w:r w:rsidRPr="007A1328">
      <w:rPr>
        <w:sz w:val="20"/>
      </w:rPr>
      <w:fldChar w:fldCharType="begin"/>
    </w:r>
    <w:r w:rsidRPr="007A1328">
      <w:rPr>
        <w:sz w:val="20"/>
      </w:rPr>
      <w:instrText xml:space="preserve"> STYLEREF CharPartText </w:instrText>
    </w:r>
    <w:r w:rsidR="00845A31">
      <w:rPr>
        <w:sz w:val="20"/>
      </w:rPr>
      <w:fldChar w:fldCharType="separate"/>
    </w:r>
    <w:r w:rsidR="0020596F">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45A31">
      <w:rPr>
        <w:b/>
        <w:sz w:val="20"/>
      </w:rPr>
      <w:fldChar w:fldCharType="separate"/>
    </w:r>
    <w:r w:rsidR="0020596F">
      <w:rPr>
        <w:b/>
        <w:noProof/>
        <w:sz w:val="20"/>
      </w:rPr>
      <w:t>Part I</w:t>
    </w:r>
    <w:r>
      <w:rPr>
        <w:b/>
        <w:sz w:val="20"/>
      </w:rPr>
      <w:fldChar w:fldCharType="end"/>
    </w:r>
  </w:p>
  <w:p w14:paraId="41EE9331" w14:textId="0F0D9302" w:rsidR="009A3F32" w:rsidRPr="007A1328" w:rsidRDefault="009A3F32" w:rsidP="009B667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8918D53" w14:textId="77777777" w:rsidR="009A3F32" w:rsidRPr="007A1328" w:rsidRDefault="009A3F32" w:rsidP="009B667D">
    <w:pPr>
      <w:jc w:val="right"/>
      <w:rPr>
        <w:b/>
        <w:sz w:val="24"/>
      </w:rPr>
    </w:pPr>
  </w:p>
  <w:p w14:paraId="02E790C8" w14:textId="5FEED3B8" w:rsidR="009A3F32" w:rsidRPr="007A1328" w:rsidRDefault="009A3F32" w:rsidP="0087686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0596F">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F7FE" w14:textId="77777777" w:rsidR="009A3F32" w:rsidRPr="007A1328" w:rsidRDefault="009A3F32" w:rsidP="009B6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2A2E5829"/>
    <w:multiLevelType w:val="hybridMultilevel"/>
    <w:tmpl w:val="AE463E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4757A2"/>
    <w:multiLevelType w:val="multilevel"/>
    <w:tmpl w:val="0C09001D"/>
    <w:numStyleLink w:val="1ai"/>
  </w:abstractNum>
  <w:abstractNum w:abstractNumId="33"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5455E3"/>
    <w:multiLevelType w:val="multilevel"/>
    <w:tmpl w:val="0C09001D"/>
    <w:numStyleLink w:val="1ai"/>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6381282">
    <w:abstractNumId w:val="31"/>
  </w:num>
  <w:num w:numId="2" w16cid:durableId="1414618417">
    <w:abstractNumId w:val="26"/>
  </w:num>
  <w:num w:numId="3" w16cid:durableId="1502575208">
    <w:abstractNumId w:val="14"/>
  </w:num>
  <w:num w:numId="4" w16cid:durableId="1893619190">
    <w:abstractNumId w:val="35"/>
  </w:num>
  <w:num w:numId="5" w16cid:durableId="752629279">
    <w:abstractNumId w:val="19"/>
  </w:num>
  <w:num w:numId="6" w16cid:durableId="1513252700">
    <w:abstractNumId w:val="15"/>
  </w:num>
  <w:num w:numId="7" w16cid:durableId="2063360989">
    <w:abstractNumId w:val="9"/>
  </w:num>
  <w:num w:numId="8" w16cid:durableId="948586329">
    <w:abstractNumId w:val="9"/>
  </w:num>
  <w:num w:numId="9" w16cid:durableId="1106313604">
    <w:abstractNumId w:val="7"/>
  </w:num>
  <w:num w:numId="10" w16cid:durableId="1128283821">
    <w:abstractNumId w:val="7"/>
  </w:num>
  <w:num w:numId="11" w16cid:durableId="330986245">
    <w:abstractNumId w:val="6"/>
  </w:num>
  <w:num w:numId="12" w16cid:durableId="835222778">
    <w:abstractNumId w:val="6"/>
  </w:num>
  <w:num w:numId="13" w16cid:durableId="841041939">
    <w:abstractNumId w:val="5"/>
  </w:num>
  <w:num w:numId="14" w16cid:durableId="406726136">
    <w:abstractNumId w:val="5"/>
  </w:num>
  <w:num w:numId="15" w16cid:durableId="438528678">
    <w:abstractNumId w:val="4"/>
  </w:num>
  <w:num w:numId="16" w16cid:durableId="2145000554">
    <w:abstractNumId w:val="4"/>
  </w:num>
  <w:num w:numId="17" w16cid:durableId="614799311">
    <w:abstractNumId w:val="8"/>
  </w:num>
  <w:num w:numId="18" w16cid:durableId="1327051069">
    <w:abstractNumId w:val="8"/>
  </w:num>
  <w:num w:numId="19" w16cid:durableId="570047350">
    <w:abstractNumId w:val="3"/>
  </w:num>
  <w:num w:numId="20" w16cid:durableId="1600914537">
    <w:abstractNumId w:val="3"/>
  </w:num>
  <w:num w:numId="21" w16cid:durableId="2084985762">
    <w:abstractNumId w:val="2"/>
  </w:num>
  <w:num w:numId="22" w16cid:durableId="1988699451">
    <w:abstractNumId w:val="2"/>
  </w:num>
  <w:num w:numId="23" w16cid:durableId="486436662">
    <w:abstractNumId w:val="1"/>
  </w:num>
  <w:num w:numId="24" w16cid:durableId="865483742">
    <w:abstractNumId w:val="1"/>
  </w:num>
  <w:num w:numId="25" w16cid:durableId="1550798799">
    <w:abstractNumId w:val="0"/>
  </w:num>
  <w:num w:numId="26" w16cid:durableId="1404059523">
    <w:abstractNumId w:val="0"/>
  </w:num>
  <w:num w:numId="27" w16cid:durableId="173765378">
    <w:abstractNumId w:val="24"/>
  </w:num>
  <w:num w:numId="28" w16cid:durableId="49304002">
    <w:abstractNumId w:val="16"/>
  </w:num>
  <w:num w:numId="29" w16cid:durableId="1908687316">
    <w:abstractNumId w:val="38"/>
  </w:num>
  <w:num w:numId="30" w16cid:durableId="672756114">
    <w:abstractNumId w:val="18"/>
  </w:num>
  <w:num w:numId="31" w16cid:durableId="316344017">
    <w:abstractNumId w:val="32"/>
  </w:num>
  <w:num w:numId="32" w16cid:durableId="271862082">
    <w:abstractNumId w:val="20"/>
  </w:num>
  <w:num w:numId="33" w16cid:durableId="130025587">
    <w:abstractNumId w:val="13"/>
  </w:num>
  <w:num w:numId="34" w16cid:durableId="1415933806">
    <w:abstractNumId w:val="36"/>
  </w:num>
  <w:num w:numId="35" w16cid:durableId="836193714">
    <w:abstractNumId w:val="39"/>
  </w:num>
  <w:num w:numId="36" w16cid:durableId="787965586">
    <w:abstractNumId w:val="34"/>
  </w:num>
  <w:num w:numId="37" w16cid:durableId="1863401120">
    <w:abstractNumId w:val="17"/>
  </w:num>
  <w:num w:numId="38" w16cid:durableId="788472323">
    <w:abstractNumId w:val="33"/>
  </w:num>
  <w:num w:numId="39" w16cid:durableId="1329213013">
    <w:abstractNumId w:val="11"/>
  </w:num>
  <w:num w:numId="40" w16cid:durableId="402721562">
    <w:abstractNumId w:val="25"/>
  </w:num>
  <w:num w:numId="41" w16cid:durableId="1503667374">
    <w:abstractNumId w:val="37"/>
  </w:num>
  <w:num w:numId="42" w16cid:durableId="2031637253">
    <w:abstractNumId w:val="27"/>
  </w:num>
  <w:num w:numId="43" w16cid:durableId="948587773">
    <w:abstractNumId w:val="23"/>
  </w:num>
  <w:num w:numId="44" w16cid:durableId="1059473044">
    <w:abstractNumId w:val="10"/>
  </w:num>
  <w:num w:numId="45" w16cid:durableId="2123106952">
    <w:abstractNumId w:val="28"/>
  </w:num>
  <w:num w:numId="46" w16cid:durableId="275143058">
    <w:abstractNumId w:val="30"/>
  </w:num>
  <w:num w:numId="47" w16cid:durableId="115756458">
    <w:abstractNumId w:val="22"/>
  </w:num>
  <w:num w:numId="48" w16cid:durableId="1769350119">
    <w:abstractNumId w:val="12"/>
  </w:num>
  <w:num w:numId="49" w16cid:durableId="2009476046">
    <w:abstractNumId w:val="29"/>
  </w:num>
  <w:num w:numId="50" w16cid:durableId="139855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8C1"/>
    <w:rsid w:val="000126C8"/>
    <w:rsid w:val="00014845"/>
    <w:rsid w:val="00021047"/>
    <w:rsid w:val="00022B83"/>
    <w:rsid w:val="000334C4"/>
    <w:rsid w:val="0003398B"/>
    <w:rsid w:val="00046675"/>
    <w:rsid w:val="0004760A"/>
    <w:rsid w:val="00051241"/>
    <w:rsid w:val="000512AD"/>
    <w:rsid w:val="000522F6"/>
    <w:rsid w:val="0006241A"/>
    <w:rsid w:val="00063731"/>
    <w:rsid w:val="000646E6"/>
    <w:rsid w:val="0007011B"/>
    <w:rsid w:val="00074313"/>
    <w:rsid w:val="00077064"/>
    <w:rsid w:val="000828EA"/>
    <w:rsid w:val="00084FD2"/>
    <w:rsid w:val="00091E11"/>
    <w:rsid w:val="00092076"/>
    <w:rsid w:val="000A4DAA"/>
    <w:rsid w:val="000A78EE"/>
    <w:rsid w:val="000B008A"/>
    <w:rsid w:val="000B3269"/>
    <w:rsid w:val="000B3504"/>
    <w:rsid w:val="000C2DC9"/>
    <w:rsid w:val="000D13CA"/>
    <w:rsid w:val="000D2F8F"/>
    <w:rsid w:val="000D3B6E"/>
    <w:rsid w:val="000E0CCB"/>
    <w:rsid w:val="000E2400"/>
    <w:rsid w:val="000E330D"/>
    <w:rsid w:val="000E677B"/>
    <w:rsid w:val="000F2D49"/>
    <w:rsid w:val="000F2E4D"/>
    <w:rsid w:val="001001E8"/>
    <w:rsid w:val="00101E0E"/>
    <w:rsid w:val="00105318"/>
    <w:rsid w:val="00122F03"/>
    <w:rsid w:val="00123D51"/>
    <w:rsid w:val="00130B9B"/>
    <w:rsid w:val="0013120B"/>
    <w:rsid w:val="00145929"/>
    <w:rsid w:val="00150577"/>
    <w:rsid w:val="00150CB6"/>
    <w:rsid w:val="001510A5"/>
    <w:rsid w:val="0015470C"/>
    <w:rsid w:val="00156E45"/>
    <w:rsid w:val="0016267E"/>
    <w:rsid w:val="00164AB6"/>
    <w:rsid w:val="0017163F"/>
    <w:rsid w:val="00172C04"/>
    <w:rsid w:val="00180A6E"/>
    <w:rsid w:val="00181B8D"/>
    <w:rsid w:val="00182E26"/>
    <w:rsid w:val="00183D33"/>
    <w:rsid w:val="001A280C"/>
    <w:rsid w:val="001A6C90"/>
    <w:rsid w:val="001B267C"/>
    <w:rsid w:val="001B5915"/>
    <w:rsid w:val="001C27B6"/>
    <w:rsid w:val="001D6DC7"/>
    <w:rsid w:val="001E12F9"/>
    <w:rsid w:val="001E14E0"/>
    <w:rsid w:val="001E49D3"/>
    <w:rsid w:val="001E6666"/>
    <w:rsid w:val="001E7C83"/>
    <w:rsid w:val="001F09EB"/>
    <w:rsid w:val="001F140F"/>
    <w:rsid w:val="001F16FA"/>
    <w:rsid w:val="001F5B1C"/>
    <w:rsid w:val="001F5D1D"/>
    <w:rsid w:val="001F763D"/>
    <w:rsid w:val="00201A97"/>
    <w:rsid w:val="002023C1"/>
    <w:rsid w:val="002028EB"/>
    <w:rsid w:val="0020596F"/>
    <w:rsid w:val="0020678B"/>
    <w:rsid w:val="00213F8F"/>
    <w:rsid w:val="002144CC"/>
    <w:rsid w:val="00220F20"/>
    <w:rsid w:val="00221DBB"/>
    <w:rsid w:val="0022508F"/>
    <w:rsid w:val="00235CB9"/>
    <w:rsid w:val="002477D1"/>
    <w:rsid w:val="0025043F"/>
    <w:rsid w:val="002505D8"/>
    <w:rsid w:val="00253289"/>
    <w:rsid w:val="00256476"/>
    <w:rsid w:val="0025700D"/>
    <w:rsid w:val="002635F0"/>
    <w:rsid w:val="0026588A"/>
    <w:rsid w:val="00266400"/>
    <w:rsid w:val="00277615"/>
    <w:rsid w:val="00283820"/>
    <w:rsid w:val="0028439E"/>
    <w:rsid w:val="00291336"/>
    <w:rsid w:val="00291832"/>
    <w:rsid w:val="002B0BD6"/>
    <w:rsid w:val="002B1A7A"/>
    <w:rsid w:val="002B23FF"/>
    <w:rsid w:val="002B5593"/>
    <w:rsid w:val="002C1658"/>
    <w:rsid w:val="002C2532"/>
    <w:rsid w:val="002E1AE4"/>
    <w:rsid w:val="002E26DD"/>
    <w:rsid w:val="002E37A0"/>
    <w:rsid w:val="002E4EF4"/>
    <w:rsid w:val="002E6351"/>
    <w:rsid w:val="002F1AF5"/>
    <w:rsid w:val="002F4B2C"/>
    <w:rsid w:val="002F5B83"/>
    <w:rsid w:val="00300A96"/>
    <w:rsid w:val="00305675"/>
    <w:rsid w:val="00314666"/>
    <w:rsid w:val="003162FC"/>
    <w:rsid w:val="00322DFA"/>
    <w:rsid w:val="00324C62"/>
    <w:rsid w:val="00325D38"/>
    <w:rsid w:val="00327646"/>
    <w:rsid w:val="00343D64"/>
    <w:rsid w:val="00346ECF"/>
    <w:rsid w:val="00346F09"/>
    <w:rsid w:val="00351C6C"/>
    <w:rsid w:val="00360093"/>
    <w:rsid w:val="00363012"/>
    <w:rsid w:val="003641BE"/>
    <w:rsid w:val="003707C4"/>
    <w:rsid w:val="00371D03"/>
    <w:rsid w:val="003735F2"/>
    <w:rsid w:val="00373AAE"/>
    <w:rsid w:val="0037488C"/>
    <w:rsid w:val="0038011C"/>
    <w:rsid w:val="003814F3"/>
    <w:rsid w:val="00381AB0"/>
    <w:rsid w:val="003824B6"/>
    <w:rsid w:val="00393FD2"/>
    <w:rsid w:val="00394D98"/>
    <w:rsid w:val="00394E2E"/>
    <w:rsid w:val="003970EE"/>
    <w:rsid w:val="003A472C"/>
    <w:rsid w:val="003A5683"/>
    <w:rsid w:val="003B034F"/>
    <w:rsid w:val="003B232D"/>
    <w:rsid w:val="003B27B4"/>
    <w:rsid w:val="003B564B"/>
    <w:rsid w:val="003C614F"/>
    <w:rsid w:val="003D0621"/>
    <w:rsid w:val="003D0C56"/>
    <w:rsid w:val="003D103A"/>
    <w:rsid w:val="003D373C"/>
    <w:rsid w:val="003D3AF0"/>
    <w:rsid w:val="003E2EAA"/>
    <w:rsid w:val="003E552A"/>
    <w:rsid w:val="003F5041"/>
    <w:rsid w:val="0040228D"/>
    <w:rsid w:val="004174D5"/>
    <w:rsid w:val="0042382C"/>
    <w:rsid w:val="00425917"/>
    <w:rsid w:val="00425960"/>
    <w:rsid w:val="00432AAA"/>
    <w:rsid w:val="00444F6D"/>
    <w:rsid w:val="004506DD"/>
    <w:rsid w:val="004510F0"/>
    <w:rsid w:val="004528AE"/>
    <w:rsid w:val="00452DE9"/>
    <w:rsid w:val="004564B1"/>
    <w:rsid w:val="0046299D"/>
    <w:rsid w:val="00465959"/>
    <w:rsid w:val="00470BB5"/>
    <w:rsid w:val="004723A5"/>
    <w:rsid w:val="004735E8"/>
    <w:rsid w:val="004744E8"/>
    <w:rsid w:val="00481640"/>
    <w:rsid w:val="00482652"/>
    <w:rsid w:val="00485169"/>
    <w:rsid w:val="004856F0"/>
    <w:rsid w:val="00485D5E"/>
    <w:rsid w:val="004918A6"/>
    <w:rsid w:val="004955C5"/>
    <w:rsid w:val="0049595A"/>
    <w:rsid w:val="004B1306"/>
    <w:rsid w:val="004B224B"/>
    <w:rsid w:val="004C5E96"/>
    <w:rsid w:val="004D4FDF"/>
    <w:rsid w:val="004E0BFA"/>
    <w:rsid w:val="004E13B6"/>
    <w:rsid w:val="004E30F7"/>
    <w:rsid w:val="004F16BC"/>
    <w:rsid w:val="004F263E"/>
    <w:rsid w:val="004F5B0B"/>
    <w:rsid w:val="004F608D"/>
    <w:rsid w:val="004F62D5"/>
    <w:rsid w:val="00500F93"/>
    <w:rsid w:val="00502EE9"/>
    <w:rsid w:val="00503FF8"/>
    <w:rsid w:val="00504468"/>
    <w:rsid w:val="005071A1"/>
    <w:rsid w:val="00510AD2"/>
    <w:rsid w:val="00512768"/>
    <w:rsid w:val="00520555"/>
    <w:rsid w:val="005320C4"/>
    <w:rsid w:val="00535A57"/>
    <w:rsid w:val="00535E00"/>
    <w:rsid w:val="0054408F"/>
    <w:rsid w:val="00550693"/>
    <w:rsid w:val="0056037C"/>
    <w:rsid w:val="005606E4"/>
    <w:rsid w:val="005633CF"/>
    <w:rsid w:val="00566645"/>
    <w:rsid w:val="00573174"/>
    <w:rsid w:val="00575BC0"/>
    <w:rsid w:val="00585B7A"/>
    <w:rsid w:val="00594A56"/>
    <w:rsid w:val="00594E1E"/>
    <w:rsid w:val="00595D65"/>
    <w:rsid w:val="00597006"/>
    <w:rsid w:val="005A2A9C"/>
    <w:rsid w:val="005B095D"/>
    <w:rsid w:val="005B3CB5"/>
    <w:rsid w:val="005B6C63"/>
    <w:rsid w:val="005C01B5"/>
    <w:rsid w:val="005C22A9"/>
    <w:rsid w:val="005C39CC"/>
    <w:rsid w:val="005D706B"/>
    <w:rsid w:val="005E2E4C"/>
    <w:rsid w:val="005E4BF4"/>
    <w:rsid w:val="005E4FC3"/>
    <w:rsid w:val="005F4ACC"/>
    <w:rsid w:val="005F7D0D"/>
    <w:rsid w:val="0060128E"/>
    <w:rsid w:val="00601656"/>
    <w:rsid w:val="00605C8A"/>
    <w:rsid w:val="00610F6A"/>
    <w:rsid w:val="00612454"/>
    <w:rsid w:val="00615AC4"/>
    <w:rsid w:val="006312B1"/>
    <w:rsid w:val="00631F63"/>
    <w:rsid w:val="00632F35"/>
    <w:rsid w:val="00640BB6"/>
    <w:rsid w:val="00641D59"/>
    <w:rsid w:val="0064235E"/>
    <w:rsid w:val="00646373"/>
    <w:rsid w:val="0064661B"/>
    <w:rsid w:val="0064710F"/>
    <w:rsid w:val="006518EB"/>
    <w:rsid w:val="00652703"/>
    <w:rsid w:val="00654323"/>
    <w:rsid w:val="00656806"/>
    <w:rsid w:val="00657810"/>
    <w:rsid w:val="00674A0D"/>
    <w:rsid w:val="00677B4A"/>
    <w:rsid w:val="00695E6E"/>
    <w:rsid w:val="00696EF7"/>
    <w:rsid w:val="006A5342"/>
    <w:rsid w:val="006A7178"/>
    <w:rsid w:val="006B0B07"/>
    <w:rsid w:val="006B1C28"/>
    <w:rsid w:val="006B5C73"/>
    <w:rsid w:val="006B6CE6"/>
    <w:rsid w:val="006B7F7B"/>
    <w:rsid w:val="006C3A99"/>
    <w:rsid w:val="006C5AB9"/>
    <w:rsid w:val="006C71E2"/>
    <w:rsid w:val="006D26ED"/>
    <w:rsid w:val="006E11A8"/>
    <w:rsid w:val="006E1790"/>
    <w:rsid w:val="006E1AC9"/>
    <w:rsid w:val="006E47B0"/>
    <w:rsid w:val="006F34FF"/>
    <w:rsid w:val="006F5B83"/>
    <w:rsid w:val="006F6C93"/>
    <w:rsid w:val="0070778C"/>
    <w:rsid w:val="007139D6"/>
    <w:rsid w:val="007159B1"/>
    <w:rsid w:val="00715FBF"/>
    <w:rsid w:val="0072383A"/>
    <w:rsid w:val="00723C3F"/>
    <w:rsid w:val="00727E45"/>
    <w:rsid w:val="0073598B"/>
    <w:rsid w:val="00746642"/>
    <w:rsid w:val="007500D1"/>
    <w:rsid w:val="00751B8E"/>
    <w:rsid w:val="007555EA"/>
    <w:rsid w:val="0076561D"/>
    <w:rsid w:val="00765C6F"/>
    <w:rsid w:val="00770F9B"/>
    <w:rsid w:val="00783953"/>
    <w:rsid w:val="00787283"/>
    <w:rsid w:val="007878B0"/>
    <w:rsid w:val="007932E5"/>
    <w:rsid w:val="007A0A31"/>
    <w:rsid w:val="007A0BFD"/>
    <w:rsid w:val="007A0D8D"/>
    <w:rsid w:val="007B1B06"/>
    <w:rsid w:val="007B7959"/>
    <w:rsid w:val="007C0A71"/>
    <w:rsid w:val="007C3F61"/>
    <w:rsid w:val="007C5FA3"/>
    <w:rsid w:val="007C77EE"/>
    <w:rsid w:val="007C7E1E"/>
    <w:rsid w:val="007D03B3"/>
    <w:rsid w:val="007F245F"/>
    <w:rsid w:val="00800D1E"/>
    <w:rsid w:val="0080618A"/>
    <w:rsid w:val="00817220"/>
    <w:rsid w:val="00826307"/>
    <w:rsid w:val="008336A1"/>
    <w:rsid w:val="00834CFA"/>
    <w:rsid w:val="00835A19"/>
    <w:rsid w:val="00840BCA"/>
    <w:rsid w:val="00845A31"/>
    <w:rsid w:val="00850611"/>
    <w:rsid w:val="00851C5C"/>
    <w:rsid w:val="00851FC9"/>
    <w:rsid w:val="00855AA5"/>
    <w:rsid w:val="0086404B"/>
    <w:rsid w:val="008641C0"/>
    <w:rsid w:val="00864936"/>
    <w:rsid w:val="0086505B"/>
    <w:rsid w:val="0087252E"/>
    <w:rsid w:val="00876860"/>
    <w:rsid w:val="00882990"/>
    <w:rsid w:val="00882BA0"/>
    <w:rsid w:val="00884216"/>
    <w:rsid w:val="00885366"/>
    <w:rsid w:val="00891025"/>
    <w:rsid w:val="008959FF"/>
    <w:rsid w:val="00896AC5"/>
    <w:rsid w:val="00897711"/>
    <w:rsid w:val="008A260D"/>
    <w:rsid w:val="008B2950"/>
    <w:rsid w:val="008B2F60"/>
    <w:rsid w:val="008B6C45"/>
    <w:rsid w:val="008B73ED"/>
    <w:rsid w:val="008C0049"/>
    <w:rsid w:val="008C3244"/>
    <w:rsid w:val="008C4C7D"/>
    <w:rsid w:val="008C6ADB"/>
    <w:rsid w:val="008D2598"/>
    <w:rsid w:val="008D2E61"/>
    <w:rsid w:val="0090126A"/>
    <w:rsid w:val="00904D5F"/>
    <w:rsid w:val="009056B6"/>
    <w:rsid w:val="00905BE1"/>
    <w:rsid w:val="00906C0E"/>
    <w:rsid w:val="009077B5"/>
    <w:rsid w:val="0090787B"/>
    <w:rsid w:val="009113A7"/>
    <w:rsid w:val="00912196"/>
    <w:rsid w:val="00912EBB"/>
    <w:rsid w:val="00917213"/>
    <w:rsid w:val="00922533"/>
    <w:rsid w:val="009248B1"/>
    <w:rsid w:val="009254D0"/>
    <w:rsid w:val="00930F18"/>
    <w:rsid w:val="00931B43"/>
    <w:rsid w:val="0093448F"/>
    <w:rsid w:val="00940902"/>
    <w:rsid w:val="00941F82"/>
    <w:rsid w:val="00947F21"/>
    <w:rsid w:val="00954FD5"/>
    <w:rsid w:val="00960A3F"/>
    <w:rsid w:val="009616AC"/>
    <w:rsid w:val="00962E93"/>
    <w:rsid w:val="00963B72"/>
    <w:rsid w:val="00964802"/>
    <w:rsid w:val="0096622C"/>
    <w:rsid w:val="00966EDD"/>
    <w:rsid w:val="0097346C"/>
    <w:rsid w:val="00974D9F"/>
    <w:rsid w:val="009776D5"/>
    <w:rsid w:val="0099214E"/>
    <w:rsid w:val="00996303"/>
    <w:rsid w:val="009A3F32"/>
    <w:rsid w:val="009B667D"/>
    <w:rsid w:val="009B7AF5"/>
    <w:rsid w:val="009C6061"/>
    <w:rsid w:val="009D1491"/>
    <w:rsid w:val="009E0FE3"/>
    <w:rsid w:val="009E79E6"/>
    <w:rsid w:val="009F2B01"/>
    <w:rsid w:val="00A00E29"/>
    <w:rsid w:val="00A05EAF"/>
    <w:rsid w:val="00A10CCE"/>
    <w:rsid w:val="00A10E71"/>
    <w:rsid w:val="00A110C0"/>
    <w:rsid w:val="00A11EB9"/>
    <w:rsid w:val="00A14036"/>
    <w:rsid w:val="00A16B68"/>
    <w:rsid w:val="00A3023D"/>
    <w:rsid w:val="00A3213F"/>
    <w:rsid w:val="00A35D89"/>
    <w:rsid w:val="00A407F1"/>
    <w:rsid w:val="00A45199"/>
    <w:rsid w:val="00A4695A"/>
    <w:rsid w:val="00A51421"/>
    <w:rsid w:val="00A516E3"/>
    <w:rsid w:val="00A55895"/>
    <w:rsid w:val="00A56EB8"/>
    <w:rsid w:val="00A625B3"/>
    <w:rsid w:val="00A6517F"/>
    <w:rsid w:val="00A72F24"/>
    <w:rsid w:val="00A733AA"/>
    <w:rsid w:val="00A769F6"/>
    <w:rsid w:val="00A836EB"/>
    <w:rsid w:val="00A85DFA"/>
    <w:rsid w:val="00A90ADA"/>
    <w:rsid w:val="00A92363"/>
    <w:rsid w:val="00A924B7"/>
    <w:rsid w:val="00A93881"/>
    <w:rsid w:val="00A94B91"/>
    <w:rsid w:val="00AB0884"/>
    <w:rsid w:val="00AB0E62"/>
    <w:rsid w:val="00AB4ED8"/>
    <w:rsid w:val="00AB7153"/>
    <w:rsid w:val="00AD02FE"/>
    <w:rsid w:val="00AD5962"/>
    <w:rsid w:val="00AD5D83"/>
    <w:rsid w:val="00AD79C2"/>
    <w:rsid w:val="00AF14B7"/>
    <w:rsid w:val="00AF496B"/>
    <w:rsid w:val="00AF728F"/>
    <w:rsid w:val="00B039CA"/>
    <w:rsid w:val="00B03A4F"/>
    <w:rsid w:val="00B11426"/>
    <w:rsid w:val="00B12259"/>
    <w:rsid w:val="00B1494D"/>
    <w:rsid w:val="00B15D89"/>
    <w:rsid w:val="00B20CE6"/>
    <w:rsid w:val="00B30264"/>
    <w:rsid w:val="00B33253"/>
    <w:rsid w:val="00B33542"/>
    <w:rsid w:val="00B33CE6"/>
    <w:rsid w:val="00B35828"/>
    <w:rsid w:val="00B36DC2"/>
    <w:rsid w:val="00B419BB"/>
    <w:rsid w:val="00B54A69"/>
    <w:rsid w:val="00B5758A"/>
    <w:rsid w:val="00B57F5C"/>
    <w:rsid w:val="00B6086C"/>
    <w:rsid w:val="00B608AD"/>
    <w:rsid w:val="00B62A0B"/>
    <w:rsid w:val="00B6337A"/>
    <w:rsid w:val="00B64AE9"/>
    <w:rsid w:val="00B7008D"/>
    <w:rsid w:val="00B8090C"/>
    <w:rsid w:val="00B9159C"/>
    <w:rsid w:val="00BA1511"/>
    <w:rsid w:val="00BA23A6"/>
    <w:rsid w:val="00BA4B53"/>
    <w:rsid w:val="00BB4349"/>
    <w:rsid w:val="00BC0C74"/>
    <w:rsid w:val="00BC0DF5"/>
    <w:rsid w:val="00BC3C8D"/>
    <w:rsid w:val="00BC6B57"/>
    <w:rsid w:val="00BD1789"/>
    <w:rsid w:val="00BD7E86"/>
    <w:rsid w:val="00BE0B5A"/>
    <w:rsid w:val="00BE0FB2"/>
    <w:rsid w:val="00BE745A"/>
    <w:rsid w:val="00BF2E23"/>
    <w:rsid w:val="00C000BF"/>
    <w:rsid w:val="00C02162"/>
    <w:rsid w:val="00C0283E"/>
    <w:rsid w:val="00C02F76"/>
    <w:rsid w:val="00C05F5B"/>
    <w:rsid w:val="00C11035"/>
    <w:rsid w:val="00C1511D"/>
    <w:rsid w:val="00C23E76"/>
    <w:rsid w:val="00C2469D"/>
    <w:rsid w:val="00C246DE"/>
    <w:rsid w:val="00C2667D"/>
    <w:rsid w:val="00C33223"/>
    <w:rsid w:val="00C33734"/>
    <w:rsid w:val="00C34FF5"/>
    <w:rsid w:val="00C35CF0"/>
    <w:rsid w:val="00C431B6"/>
    <w:rsid w:val="00C46485"/>
    <w:rsid w:val="00C468D0"/>
    <w:rsid w:val="00C475BC"/>
    <w:rsid w:val="00C47DC7"/>
    <w:rsid w:val="00C506BD"/>
    <w:rsid w:val="00C51B4A"/>
    <w:rsid w:val="00C53E1E"/>
    <w:rsid w:val="00C57F76"/>
    <w:rsid w:val="00C62480"/>
    <w:rsid w:val="00C629C4"/>
    <w:rsid w:val="00C63A50"/>
    <w:rsid w:val="00C65898"/>
    <w:rsid w:val="00C66065"/>
    <w:rsid w:val="00C66381"/>
    <w:rsid w:val="00C74397"/>
    <w:rsid w:val="00C803E7"/>
    <w:rsid w:val="00C85125"/>
    <w:rsid w:val="00C860B0"/>
    <w:rsid w:val="00C8715E"/>
    <w:rsid w:val="00C94131"/>
    <w:rsid w:val="00CA5852"/>
    <w:rsid w:val="00CA6822"/>
    <w:rsid w:val="00CA733C"/>
    <w:rsid w:val="00CA7DF8"/>
    <w:rsid w:val="00CB1564"/>
    <w:rsid w:val="00CB2F6A"/>
    <w:rsid w:val="00CB38C4"/>
    <w:rsid w:val="00CB7DAE"/>
    <w:rsid w:val="00CC0968"/>
    <w:rsid w:val="00CC3552"/>
    <w:rsid w:val="00CC3693"/>
    <w:rsid w:val="00CD19E6"/>
    <w:rsid w:val="00CD79AF"/>
    <w:rsid w:val="00CD7AD2"/>
    <w:rsid w:val="00CE0224"/>
    <w:rsid w:val="00CE33E0"/>
    <w:rsid w:val="00CF0C39"/>
    <w:rsid w:val="00CF5852"/>
    <w:rsid w:val="00CF6AD3"/>
    <w:rsid w:val="00D03FAE"/>
    <w:rsid w:val="00D061E5"/>
    <w:rsid w:val="00D06263"/>
    <w:rsid w:val="00D11EDC"/>
    <w:rsid w:val="00D120E4"/>
    <w:rsid w:val="00D14116"/>
    <w:rsid w:val="00D2205F"/>
    <w:rsid w:val="00D23A95"/>
    <w:rsid w:val="00D31BCD"/>
    <w:rsid w:val="00D33D9B"/>
    <w:rsid w:val="00D449F0"/>
    <w:rsid w:val="00D51913"/>
    <w:rsid w:val="00D526ED"/>
    <w:rsid w:val="00D57394"/>
    <w:rsid w:val="00D60B9D"/>
    <w:rsid w:val="00D62994"/>
    <w:rsid w:val="00D72DCE"/>
    <w:rsid w:val="00D740A3"/>
    <w:rsid w:val="00D7445A"/>
    <w:rsid w:val="00D819B6"/>
    <w:rsid w:val="00D83E62"/>
    <w:rsid w:val="00D86AB1"/>
    <w:rsid w:val="00D86CCB"/>
    <w:rsid w:val="00D90386"/>
    <w:rsid w:val="00DA469E"/>
    <w:rsid w:val="00DA4F6B"/>
    <w:rsid w:val="00DA61FC"/>
    <w:rsid w:val="00DA6E3C"/>
    <w:rsid w:val="00DB24D2"/>
    <w:rsid w:val="00DB4606"/>
    <w:rsid w:val="00DB4E28"/>
    <w:rsid w:val="00DB7E6E"/>
    <w:rsid w:val="00DC37E9"/>
    <w:rsid w:val="00DC5817"/>
    <w:rsid w:val="00DD1A39"/>
    <w:rsid w:val="00DE3B98"/>
    <w:rsid w:val="00DE459A"/>
    <w:rsid w:val="00DE581C"/>
    <w:rsid w:val="00DF2AF9"/>
    <w:rsid w:val="00DF76EC"/>
    <w:rsid w:val="00E02616"/>
    <w:rsid w:val="00E02FDA"/>
    <w:rsid w:val="00E041BC"/>
    <w:rsid w:val="00E048F7"/>
    <w:rsid w:val="00E100E8"/>
    <w:rsid w:val="00E12150"/>
    <w:rsid w:val="00E1306A"/>
    <w:rsid w:val="00E13612"/>
    <w:rsid w:val="00E13A1D"/>
    <w:rsid w:val="00E14ED1"/>
    <w:rsid w:val="00E2242A"/>
    <w:rsid w:val="00E224F4"/>
    <w:rsid w:val="00E23205"/>
    <w:rsid w:val="00E23240"/>
    <w:rsid w:val="00E25061"/>
    <w:rsid w:val="00E275C1"/>
    <w:rsid w:val="00E279B5"/>
    <w:rsid w:val="00E30948"/>
    <w:rsid w:val="00E42BA4"/>
    <w:rsid w:val="00E60225"/>
    <w:rsid w:val="00E71267"/>
    <w:rsid w:val="00E71F30"/>
    <w:rsid w:val="00E848F1"/>
    <w:rsid w:val="00E872CC"/>
    <w:rsid w:val="00E90288"/>
    <w:rsid w:val="00E914AA"/>
    <w:rsid w:val="00E93886"/>
    <w:rsid w:val="00EA022F"/>
    <w:rsid w:val="00EA435F"/>
    <w:rsid w:val="00EA7142"/>
    <w:rsid w:val="00EA754F"/>
    <w:rsid w:val="00EB03C6"/>
    <w:rsid w:val="00EB60C6"/>
    <w:rsid w:val="00EB797D"/>
    <w:rsid w:val="00EC2D0D"/>
    <w:rsid w:val="00EC5F45"/>
    <w:rsid w:val="00EC6D05"/>
    <w:rsid w:val="00EE7890"/>
    <w:rsid w:val="00EF4DCF"/>
    <w:rsid w:val="00F00CAC"/>
    <w:rsid w:val="00F0158C"/>
    <w:rsid w:val="00F0744D"/>
    <w:rsid w:val="00F07EE2"/>
    <w:rsid w:val="00F10EBF"/>
    <w:rsid w:val="00F12EF2"/>
    <w:rsid w:val="00F16C38"/>
    <w:rsid w:val="00F17C5E"/>
    <w:rsid w:val="00F24E9F"/>
    <w:rsid w:val="00F267CC"/>
    <w:rsid w:val="00F34446"/>
    <w:rsid w:val="00F36FA1"/>
    <w:rsid w:val="00F375E7"/>
    <w:rsid w:val="00F413AA"/>
    <w:rsid w:val="00F44983"/>
    <w:rsid w:val="00F45EDF"/>
    <w:rsid w:val="00F5286A"/>
    <w:rsid w:val="00F56AED"/>
    <w:rsid w:val="00F61314"/>
    <w:rsid w:val="00F616B5"/>
    <w:rsid w:val="00F617A1"/>
    <w:rsid w:val="00F6311F"/>
    <w:rsid w:val="00F64012"/>
    <w:rsid w:val="00F75BCC"/>
    <w:rsid w:val="00F83505"/>
    <w:rsid w:val="00F83E1F"/>
    <w:rsid w:val="00F84D63"/>
    <w:rsid w:val="00F932A2"/>
    <w:rsid w:val="00F93624"/>
    <w:rsid w:val="00F96240"/>
    <w:rsid w:val="00FA00FC"/>
    <w:rsid w:val="00FA041F"/>
    <w:rsid w:val="00FA4E24"/>
    <w:rsid w:val="00FB153D"/>
    <w:rsid w:val="00FB3203"/>
    <w:rsid w:val="00FB5B3C"/>
    <w:rsid w:val="00FC0982"/>
    <w:rsid w:val="00FE2F9A"/>
    <w:rsid w:val="00FE626B"/>
    <w:rsid w:val="00FE7E76"/>
    <w:rsid w:val="00FF0A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7937"/>
    <o:shapelayout v:ext="edit">
      <o:idmap v:ext="edit" data="1"/>
    </o:shapelayout>
  </w:shapeDefaults>
  <w:decimalSymbol w:val="."/>
  <w:listSeparator w:val=","/>
  <w14:docId w14:val="245E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3C3F"/>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23C3F"/>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23C3F"/>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3C3F"/>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23C3F"/>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23C3F"/>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23C3F"/>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23C3F"/>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23C3F"/>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23C3F"/>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23C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3C3F"/>
  </w:style>
  <w:style w:type="numbering" w:styleId="111111">
    <w:name w:val="Outline List 2"/>
    <w:basedOn w:val="NoList"/>
    <w:uiPriority w:val="99"/>
    <w:unhideWhenUsed/>
    <w:rsid w:val="00723C3F"/>
    <w:pPr>
      <w:numPr>
        <w:numId w:val="1"/>
      </w:numPr>
    </w:pPr>
  </w:style>
  <w:style w:type="numbering" w:styleId="1ai">
    <w:name w:val="Outline List 1"/>
    <w:basedOn w:val="NoList"/>
    <w:uiPriority w:val="99"/>
    <w:unhideWhenUsed/>
    <w:rsid w:val="00723C3F"/>
    <w:pPr>
      <w:numPr>
        <w:numId w:val="4"/>
      </w:numPr>
    </w:pPr>
  </w:style>
  <w:style w:type="paragraph" w:customStyle="1" w:styleId="ActHead1">
    <w:name w:val="ActHead 1"/>
    <w:aliases w:val="c"/>
    <w:basedOn w:val="OPCParaBase"/>
    <w:next w:val="Normal"/>
    <w:qFormat/>
    <w:rsid w:val="00723C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23C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23C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23C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23C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23C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23C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23C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23C3F"/>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723C3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723C3F"/>
  </w:style>
  <w:style w:type="character" w:customStyle="1" w:styleId="SOTextChar">
    <w:name w:val="SO Text Char"/>
    <w:aliases w:val="sot Char"/>
    <w:basedOn w:val="DefaultParagraphFont"/>
    <w:link w:val="SOText"/>
    <w:rsid w:val="00723C3F"/>
    <w:rPr>
      <w:rFonts w:eastAsiaTheme="minorHAnsi" w:cstheme="minorBidi"/>
      <w:sz w:val="22"/>
      <w:lang w:eastAsia="en-US"/>
    </w:rPr>
  </w:style>
  <w:style w:type="paragraph" w:customStyle="1" w:styleId="SOTextNote">
    <w:name w:val="SO TextNote"/>
    <w:aliases w:val="sont"/>
    <w:basedOn w:val="SOText"/>
    <w:qFormat/>
    <w:rsid w:val="00723C3F"/>
    <w:pPr>
      <w:spacing w:before="122" w:line="198" w:lineRule="exact"/>
      <w:ind w:left="1843" w:hanging="709"/>
    </w:pPr>
    <w:rPr>
      <w:sz w:val="18"/>
    </w:rPr>
  </w:style>
  <w:style w:type="paragraph" w:customStyle="1" w:styleId="SOPara">
    <w:name w:val="SO Para"/>
    <w:aliases w:val="soa"/>
    <w:basedOn w:val="SOText"/>
    <w:link w:val="SOParaChar"/>
    <w:qFormat/>
    <w:rsid w:val="00723C3F"/>
    <w:pPr>
      <w:tabs>
        <w:tab w:val="right" w:pos="1786"/>
      </w:tabs>
      <w:spacing w:before="40"/>
      <w:ind w:left="2070" w:hanging="936"/>
    </w:pPr>
  </w:style>
  <w:style w:type="character" w:customStyle="1" w:styleId="SOParaChar">
    <w:name w:val="SO Para Char"/>
    <w:aliases w:val="soa Char"/>
    <w:basedOn w:val="DefaultParagraphFont"/>
    <w:link w:val="SOPara"/>
    <w:rsid w:val="00723C3F"/>
    <w:rPr>
      <w:rFonts w:eastAsiaTheme="minorHAnsi" w:cstheme="minorBidi"/>
      <w:sz w:val="22"/>
      <w:lang w:eastAsia="en-US"/>
    </w:rPr>
  </w:style>
  <w:style w:type="paragraph" w:customStyle="1" w:styleId="FileName">
    <w:name w:val="FileName"/>
    <w:basedOn w:val="Normal"/>
    <w:rsid w:val="00723C3F"/>
  </w:style>
  <w:style w:type="paragraph" w:customStyle="1" w:styleId="SOHeadBold">
    <w:name w:val="SO HeadBold"/>
    <w:aliases w:val="sohb"/>
    <w:basedOn w:val="SOText"/>
    <w:next w:val="SOText"/>
    <w:link w:val="SOHeadBoldChar"/>
    <w:qFormat/>
    <w:rsid w:val="00723C3F"/>
    <w:rPr>
      <w:b/>
    </w:rPr>
  </w:style>
  <w:style w:type="numbering" w:styleId="ArticleSection">
    <w:name w:val="Outline List 3"/>
    <w:basedOn w:val="NoList"/>
    <w:uiPriority w:val="99"/>
    <w:unhideWhenUsed/>
    <w:rsid w:val="00723C3F"/>
    <w:pPr>
      <w:numPr>
        <w:numId w:val="5"/>
      </w:numPr>
    </w:pPr>
  </w:style>
  <w:style w:type="character" w:customStyle="1" w:styleId="SOHeadBoldChar">
    <w:name w:val="SO HeadBold Char"/>
    <w:aliases w:val="sohb Char"/>
    <w:basedOn w:val="DefaultParagraphFont"/>
    <w:link w:val="SOHeadBold"/>
    <w:rsid w:val="00723C3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23C3F"/>
    <w:rPr>
      <w:i/>
    </w:rPr>
  </w:style>
  <w:style w:type="paragraph" w:styleId="BalloonText">
    <w:name w:val="Balloon Text"/>
    <w:basedOn w:val="Normal"/>
    <w:link w:val="BalloonTextChar"/>
    <w:uiPriority w:val="99"/>
    <w:unhideWhenUsed/>
    <w:rsid w:val="00723C3F"/>
    <w:pPr>
      <w:spacing w:line="240" w:lineRule="auto"/>
    </w:pPr>
    <w:rPr>
      <w:rFonts w:ascii="Segoe UI" w:hAnsi="Segoe UI" w:cs="Segoe UI"/>
      <w:sz w:val="18"/>
      <w:szCs w:val="18"/>
    </w:rPr>
  </w:style>
  <w:style w:type="paragraph" w:styleId="BlockText">
    <w:name w:val="Block Text"/>
    <w:basedOn w:val="Normal"/>
    <w:uiPriority w:val="99"/>
    <w:unhideWhenUsed/>
    <w:rsid w:val="00723C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723C3F"/>
    <w:pPr>
      <w:spacing w:line="240" w:lineRule="auto"/>
    </w:pPr>
    <w:rPr>
      <w:sz w:val="24"/>
    </w:rPr>
  </w:style>
  <w:style w:type="paragraph" w:styleId="BodyText">
    <w:name w:val="Body Text"/>
    <w:basedOn w:val="Normal"/>
    <w:link w:val="BodyTextChar"/>
    <w:uiPriority w:val="99"/>
    <w:unhideWhenUsed/>
    <w:rsid w:val="00723C3F"/>
    <w:pPr>
      <w:spacing w:after="120"/>
    </w:pPr>
  </w:style>
  <w:style w:type="paragraph" w:styleId="BodyText2">
    <w:name w:val="Body Text 2"/>
    <w:basedOn w:val="Normal"/>
    <w:link w:val="BodyText2Char"/>
    <w:uiPriority w:val="99"/>
    <w:unhideWhenUsed/>
    <w:rsid w:val="00723C3F"/>
    <w:pPr>
      <w:spacing w:after="120" w:line="480" w:lineRule="auto"/>
    </w:pPr>
  </w:style>
  <w:style w:type="paragraph" w:styleId="BodyText3">
    <w:name w:val="Body Text 3"/>
    <w:basedOn w:val="Normal"/>
    <w:link w:val="BodyText3Char"/>
    <w:uiPriority w:val="99"/>
    <w:unhideWhenUsed/>
    <w:rsid w:val="00723C3F"/>
    <w:pPr>
      <w:spacing w:after="120"/>
    </w:pPr>
    <w:rPr>
      <w:sz w:val="16"/>
      <w:szCs w:val="16"/>
    </w:rPr>
  </w:style>
  <w:style w:type="paragraph" w:styleId="BodyTextFirstIndent">
    <w:name w:val="Body Text First Indent"/>
    <w:basedOn w:val="BodyText"/>
    <w:link w:val="BodyTextFirstIndentChar"/>
    <w:uiPriority w:val="99"/>
    <w:unhideWhenUsed/>
    <w:rsid w:val="00723C3F"/>
    <w:pPr>
      <w:spacing w:after="0"/>
      <w:ind w:firstLine="360"/>
    </w:pPr>
  </w:style>
  <w:style w:type="paragraph" w:styleId="BodyTextIndent">
    <w:name w:val="Body Text Indent"/>
    <w:basedOn w:val="Normal"/>
    <w:link w:val="BodyTextIndentChar"/>
    <w:uiPriority w:val="99"/>
    <w:unhideWhenUsed/>
    <w:rsid w:val="00723C3F"/>
    <w:pPr>
      <w:spacing w:after="120"/>
      <w:ind w:left="283"/>
    </w:pPr>
  </w:style>
  <w:style w:type="paragraph" w:styleId="BodyTextFirstIndent2">
    <w:name w:val="Body Text First Indent 2"/>
    <w:basedOn w:val="BodyTextIndent"/>
    <w:link w:val="BodyTextFirstIndent2Char"/>
    <w:uiPriority w:val="99"/>
    <w:unhideWhenUsed/>
    <w:rsid w:val="00723C3F"/>
    <w:pPr>
      <w:spacing w:after="0"/>
      <w:ind w:left="360" w:firstLine="360"/>
    </w:pPr>
  </w:style>
  <w:style w:type="paragraph" w:styleId="BodyTextIndent2">
    <w:name w:val="Body Text Indent 2"/>
    <w:basedOn w:val="Normal"/>
    <w:link w:val="BodyTextIndent2Char"/>
    <w:uiPriority w:val="99"/>
    <w:unhideWhenUsed/>
    <w:rsid w:val="00723C3F"/>
    <w:pPr>
      <w:spacing w:after="120" w:line="480" w:lineRule="auto"/>
      <w:ind w:left="283"/>
    </w:pPr>
  </w:style>
  <w:style w:type="paragraph" w:styleId="BodyTextIndent3">
    <w:name w:val="Body Text Indent 3"/>
    <w:basedOn w:val="Normal"/>
    <w:link w:val="BodyTextIndent3Char"/>
    <w:uiPriority w:val="99"/>
    <w:unhideWhenUsed/>
    <w:rsid w:val="00723C3F"/>
    <w:pPr>
      <w:spacing w:after="120"/>
      <w:ind w:left="283"/>
    </w:pPr>
    <w:rPr>
      <w:sz w:val="16"/>
      <w:szCs w:val="16"/>
    </w:rPr>
  </w:style>
  <w:style w:type="character" w:customStyle="1" w:styleId="SOHeadItalicChar">
    <w:name w:val="SO HeadItalic Char"/>
    <w:aliases w:val="sohi Char"/>
    <w:basedOn w:val="DefaultParagraphFont"/>
    <w:link w:val="SOHeadItalic"/>
    <w:rsid w:val="00723C3F"/>
    <w:rPr>
      <w:rFonts w:eastAsiaTheme="minorHAnsi" w:cstheme="minorBidi"/>
      <w:i/>
      <w:sz w:val="22"/>
      <w:lang w:eastAsia="en-US"/>
    </w:rPr>
  </w:style>
  <w:style w:type="paragraph" w:customStyle="1" w:styleId="BoxText">
    <w:name w:val="BoxText"/>
    <w:aliases w:val="bt"/>
    <w:basedOn w:val="OPCParaBase"/>
    <w:qFormat/>
    <w:rsid w:val="00723C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23C3F"/>
    <w:rPr>
      <w:b/>
    </w:rPr>
  </w:style>
  <w:style w:type="paragraph" w:customStyle="1" w:styleId="BoxHeadItalic">
    <w:name w:val="BoxHeadItalic"/>
    <w:aliases w:val="bhi"/>
    <w:basedOn w:val="BoxText"/>
    <w:next w:val="BoxStep"/>
    <w:qFormat/>
    <w:rsid w:val="00723C3F"/>
    <w:rPr>
      <w:i/>
    </w:rPr>
  </w:style>
  <w:style w:type="paragraph" w:customStyle="1" w:styleId="BoxList">
    <w:name w:val="BoxList"/>
    <w:aliases w:val="bl"/>
    <w:basedOn w:val="BoxText"/>
    <w:qFormat/>
    <w:rsid w:val="00723C3F"/>
    <w:pPr>
      <w:ind w:left="1559" w:hanging="425"/>
    </w:pPr>
  </w:style>
  <w:style w:type="paragraph" w:customStyle="1" w:styleId="BoxNote">
    <w:name w:val="BoxNote"/>
    <w:aliases w:val="bn"/>
    <w:basedOn w:val="BoxText"/>
    <w:qFormat/>
    <w:rsid w:val="00723C3F"/>
    <w:pPr>
      <w:tabs>
        <w:tab w:val="left" w:pos="1985"/>
      </w:tabs>
      <w:spacing w:before="122" w:line="198" w:lineRule="exact"/>
      <w:ind w:left="2948" w:hanging="1814"/>
    </w:pPr>
    <w:rPr>
      <w:sz w:val="18"/>
    </w:rPr>
  </w:style>
  <w:style w:type="paragraph" w:customStyle="1" w:styleId="BoxPara">
    <w:name w:val="BoxPara"/>
    <w:aliases w:val="bp"/>
    <w:basedOn w:val="BoxText"/>
    <w:qFormat/>
    <w:rsid w:val="00723C3F"/>
    <w:pPr>
      <w:tabs>
        <w:tab w:val="right" w:pos="2268"/>
      </w:tabs>
      <w:ind w:left="2552" w:hanging="1418"/>
    </w:pPr>
  </w:style>
  <w:style w:type="paragraph" w:customStyle="1" w:styleId="BoxStep">
    <w:name w:val="BoxStep"/>
    <w:aliases w:val="bs"/>
    <w:basedOn w:val="BoxText"/>
    <w:qFormat/>
    <w:rsid w:val="00723C3F"/>
    <w:pPr>
      <w:ind w:left="1985" w:hanging="851"/>
    </w:pPr>
  </w:style>
  <w:style w:type="paragraph" w:styleId="Caption">
    <w:name w:val="caption"/>
    <w:basedOn w:val="Normal"/>
    <w:next w:val="Normal"/>
    <w:uiPriority w:val="35"/>
    <w:unhideWhenUsed/>
    <w:qFormat/>
    <w:rsid w:val="00723C3F"/>
    <w:pPr>
      <w:spacing w:after="200" w:line="240" w:lineRule="auto"/>
    </w:pPr>
    <w:rPr>
      <w:i/>
      <w:iCs/>
      <w:color w:val="1F497D" w:themeColor="text2"/>
      <w:sz w:val="18"/>
      <w:szCs w:val="18"/>
    </w:rPr>
  </w:style>
  <w:style w:type="character" w:customStyle="1" w:styleId="CharAmPartNo">
    <w:name w:val="CharAmPartNo"/>
    <w:basedOn w:val="OPCCharBase"/>
    <w:qFormat/>
    <w:rsid w:val="00723C3F"/>
  </w:style>
  <w:style w:type="character" w:customStyle="1" w:styleId="CharAmPartText">
    <w:name w:val="CharAmPartText"/>
    <w:basedOn w:val="OPCCharBase"/>
    <w:qFormat/>
    <w:rsid w:val="00723C3F"/>
  </w:style>
  <w:style w:type="character" w:customStyle="1" w:styleId="CharAmSchNo">
    <w:name w:val="CharAmSchNo"/>
    <w:basedOn w:val="OPCCharBase"/>
    <w:qFormat/>
    <w:rsid w:val="00723C3F"/>
  </w:style>
  <w:style w:type="character" w:customStyle="1" w:styleId="CharAmSchText">
    <w:name w:val="CharAmSchText"/>
    <w:basedOn w:val="OPCCharBase"/>
    <w:qFormat/>
    <w:rsid w:val="00723C3F"/>
  </w:style>
  <w:style w:type="character" w:customStyle="1" w:styleId="CharBoldItalic">
    <w:name w:val="CharBoldItalic"/>
    <w:basedOn w:val="OPCCharBase"/>
    <w:uiPriority w:val="1"/>
    <w:qFormat/>
    <w:rsid w:val="00723C3F"/>
    <w:rPr>
      <w:b/>
      <w:i/>
    </w:rPr>
  </w:style>
  <w:style w:type="character" w:customStyle="1" w:styleId="CharChapNo">
    <w:name w:val="CharChapNo"/>
    <w:basedOn w:val="OPCCharBase"/>
    <w:uiPriority w:val="1"/>
    <w:qFormat/>
    <w:rsid w:val="00723C3F"/>
  </w:style>
  <w:style w:type="character" w:customStyle="1" w:styleId="CharChapText">
    <w:name w:val="CharChapText"/>
    <w:basedOn w:val="OPCCharBase"/>
    <w:uiPriority w:val="1"/>
    <w:qFormat/>
    <w:rsid w:val="00723C3F"/>
  </w:style>
  <w:style w:type="character" w:customStyle="1" w:styleId="CharDivNo">
    <w:name w:val="CharDivNo"/>
    <w:basedOn w:val="OPCCharBase"/>
    <w:uiPriority w:val="1"/>
    <w:qFormat/>
    <w:rsid w:val="00723C3F"/>
  </w:style>
  <w:style w:type="character" w:customStyle="1" w:styleId="CharDivText">
    <w:name w:val="CharDivText"/>
    <w:basedOn w:val="OPCCharBase"/>
    <w:uiPriority w:val="1"/>
    <w:qFormat/>
    <w:rsid w:val="00723C3F"/>
  </w:style>
  <w:style w:type="character" w:customStyle="1" w:styleId="CharItalic">
    <w:name w:val="CharItalic"/>
    <w:basedOn w:val="OPCCharBase"/>
    <w:uiPriority w:val="1"/>
    <w:qFormat/>
    <w:rsid w:val="00723C3F"/>
    <w:rPr>
      <w:i/>
    </w:rPr>
  </w:style>
  <w:style w:type="paragraph" w:customStyle="1" w:styleId="SOBullet">
    <w:name w:val="SO Bullet"/>
    <w:aliases w:val="sotb"/>
    <w:basedOn w:val="SOText"/>
    <w:link w:val="SOBulletChar"/>
    <w:qFormat/>
    <w:rsid w:val="00723C3F"/>
    <w:pPr>
      <w:ind w:left="1559" w:hanging="425"/>
    </w:pPr>
  </w:style>
  <w:style w:type="character" w:customStyle="1" w:styleId="SOBulletChar">
    <w:name w:val="SO Bullet Char"/>
    <w:aliases w:val="sotb Char"/>
    <w:basedOn w:val="DefaultParagraphFont"/>
    <w:link w:val="SOBullet"/>
    <w:rsid w:val="00723C3F"/>
    <w:rPr>
      <w:rFonts w:eastAsiaTheme="minorHAnsi" w:cstheme="minorBidi"/>
      <w:sz w:val="22"/>
      <w:lang w:eastAsia="en-US"/>
    </w:rPr>
  </w:style>
  <w:style w:type="character" w:customStyle="1" w:styleId="CharPartNo">
    <w:name w:val="CharPartNo"/>
    <w:basedOn w:val="OPCCharBase"/>
    <w:uiPriority w:val="1"/>
    <w:qFormat/>
    <w:rsid w:val="00723C3F"/>
  </w:style>
  <w:style w:type="character" w:customStyle="1" w:styleId="CharPartText">
    <w:name w:val="CharPartText"/>
    <w:basedOn w:val="OPCCharBase"/>
    <w:uiPriority w:val="1"/>
    <w:qFormat/>
    <w:rsid w:val="00723C3F"/>
  </w:style>
  <w:style w:type="character" w:customStyle="1" w:styleId="CharSectno">
    <w:name w:val="CharSectno"/>
    <w:basedOn w:val="OPCCharBase"/>
    <w:qFormat/>
    <w:rsid w:val="00723C3F"/>
  </w:style>
  <w:style w:type="character" w:customStyle="1" w:styleId="CharSubdNo">
    <w:name w:val="CharSubdNo"/>
    <w:basedOn w:val="OPCCharBase"/>
    <w:uiPriority w:val="1"/>
    <w:qFormat/>
    <w:rsid w:val="00723C3F"/>
  </w:style>
  <w:style w:type="character" w:customStyle="1" w:styleId="CharSubdText">
    <w:name w:val="CharSubdText"/>
    <w:basedOn w:val="OPCCharBase"/>
    <w:uiPriority w:val="1"/>
    <w:qFormat/>
    <w:rsid w:val="00723C3F"/>
  </w:style>
  <w:style w:type="paragraph" w:styleId="Closing">
    <w:name w:val="Closing"/>
    <w:basedOn w:val="Normal"/>
    <w:link w:val="ClosingChar"/>
    <w:uiPriority w:val="99"/>
    <w:unhideWhenUsed/>
    <w:rsid w:val="00723C3F"/>
    <w:pPr>
      <w:spacing w:line="240" w:lineRule="auto"/>
      <w:ind w:left="4252"/>
    </w:pPr>
  </w:style>
  <w:style w:type="character" w:styleId="CommentReference">
    <w:name w:val="annotation reference"/>
    <w:basedOn w:val="DefaultParagraphFont"/>
    <w:uiPriority w:val="99"/>
    <w:unhideWhenUsed/>
    <w:rsid w:val="00723C3F"/>
    <w:rPr>
      <w:sz w:val="16"/>
      <w:szCs w:val="16"/>
    </w:rPr>
  </w:style>
  <w:style w:type="paragraph" w:styleId="CommentText">
    <w:name w:val="annotation text"/>
    <w:basedOn w:val="Normal"/>
    <w:link w:val="CommentTextChar"/>
    <w:uiPriority w:val="99"/>
    <w:unhideWhenUsed/>
    <w:rsid w:val="00723C3F"/>
    <w:pPr>
      <w:spacing w:line="240" w:lineRule="auto"/>
    </w:pPr>
    <w:rPr>
      <w:sz w:val="20"/>
    </w:rPr>
  </w:style>
  <w:style w:type="paragraph" w:styleId="CommentSubject">
    <w:name w:val="annotation subject"/>
    <w:basedOn w:val="CommentText"/>
    <w:next w:val="CommentText"/>
    <w:link w:val="CommentSubjectChar"/>
    <w:uiPriority w:val="99"/>
    <w:unhideWhenUsed/>
    <w:rsid w:val="00723C3F"/>
    <w:rPr>
      <w:b/>
      <w:bCs/>
    </w:rPr>
  </w:style>
  <w:style w:type="paragraph" w:customStyle="1" w:styleId="SOBulletNote">
    <w:name w:val="SO BulletNote"/>
    <w:aliases w:val="sonb"/>
    <w:basedOn w:val="SOTextNote"/>
    <w:link w:val="SOBulletNoteChar"/>
    <w:qFormat/>
    <w:rsid w:val="00723C3F"/>
    <w:pPr>
      <w:tabs>
        <w:tab w:val="left" w:pos="1560"/>
      </w:tabs>
      <w:ind w:left="2268" w:hanging="1134"/>
    </w:pPr>
  </w:style>
  <w:style w:type="character" w:customStyle="1" w:styleId="SOBulletNoteChar">
    <w:name w:val="SO BulletNote Char"/>
    <w:aliases w:val="sonb Char"/>
    <w:basedOn w:val="DefaultParagraphFont"/>
    <w:link w:val="SOBulletNote"/>
    <w:rsid w:val="00723C3F"/>
    <w:rPr>
      <w:rFonts w:eastAsiaTheme="minorHAnsi" w:cstheme="minorBidi"/>
      <w:sz w:val="18"/>
      <w:lang w:eastAsia="en-US"/>
    </w:rPr>
  </w:style>
  <w:style w:type="paragraph" w:customStyle="1" w:styleId="notetext">
    <w:name w:val="note(text)"/>
    <w:aliases w:val="n"/>
    <w:basedOn w:val="OPCParaBase"/>
    <w:link w:val="notetextChar"/>
    <w:rsid w:val="00723C3F"/>
    <w:pPr>
      <w:spacing w:before="122" w:line="240" w:lineRule="auto"/>
      <w:ind w:left="1985" w:hanging="851"/>
    </w:pPr>
    <w:rPr>
      <w:sz w:val="18"/>
    </w:rPr>
  </w:style>
  <w:style w:type="paragraph" w:customStyle="1" w:styleId="notemargin">
    <w:name w:val="note(margin)"/>
    <w:aliases w:val="nm"/>
    <w:basedOn w:val="OPCParaBase"/>
    <w:rsid w:val="00723C3F"/>
    <w:pPr>
      <w:tabs>
        <w:tab w:val="left" w:pos="709"/>
      </w:tabs>
      <w:spacing w:before="122" w:line="198" w:lineRule="exact"/>
      <w:ind w:left="709" w:hanging="709"/>
    </w:pPr>
    <w:rPr>
      <w:sz w:val="18"/>
    </w:rPr>
  </w:style>
  <w:style w:type="paragraph" w:customStyle="1" w:styleId="CTA-">
    <w:name w:val="CTA -"/>
    <w:basedOn w:val="OPCParaBase"/>
    <w:rsid w:val="00723C3F"/>
    <w:pPr>
      <w:spacing w:before="60" w:line="240" w:lineRule="atLeast"/>
      <w:ind w:left="85" w:hanging="85"/>
    </w:pPr>
    <w:rPr>
      <w:sz w:val="20"/>
    </w:rPr>
  </w:style>
  <w:style w:type="paragraph" w:customStyle="1" w:styleId="CTA--">
    <w:name w:val="CTA --"/>
    <w:basedOn w:val="OPCParaBase"/>
    <w:next w:val="Normal"/>
    <w:rsid w:val="00723C3F"/>
    <w:pPr>
      <w:spacing w:before="60" w:line="240" w:lineRule="atLeast"/>
      <w:ind w:left="142" w:hanging="142"/>
    </w:pPr>
    <w:rPr>
      <w:sz w:val="20"/>
    </w:rPr>
  </w:style>
  <w:style w:type="paragraph" w:customStyle="1" w:styleId="CTA---">
    <w:name w:val="CTA ---"/>
    <w:basedOn w:val="OPCParaBase"/>
    <w:next w:val="Normal"/>
    <w:rsid w:val="00723C3F"/>
    <w:pPr>
      <w:spacing w:before="60" w:line="240" w:lineRule="atLeast"/>
      <w:ind w:left="198" w:hanging="198"/>
    </w:pPr>
    <w:rPr>
      <w:sz w:val="20"/>
    </w:rPr>
  </w:style>
  <w:style w:type="paragraph" w:customStyle="1" w:styleId="CTA----">
    <w:name w:val="CTA ----"/>
    <w:basedOn w:val="OPCParaBase"/>
    <w:next w:val="Normal"/>
    <w:rsid w:val="00723C3F"/>
    <w:pPr>
      <w:spacing w:before="60" w:line="240" w:lineRule="atLeast"/>
      <w:ind w:left="255" w:hanging="255"/>
    </w:pPr>
    <w:rPr>
      <w:sz w:val="20"/>
    </w:rPr>
  </w:style>
  <w:style w:type="paragraph" w:customStyle="1" w:styleId="CTA1a">
    <w:name w:val="CTA 1(a)"/>
    <w:basedOn w:val="OPCParaBase"/>
    <w:rsid w:val="00723C3F"/>
    <w:pPr>
      <w:tabs>
        <w:tab w:val="right" w:pos="414"/>
      </w:tabs>
      <w:spacing w:before="40" w:line="240" w:lineRule="atLeast"/>
      <w:ind w:left="675" w:hanging="675"/>
    </w:pPr>
    <w:rPr>
      <w:sz w:val="20"/>
    </w:rPr>
  </w:style>
  <w:style w:type="paragraph" w:customStyle="1" w:styleId="CTA1ai">
    <w:name w:val="CTA 1(a)(i)"/>
    <w:basedOn w:val="OPCParaBase"/>
    <w:rsid w:val="00723C3F"/>
    <w:pPr>
      <w:tabs>
        <w:tab w:val="right" w:pos="1004"/>
      </w:tabs>
      <w:spacing w:before="40" w:line="240" w:lineRule="atLeast"/>
      <w:ind w:left="1253" w:hanging="1253"/>
    </w:pPr>
    <w:rPr>
      <w:sz w:val="20"/>
    </w:rPr>
  </w:style>
  <w:style w:type="paragraph" w:customStyle="1" w:styleId="CTA2a">
    <w:name w:val="CTA 2(a)"/>
    <w:basedOn w:val="OPCParaBase"/>
    <w:rsid w:val="00723C3F"/>
    <w:pPr>
      <w:tabs>
        <w:tab w:val="right" w:pos="482"/>
      </w:tabs>
      <w:spacing w:before="40" w:line="240" w:lineRule="atLeast"/>
      <w:ind w:left="748" w:hanging="748"/>
    </w:pPr>
    <w:rPr>
      <w:sz w:val="20"/>
    </w:rPr>
  </w:style>
  <w:style w:type="paragraph" w:customStyle="1" w:styleId="CTA2ai">
    <w:name w:val="CTA 2(a)(i)"/>
    <w:basedOn w:val="OPCParaBase"/>
    <w:rsid w:val="00723C3F"/>
    <w:pPr>
      <w:tabs>
        <w:tab w:val="right" w:pos="1089"/>
      </w:tabs>
      <w:spacing w:before="40" w:line="240" w:lineRule="atLeast"/>
      <w:ind w:left="1327" w:hanging="1327"/>
    </w:pPr>
    <w:rPr>
      <w:sz w:val="20"/>
    </w:rPr>
  </w:style>
  <w:style w:type="paragraph" w:customStyle="1" w:styleId="CTA3a">
    <w:name w:val="CTA 3(a)"/>
    <w:basedOn w:val="OPCParaBase"/>
    <w:rsid w:val="00723C3F"/>
    <w:pPr>
      <w:tabs>
        <w:tab w:val="right" w:pos="556"/>
      </w:tabs>
      <w:spacing w:before="40" w:line="240" w:lineRule="atLeast"/>
      <w:ind w:left="805" w:hanging="805"/>
    </w:pPr>
    <w:rPr>
      <w:sz w:val="20"/>
    </w:rPr>
  </w:style>
  <w:style w:type="paragraph" w:customStyle="1" w:styleId="CTA3ai">
    <w:name w:val="CTA 3(a)(i)"/>
    <w:basedOn w:val="OPCParaBase"/>
    <w:rsid w:val="00723C3F"/>
    <w:pPr>
      <w:tabs>
        <w:tab w:val="right" w:pos="1140"/>
      </w:tabs>
      <w:spacing w:before="40" w:line="240" w:lineRule="atLeast"/>
      <w:ind w:left="1361" w:hanging="1361"/>
    </w:pPr>
    <w:rPr>
      <w:sz w:val="20"/>
    </w:rPr>
  </w:style>
  <w:style w:type="paragraph" w:customStyle="1" w:styleId="CTA4a">
    <w:name w:val="CTA 4(a)"/>
    <w:basedOn w:val="OPCParaBase"/>
    <w:rsid w:val="00723C3F"/>
    <w:pPr>
      <w:tabs>
        <w:tab w:val="right" w:pos="624"/>
      </w:tabs>
      <w:spacing w:before="40" w:line="240" w:lineRule="atLeast"/>
      <w:ind w:left="873" w:hanging="873"/>
    </w:pPr>
    <w:rPr>
      <w:sz w:val="20"/>
    </w:rPr>
  </w:style>
  <w:style w:type="paragraph" w:customStyle="1" w:styleId="CTA4ai">
    <w:name w:val="CTA 4(a)(i)"/>
    <w:basedOn w:val="OPCParaBase"/>
    <w:rsid w:val="00723C3F"/>
    <w:pPr>
      <w:tabs>
        <w:tab w:val="right" w:pos="1213"/>
      </w:tabs>
      <w:spacing w:before="40" w:line="240" w:lineRule="atLeast"/>
      <w:ind w:left="1452" w:hanging="1452"/>
    </w:pPr>
    <w:rPr>
      <w:sz w:val="20"/>
    </w:rPr>
  </w:style>
  <w:style w:type="paragraph" w:customStyle="1" w:styleId="CTACAPS">
    <w:name w:val="CTA CAPS"/>
    <w:basedOn w:val="OPCParaBase"/>
    <w:rsid w:val="00723C3F"/>
    <w:pPr>
      <w:spacing w:before="60" w:line="240" w:lineRule="atLeast"/>
    </w:pPr>
    <w:rPr>
      <w:sz w:val="20"/>
    </w:rPr>
  </w:style>
  <w:style w:type="paragraph" w:customStyle="1" w:styleId="CTAright">
    <w:name w:val="CTA right"/>
    <w:basedOn w:val="OPCParaBase"/>
    <w:rsid w:val="00723C3F"/>
    <w:pPr>
      <w:spacing w:before="60" w:line="240" w:lineRule="auto"/>
      <w:jc w:val="right"/>
    </w:pPr>
    <w:rPr>
      <w:sz w:val="20"/>
    </w:rPr>
  </w:style>
  <w:style w:type="paragraph" w:styleId="Date">
    <w:name w:val="Date"/>
    <w:basedOn w:val="Normal"/>
    <w:next w:val="Normal"/>
    <w:link w:val="DateChar"/>
    <w:uiPriority w:val="99"/>
    <w:unhideWhenUsed/>
    <w:rsid w:val="00723C3F"/>
  </w:style>
  <w:style w:type="paragraph" w:customStyle="1" w:styleId="subsection">
    <w:name w:val="subsection"/>
    <w:aliases w:val="ss"/>
    <w:basedOn w:val="OPCParaBase"/>
    <w:link w:val="subsectionChar"/>
    <w:rsid w:val="00723C3F"/>
    <w:pPr>
      <w:tabs>
        <w:tab w:val="right" w:pos="1021"/>
      </w:tabs>
      <w:spacing w:before="180" w:line="240" w:lineRule="auto"/>
      <w:ind w:left="1134" w:hanging="1134"/>
    </w:pPr>
  </w:style>
  <w:style w:type="paragraph" w:customStyle="1" w:styleId="Definition">
    <w:name w:val="Definition"/>
    <w:aliases w:val="dd"/>
    <w:basedOn w:val="OPCParaBase"/>
    <w:rsid w:val="00723C3F"/>
    <w:pPr>
      <w:spacing w:before="180" w:line="240" w:lineRule="auto"/>
      <w:ind w:left="1134"/>
    </w:pPr>
  </w:style>
  <w:style w:type="paragraph" w:styleId="DocumentMap">
    <w:name w:val="Document Map"/>
    <w:basedOn w:val="Normal"/>
    <w:link w:val="DocumentMapChar"/>
    <w:uiPriority w:val="99"/>
    <w:unhideWhenUsed/>
    <w:rsid w:val="00723C3F"/>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723C3F"/>
    <w:pPr>
      <w:spacing w:line="240" w:lineRule="auto"/>
    </w:pPr>
  </w:style>
  <w:style w:type="character" w:styleId="Emphasis">
    <w:name w:val="Emphasis"/>
    <w:basedOn w:val="DefaultParagraphFont"/>
    <w:uiPriority w:val="20"/>
    <w:qFormat/>
    <w:rsid w:val="00723C3F"/>
    <w:rPr>
      <w:i/>
      <w:iCs/>
    </w:rPr>
  </w:style>
  <w:style w:type="character" w:styleId="EndnoteReference">
    <w:name w:val="endnote reference"/>
    <w:basedOn w:val="DefaultParagraphFont"/>
    <w:uiPriority w:val="99"/>
    <w:unhideWhenUsed/>
    <w:rsid w:val="00723C3F"/>
    <w:rPr>
      <w:vertAlign w:val="superscript"/>
    </w:rPr>
  </w:style>
  <w:style w:type="paragraph" w:styleId="EndnoteText">
    <w:name w:val="endnote text"/>
    <w:basedOn w:val="Normal"/>
    <w:link w:val="EndnoteTextChar"/>
    <w:uiPriority w:val="99"/>
    <w:unhideWhenUsed/>
    <w:rsid w:val="00723C3F"/>
    <w:pPr>
      <w:spacing w:line="240" w:lineRule="auto"/>
    </w:pPr>
    <w:rPr>
      <w:sz w:val="20"/>
    </w:rPr>
  </w:style>
  <w:style w:type="paragraph" w:styleId="EnvelopeAddress">
    <w:name w:val="envelope address"/>
    <w:basedOn w:val="Normal"/>
    <w:uiPriority w:val="99"/>
    <w:unhideWhenUsed/>
    <w:rsid w:val="00723C3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23C3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23C3F"/>
    <w:rPr>
      <w:color w:val="800080" w:themeColor="followedHyperlink"/>
      <w:u w:val="single"/>
    </w:rPr>
  </w:style>
  <w:style w:type="paragraph" w:styleId="Footer">
    <w:name w:val="footer"/>
    <w:link w:val="FooterChar"/>
    <w:rsid w:val="00723C3F"/>
    <w:pPr>
      <w:tabs>
        <w:tab w:val="center" w:pos="4153"/>
        <w:tab w:val="right" w:pos="8306"/>
      </w:tabs>
    </w:pPr>
    <w:rPr>
      <w:sz w:val="22"/>
      <w:szCs w:val="24"/>
    </w:rPr>
  </w:style>
  <w:style w:type="character" w:styleId="FootnoteReference">
    <w:name w:val="footnote reference"/>
    <w:basedOn w:val="DefaultParagraphFont"/>
    <w:uiPriority w:val="99"/>
    <w:unhideWhenUsed/>
    <w:rsid w:val="00723C3F"/>
    <w:rPr>
      <w:vertAlign w:val="superscript"/>
    </w:rPr>
  </w:style>
  <w:style w:type="paragraph" w:styleId="FootnoteText">
    <w:name w:val="footnote text"/>
    <w:basedOn w:val="Normal"/>
    <w:link w:val="FootnoteTextChar"/>
    <w:uiPriority w:val="99"/>
    <w:unhideWhenUsed/>
    <w:rsid w:val="00723C3F"/>
    <w:pPr>
      <w:spacing w:line="240" w:lineRule="auto"/>
    </w:pPr>
    <w:rPr>
      <w:sz w:val="20"/>
    </w:rPr>
  </w:style>
  <w:style w:type="paragraph" w:customStyle="1" w:styleId="Formula">
    <w:name w:val="Formula"/>
    <w:basedOn w:val="OPCParaBase"/>
    <w:rsid w:val="00723C3F"/>
    <w:pPr>
      <w:spacing w:line="240" w:lineRule="auto"/>
      <w:ind w:left="1134"/>
    </w:pPr>
    <w:rPr>
      <w:sz w:val="20"/>
    </w:rPr>
  </w:style>
  <w:style w:type="paragraph" w:styleId="Header">
    <w:name w:val="header"/>
    <w:basedOn w:val="OPCParaBase"/>
    <w:link w:val="HeaderChar"/>
    <w:unhideWhenUsed/>
    <w:rsid w:val="00723C3F"/>
    <w:pPr>
      <w:keepNext/>
      <w:keepLines/>
      <w:tabs>
        <w:tab w:val="center" w:pos="4150"/>
        <w:tab w:val="right" w:pos="8307"/>
      </w:tabs>
      <w:spacing w:line="160" w:lineRule="exact"/>
    </w:pPr>
    <w:rPr>
      <w:sz w:val="16"/>
    </w:rPr>
  </w:style>
  <w:style w:type="paragraph" w:customStyle="1" w:styleId="House">
    <w:name w:val="House"/>
    <w:basedOn w:val="OPCParaBase"/>
    <w:rsid w:val="00723C3F"/>
    <w:pPr>
      <w:spacing w:line="240" w:lineRule="auto"/>
    </w:pPr>
    <w:rPr>
      <w:sz w:val="28"/>
    </w:rPr>
  </w:style>
  <w:style w:type="character" w:styleId="HTMLAcronym">
    <w:name w:val="HTML Acronym"/>
    <w:basedOn w:val="DefaultParagraphFont"/>
    <w:uiPriority w:val="99"/>
    <w:unhideWhenUsed/>
    <w:rsid w:val="00723C3F"/>
  </w:style>
  <w:style w:type="paragraph" w:styleId="HTMLAddress">
    <w:name w:val="HTML Address"/>
    <w:basedOn w:val="Normal"/>
    <w:link w:val="HTMLAddressChar"/>
    <w:uiPriority w:val="99"/>
    <w:unhideWhenUsed/>
    <w:rsid w:val="00723C3F"/>
    <w:pPr>
      <w:spacing w:line="240" w:lineRule="auto"/>
    </w:pPr>
    <w:rPr>
      <w:i/>
      <w:iCs/>
    </w:rPr>
  </w:style>
  <w:style w:type="character" w:styleId="HTMLCite">
    <w:name w:val="HTML Cite"/>
    <w:basedOn w:val="DefaultParagraphFont"/>
    <w:uiPriority w:val="99"/>
    <w:unhideWhenUsed/>
    <w:rsid w:val="00723C3F"/>
    <w:rPr>
      <w:i/>
      <w:iCs/>
    </w:rPr>
  </w:style>
  <w:style w:type="character" w:styleId="HTMLCode">
    <w:name w:val="HTML Code"/>
    <w:basedOn w:val="DefaultParagraphFont"/>
    <w:uiPriority w:val="99"/>
    <w:unhideWhenUsed/>
    <w:rsid w:val="00723C3F"/>
    <w:rPr>
      <w:rFonts w:ascii="Consolas" w:hAnsi="Consolas"/>
      <w:sz w:val="20"/>
      <w:szCs w:val="20"/>
    </w:rPr>
  </w:style>
  <w:style w:type="character" w:styleId="HTMLDefinition">
    <w:name w:val="HTML Definition"/>
    <w:basedOn w:val="DefaultParagraphFont"/>
    <w:uiPriority w:val="99"/>
    <w:unhideWhenUsed/>
    <w:rsid w:val="00723C3F"/>
    <w:rPr>
      <w:i/>
      <w:iCs/>
    </w:rPr>
  </w:style>
  <w:style w:type="character" w:styleId="HTMLKeyboard">
    <w:name w:val="HTML Keyboard"/>
    <w:basedOn w:val="DefaultParagraphFont"/>
    <w:uiPriority w:val="99"/>
    <w:unhideWhenUsed/>
    <w:rsid w:val="00723C3F"/>
    <w:rPr>
      <w:rFonts w:ascii="Consolas" w:hAnsi="Consolas"/>
      <w:sz w:val="20"/>
      <w:szCs w:val="20"/>
    </w:rPr>
  </w:style>
  <w:style w:type="paragraph" w:styleId="HTMLPreformatted">
    <w:name w:val="HTML Preformatted"/>
    <w:basedOn w:val="Normal"/>
    <w:link w:val="HTMLPreformattedChar"/>
    <w:uiPriority w:val="99"/>
    <w:unhideWhenUsed/>
    <w:rsid w:val="00723C3F"/>
    <w:pPr>
      <w:spacing w:line="240" w:lineRule="auto"/>
    </w:pPr>
    <w:rPr>
      <w:rFonts w:ascii="Consolas" w:hAnsi="Consolas"/>
      <w:sz w:val="20"/>
    </w:rPr>
  </w:style>
  <w:style w:type="character" w:styleId="HTMLSample">
    <w:name w:val="HTML Sample"/>
    <w:basedOn w:val="DefaultParagraphFont"/>
    <w:uiPriority w:val="99"/>
    <w:unhideWhenUsed/>
    <w:rsid w:val="00723C3F"/>
    <w:rPr>
      <w:rFonts w:ascii="Consolas" w:hAnsi="Consolas"/>
      <w:sz w:val="24"/>
      <w:szCs w:val="24"/>
    </w:rPr>
  </w:style>
  <w:style w:type="character" w:styleId="HTMLTypewriter">
    <w:name w:val="HTML Typewriter"/>
    <w:basedOn w:val="DefaultParagraphFont"/>
    <w:uiPriority w:val="99"/>
    <w:unhideWhenUsed/>
    <w:rsid w:val="00723C3F"/>
    <w:rPr>
      <w:rFonts w:ascii="Consolas" w:hAnsi="Consolas"/>
      <w:sz w:val="20"/>
      <w:szCs w:val="20"/>
    </w:rPr>
  </w:style>
  <w:style w:type="character" w:styleId="HTMLVariable">
    <w:name w:val="HTML Variable"/>
    <w:basedOn w:val="DefaultParagraphFont"/>
    <w:uiPriority w:val="99"/>
    <w:unhideWhenUsed/>
    <w:rsid w:val="00723C3F"/>
    <w:rPr>
      <w:i/>
      <w:iCs/>
    </w:rPr>
  </w:style>
  <w:style w:type="character" w:styleId="Hyperlink">
    <w:name w:val="Hyperlink"/>
    <w:basedOn w:val="DefaultParagraphFont"/>
    <w:uiPriority w:val="99"/>
    <w:unhideWhenUsed/>
    <w:rsid w:val="00723C3F"/>
    <w:rPr>
      <w:color w:val="0000FF" w:themeColor="hyperlink"/>
      <w:u w:val="single"/>
    </w:rPr>
  </w:style>
  <w:style w:type="paragraph" w:styleId="Index1">
    <w:name w:val="index 1"/>
    <w:basedOn w:val="Normal"/>
    <w:next w:val="Normal"/>
    <w:autoRedefine/>
    <w:uiPriority w:val="99"/>
    <w:unhideWhenUsed/>
    <w:rsid w:val="00723C3F"/>
    <w:pPr>
      <w:spacing w:line="240" w:lineRule="auto"/>
      <w:ind w:left="220" w:hanging="220"/>
    </w:pPr>
  </w:style>
  <w:style w:type="paragraph" w:styleId="Index2">
    <w:name w:val="index 2"/>
    <w:basedOn w:val="Normal"/>
    <w:next w:val="Normal"/>
    <w:autoRedefine/>
    <w:uiPriority w:val="99"/>
    <w:unhideWhenUsed/>
    <w:rsid w:val="00723C3F"/>
    <w:pPr>
      <w:spacing w:line="240" w:lineRule="auto"/>
      <w:ind w:left="440" w:hanging="220"/>
    </w:pPr>
  </w:style>
  <w:style w:type="paragraph" w:styleId="Index3">
    <w:name w:val="index 3"/>
    <w:basedOn w:val="Normal"/>
    <w:next w:val="Normal"/>
    <w:autoRedefine/>
    <w:uiPriority w:val="99"/>
    <w:unhideWhenUsed/>
    <w:rsid w:val="00723C3F"/>
    <w:pPr>
      <w:spacing w:line="240" w:lineRule="auto"/>
      <w:ind w:left="660" w:hanging="220"/>
    </w:pPr>
  </w:style>
  <w:style w:type="paragraph" w:styleId="Index4">
    <w:name w:val="index 4"/>
    <w:basedOn w:val="Normal"/>
    <w:next w:val="Normal"/>
    <w:autoRedefine/>
    <w:uiPriority w:val="99"/>
    <w:unhideWhenUsed/>
    <w:rsid w:val="00723C3F"/>
    <w:pPr>
      <w:spacing w:line="240" w:lineRule="auto"/>
      <w:ind w:left="880" w:hanging="220"/>
    </w:pPr>
  </w:style>
  <w:style w:type="paragraph" w:styleId="Index5">
    <w:name w:val="index 5"/>
    <w:basedOn w:val="Normal"/>
    <w:next w:val="Normal"/>
    <w:autoRedefine/>
    <w:uiPriority w:val="99"/>
    <w:unhideWhenUsed/>
    <w:rsid w:val="00723C3F"/>
    <w:pPr>
      <w:spacing w:line="240" w:lineRule="auto"/>
      <w:ind w:left="1100" w:hanging="220"/>
    </w:pPr>
  </w:style>
  <w:style w:type="paragraph" w:styleId="Index6">
    <w:name w:val="index 6"/>
    <w:basedOn w:val="Normal"/>
    <w:next w:val="Normal"/>
    <w:autoRedefine/>
    <w:uiPriority w:val="99"/>
    <w:unhideWhenUsed/>
    <w:rsid w:val="00723C3F"/>
    <w:pPr>
      <w:spacing w:line="240" w:lineRule="auto"/>
      <w:ind w:left="1320" w:hanging="220"/>
    </w:pPr>
  </w:style>
  <w:style w:type="paragraph" w:styleId="Index7">
    <w:name w:val="index 7"/>
    <w:basedOn w:val="Normal"/>
    <w:next w:val="Normal"/>
    <w:autoRedefine/>
    <w:uiPriority w:val="99"/>
    <w:unhideWhenUsed/>
    <w:rsid w:val="00723C3F"/>
    <w:pPr>
      <w:spacing w:line="240" w:lineRule="auto"/>
      <w:ind w:left="1540" w:hanging="220"/>
    </w:pPr>
  </w:style>
  <w:style w:type="paragraph" w:styleId="Index8">
    <w:name w:val="index 8"/>
    <w:basedOn w:val="Normal"/>
    <w:next w:val="Normal"/>
    <w:autoRedefine/>
    <w:uiPriority w:val="99"/>
    <w:unhideWhenUsed/>
    <w:rsid w:val="00723C3F"/>
    <w:pPr>
      <w:spacing w:line="240" w:lineRule="auto"/>
      <w:ind w:left="1760" w:hanging="220"/>
    </w:pPr>
  </w:style>
  <w:style w:type="paragraph" w:styleId="Index9">
    <w:name w:val="index 9"/>
    <w:basedOn w:val="Normal"/>
    <w:next w:val="Normal"/>
    <w:autoRedefine/>
    <w:uiPriority w:val="99"/>
    <w:unhideWhenUsed/>
    <w:rsid w:val="00723C3F"/>
    <w:pPr>
      <w:spacing w:line="240" w:lineRule="auto"/>
      <w:ind w:left="1980" w:hanging="220"/>
    </w:pPr>
  </w:style>
  <w:style w:type="paragraph" w:styleId="IndexHeading">
    <w:name w:val="index heading"/>
    <w:basedOn w:val="Normal"/>
    <w:next w:val="Index1"/>
    <w:uiPriority w:val="99"/>
    <w:unhideWhenUsed/>
    <w:rsid w:val="00723C3F"/>
    <w:rPr>
      <w:rFonts w:asciiTheme="majorHAnsi" w:eastAsiaTheme="majorEastAsia" w:hAnsiTheme="majorHAnsi" w:cstheme="majorBidi"/>
      <w:b/>
      <w:bCs/>
    </w:rPr>
  </w:style>
  <w:style w:type="paragraph" w:customStyle="1" w:styleId="Item">
    <w:name w:val="Item"/>
    <w:aliases w:val="i"/>
    <w:basedOn w:val="OPCParaBase"/>
    <w:next w:val="ItemHead"/>
    <w:rsid w:val="00723C3F"/>
    <w:pPr>
      <w:keepLines/>
      <w:spacing w:before="80" w:line="240" w:lineRule="auto"/>
      <w:ind w:left="709"/>
    </w:pPr>
  </w:style>
  <w:style w:type="paragraph" w:customStyle="1" w:styleId="ItemHead">
    <w:name w:val="ItemHead"/>
    <w:aliases w:val="ih"/>
    <w:basedOn w:val="OPCParaBase"/>
    <w:next w:val="Item"/>
    <w:rsid w:val="00723C3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23C3F"/>
    <w:rPr>
      <w:sz w:val="16"/>
    </w:rPr>
  </w:style>
  <w:style w:type="paragraph" w:styleId="List">
    <w:name w:val="List"/>
    <w:basedOn w:val="Normal"/>
    <w:uiPriority w:val="99"/>
    <w:unhideWhenUsed/>
    <w:rsid w:val="00723C3F"/>
    <w:pPr>
      <w:ind w:left="283" w:hanging="283"/>
      <w:contextualSpacing/>
    </w:pPr>
  </w:style>
  <w:style w:type="paragraph" w:styleId="List2">
    <w:name w:val="List 2"/>
    <w:basedOn w:val="Normal"/>
    <w:uiPriority w:val="99"/>
    <w:unhideWhenUsed/>
    <w:rsid w:val="00723C3F"/>
    <w:pPr>
      <w:ind w:left="566" w:hanging="283"/>
      <w:contextualSpacing/>
    </w:pPr>
  </w:style>
  <w:style w:type="paragraph" w:styleId="List3">
    <w:name w:val="List 3"/>
    <w:basedOn w:val="Normal"/>
    <w:uiPriority w:val="99"/>
    <w:unhideWhenUsed/>
    <w:rsid w:val="00723C3F"/>
    <w:pPr>
      <w:ind w:left="849" w:hanging="283"/>
      <w:contextualSpacing/>
    </w:pPr>
  </w:style>
  <w:style w:type="paragraph" w:styleId="List4">
    <w:name w:val="List 4"/>
    <w:basedOn w:val="Normal"/>
    <w:uiPriority w:val="99"/>
    <w:unhideWhenUsed/>
    <w:rsid w:val="00723C3F"/>
    <w:pPr>
      <w:ind w:left="1132" w:hanging="283"/>
      <w:contextualSpacing/>
    </w:pPr>
  </w:style>
  <w:style w:type="paragraph" w:styleId="List5">
    <w:name w:val="List 5"/>
    <w:basedOn w:val="Normal"/>
    <w:uiPriority w:val="99"/>
    <w:unhideWhenUsed/>
    <w:rsid w:val="00723C3F"/>
    <w:pPr>
      <w:ind w:left="1415" w:hanging="283"/>
      <w:contextualSpacing/>
    </w:pPr>
  </w:style>
  <w:style w:type="paragraph" w:styleId="ListBullet">
    <w:name w:val="List Bullet"/>
    <w:basedOn w:val="Normal"/>
    <w:uiPriority w:val="99"/>
    <w:unhideWhenUsed/>
    <w:rsid w:val="00723C3F"/>
    <w:pPr>
      <w:numPr>
        <w:numId w:val="7"/>
      </w:numPr>
      <w:contextualSpacing/>
    </w:pPr>
  </w:style>
  <w:style w:type="paragraph" w:styleId="ListBullet2">
    <w:name w:val="List Bullet 2"/>
    <w:basedOn w:val="Normal"/>
    <w:uiPriority w:val="99"/>
    <w:unhideWhenUsed/>
    <w:rsid w:val="00723C3F"/>
    <w:pPr>
      <w:numPr>
        <w:numId w:val="9"/>
      </w:numPr>
      <w:contextualSpacing/>
    </w:pPr>
  </w:style>
  <w:style w:type="paragraph" w:styleId="ListBullet3">
    <w:name w:val="List Bullet 3"/>
    <w:basedOn w:val="Normal"/>
    <w:uiPriority w:val="99"/>
    <w:unhideWhenUsed/>
    <w:rsid w:val="00723C3F"/>
    <w:pPr>
      <w:numPr>
        <w:numId w:val="11"/>
      </w:numPr>
      <w:contextualSpacing/>
    </w:pPr>
  </w:style>
  <w:style w:type="paragraph" w:styleId="ListBullet4">
    <w:name w:val="List Bullet 4"/>
    <w:basedOn w:val="Normal"/>
    <w:uiPriority w:val="99"/>
    <w:unhideWhenUsed/>
    <w:rsid w:val="00723C3F"/>
    <w:pPr>
      <w:numPr>
        <w:numId w:val="13"/>
      </w:numPr>
      <w:contextualSpacing/>
    </w:pPr>
  </w:style>
  <w:style w:type="paragraph" w:styleId="ListBullet5">
    <w:name w:val="List Bullet 5"/>
    <w:basedOn w:val="Normal"/>
    <w:uiPriority w:val="99"/>
    <w:unhideWhenUsed/>
    <w:rsid w:val="00723C3F"/>
    <w:pPr>
      <w:numPr>
        <w:numId w:val="15"/>
      </w:numPr>
      <w:contextualSpacing/>
    </w:pPr>
  </w:style>
  <w:style w:type="paragraph" w:styleId="ListContinue">
    <w:name w:val="List Continue"/>
    <w:basedOn w:val="Normal"/>
    <w:uiPriority w:val="99"/>
    <w:unhideWhenUsed/>
    <w:rsid w:val="00723C3F"/>
    <w:pPr>
      <w:spacing w:after="120"/>
      <w:ind w:left="283"/>
      <w:contextualSpacing/>
    </w:pPr>
  </w:style>
  <w:style w:type="paragraph" w:styleId="ListContinue2">
    <w:name w:val="List Continue 2"/>
    <w:basedOn w:val="Normal"/>
    <w:uiPriority w:val="99"/>
    <w:unhideWhenUsed/>
    <w:rsid w:val="00723C3F"/>
    <w:pPr>
      <w:spacing w:after="120"/>
      <w:ind w:left="566"/>
      <w:contextualSpacing/>
    </w:pPr>
  </w:style>
  <w:style w:type="paragraph" w:styleId="ListContinue3">
    <w:name w:val="List Continue 3"/>
    <w:basedOn w:val="Normal"/>
    <w:uiPriority w:val="99"/>
    <w:unhideWhenUsed/>
    <w:rsid w:val="00723C3F"/>
    <w:pPr>
      <w:spacing w:after="120"/>
      <w:ind w:left="849"/>
      <w:contextualSpacing/>
    </w:pPr>
  </w:style>
  <w:style w:type="paragraph" w:styleId="ListContinue4">
    <w:name w:val="List Continue 4"/>
    <w:basedOn w:val="Normal"/>
    <w:uiPriority w:val="99"/>
    <w:unhideWhenUsed/>
    <w:rsid w:val="00723C3F"/>
    <w:pPr>
      <w:spacing w:after="120"/>
      <w:ind w:left="1132"/>
      <w:contextualSpacing/>
    </w:pPr>
  </w:style>
  <w:style w:type="paragraph" w:styleId="ListContinue5">
    <w:name w:val="List Continue 5"/>
    <w:basedOn w:val="Normal"/>
    <w:uiPriority w:val="99"/>
    <w:unhideWhenUsed/>
    <w:rsid w:val="00723C3F"/>
    <w:pPr>
      <w:spacing w:after="120"/>
      <w:ind w:left="1415"/>
      <w:contextualSpacing/>
    </w:pPr>
  </w:style>
  <w:style w:type="paragraph" w:styleId="ListNumber">
    <w:name w:val="List Number"/>
    <w:basedOn w:val="Normal"/>
    <w:uiPriority w:val="99"/>
    <w:unhideWhenUsed/>
    <w:rsid w:val="00723C3F"/>
    <w:pPr>
      <w:numPr>
        <w:numId w:val="17"/>
      </w:numPr>
      <w:contextualSpacing/>
    </w:pPr>
  </w:style>
  <w:style w:type="paragraph" w:styleId="ListNumber2">
    <w:name w:val="List Number 2"/>
    <w:basedOn w:val="Normal"/>
    <w:uiPriority w:val="99"/>
    <w:unhideWhenUsed/>
    <w:rsid w:val="00723C3F"/>
    <w:pPr>
      <w:numPr>
        <w:numId w:val="19"/>
      </w:numPr>
      <w:contextualSpacing/>
    </w:pPr>
  </w:style>
  <w:style w:type="paragraph" w:styleId="ListNumber3">
    <w:name w:val="List Number 3"/>
    <w:basedOn w:val="Normal"/>
    <w:uiPriority w:val="99"/>
    <w:unhideWhenUsed/>
    <w:rsid w:val="00723C3F"/>
    <w:pPr>
      <w:numPr>
        <w:numId w:val="21"/>
      </w:numPr>
      <w:contextualSpacing/>
    </w:pPr>
  </w:style>
  <w:style w:type="paragraph" w:styleId="ListNumber4">
    <w:name w:val="List Number 4"/>
    <w:basedOn w:val="Normal"/>
    <w:uiPriority w:val="99"/>
    <w:unhideWhenUsed/>
    <w:rsid w:val="00723C3F"/>
    <w:pPr>
      <w:numPr>
        <w:numId w:val="23"/>
      </w:numPr>
      <w:contextualSpacing/>
    </w:pPr>
  </w:style>
  <w:style w:type="paragraph" w:styleId="ListNumber5">
    <w:name w:val="List Number 5"/>
    <w:basedOn w:val="Normal"/>
    <w:uiPriority w:val="99"/>
    <w:unhideWhenUsed/>
    <w:rsid w:val="00723C3F"/>
    <w:pPr>
      <w:numPr>
        <w:numId w:val="25"/>
      </w:numPr>
      <w:contextualSpacing/>
    </w:pPr>
  </w:style>
  <w:style w:type="paragraph" w:customStyle="1" w:styleId="LongT">
    <w:name w:val="LongT"/>
    <w:basedOn w:val="OPCParaBase"/>
    <w:rsid w:val="00723C3F"/>
    <w:pPr>
      <w:spacing w:line="240" w:lineRule="auto"/>
    </w:pPr>
    <w:rPr>
      <w:b/>
      <w:sz w:val="32"/>
    </w:rPr>
  </w:style>
  <w:style w:type="paragraph" w:styleId="MacroText">
    <w:name w:val="macro"/>
    <w:link w:val="MacroTextChar"/>
    <w:uiPriority w:val="99"/>
    <w:unhideWhenUsed/>
    <w:rsid w:val="00723C3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723C3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23C3F"/>
    <w:rPr>
      <w:rFonts w:cs="Times New Roman"/>
      <w:sz w:val="24"/>
      <w:szCs w:val="24"/>
    </w:rPr>
  </w:style>
  <w:style w:type="paragraph" w:styleId="NormalIndent">
    <w:name w:val="Normal Indent"/>
    <w:basedOn w:val="Normal"/>
    <w:uiPriority w:val="99"/>
    <w:unhideWhenUsed/>
    <w:rsid w:val="00723C3F"/>
    <w:pPr>
      <w:ind w:left="720"/>
    </w:pPr>
  </w:style>
  <w:style w:type="paragraph" w:styleId="NoteHeading">
    <w:name w:val="Note Heading"/>
    <w:basedOn w:val="Normal"/>
    <w:next w:val="Normal"/>
    <w:link w:val="NoteHeadingChar"/>
    <w:uiPriority w:val="99"/>
    <w:unhideWhenUsed/>
    <w:rsid w:val="00723C3F"/>
    <w:pPr>
      <w:spacing w:line="240" w:lineRule="auto"/>
    </w:pPr>
  </w:style>
  <w:style w:type="paragraph" w:customStyle="1" w:styleId="notedraft">
    <w:name w:val="note(draft)"/>
    <w:aliases w:val="nd"/>
    <w:basedOn w:val="OPCParaBase"/>
    <w:rsid w:val="00723C3F"/>
    <w:pPr>
      <w:spacing w:before="240" w:line="240" w:lineRule="auto"/>
      <w:ind w:left="284" w:hanging="284"/>
    </w:pPr>
    <w:rPr>
      <w:i/>
      <w:sz w:val="24"/>
    </w:rPr>
  </w:style>
  <w:style w:type="paragraph" w:customStyle="1" w:styleId="notepara">
    <w:name w:val="note(para)"/>
    <w:aliases w:val="na"/>
    <w:basedOn w:val="OPCParaBase"/>
    <w:rsid w:val="00723C3F"/>
    <w:pPr>
      <w:spacing w:before="40" w:line="198" w:lineRule="exact"/>
      <w:ind w:left="2354" w:hanging="369"/>
    </w:pPr>
    <w:rPr>
      <w:sz w:val="18"/>
    </w:rPr>
  </w:style>
  <w:style w:type="paragraph" w:customStyle="1" w:styleId="noteParlAmend">
    <w:name w:val="note(ParlAmend)"/>
    <w:aliases w:val="npp"/>
    <w:basedOn w:val="OPCParaBase"/>
    <w:next w:val="ParlAmend"/>
    <w:rsid w:val="00723C3F"/>
    <w:pPr>
      <w:spacing w:line="240" w:lineRule="auto"/>
      <w:jc w:val="right"/>
    </w:pPr>
    <w:rPr>
      <w:rFonts w:ascii="Arial" w:hAnsi="Arial"/>
      <w:b/>
      <w:i/>
    </w:rPr>
  </w:style>
  <w:style w:type="character" w:styleId="PageNumber">
    <w:name w:val="page number"/>
    <w:basedOn w:val="DefaultParagraphFont"/>
    <w:uiPriority w:val="99"/>
    <w:unhideWhenUsed/>
    <w:rsid w:val="00723C3F"/>
  </w:style>
  <w:style w:type="paragraph" w:customStyle="1" w:styleId="Page1">
    <w:name w:val="Page1"/>
    <w:basedOn w:val="OPCParaBase"/>
    <w:rsid w:val="00723C3F"/>
    <w:pPr>
      <w:spacing w:before="5600" w:line="240" w:lineRule="auto"/>
    </w:pPr>
    <w:rPr>
      <w:b/>
      <w:sz w:val="32"/>
    </w:rPr>
  </w:style>
  <w:style w:type="paragraph" w:customStyle="1" w:styleId="PageBreak">
    <w:name w:val="PageBreak"/>
    <w:aliases w:val="pb"/>
    <w:basedOn w:val="OPCParaBase"/>
    <w:rsid w:val="00723C3F"/>
    <w:pPr>
      <w:spacing w:line="240" w:lineRule="auto"/>
    </w:pPr>
    <w:rPr>
      <w:sz w:val="20"/>
    </w:rPr>
  </w:style>
  <w:style w:type="paragraph" w:customStyle="1" w:styleId="paragraph">
    <w:name w:val="paragraph"/>
    <w:aliases w:val="a"/>
    <w:basedOn w:val="OPCParaBase"/>
    <w:link w:val="paragraphChar"/>
    <w:rsid w:val="00723C3F"/>
    <w:pPr>
      <w:tabs>
        <w:tab w:val="right" w:pos="1531"/>
      </w:tabs>
      <w:spacing w:before="40" w:line="240" w:lineRule="auto"/>
      <w:ind w:left="1644" w:hanging="1644"/>
    </w:pPr>
  </w:style>
  <w:style w:type="paragraph" w:customStyle="1" w:styleId="paragraphsub">
    <w:name w:val="paragraph(sub)"/>
    <w:aliases w:val="aa"/>
    <w:basedOn w:val="OPCParaBase"/>
    <w:rsid w:val="00723C3F"/>
    <w:pPr>
      <w:tabs>
        <w:tab w:val="right" w:pos="1985"/>
      </w:tabs>
      <w:spacing w:before="40" w:line="240" w:lineRule="auto"/>
      <w:ind w:left="2098" w:hanging="2098"/>
    </w:pPr>
  </w:style>
  <w:style w:type="paragraph" w:customStyle="1" w:styleId="paragraphsub-sub">
    <w:name w:val="paragraph(sub-sub)"/>
    <w:aliases w:val="aaa"/>
    <w:basedOn w:val="OPCParaBase"/>
    <w:rsid w:val="00723C3F"/>
    <w:pPr>
      <w:tabs>
        <w:tab w:val="right" w:pos="2722"/>
      </w:tabs>
      <w:spacing w:before="40" w:line="240" w:lineRule="auto"/>
      <w:ind w:left="2835" w:hanging="2835"/>
    </w:pPr>
  </w:style>
  <w:style w:type="paragraph" w:customStyle="1" w:styleId="ParlAmend">
    <w:name w:val="ParlAmend"/>
    <w:aliases w:val="pp"/>
    <w:basedOn w:val="OPCParaBase"/>
    <w:rsid w:val="00723C3F"/>
    <w:pPr>
      <w:spacing w:before="240" w:line="240" w:lineRule="atLeast"/>
      <w:ind w:hanging="567"/>
    </w:pPr>
    <w:rPr>
      <w:sz w:val="24"/>
    </w:rPr>
  </w:style>
  <w:style w:type="paragraph" w:customStyle="1" w:styleId="Penalty">
    <w:name w:val="Penalty"/>
    <w:basedOn w:val="OPCParaBase"/>
    <w:rsid w:val="00723C3F"/>
    <w:pPr>
      <w:tabs>
        <w:tab w:val="left" w:pos="2977"/>
      </w:tabs>
      <w:spacing w:before="180" w:line="240" w:lineRule="auto"/>
      <w:ind w:left="1985" w:hanging="851"/>
    </w:pPr>
  </w:style>
  <w:style w:type="paragraph" w:styleId="PlainText">
    <w:name w:val="Plain Text"/>
    <w:basedOn w:val="Normal"/>
    <w:link w:val="PlainTextChar"/>
    <w:uiPriority w:val="99"/>
    <w:unhideWhenUsed/>
    <w:rsid w:val="00723C3F"/>
    <w:pPr>
      <w:spacing w:line="240" w:lineRule="auto"/>
    </w:pPr>
    <w:rPr>
      <w:rFonts w:ascii="Consolas" w:hAnsi="Consolas"/>
      <w:sz w:val="21"/>
      <w:szCs w:val="21"/>
    </w:rPr>
  </w:style>
  <w:style w:type="paragraph" w:customStyle="1" w:styleId="Portfolio">
    <w:name w:val="Portfolio"/>
    <w:basedOn w:val="OPCParaBase"/>
    <w:rsid w:val="00723C3F"/>
    <w:pPr>
      <w:spacing w:line="240" w:lineRule="auto"/>
    </w:pPr>
    <w:rPr>
      <w:i/>
      <w:sz w:val="20"/>
    </w:rPr>
  </w:style>
  <w:style w:type="paragraph" w:customStyle="1" w:styleId="Preamble">
    <w:name w:val="Preamble"/>
    <w:basedOn w:val="OPCParaBase"/>
    <w:next w:val="Normal"/>
    <w:rsid w:val="00723C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23C3F"/>
    <w:pPr>
      <w:spacing w:line="240" w:lineRule="auto"/>
    </w:pPr>
    <w:rPr>
      <w:i/>
      <w:sz w:val="20"/>
    </w:rPr>
  </w:style>
  <w:style w:type="paragraph" w:styleId="Salutation">
    <w:name w:val="Salutation"/>
    <w:basedOn w:val="Normal"/>
    <w:next w:val="Normal"/>
    <w:link w:val="SalutationChar"/>
    <w:uiPriority w:val="99"/>
    <w:unhideWhenUsed/>
    <w:rsid w:val="00723C3F"/>
  </w:style>
  <w:style w:type="paragraph" w:customStyle="1" w:styleId="Session">
    <w:name w:val="Session"/>
    <w:basedOn w:val="OPCParaBase"/>
    <w:rsid w:val="00723C3F"/>
    <w:pPr>
      <w:spacing w:line="240" w:lineRule="auto"/>
    </w:pPr>
    <w:rPr>
      <w:sz w:val="28"/>
    </w:rPr>
  </w:style>
  <w:style w:type="paragraph" w:customStyle="1" w:styleId="ShortT">
    <w:name w:val="ShortT"/>
    <w:basedOn w:val="OPCParaBase"/>
    <w:next w:val="Normal"/>
    <w:qFormat/>
    <w:rsid w:val="00723C3F"/>
    <w:pPr>
      <w:spacing w:line="240" w:lineRule="auto"/>
    </w:pPr>
    <w:rPr>
      <w:b/>
      <w:sz w:val="40"/>
    </w:rPr>
  </w:style>
  <w:style w:type="paragraph" w:styleId="Signature">
    <w:name w:val="Signature"/>
    <w:basedOn w:val="Normal"/>
    <w:link w:val="SignatureChar"/>
    <w:uiPriority w:val="99"/>
    <w:unhideWhenUsed/>
    <w:rsid w:val="00723C3F"/>
    <w:pPr>
      <w:spacing w:line="240" w:lineRule="auto"/>
      <w:ind w:left="4252"/>
    </w:pPr>
  </w:style>
  <w:style w:type="paragraph" w:customStyle="1" w:styleId="Sponsor">
    <w:name w:val="Sponsor"/>
    <w:basedOn w:val="OPCParaBase"/>
    <w:rsid w:val="00723C3F"/>
    <w:pPr>
      <w:spacing w:line="240" w:lineRule="auto"/>
    </w:pPr>
    <w:rPr>
      <w:i/>
    </w:rPr>
  </w:style>
  <w:style w:type="character" w:styleId="Strong">
    <w:name w:val="Strong"/>
    <w:basedOn w:val="DefaultParagraphFont"/>
    <w:uiPriority w:val="22"/>
    <w:qFormat/>
    <w:rsid w:val="00723C3F"/>
    <w:rPr>
      <w:b/>
      <w:bCs/>
    </w:rPr>
  </w:style>
  <w:style w:type="paragraph" w:customStyle="1" w:styleId="Subitem">
    <w:name w:val="Subitem"/>
    <w:aliases w:val="iss"/>
    <w:basedOn w:val="OPCParaBase"/>
    <w:rsid w:val="00723C3F"/>
    <w:pPr>
      <w:spacing w:before="180" w:line="240" w:lineRule="auto"/>
      <w:ind w:left="709" w:hanging="709"/>
    </w:pPr>
  </w:style>
  <w:style w:type="paragraph" w:customStyle="1" w:styleId="SubitemHead">
    <w:name w:val="SubitemHead"/>
    <w:aliases w:val="issh"/>
    <w:basedOn w:val="OPCParaBase"/>
    <w:rsid w:val="00723C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23C3F"/>
    <w:pPr>
      <w:spacing w:before="40" w:line="240" w:lineRule="auto"/>
      <w:ind w:left="1134"/>
    </w:pPr>
  </w:style>
  <w:style w:type="paragraph" w:customStyle="1" w:styleId="SubsectionHead">
    <w:name w:val="SubsectionHead"/>
    <w:aliases w:val="ssh"/>
    <w:basedOn w:val="OPCParaBase"/>
    <w:next w:val="subsection"/>
    <w:rsid w:val="00723C3F"/>
    <w:pPr>
      <w:keepNext/>
      <w:keepLines/>
      <w:spacing w:before="240" w:line="240" w:lineRule="auto"/>
      <w:ind w:left="1134"/>
    </w:pPr>
    <w:rPr>
      <w:i/>
    </w:rPr>
  </w:style>
  <w:style w:type="paragraph" w:styleId="Subtitle">
    <w:name w:val="Subtitle"/>
    <w:basedOn w:val="Normal"/>
    <w:next w:val="Normal"/>
    <w:link w:val="SubtitleChar"/>
    <w:uiPriority w:val="11"/>
    <w:qFormat/>
    <w:rsid w:val="00723C3F"/>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723C3F"/>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23C3F"/>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23C3F"/>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23C3F"/>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23C3F"/>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23C3F"/>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23C3F"/>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23C3F"/>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23C3F"/>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23C3F"/>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23C3F"/>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23C3F"/>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23C3F"/>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23C3F"/>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23C3F"/>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23C3F"/>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23C3F"/>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23C3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23C3F"/>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23C3F"/>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23C3F"/>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23C3F"/>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23C3F"/>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23C3F"/>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23C3F"/>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23C3F"/>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23C3F"/>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23C3F"/>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23C3F"/>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23C3F"/>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23C3F"/>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23C3F"/>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23C3F"/>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23C3F"/>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23C3F"/>
    <w:pPr>
      <w:ind w:left="220" w:hanging="220"/>
    </w:pPr>
  </w:style>
  <w:style w:type="paragraph" w:styleId="TableofFigures">
    <w:name w:val="table of figures"/>
    <w:basedOn w:val="Normal"/>
    <w:next w:val="Normal"/>
    <w:uiPriority w:val="99"/>
    <w:unhideWhenUsed/>
    <w:rsid w:val="00723C3F"/>
  </w:style>
  <w:style w:type="table" w:styleId="TableProfessional">
    <w:name w:val="Table Professional"/>
    <w:basedOn w:val="TableNormal"/>
    <w:uiPriority w:val="99"/>
    <w:unhideWhenUsed/>
    <w:rsid w:val="00723C3F"/>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23C3F"/>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23C3F"/>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23C3F"/>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23C3F"/>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23C3F"/>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23C3F"/>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23C3F"/>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23C3F"/>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23C3F"/>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23C3F"/>
    <w:pPr>
      <w:spacing w:before="60" w:line="240" w:lineRule="auto"/>
      <w:ind w:left="284" w:hanging="284"/>
    </w:pPr>
    <w:rPr>
      <w:sz w:val="20"/>
    </w:rPr>
  </w:style>
  <w:style w:type="paragraph" w:customStyle="1" w:styleId="Tablei">
    <w:name w:val="Table(i)"/>
    <w:aliases w:val="taa"/>
    <w:basedOn w:val="OPCParaBase"/>
    <w:rsid w:val="00723C3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23C3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23C3F"/>
    <w:pPr>
      <w:spacing w:before="60" w:line="240" w:lineRule="atLeast"/>
    </w:pPr>
    <w:rPr>
      <w:sz w:val="20"/>
    </w:rPr>
  </w:style>
  <w:style w:type="paragraph" w:styleId="Title">
    <w:name w:val="Title"/>
    <w:basedOn w:val="Normal"/>
    <w:next w:val="Normal"/>
    <w:link w:val="TitleChar"/>
    <w:uiPriority w:val="10"/>
    <w:qFormat/>
    <w:rsid w:val="00723C3F"/>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723C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23C3F"/>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23C3F"/>
    <w:pPr>
      <w:spacing w:before="122" w:line="198" w:lineRule="exact"/>
      <w:ind w:left="1985" w:hanging="851"/>
      <w:jc w:val="right"/>
    </w:pPr>
    <w:rPr>
      <w:sz w:val="18"/>
    </w:rPr>
  </w:style>
  <w:style w:type="paragraph" w:customStyle="1" w:styleId="TLPTableBullet">
    <w:name w:val="TLPTableBullet"/>
    <w:aliases w:val="ttb"/>
    <w:basedOn w:val="OPCParaBase"/>
    <w:rsid w:val="00723C3F"/>
    <w:pPr>
      <w:spacing w:line="240" w:lineRule="exact"/>
      <w:ind w:left="284" w:hanging="284"/>
    </w:pPr>
    <w:rPr>
      <w:sz w:val="20"/>
    </w:rPr>
  </w:style>
  <w:style w:type="paragraph" w:styleId="TOAHeading">
    <w:name w:val="toa heading"/>
    <w:basedOn w:val="Normal"/>
    <w:next w:val="Normal"/>
    <w:uiPriority w:val="99"/>
    <w:unhideWhenUsed/>
    <w:rsid w:val="00723C3F"/>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723C3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23C3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23C3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23C3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23C3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23C3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23C3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23C3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23C3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23C3F"/>
    <w:pPr>
      <w:keepLines/>
      <w:spacing w:before="240" w:after="120" w:line="240" w:lineRule="auto"/>
      <w:ind w:left="794"/>
    </w:pPr>
    <w:rPr>
      <w:b/>
      <w:kern w:val="28"/>
      <w:sz w:val="20"/>
    </w:rPr>
  </w:style>
  <w:style w:type="paragraph" w:customStyle="1" w:styleId="TofSectsHeading">
    <w:name w:val="TofSects(Heading)"/>
    <w:basedOn w:val="OPCParaBase"/>
    <w:rsid w:val="00723C3F"/>
    <w:pPr>
      <w:spacing w:before="240" w:after="120" w:line="240" w:lineRule="auto"/>
    </w:pPr>
    <w:rPr>
      <w:b/>
      <w:sz w:val="24"/>
    </w:rPr>
  </w:style>
  <w:style w:type="paragraph" w:customStyle="1" w:styleId="TofSectsSection">
    <w:name w:val="TofSects(Section)"/>
    <w:basedOn w:val="OPCParaBase"/>
    <w:rsid w:val="00723C3F"/>
    <w:pPr>
      <w:keepLines/>
      <w:spacing w:before="40" w:line="240" w:lineRule="auto"/>
      <w:ind w:left="1588" w:hanging="794"/>
    </w:pPr>
    <w:rPr>
      <w:kern w:val="28"/>
      <w:sz w:val="18"/>
    </w:rPr>
  </w:style>
  <w:style w:type="paragraph" w:customStyle="1" w:styleId="TofSectsSubdiv">
    <w:name w:val="TofSects(Subdiv)"/>
    <w:basedOn w:val="OPCParaBase"/>
    <w:rsid w:val="00723C3F"/>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1E12F9"/>
    <w:rPr>
      <w:sz w:val="22"/>
    </w:rPr>
  </w:style>
  <w:style w:type="paragraph" w:customStyle="1" w:styleId="noteToPara">
    <w:name w:val="noteToPara"/>
    <w:aliases w:val="ntp"/>
    <w:basedOn w:val="OPCParaBase"/>
    <w:rsid w:val="00723C3F"/>
    <w:pPr>
      <w:spacing w:before="122" w:line="198" w:lineRule="exact"/>
      <w:ind w:left="2353" w:hanging="709"/>
    </w:pPr>
    <w:rPr>
      <w:sz w:val="18"/>
    </w:rPr>
  </w:style>
  <w:style w:type="character" w:customStyle="1" w:styleId="OPCCharBase">
    <w:name w:val="OPCCharBase"/>
    <w:uiPriority w:val="1"/>
    <w:qFormat/>
    <w:rsid w:val="00723C3F"/>
  </w:style>
  <w:style w:type="paragraph" w:customStyle="1" w:styleId="OPCParaBase">
    <w:name w:val="OPCParaBase"/>
    <w:qFormat/>
    <w:rsid w:val="00723C3F"/>
    <w:pPr>
      <w:spacing w:line="260" w:lineRule="atLeast"/>
    </w:pPr>
    <w:rPr>
      <w:sz w:val="22"/>
    </w:rPr>
  </w:style>
  <w:style w:type="character" w:customStyle="1" w:styleId="HeaderChar">
    <w:name w:val="Header Char"/>
    <w:basedOn w:val="DefaultParagraphFont"/>
    <w:link w:val="Header"/>
    <w:rsid w:val="00723C3F"/>
    <w:rPr>
      <w:sz w:val="16"/>
    </w:rPr>
  </w:style>
  <w:style w:type="paragraph" w:customStyle="1" w:styleId="WRStyle">
    <w:name w:val="WR Style"/>
    <w:aliases w:val="WR"/>
    <w:basedOn w:val="OPCParaBase"/>
    <w:rsid w:val="00723C3F"/>
    <w:pPr>
      <w:spacing w:before="240" w:line="240" w:lineRule="auto"/>
      <w:ind w:left="284" w:hanging="284"/>
    </w:pPr>
    <w:rPr>
      <w:b/>
      <w:i/>
      <w:kern w:val="28"/>
      <w:sz w:val="24"/>
    </w:rPr>
  </w:style>
  <w:style w:type="character" w:customStyle="1" w:styleId="FooterChar">
    <w:name w:val="Footer Char"/>
    <w:basedOn w:val="DefaultParagraphFont"/>
    <w:link w:val="Footer"/>
    <w:rsid w:val="00723C3F"/>
    <w:rPr>
      <w:sz w:val="22"/>
      <w:szCs w:val="24"/>
    </w:rPr>
  </w:style>
  <w:style w:type="table" w:customStyle="1" w:styleId="CFlag">
    <w:name w:val="CFlag"/>
    <w:basedOn w:val="TableNormal"/>
    <w:uiPriority w:val="99"/>
    <w:rsid w:val="00723C3F"/>
    <w:tblPr/>
  </w:style>
  <w:style w:type="paragraph" w:customStyle="1" w:styleId="SignCoverPageEnd">
    <w:name w:val="SignCoverPageEnd"/>
    <w:basedOn w:val="OPCParaBase"/>
    <w:next w:val="Normal"/>
    <w:rsid w:val="00723C3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23C3F"/>
    <w:pPr>
      <w:pBdr>
        <w:top w:val="single" w:sz="4" w:space="1" w:color="auto"/>
      </w:pBdr>
      <w:spacing w:before="360"/>
      <w:ind w:right="397"/>
      <w:jc w:val="both"/>
    </w:pPr>
  </w:style>
  <w:style w:type="paragraph" w:customStyle="1" w:styleId="ENotesHeading1">
    <w:name w:val="ENotesHeading 1"/>
    <w:aliases w:val="Enh1"/>
    <w:basedOn w:val="OPCParaBase"/>
    <w:next w:val="Normal"/>
    <w:rsid w:val="00723C3F"/>
    <w:pPr>
      <w:spacing w:before="120"/>
      <w:outlineLvl w:val="1"/>
    </w:pPr>
    <w:rPr>
      <w:b/>
      <w:sz w:val="28"/>
      <w:szCs w:val="28"/>
    </w:rPr>
  </w:style>
  <w:style w:type="paragraph" w:customStyle="1" w:styleId="ENotesHeading2">
    <w:name w:val="ENotesHeading 2"/>
    <w:aliases w:val="Enh2,ENh2"/>
    <w:basedOn w:val="OPCParaBase"/>
    <w:next w:val="Normal"/>
    <w:rsid w:val="00723C3F"/>
    <w:pPr>
      <w:spacing w:before="120" w:after="120"/>
      <w:outlineLvl w:val="2"/>
    </w:pPr>
    <w:rPr>
      <w:b/>
      <w:sz w:val="24"/>
      <w:szCs w:val="28"/>
    </w:rPr>
  </w:style>
  <w:style w:type="paragraph" w:customStyle="1" w:styleId="CompiledActNo">
    <w:name w:val="CompiledActNo"/>
    <w:basedOn w:val="OPCParaBase"/>
    <w:next w:val="Normal"/>
    <w:rsid w:val="00723C3F"/>
    <w:rPr>
      <w:b/>
      <w:sz w:val="24"/>
      <w:szCs w:val="24"/>
    </w:rPr>
  </w:style>
  <w:style w:type="paragraph" w:customStyle="1" w:styleId="ENotesText">
    <w:name w:val="ENotesText"/>
    <w:aliases w:val="Ent"/>
    <w:basedOn w:val="OPCParaBase"/>
    <w:next w:val="Normal"/>
    <w:rsid w:val="00723C3F"/>
    <w:pPr>
      <w:spacing w:before="120"/>
    </w:pPr>
  </w:style>
  <w:style w:type="paragraph" w:customStyle="1" w:styleId="CompiledMadeUnder">
    <w:name w:val="CompiledMadeUnder"/>
    <w:basedOn w:val="OPCParaBase"/>
    <w:next w:val="Normal"/>
    <w:rsid w:val="00723C3F"/>
    <w:rPr>
      <w:i/>
      <w:sz w:val="24"/>
      <w:szCs w:val="24"/>
    </w:rPr>
  </w:style>
  <w:style w:type="paragraph" w:customStyle="1" w:styleId="Paragraphsub-sub-sub">
    <w:name w:val="Paragraph(sub-sub-sub)"/>
    <w:aliases w:val="aaaa"/>
    <w:basedOn w:val="OPCParaBase"/>
    <w:rsid w:val="00723C3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23C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23C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23C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23C3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23C3F"/>
    <w:pPr>
      <w:spacing w:before="60" w:line="240" w:lineRule="auto"/>
    </w:pPr>
    <w:rPr>
      <w:rFonts w:cs="Arial"/>
      <w:sz w:val="20"/>
      <w:szCs w:val="22"/>
    </w:rPr>
  </w:style>
  <w:style w:type="paragraph" w:customStyle="1" w:styleId="ActHead10">
    <w:name w:val="ActHead 10"/>
    <w:aliases w:val="sp"/>
    <w:basedOn w:val="OPCParaBase"/>
    <w:next w:val="ActHead3"/>
    <w:rsid w:val="00723C3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23C3F"/>
    <w:rPr>
      <w:rFonts w:ascii="Segoe UI" w:eastAsiaTheme="minorHAnsi" w:hAnsi="Segoe UI" w:cs="Segoe UI"/>
      <w:sz w:val="18"/>
      <w:szCs w:val="18"/>
      <w:lang w:eastAsia="en-US"/>
    </w:rPr>
  </w:style>
  <w:style w:type="paragraph" w:customStyle="1" w:styleId="NoteToSubpara">
    <w:name w:val="NoteToSubpara"/>
    <w:aliases w:val="nts"/>
    <w:basedOn w:val="OPCParaBase"/>
    <w:rsid w:val="00723C3F"/>
    <w:pPr>
      <w:spacing w:before="40" w:line="198" w:lineRule="exact"/>
      <w:ind w:left="2835" w:hanging="709"/>
    </w:pPr>
    <w:rPr>
      <w:sz w:val="18"/>
    </w:rPr>
  </w:style>
  <w:style w:type="paragraph" w:customStyle="1" w:styleId="ENoteTableHeading">
    <w:name w:val="ENoteTableHeading"/>
    <w:aliases w:val="enth"/>
    <w:basedOn w:val="OPCParaBase"/>
    <w:rsid w:val="00723C3F"/>
    <w:pPr>
      <w:keepNext/>
      <w:spacing w:before="60" w:line="240" w:lineRule="atLeast"/>
    </w:pPr>
    <w:rPr>
      <w:rFonts w:ascii="Arial" w:hAnsi="Arial"/>
      <w:b/>
      <w:sz w:val="16"/>
    </w:rPr>
  </w:style>
  <w:style w:type="paragraph" w:customStyle="1" w:styleId="ENoteTTi">
    <w:name w:val="ENoteTTi"/>
    <w:aliases w:val="entti"/>
    <w:basedOn w:val="OPCParaBase"/>
    <w:rsid w:val="00723C3F"/>
    <w:pPr>
      <w:keepNext/>
      <w:spacing w:before="60" w:line="240" w:lineRule="atLeast"/>
      <w:ind w:left="170"/>
    </w:pPr>
    <w:rPr>
      <w:sz w:val="16"/>
    </w:rPr>
  </w:style>
  <w:style w:type="paragraph" w:customStyle="1" w:styleId="ENoteTTIndentHeading">
    <w:name w:val="ENoteTTIndentHeading"/>
    <w:aliases w:val="enTTHi"/>
    <w:basedOn w:val="OPCParaBase"/>
    <w:rsid w:val="00723C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23C3F"/>
    <w:pPr>
      <w:spacing w:before="60" w:line="240" w:lineRule="atLeast"/>
    </w:pPr>
    <w:rPr>
      <w:sz w:val="16"/>
    </w:rPr>
  </w:style>
  <w:style w:type="paragraph" w:customStyle="1" w:styleId="MadeunderText">
    <w:name w:val="MadeunderText"/>
    <w:basedOn w:val="OPCParaBase"/>
    <w:next w:val="Normal"/>
    <w:rsid w:val="00723C3F"/>
    <w:pPr>
      <w:spacing w:before="240"/>
    </w:pPr>
    <w:rPr>
      <w:sz w:val="24"/>
      <w:szCs w:val="24"/>
    </w:rPr>
  </w:style>
  <w:style w:type="paragraph" w:customStyle="1" w:styleId="ENotesHeading3">
    <w:name w:val="ENotesHeading 3"/>
    <w:aliases w:val="Enh3"/>
    <w:basedOn w:val="OPCParaBase"/>
    <w:next w:val="Normal"/>
    <w:rsid w:val="00723C3F"/>
    <w:pPr>
      <w:keepNext/>
      <w:spacing w:before="120" w:line="240" w:lineRule="auto"/>
      <w:outlineLvl w:val="4"/>
    </w:pPr>
    <w:rPr>
      <w:b/>
      <w:szCs w:val="24"/>
    </w:rPr>
  </w:style>
  <w:style w:type="paragraph" w:customStyle="1" w:styleId="SubPartCASA">
    <w:name w:val="SubPart(CASA)"/>
    <w:aliases w:val="csp"/>
    <w:basedOn w:val="OPCParaBase"/>
    <w:next w:val="ActHead3"/>
    <w:rsid w:val="00723C3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23C3F"/>
  </w:style>
  <w:style w:type="character" w:customStyle="1" w:styleId="CharSubPartNoCASA">
    <w:name w:val="CharSubPartNo(CASA)"/>
    <w:basedOn w:val="OPCCharBase"/>
    <w:uiPriority w:val="1"/>
    <w:rsid w:val="00723C3F"/>
  </w:style>
  <w:style w:type="paragraph" w:customStyle="1" w:styleId="ENoteTTIndentHeadingSub">
    <w:name w:val="ENoteTTIndentHeadingSub"/>
    <w:aliases w:val="enTTHis"/>
    <w:basedOn w:val="OPCParaBase"/>
    <w:rsid w:val="00723C3F"/>
    <w:pPr>
      <w:keepNext/>
      <w:spacing w:before="60" w:line="240" w:lineRule="atLeast"/>
      <w:ind w:left="340"/>
    </w:pPr>
    <w:rPr>
      <w:b/>
      <w:sz w:val="16"/>
    </w:rPr>
  </w:style>
  <w:style w:type="paragraph" w:customStyle="1" w:styleId="ENoteTTiSub">
    <w:name w:val="ENoteTTiSub"/>
    <w:aliases w:val="enttis"/>
    <w:basedOn w:val="OPCParaBase"/>
    <w:rsid w:val="00723C3F"/>
    <w:pPr>
      <w:keepNext/>
      <w:spacing w:before="60" w:line="240" w:lineRule="atLeast"/>
      <w:ind w:left="340"/>
    </w:pPr>
    <w:rPr>
      <w:sz w:val="16"/>
    </w:rPr>
  </w:style>
  <w:style w:type="paragraph" w:customStyle="1" w:styleId="SubDivisionMigration">
    <w:name w:val="SubDivisionMigration"/>
    <w:aliases w:val="sdm"/>
    <w:basedOn w:val="OPCParaBase"/>
    <w:rsid w:val="00723C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23C3F"/>
    <w:pPr>
      <w:keepNext/>
      <w:keepLines/>
      <w:spacing w:before="240" w:line="240" w:lineRule="auto"/>
      <w:ind w:left="1134" w:hanging="1134"/>
    </w:pPr>
    <w:rPr>
      <w:b/>
      <w:sz w:val="28"/>
    </w:rPr>
  </w:style>
  <w:style w:type="paragraph" w:customStyle="1" w:styleId="FreeForm">
    <w:name w:val="FreeForm"/>
    <w:rsid w:val="00723C3F"/>
    <w:rPr>
      <w:rFonts w:ascii="Arial" w:eastAsiaTheme="minorHAnsi" w:hAnsi="Arial" w:cstheme="minorBidi"/>
      <w:sz w:val="22"/>
      <w:lang w:eastAsia="en-US"/>
    </w:rPr>
  </w:style>
  <w:style w:type="paragraph" w:customStyle="1" w:styleId="TableHeading">
    <w:name w:val="TableHeading"/>
    <w:aliases w:val="th"/>
    <w:basedOn w:val="OPCParaBase"/>
    <w:next w:val="Tabletext"/>
    <w:rsid w:val="00723C3F"/>
    <w:pPr>
      <w:keepNext/>
      <w:spacing w:before="60" w:line="240" w:lineRule="atLeast"/>
    </w:pPr>
    <w:rPr>
      <w:b/>
      <w:sz w:val="20"/>
    </w:rPr>
  </w:style>
  <w:style w:type="paragraph" w:styleId="Revision">
    <w:name w:val="Revision"/>
    <w:hidden/>
    <w:uiPriority w:val="99"/>
    <w:semiHidden/>
    <w:rsid w:val="00641D59"/>
    <w:rPr>
      <w:rFonts w:eastAsiaTheme="minorHAnsi" w:cstheme="minorBidi"/>
      <w:sz w:val="22"/>
      <w:lang w:eastAsia="en-US"/>
    </w:rPr>
  </w:style>
  <w:style w:type="paragraph" w:customStyle="1" w:styleId="EnStatement">
    <w:name w:val="EnStatement"/>
    <w:basedOn w:val="Normal"/>
    <w:rsid w:val="00723C3F"/>
    <w:pPr>
      <w:numPr>
        <w:numId w:val="49"/>
      </w:numPr>
    </w:pPr>
    <w:rPr>
      <w:rFonts w:eastAsia="Times New Roman" w:cs="Times New Roman"/>
      <w:lang w:eastAsia="en-AU"/>
    </w:rPr>
  </w:style>
  <w:style w:type="paragraph" w:customStyle="1" w:styleId="EnStatementHeading">
    <w:name w:val="EnStatementHeading"/>
    <w:basedOn w:val="Normal"/>
    <w:rsid w:val="00723C3F"/>
    <w:rPr>
      <w:rFonts w:eastAsia="Times New Roman" w:cs="Times New Roman"/>
      <w:b/>
      <w:lang w:eastAsia="en-AU"/>
    </w:rPr>
  </w:style>
  <w:style w:type="paragraph" w:customStyle="1" w:styleId="Transitional">
    <w:name w:val="Transitional"/>
    <w:aliases w:val="tr"/>
    <w:basedOn w:val="ItemHead"/>
    <w:next w:val="Item"/>
    <w:rsid w:val="00723C3F"/>
  </w:style>
  <w:style w:type="character" w:customStyle="1" w:styleId="paragraphChar">
    <w:name w:val="paragraph Char"/>
    <w:aliases w:val="a Char"/>
    <w:link w:val="paragraph"/>
    <w:rsid w:val="002F1AF5"/>
    <w:rPr>
      <w:sz w:val="22"/>
    </w:rPr>
  </w:style>
  <w:style w:type="character" w:customStyle="1" w:styleId="notetextChar">
    <w:name w:val="note(text) Char"/>
    <w:aliases w:val="n Char"/>
    <w:link w:val="notetext"/>
    <w:rsid w:val="002F1AF5"/>
    <w:rPr>
      <w:sz w:val="18"/>
    </w:rPr>
  </w:style>
  <w:style w:type="character" w:customStyle="1" w:styleId="Heading1Char">
    <w:name w:val="Heading 1 Char"/>
    <w:basedOn w:val="DefaultParagraphFont"/>
    <w:link w:val="Heading1"/>
    <w:uiPriority w:val="9"/>
    <w:rsid w:val="00723C3F"/>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23C3F"/>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23C3F"/>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723C3F"/>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723C3F"/>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723C3F"/>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23C3F"/>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23C3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23C3F"/>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723C3F"/>
  </w:style>
  <w:style w:type="character" w:customStyle="1" w:styleId="BodyTextChar">
    <w:name w:val="Body Text Char"/>
    <w:basedOn w:val="DefaultParagraphFont"/>
    <w:link w:val="BodyText"/>
    <w:uiPriority w:val="99"/>
    <w:rsid w:val="00723C3F"/>
    <w:rPr>
      <w:rFonts w:eastAsiaTheme="minorHAnsi" w:cstheme="minorBidi"/>
      <w:sz w:val="22"/>
      <w:lang w:eastAsia="en-US"/>
    </w:rPr>
  </w:style>
  <w:style w:type="character" w:customStyle="1" w:styleId="BodyText2Char">
    <w:name w:val="Body Text 2 Char"/>
    <w:basedOn w:val="DefaultParagraphFont"/>
    <w:link w:val="BodyText2"/>
    <w:uiPriority w:val="99"/>
    <w:rsid w:val="00723C3F"/>
    <w:rPr>
      <w:rFonts w:eastAsiaTheme="minorHAnsi" w:cstheme="minorBidi"/>
      <w:sz w:val="22"/>
      <w:lang w:eastAsia="en-US"/>
    </w:rPr>
  </w:style>
  <w:style w:type="character" w:customStyle="1" w:styleId="BodyText3Char">
    <w:name w:val="Body Text 3 Char"/>
    <w:basedOn w:val="DefaultParagraphFont"/>
    <w:link w:val="BodyText3"/>
    <w:uiPriority w:val="99"/>
    <w:rsid w:val="00723C3F"/>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723C3F"/>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723C3F"/>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23C3F"/>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23C3F"/>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23C3F"/>
    <w:rPr>
      <w:rFonts w:eastAsiaTheme="minorHAnsi" w:cstheme="minorBidi"/>
      <w:sz w:val="16"/>
      <w:szCs w:val="16"/>
      <w:lang w:eastAsia="en-US"/>
    </w:rPr>
  </w:style>
  <w:style w:type="character" w:styleId="BookTitle">
    <w:name w:val="Book Title"/>
    <w:basedOn w:val="DefaultParagraphFont"/>
    <w:uiPriority w:val="33"/>
    <w:qFormat/>
    <w:rsid w:val="00723C3F"/>
    <w:rPr>
      <w:b/>
      <w:bCs/>
      <w:i/>
      <w:iCs/>
      <w:spacing w:val="5"/>
    </w:rPr>
  </w:style>
  <w:style w:type="character" w:customStyle="1" w:styleId="ClosingChar">
    <w:name w:val="Closing Char"/>
    <w:basedOn w:val="DefaultParagraphFont"/>
    <w:link w:val="Closing"/>
    <w:uiPriority w:val="99"/>
    <w:rsid w:val="00723C3F"/>
    <w:rPr>
      <w:rFonts w:eastAsiaTheme="minorHAnsi" w:cstheme="minorBidi"/>
      <w:sz w:val="22"/>
      <w:lang w:eastAsia="en-US"/>
    </w:rPr>
  </w:style>
  <w:style w:type="table" w:styleId="ColorfulGrid">
    <w:name w:val="Colorful Grid"/>
    <w:basedOn w:val="TableNormal"/>
    <w:uiPriority w:val="73"/>
    <w:semiHidden/>
    <w:unhideWhenUsed/>
    <w:rsid w:val="00723C3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23C3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23C3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23C3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23C3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23C3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23C3F"/>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23C3F"/>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23C3F"/>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23C3F"/>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23C3F"/>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23C3F"/>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23C3F"/>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23C3F"/>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23C3F"/>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23C3F"/>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23C3F"/>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23C3F"/>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23C3F"/>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23C3F"/>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23C3F"/>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723C3F"/>
    <w:rPr>
      <w:rFonts w:eastAsiaTheme="minorHAnsi" w:cstheme="minorBidi"/>
      <w:lang w:eastAsia="en-US"/>
    </w:rPr>
  </w:style>
  <w:style w:type="character" w:customStyle="1" w:styleId="CommentSubjectChar">
    <w:name w:val="Comment Subject Char"/>
    <w:basedOn w:val="CommentTextChar"/>
    <w:link w:val="CommentSubject"/>
    <w:uiPriority w:val="99"/>
    <w:rsid w:val="00723C3F"/>
    <w:rPr>
      <w:rFonts w:eastAsiaTheme="minorHAnsi" w:cstheme="minorBidi"/>
      <w:b/>
      <w:bCs/>
      <w:lang w:eastAsia="en-US"/>
    </w:rPr>
  </w:style>
  <w:style w:type="table" w:styleId="DarkList">
    <w:name w:val="Dark List"/>
    <w:basedOn w:val="TableNormal"/>
    <w:uiPriority w:val="70"/>
    <w:semiHidden/>
    <w:unhideWhenUsed/>
    <w:rsid w:val="00723C3F"/>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23C3F"/>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23C3F"/>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23C3F"/>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23C3F"/>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23C3F"/>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23C3F"/>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723C3F"/>
    <w:rPr>
      <w:rFonts w:eastAsiaTheme="minorHAnsi" w:cstheme="minorBidi"/>
      <w:sz w:val="22"/>
      <w:lang w:eastAsia="en-US"/>
    </w:rPr>
  </w:style>
  <w:style w:type="character" w:customStyle="1" w:styleId="DocumentMapChar">
    <w:name w:val="Document Map Char"/>
    <w:basedOn w:val="DefaultParagraphFont"/>
    <w:link w:val="DocumentMap"/>
    <w:uiPriority w:val="99"/>
    <w:rsid w:val="00723C3F"/>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723C3F"/>
    <w:rPr>
      <w:rFonts w:eastAsiaTheme="minorHAnsi" w:cstheme="minorBidi"/>
      <w:sz w:val="22"/>
      <w:lang w:eastAsia="en-US"/>
    </w:rPr>
  </w:style>
  <w:style w:type="character" w:customStyle="1" w:styleId="EndnoteTextChar">
    <w:name w:val="Endnote Text Char"/>
    <w:basedOn w:val="DefaultParagraphFont"/>
    <w:link w:val="EndnoteText"/>
    <w:uiPriority w:val="99"/>
    <w:rsid w:val="00723C3F"/>
    <w:rPr>
      <w:rFonts w:eastAsiaTheme="minorHAnsi" w:cstheme="minorBidi"/>
      <w:lang w:eastAsia="en-US"/>
    </w:rPr>
  </w:style>
  <w:style w:type="character" w:customStyle="1" w:styleId="FootnoteTextChar">
    <w:name w:val="Footnote Text Char"/>
    <w:basedOn w:val="DefaultParagraphFont"/>
    <w:link w:val="FootnoteText"/>
    <w:uiPriority w:val="99"/>
    <w:rsid w:val="00723C3F"/>
    <w:rPr>
      <w:rFonts w:eastAsiaTheme="minorHAnsi" w:cstheme="minorBidi"/>
      <w:lang w:eastAsia="en-US"/>
    </w:rPr>
  </w:style>
  <w:style w:type="table" w:styleId="GridTable1Light">
    <w:name w:val="Grid Table 1 Light"/>
    <w:basedOn w:val="TableNormal"/>
    <w:uiPriority w:val="46"/>
    <w:rsid w:val="00723C3F"/>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23C3F"/>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23C3F"/>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23C3F"/>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23C3F"/>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23C3F"/>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3C3F"/>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23C3F"/>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23C3F"/>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23C3F"/>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23C3F"/>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23C3F"/>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23C3F"/>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23C3F"/>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23C3F"/>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23C3F"/>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23C3F"/>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23C3F"/>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23C3F"/>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23C3F"/>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23C3F"/>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23C3F"/>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23C3F"/>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23C3F"/>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23C3F"/>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23C3F"/>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23C3F"/>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23C3F"/>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23C3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23C3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23C3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23C3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23C3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23C3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23C3F"/>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23C3F"/>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23C3F"/>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23C3F"/>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23C3F"/>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23C3F"/>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23C3F"/>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23C3F"/>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23C3F"/>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23C3F"/>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23C3F"/>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23C3F"/>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23C3F"/>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23C3F"/>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23C3F"/>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23C3F"/>
    <w:rPr>
      <w:color w:val="2B579A"/>
      <w:shd w:val="clear" w:color="auto" w:fill="E1DFDD"/>
    </w:rPr>
  </w:style>
  <w:style w:type="character" w:customStyle="1" w:styleId="HTMLAddressChar">
    <w:name w:val="HTML Address Char"/>
    <w:basedOn w:val="DefaultParagraphFont"/>
    <w:link w:val="HTMLAddress"/>
    <w:uiPriority w:val="99"/>
    <w:rsid w:val="00723C3F"/>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23C3F"/>
    <w:rPr>
      <w:rFonts w:ascii="Consolas" w:eastAsiaTheme="minorHAnsi" w:hAnsi="Consolas" w:cstheme="minorBidi"/>
      <w:lang w:eastAsia="en-US"/>
    </w:rPr>
  </w:style>
  <w:style w:type="character" w:styleId="IntenseEmphasis">
    <w:name w:val="Intense Emphasis"/>
    <w:basedOn w:val="DefaultParagraphFont"/>
    <w:uiPriority w:val="21"/>
    <w:qFormat/>
    <w:rsid w:val="00723C3F"/>
    <w:rPr>
      <w:i/>
      <w:iCs/>
      <w:color w:val="4F81BD" w:themeColor="accent1"/>
    </w:rPr>
  </w:style>
  <w:style w:type="paragraph" w:styleId="IntenseQuote">
    <w:name w:val="Intense Quote"/>
    <w:basedOn w:val="Normal"/>
    <w:next w:val="Normal"/>
    <w:link w:val="IntenseQuoteChar"/>
    <w:uiPriority w:val="30"/>
    <w:qFormat/>
    <w:rsid w:val="00723C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3C3F"/>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23C3F"/>
    <w:rPr>
      <w:b/>
      <w:bCs/>
      <w:smallCaps/>
      <w:color w:val="4F81BD" w:themeColor="accent1"/>
      <w:spacing w:val="5"/>
    </w:rPr>
  </w:style>
  <w:style w:type="table" w:styleId="LightGrid">
    <w:name w:val="Light Grid"/>
    <w:basedOn w:val="TableNormal"/>
    <w:uiPriority w:val="62"/>
    <w:semiHidden/>
    <w:unhideWhenUsed/>
    <w:rsid w:val="00723C3F"/>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23C3F"/>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23C3F"/>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23C3F"/>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23C3F"/>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23C3F"/>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23C3F"/>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23C3F"/>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23C3F"/>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23C3F"/>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23C3F"/>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23C3F"/>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23C3F"/>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23C3F"/>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23C3F"/>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23C3F"/>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23C3F"/>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23C3F"/>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23C3F"/>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23C3F"/>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23C3F"/>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23C3F"/>
    <w:pPr>
      <w:ind w:left="720"/>
      <w:contextualSpacing/>
    </w:pPr>
  </w:style>
  <w:style w:type="table" w:styleId="ListTable1Light">
    <w:name w:val="List Table 1 Light"/>
    <w:basedOn w:val="TableNormal"/>
    <w:uiPriority w:val="46"/>
    <w:rsid w:val="00723C3F"/>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23C3F"/>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23C3F"/>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23C3F"/>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23C3F"/>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23C3F"/>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23C3F"/>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23C3F"/>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23C3F"/>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23C3F"/>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23C3F"/>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23C3F"/>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23C3F"/>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23C3F"/>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23C3F"/>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23C3F"/>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23C3F"/>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23C3F"/>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23C3F"/>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23C3F"/>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23C3F"/>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23C3F"/>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23C3F"/>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23C3F"/>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23C3F"/>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23C3F"/>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23C3F"/>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23C3F"/>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23C3F"/>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23C3F"/>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23C3F"/>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23C3F"/>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23C3F"/>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23C3F"/>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23C3F"/>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23C3F"/>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23C3F"/>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23C3F"/>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23C3F"/>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23C3F"/>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23C3F"/>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23C3F"/>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23C3F"/>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23C3F"/>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23C3F"/>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23C3F"/>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23C3F"/>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23C3F"/>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23C3F"/>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723C3F"/>
    <w:rPr>
      <w:rFonts w:ascii="Consolas" w:eastAsiaTheme="minorHAnsi" w:hAnsi="Consolas" w:cstheme="minorBidi"/>
      <w:lang w:eastAsia="en-US"/>
    </w:rPr>
  </w:style>
  <w:style w:type="table" w:styleId="MediumGrid1">
    <w:name w:val="Medium Grid 1"/>
    <w:basedOn w:val="TableNormal"/>
    <w:uiPriority w:val="67"/>
    <w:semiHidden/>
    <w:unhideWhenUsed/>
    <w:rsid w:val="00723C3F"/>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23C3F"/>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23C3F"/>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23C3F"/>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23C3F"/>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23C3F"/>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23C3F"/>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23C3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23C3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23C3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23C3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23C3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23C3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23C3F"/>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23C3F"/>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23C3F"/>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23C3F"/>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23C3F"/>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23C3F"/>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23C3F"/>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23C3F"/>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23C3F"/>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23C3F"/>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23C3F"/>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23C3F"/>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23C3F"/>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23C3F"/>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23C3F"/>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23C3F"/>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23C3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23C3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23C3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23C3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23C3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23C3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23C3F"/>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23C3F"/>
    <w:rPr>
      <w:color w:val="2B579A"/>
      <w:shd w:val="clear" w:color="auto" w:fill="E1DFDD"/>
    </w:rPr>
  </w:style>
  <w:style w:type="character" w:customStyle="1" w:styleId="MessageHeaderChar">
    <w:name w:val="Message Header Char"/>
    <w:basedOn w:val="DefaultParagraphFont"/>
    <w:link w:val="MessageHeader"/>
    <w:uiPriority w:val="99"/>
    <w:rsid w:val="00723C3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23C3F"/>
    <w:rPr>
      <w:rFonts w:eastAsiaTheme="minorHAnsi" w:cstheme="minorBidi"/>
      <w:sz w:val="22"/>
      <w:lang w:eastAsia="en-US"/>
    </w:rPr>
  </w:style>
  <w:style w:type="character" w:customStyle="1" w:styleId="NoteHeadingChar">
    <w:name w:val="Note Heading Char"/>
    <w:basedOn w:val="DefaultParagraphFont"/>
    <w:link w:val="NoteHeading"/>
    <w:uiPriority w:val="99"/>
    <w:rsid w:val="00723C3F"/>
    <w:rPr>
      <w:rFonts w:eastAsiaTheme="minorHAnsi" w:cstheme="minorBidi"/>
      <w:sz w:val="22"/>
      <w:lang w:eastAsia="en-US"/>
    </w:rPr>
  </w:style>
  <w:style w:type="character" w:styleId="PlaceholderText">
    <w:name w:val="Placeholder Text"/>
    <w:basedOn w:val="DefaultParagraphFont"/>
    <w:uiPriority w:val="99"/>
    <w:semiHidden/>
    <w:rsid w:val="00723C3F"/>
    <w:rPr>
      <w:color w:val="808080"/>
    </w:rPr>
  </w:style>
  <w:style w:type="table" w:styleId="PlainTable1">
    <w:name w:val="Plain Table 1"/>
    <w:basedOn w:val="TableNormal"/>
    <w:uiPriority w:val="41"/>
    <w:rsid w:val="00723C3F"/>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23C3F"/>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23C3F"/>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23C3F"/>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23C3F"/>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723C3F"/>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723C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3C3F"/>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723C3F"/>
    <w:rPr>
      <w:rFonts w:eastAsiaTheme="minorHAnsi" w:cstheme="minorBidi"/>
      <w:sz w:val="22"/>
      <w:lang w:eastAsia="en-US"/>
    </w:rPr>
  </w:style>
  <w:style w:type="character" w:customStyle="1" w:styleId="SignatureChar">
    <w:name w:val="Signature Char"/>
    <w:basedOn w:val="DefaultParagraphFont"/>
    <w:link w:val="Signature"/>
    <w:uiPriority w:val="99"/>
    <w:rsid w:val="00723C3F"/>
    <w:rPr>
      <w:rFonts w:eastAsiaTheme="minorHAnsi" w:cstheme="minorBidi"/>
      <w:sz w:val="22"/>
      <w:lang w:eastAsia="en-US"/>
    </w:rPr>
  </w:style>
  <w:style w:type="character" w:styleId="SmartHyperlink">
    <w:name w:val="Smart Hyperlink"/>
    <w:basedOn w:val="DefaultParagraphFont"/>
    <w:uiPriority w:val="99"/>
    <w:semiHidden/>
    <w:unhideWhenUsed/>
    <w:rsid w:val="00723C3F"/>
    <w:rPr>
      <w:u w:val="dotted"/>
    </w:rPr>
  </w:style>
  <w:style w:type="character" w:customStyle="1" w:styleId="SubtitleChar">
    <w:name w:val="Subtitle Char"/>
    <w:basedOn w:val="DefaultParagraphFont"/>
    <w:link w:val="Subtitle"/>
    <w:uiPriority w:val="11"/>
    <w:rsid w:val="00723C3F"/>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723C3F"/>
    <w:rPr>
      <w:i/>
      <w:iCs/>
      <w:color w:val="404040" w:themeColor="text1" w:themeTint="BF"/>
    </w:rPr>
  </w:style>
  <w:style w:type="character" w:styleId="SubtleReference">
    <w:name w:val="Subtle Reference"/>
    <w:basedOn w:val="DefaultParagraphFont"/>
    <w:uiPriority w:val="31"/>
    <w:qFormat/>
    <w:rsid w:val="00723C3F"/>
    <w:rPr>
      <w:smallCaps/>
      <w:color w:val="5A5A5A" w:themeColor="text1" w:themeTint="A5"/>
    </w:rPr>
  </w:style>
  <w:style w:type="table" w:styleId="TableGridLight">
    <w:name w:val="Grid Table Light"/>
    <w:basedOn w:val="TableNormal"/>
    <w:uiPriority w:val="40"/>
    <w:rsid w:val="00723C3F"/>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723C3F"/>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723C3F"/>
    <w:pPr>
      <w:numPr>
        <w:numId w:val="0"/>
      </w:numPr>
      <w:outlineLvl w:val="9"/>
    </w:pPr>
  </w:style>
  <w:style w:type="character" w:styleId="UnresolvedMention">
    <w:name w:val="Unresolved Mention"/>
    <w:basedOn w:val="DefaultParagraphFont"/>
    <w:uiPriority w:val="99"/>
    <w:semiHidden/>
    <w:unhideWhenUsed/>
    <w:rsid w:val="00723C3F"/>
    <w:rPr>
      <w:color w:val="605E5C"/>
      <w:shd w:val="clear" w:color="auto" w:fill="E1DFDD"/>
    </w:rPr>
  </w:style>
  <w:style w:type="paragraph" w:customStyle="1" w:styleId="SOText2">
    <w:name w:val="SO Text2"/>
    <w:aliases w:val="sot2"/>
    <w:basedOn w:val="Normal"/>
    <w:next w:val="SOText"/>
    <w:link w:val="SOText2Char"/>
    <w:rsid w:val="00723C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23C3F"/>
    <w:rPr>
      <w:rFonts w:eastAsiaTheme="minorHAnsi" w:cstheme="minorBidi"/>
      <w:sz w:val="22"/>
      <w:lang w:eastAsia="en-US"/>
    </w:rPr>
  </w:style>
  <w:style w:type="paragraph" w:customStyle="1" w:styleId="ETAsubitem">
    <w:name w:val="ETA(subitem)"/>
    <w:basedOn w:val="OPCParaBase"/>
    <w:rsid w:val="00723C3F"/>
    <w:pPr>
      <w:tabs>
        <w:tab w:val="right" w:pos="340"/>
      </w:tabs>
      <w:spacing w:before="60" w:line="240" w:lineRule="auto"/>
      <w:ind w:left="454" w:hanging="454"/>
    </w:pPr>
    <w:rPr>
      <w:sz w:val="20"/>
    </w:rPr>
  </w:style>
  <w:style w:type="paragraph" w:customStyle="1" w:styleId="ETApara">
    <w:name w:val="ETA(para)"/>
    <w:basedOn w:val="OPCParaBase"/>
    <w:rsid w:val="00723C3F"/>
    <w:pPr>
      <w:tabs>
        <w:tab w:val="right" w:pos="754"/>
      </w:tabs>
      <w:spacing w:before="60" w:line="240" w:lineRule="auto"/>
      <w:ind w:left="828" w:hanging="828"/>
    </w:pPr>
    <w:rPr>
      <w:sz w:val="20"/>
    </w:rPr>
  </w:style>
  <w:style w:type="paragraph" w:customStyle="1" w:styleId="ETAsubpara">
    <w:name w:val="ETA(subpara)"/>
    <w:basedOn w:val="OPCParaBase"/>
    <w:rsid w:val="00723C3F"/>
    <w:pPr>
      <w:tabs>
        <w:tab w:val="right" w:pos="1083"/>
      </w:tabs>
      <w:spacing w:before="60" w:line="240" w:lineRule="auto"/>
      <w:ind w:left="1191" w:hanging="1191"/>
    </w:pPr>
    <w:rPr>
      <w:sz w:val="20"/>
    </w:rPr>
  </w:style>
  <w:style w:type="paragraph" w:customStyle="1" w:styleId="ETAsub-subpara">
    <w:name w:val="ETA(sub-subpara)"/>
    <w:basedOn w:val="OPCParaBase"/>
    <w:rsid w:val="00723C3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23C3F"/>
    <w:rPr>
      <w:b/>
      <w:sz w:val="28"/>
      <w:szCs w:val="28"/>
    </w:rPr>
  </w:style>
  <w:style w:type="paragraph" w:customStyle="1" w:styleId="NotesHeading2">
    <w:name w:val="NotesHeading 2"/>
    <w:basedOn w:val="OPCParaBase"/>
    <w:next w:val="Normal"/>
    <w:rsid w:val="00723C3F"/>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91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header" Target="header13.xml"/><Relationship Id="rId21" Type="http://schemas.openxmlformats.org/officeDocument/2006/relationships/image" Target="media/image2.wmf"/><Relationship Id="rId34" Type="http://schemas.openxmlformats.org/officeDocument/2006/relationships/header" Target="header11.xml"/><Relationship Id="rId42" Type="http://schemas.openxmlformats.org/officeDocument/2006/relationships/footer" Target="footer13.xml"/><Relationship Id="rId47" Type="http://schemas.openxmlformats.org/officeDocument/2006/relationships/footer" Target="footer16.xml"/><Relationship Id="rId50" Type="http://schemas.openxmlformats.org/officeDocument/2006/relationships/header" Target="header18.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6.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header" Target="header19.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footer" Target="footer14.xml"/><Relationship Id="rId48" Type="http://schemas.openxmlformats.org/officeDocument/2006/relationships/footer" Target="footer17.xml"/><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footer" Target="footer15.xml"/><Relationship Id="rId20" Type="http://schemas.openxmlformats.org/officeDocument/2006/relationships/header" Target="header6.xml"/><Relationship Id="rId41" Type="http://schemas.openxmlformats.org/officeDocument/2006/relationships/footer" Target="footer12.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74746-F022-4F24-98C9-2A2492E6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444</Pages>
  <Words>100918</Words>
  <Characters>457551</Characters>
  <Application>Microsoft Office Word</Application>
  <DocSecurity>0</DocSecurity>
  <PresentationFormat/>
  <Lines>18872</Lines>
  <Paragraphs>10349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2014-06-11T23:39:00Z</cp:lastPrinted>
  <dcterms:created xsi:type="dcterms:W3CDTF">2024-12-19T22:34:00Z</dcterms:created>
  <dcterms:modified xsi:type="dcterms:W3CDTF">2024-12-19T22:34:00Z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Superannuation Act 1922</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28</vt:lpwstr>
  </property>
  <property fmtid="{D5CDD505-2E9C-101B-9397-08002B2CF9AE}" pid="15" name="StartDate">
    <vt:lpwstr>11 December 2024</vt:lpwstr>
  </property>
  <property fmtid="{D5CDD505-2E9C-101B-9397-08002B2CF9AE}" pid="16" name="PreparedDate">
    <vt:filetime>2016-03-08T14:00:00Z</vt:filetime>
  </property>
  <property fmtid="{D5CDD505-2E9C-101B-9397-08002B2CF9AE}" pid="17" name="RegisteredDate">
    <vt:lpwstr>1 January 1901</vt:lpwstr>
  </property>
  <property fmtid="{D5CDD505-2E9C-101B-9397-08002B2CF9AE}" pid="18" name="IncludesUpTo">
    <vt:lpwstr>Act No. 115, 2024</vt:lpwstr>
  </property>
</Properties>
</file>