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9E" w:rsidRDefault="009F379E" w:rsidP="000B1225">
      <w:pPr>
        <w:pBdr>
          <w:top w:val="single" w:sz="4" w:space="1" w:color="auto"/>
        </w:pBdr>
        <w:spacing w:before="6000" w:after="120" w:line="240" w:lineRule="auto"/>
        <w:ind w:left="3600" w:right="3600"/>
        <w:jc w:val="center"/>
        <w:rPr>
          <w:rFonts w:ascii="Times New Roman" w:eastAsia="Times New Roman" w:hAnsi="Times New Roman" w:cs="Times New Roman"/>
          <w:sz w:val="36"/>
        </w:rPr>
      </w:pPr>
    </w:p>
    <w:p w:rsidR="008B046D" w:rsidRPr="008B046D" w:rsidRDefault="008B046D" w:rsidP="000B1225">
      <w:pPr>
        <w:spacing w:after="120" w:line="240" w:lineRule="auto"/>
        <w:jc w:val="center"/>
        <w:rPr>
          <w:rFonts w:ascii="Times New Roman" w:eastAsia="Times New Roman" w:hAnsi="Times New Roman" w:cs="Times New Roman"/>
          <w:sz w:val="36"/>
          <w:szCs w:val="30"/>
        </w:rPr>
      </w:pPr>
      <w:r w:rsidRPr="00530D11">
        <w:rPr>
          <w:rFonts w:ascii="Times New Roman" w:eastAsia="Times New Roman" w:hAnsi="Times New Roman" w:cs="Times New Roman"/>
          <w:sz w:val="36"/>
        </w:rPr>
        <w:t>PARLIAMENTARY ALLOWANCES.</w:t>
      </w:r>
    </w:p>
    <w:p w:rsidR="009F379E" w:rsidRPr="009F6134" w:rsidRDefault="009F379E" w:rsidP="000B1225">
      <w:pPr>
        <w:pBdr>
          <w:top w:val="single" w:sz="4" w:space="1" w:color="auto"/>
        </w:pBdr>
        <w:spacing w:before="120" w:after="0" w:line="240" w:lineRule="auto"/>
        <w:ind w:left="3888" w:right="3888"/>
        <w:jc w:val="center"/>
        <w:rPr>
          <w:rFonts w:ascii="Times New Roman" w:eastAsia="Times New Roman" w:hAnsi="Times New Roman" w:cs="Times New Roman"/>
          <w:b/>
          <w:bCs/>
        </w:rPr>
      </w:pPr>
    </w:p>
    <w:p w:rsidR="008B046D" w:rsidRPr="008B046D" w:rsidRDefault="008B046D" w:rsidP="000B1225">
      <w:pPr>
        <w:spacing w:after="120" w:line="240" w:lineRule="auto"/>
        <w:jc w:val="center"/>
        <w:rPr>
          <w:rFonts w:ascii="Times New Roman" w:eastAsia="Times New Roman" w:hAnsi="Times New Roman" w:cs="Times New Roman"/>
          <w:sz w:val="28"/>
          <w:szCs w:val="24"/>
        </w:rPr>
      </w:pPr>
      <w:r w:rsidRPr="00530D11">
        <w:rPr>
          <w:rFonts w:ascii="Times New Roman" w:eastAsia="Times New Roman" w:hAnsi="Times New Roman" w:cs="Times New Roman"/>
          <w:b/>
          <w:bCs/>
          <w:sz w:val="28"/>
        </w:rPr>
        <w:t>No. 12 of 1920.</w:t>
      </w:r>
    </w:p>
    <w:p w:rsidR="008B046D" w:rsidRPr="008B046D" w:rsidRDefault="008B046D" w:rsidP="000B1225">
      <w:pPr>
        <w:spacing w:before="120" w:after="120" w:line="240" w:lineRule="auto"/>
        <w:ind w:left="432" w:hanging="432"/>
        <w:jc w:val="both"/>
        <w:rPr>
          <w:rFonts w:ascii="Times New Roman" w:eastAsia="Times New Roman" w:hAnsi="Times New Roman" w:cs="Times New Roman"/>
          <w:sz w:val="26"/>
          <w:szCs w:val="26"/>
        </w:rPr>
      </w:pPr>
      <w:r w:rsidRPr="00530D11">
        <w:rPr>
          <w:rFonts w:ascii="Times New Roman" w:eastAsia="Times New Roman" w:hAnsi="Times New Roman" w:cs="Times New Roman"/>
          <w:bCs/>
          <w:sz w:val="26"/>
        </w:rPr>
        <w:t xml:space="preserve">An </w:t>
      </w:r>
      <w:r w:rsidRPr="00530D11">
        <w:rPr>
          <w:rFonts w:ascii="Times New Roman" w:eastAsia="Times New Roman" w:hAnsi="Times New Roman" w:cs="Times New Roman"/>
          <w:sz w:val="26"/>
        </w:rPr>
        <w:t>Act relating to the Allowance to Members of each House of the Parliament of the Commonwealth.</w:t>
      </w:r>
    </w:p>
    <w:p w:rsidR="008B046D" w:rsidRPr="008B046D" w:rsidRDefault="008B046D" w:rsidP="000B1225">
      <w:pPr>
        <w:spacing w:before="120" w:after="120" w:line="240" w:lineRule="auto"/>
        <w:jc w:val="right"/>
        <w:rPr>
          <w:rFonts w:ascii="Times New Roman" w:eastAsia="Times New Roman" w:hAnsi="Times New Roman" w:cs="Times New Roman"/>
          <w:sz w:val="26"/>
          <w:szCs w:val="26"/>
        </w:rPr>
      </w:pPr>
      <w:r w:rsidRPr="00530D11">
        <w:rPr>
          <w:rFonts w:ascii="Times New Roman" w:eastAsia="Times New Roman" w:hAnsi="Times New Roman" w:cs="Times New Roman"/>
          <w:sz w:val="26"/>
        </w:rPr>
        <w:t>[Assented to 22nd May, 1920.]</w:t>
      </w:r>
    </w:p>
    <w:p w:rsidR="008B046D" w:rsidRPr="008B046D" w:rsidRDefault="008B046D" w:rsidP="000B1225">
      <w:pPr>
        <w:spacing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Preamble.</w:t>
      </w:r>
    </w:p>
    <w:p w:rsidR="008B046D" w:rsidRPr="00616370" w:rsidRDefault="008B046D" w:rsidP="000B1225">
      <w:pPr>
        <w:spacing w:after="0" w:line="240" w:lineRule="auto"/>
        <w:jc w:val="both"/>
        <w:rPr>
          <w:rFonts w:ascii="Times New Roman" w:eastAsia="Times New Roman" w:hAnsi="Times New Roman" w:cs="Times New Roman"/>
        </w:rPr>
      </w:pPr>
      <w:r w:rsidRPr="00616370">
        <w:rPr>
          <w:rFonts w:ascii="Times New Roman" w:eastAsia="Georgia" w:hAnsi="Times New Roman" w:cs="Georgia"/>
        </w:rPr>
        <w:t>B</w:t>
      </w:r>
      <w:r w:rsidRPr="00616370">
        <w:rPr>
          <w:rFonts w:ascii="Times New Roman" w:eastAsia="Times New Roman" w:hAnsi="Times New Roman" w:cs="Times New Roman"/>
        </w:rPr>
        <w:t>E it enacted by the King</w:t>
      </w:r>
      <w:r w:rsidR="006D1602" w:rsidRPr="00616370">
        <w:rPr>
          <w:rFonts w:ascii="Times New Roman" w:eastAsia="Times New Roman" w:hAnsi="Times New Roman" w:cs="Times New Roman"/>
        </w:rPr>
        <w:t>’</w:t>
      </w:r>
      <w:r w:rsidRPr="00616370">
        <w:rPr>
          <w:rFonts w:ascii="Times New Roman" w:eastAsia="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Short title.</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1.</w:t>
      </w:r>
      <w:r w:rsidR="001A7AB8">
        <w:rPr>
          <w:rFonts w:ascii="Times New Roman" w:eastAsia="Times New Roman" w:hAnsi="Times New Roman" w:cs="Times New Roman"/>
        </w:rPr>
        <w:tab/>
      </w:r>
      <w:r w:rsidRPr="001A7AB8">
        <w:rPr>
          <w:rFonts w:ascii="Times New Roman" w:eastAsia="Century Schoolbook" w:hAnsi="Times New Roman" w:cs="Century Schoolbook"/>
        </w:rPr>
        <w:t>This</w:t>
      </w:r>
      <w:r w:rsidRPr="00BF2DB9">
        <w:rPr>
          <w:rFonts w:ascii="Times New Roman" w:eastAsia="Times New Roman" w:hAnsi="Times New Roman" w:cs="Times New Roman"/>
        </w:rPr>
        <w:t xml:space="preserve"> Act may be cited as the </w:t>
      </w:r>
      <w:r w:rsidRPr="00BF2DB9">
        <w:rPr>
          <w:rFonts w:ascii="Times New Roman" w:eastAsia="Times New Roman" w:hAnsi="Times New Roman" w:cs="Times New Roman"/>
          <w:i/>
          <w:iCs/>
        </w:rPr>
        <w:t xml:space="preserve">Parliamentary Allowances Act </w:t>
      </w:r>
      <w:r w:rsidRPr="00BF2DB9">
        <w:rPr>
          <w:rFonts w:ascii="Times New Roman" w:eastAsia="Times New Roman" w:hAnsi="Times New Roman" w:cs="Times New Roman"/>
        </w:rPr>
        <w:t>1920.</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Repeal.</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2.</w:t>
      </w:r>
      <w:r w:rsidR="001A7AB8">
        <w:rPr>
          <w:rFonts w:ascii="Times New Roman" w:eastAsia="Times New Roman" w:hAnsi="Times New Roman" w:cs="Times New Roman"/>
        </w:rPr>
        <w:tab/>
      </w:r>
      <w:r w:rsidRPr="001A7AB8">
        <w:rPr>
          <w:rFonts w:ascii="Times New Roman" w:eastAsia="Century Schoolbook" w:hAnsi="Times New Roman" w:cs="Century Schoolbook"/>
        </w:rPr>
        <w:t>The</w:t>
      </w:r>
      <w:r w:rsidRPr="00BF2DB9">
        <w:rPr>
          <w:rFonts w:ascii="Times New Roman" w:eastAsia="Times New Roman" w:hAnsi="Times New Roman" w:cs="Times New Roman"/>
        </w:rPr>
        <w:t xml:space="preserve"> </w:t>
      </w:r>
      <w:r w:rsidRPr="00BF2DB9">
        <w:rPr>
          <w:rFonts w:ascii="Times New Roman" w:eastAsia="Times New Roman" w:hAnsi="Times New Roman" w:cs="Times New Roman"/>
          <w:i/>
          <w:iCs/>
        </w:rPr>
        <w:t xml:space="preserve">Parliamentary Allowances Act </w:t>
      </w:r>
      <w:r w:rsidRPr="00BF2DB9">
        <w:rPr>
          <w:rFonts w:ascii="Times New Roman" w:eastAsia="Times New Roman" w:hAnsi="Times New Roman" w:cs="Times New Roman"/>
        </w:rPr>
        <w:t>1907 is hereby repealed.</w:t>
      </w:r>
    </w:p>
    <w:p w:rsidR="002D0481" w:rsidRDefault="002D0481" w:rsidP="000B1225">
      <w:pPr>
        <w:spacing w:line="240" w:lineRule="auto"/>
        <w:rPr>
          <w:rFonts w:ascii="Times New Roman" w:eastAsia="Times New Roman" w:hAnsi="Times New Roman" w:cs="Times New Roman"/>
          <w:szCs w:val="20"/>
        </w:rPr>
      </w:pPr>
      <w:r>
        <w:rPr>
          <w:rFonts w:ascii="Times New Roman" w:eastAsia="Times New Roman" w:hAnsi="Times New Roman" w:cs="Times New Roman"/>
          <w:szCs w:val="20"/>
        </w:rPr>
        <w:br w:type="page"/>
      </w:r>
      <w:bookmarkStart w:id="0" w:name="_GoBack"/>
      <w:bookmarkEnd w:id="0"/>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lastRenderedPageBreak/>
        <w:t>Amount of allowance.</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3.</w:t>
      </w:r>
      <w:r w:rsidR="001A7AB8">
        <w:rPr>
          <w:rFonts w:ascii="Times New Roman" w:eastAsia="Times New Roman" w:hAnsi="Times New Roman" w:cs="Times New Roman"/>
        </w:rPr>
        <w:tab/>
      </w:r>
      <w:r w:rsidRPr="001A7AB8">
        <w:rPr>
          <w:rFonts w:ascii="Times New Roman" w:eastAsia="Century Schoolbook" w:hAnsi="Times New Roman" w:cs="Century Schoolbook"/>
        </w:rPr>
        <w:t>Each</w:t>
      </w:r>
      <w:r w:rsidRPr="00BF2DB9">
        <w:rPr>
          <w:rFonts w:ascii="Times New Roman" w:eastAsia="Times New Roman" w:hAnsi="Times New Roman" w:cs="Times New Roman"/>
        </w:rPr>
        <w:t xml:space="preserve"> senator and each member of the House of Representatives shall receive an allowance of One thousand pounds a year:</w:t>
      </w:r>
    </w:p>
    <w:p w:rsidR="008B046D" w:rsidRPr="008B046D" w:rsidRDefault="008B046D" w:rsidP="000B1225">
      <w:pPr>
        <w:spacing w:before="60"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rPr>
        <w:t>Provided that in the case of a senator or member of the House of Representatives who holds any of the following offices, namely. Minister of State, President of the Senate, Speaker of the House of Representatives, Chairman of Committees of the Senate, or Chairman of Committees of the House of Representatives, the allowance shall be Eight hundred pounds a year in addition to the emoluments of his office.</w:t>
      </w:r>
    </w:p>
    <w:p w:rsidR="008B046D" w:rsidRPr="008B046D" w:rsidRDefault="000B1225" w:rsidP="000B1225">
      <w:pPr>
        <w:spacing w:before="120" w:after="60" w:line="240" w:lineRule="auto"/>
        <w:jc w:val="both"/>
        <w:rPr>
          <w:rFonts w:ascii="Times New Roman" w:eastAsia="Century Schoolbook" w:hAnsi="Times New Roman" w:cs="Century Schoolbook"/>
          <w:b/>
          <w:bCs/>
          <w:sz w:val="20"/>
        </w:rPr>
      </w:pPr>
      <w:r>
        <w:rPr>
          <w:rFonts w:ascii="Times New Roman" w:eastAsia="Century Schoolbook" w:hAnsi="Times New Roman" w:cs="Century Schoolbook"/>
          <w:b/>
          <w:bCs/>
          <w:sz w:val="20"/>
        </w:rPr>
        <w:t>R</w:t>
      </w:r>
      <w:r w:rsidR="008B046D" w:rsidRPr="00175C87">
        <w:rPr>
          <w:rFonts w:ascii="Times New Roman" w:eastAsia="Century Schoolbook" w:hAnsi="Times New Roman" w:cs="Century Schoolbook"/>
          <w:b/>
          <w:bCs/>
          <w:sz w:val="20"/>
        </w:rPr>
        <w:t>eckoning of allowance to senator.</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4.</w:t>
      </w:r>
      <w:r w:rsidR="001A7AB8">
        <w:rPr>
          <w:rFonts w:ascii="Times New Roman" w:eastAsia="Times New Roman" w:hAnsi="Times New Roman" w:cs="Times New Roman"/>
        </w:rPr>
        <w:tab/>
      </w:r>
      <w:r w:rsidRPr="001A7AB8">
        <w:rPr>
          <w:rFonts w:ascii="Times New Roman" w:eastAsia="Century Schoolbook" w:hAnsi="Times New Roman" w:cs="Century Schoolbook"/>
        </w:rPr>
        <w:t>The</w:t>
      </w:r>
      <w:r w:rsidRPr="00BF2DB9">
        <w:rPr>
          <w:rFonts w:ascii="Times New Roman" w:eastAsia="Times New Roman" w:hAnsi="Times New Roman" w:cs="Times New Roman"/>
        </w:rPr>
        <w:t xml:space="preserve"> allowance to a senator shall be reckoned—</w:t>
      </w:r>
    </w:p>
    <w:p w:rsidR="008B046D" w:rsidRPr="008B046D" w:rsidRDefault="008B046D" w:rsidP="000B1225">
      <w:pPr>
        <w:spacing w:after="0" w:line="240" w:lineRule="auto"/>
        <w:ind w:left="1152" w:hanging="576"/>
        <w:jc w:val="both"/>
        <w:rPr>
          <w:rFonts w:ascii="Times New Roman" w:eastAsia="Times New Roman" w:hAnsi="Times New Roman" w:cs="Times New Roman"/>
          <w:szCs w:val="20"/>
        </w:rPr>
      </w:pPr>
      <w:r w:rsidRPr="00BF2DB9">
        <w:rPr>
          <w:rFonts w:ascii="Times New Roman" w:eastAsia="Times New Roman" w:hAnsi="Times New Roman" w:cs="Times New Roman"/>
        </w:rPr>
        <w:t>(</w:t>
      </w:r>
      <w:r w:rsidRPr="00BF2DB9">
        <w:rPr>
          <w:rFonts w:ascii="Times New Roman" w:eastAsia="Times New Roman" w:hAnsi="Times New Roman" w:cs="Times New Roman"/>
          <w:i/>
          <w:iCs/>
        </w:rPr>
        <w:t>a</w:t>
      </w:r>
      <w:r w:rsidRPr="00BF2DB9">
        <w:rPr>
          <w:rFonts w:ascii="Times New Roman" w:eastAsia="Times New Roman" w:hAnsi="Times New Roman" w:cs="Times New Roman"/>
        </w:rPr>
        <w:t xml:space="preserve">) in </w:t>
      </w:r>
      <w:r w:rsidRPr="00DD47CA">
        <w:rPr>
          <w:rFonts w:ascii="Times New Roman" w:eastAsia="Century Schoolbook" w:hAnsi="Times New Roman" w:cs="Century Schoolbook"/>
        </w:rPr>
        <w:t>the</w:t>
      </w:r>
      <w:r w:rsidRPr="00BF2DB9">
        <w:rPr>
          <w:rFonts w:ascii="Times New Roman" w:eastAsia="Times New Roman" w:hAnsi="Times New Roman" w:cs="Times New Roman"/>
        </w:rPr>
        <w:t xml:space="preserve"> case of a senator chosen at the first election after a dissolution of the Senate—from the day of his election;</w:t>
      </w:r>
    </w:p>
    <w:p w:rsidR="008B046D" w:rsidRPr="008B046D" w:rsidRDefault="008B046D" w:rsidP="000B1225">
      <w:pPr>
        <w:spacing w:after="0" w:line="240" w:lineRule="auto"/>
        <w:ind w:left="1152" w:hanging="576"/>
        <w:jc w:val="both"/>
        <w:rPr>
          <w:rFonts w:ascii="Times New Roman" w:eastAsia="Times New Roman" w:hAnsi="Times New Roman" w:cs="Times New Roman"/>
          <w:szCs w:val="20"/>
        </w:rPr>
      </w:pPr>
      <w:r w:rsidRPr="00BF2DB9">
        <w:rPr>
          <w:rFonts w:ascii="Times New Roman" w:eastAsia="Times New Roman" w:hAnsi="Times New Roman" w:cs="Times New Roman"/>
          <w:spacing w:val="30"/>
        </w:rPr>
        <w:t>(</w:t>
      </w:r>
      <w:r w:rsidRPr="00BF2DB9">
        <w:rPr>
          <w:rFonts w:ascii="Times New Roman" w:eastAsia="Times New Roman" w:hAnsi="Times New Roman" w:cs="Times New Roman"/>
          <w:i/>
          <w:iCs/>
          <w:spacing w:val="30"/>
        </w:rPr>
        <w:t>b</w:t>
      </w:r>
      <w:r w:rsidRPr="00BF2DB9">
        <w:rPr>
          <w:rFonts w:ascii="Times New Roman" w:eastAsia="Times New Roman" w:hAnsi="Times New Roman" w:cs="Times New Roman"/>
          <w:spacing w:val="30"/>
        </w:rPr>
        <w:t>)</w:t>
      </w:r>
      <w:r w:rsidRPr="008B046D">
        <w:rPr>
          <w:rFonts w:ascii="Times New Roman" w:eastAsia="Times New Roman" w:hAnsi="Times New Roman" w:cs="Times New Roman"/>
          <w:i/>
          <w:iCs/>
          <w:szCs w:val="20"/>
        </w:rPr>
        <w:t xml:space="preserve"> </w:t>
      </w:r>
      <w:r w:rsidRPr="00BF2DB9">
        <w:rPr>
          <w:rFonts w:ascii="Times New Roman" w:eastAsia="Times New Roman" w:hAnsi="Times New Roman" w:cs="Times New Roman"/>
        </w:rPr>
        <w:t>in the case of a senator chosen to fill a place which is to become vacant in rotation—from the first day of July following the day of his election;</w:t>
      </w:r>
    </w:p>
    <w:p w:rsidR="008B046D" w:rsidRPr="008B046D" w:rsidRDefault="008B046D" w:rsidP="000B1225">
      <w:pPr>
        <w:spacing w:after="0" w:line="240" w:lineRule="auto"/>
        <w:ind w:left="1152" w:hanging="576"/>
        <w:jc w:val="both"/>
        <w:rPr>
          <w:rFonts w:ascii="Times New Roman" w:eastAsia="Times New Roman" w:hAnsi="Times New Roman" w:cs="Times New Roman"/>
          <w:szCs w:val="20"/>
        </w:rPr>
      </w:pPr>
      <w:r w:rsidRPr="00BF2DB9">
        <w:rPr>
          <w:rFonts w:ascii="Times New Roman" w:eastAsia="Times New Roman" w:hAnsi="Times New Roman" w:cs="Times New Roman"/>
        </w:rPr>
        <w:t>(</w:t>
      </w:r>
      <w:r w:rsidRPr="00BF2DB9">
        <w:rPr>
          <w:rFonts w:ascii="Times New Roman" w:eastAsia="Times New Roman" w:hAnsi="Times New Roman" w:cs="Times New Roman"/>
          <w:i/>
          <w:iCs/>
        </w:rPr>
        <w:t>c</w:t>
      </w:r>
      <w:r w:rsidRPr="00BF2DB9">
        <w:rPr>
          <w:rFonts w:ascii="Times New Roman" w:eastAsia="Times New Roman" w:hAnsi="Times New Roman" w:cs="Times New Roman"/>
        </w:rPr>
        <w:t>) in the case of a senator chosen or appointed to fill a casual vacancy—from the day on which his name is certified by the Governor of a State to the Governor-General.</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Reckoning of allowance to member.</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5.</w:t>
      </w:r>
      <w:r w:rsidR="001A7AB8">
        <w:rPr>
          <w:rFonts w:ascii="Times New Roman" w:eastAsia="Times New Roman" w:hAnsi="Times New Roman" w:cs="Times New Roman"/>
        </w:rPr>
        <w:tab/>
      </w:r>
      <w:r w:rsidRPr="00BF2DB9">
        <w:rPr>
          <w:rFonts w:ascii="Times New Roman" w:eastAsia="Times New Roman" w:hAnsi="Times New Roman" w:cs="Times New Roman"/>
        </w:rPr>
        <w:t>The allowance to a member of the House of Representatives shall be reckoned from the day of his election.</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Commencement of application of Act.</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6.</w:t>
      </w:r>
      <w:r w:rsidR="001A7AB8">
        <w:rPr>
          <w:rFonts w:ascii="Times New Roman" w:eastAsia="Times New Roman" w:hAnsi="Times New Roman" w:cs="Times New Roman"/>
        </w:rPr>
        <w:tab/>
      </w:r>
      <w:r w:rsidRPr="00BF2DB9">
        <w:rPr>
          <w:rFonts w:ascii="Times New Roman" w:eastAsia="Times New Roman" w:hAnsi="Times New Roman" w:cs="Times New Roman"/>
        </w:rPr>
        <w:t>In relation to the allowances of senators and members of the House of Representatives holding their seats at the commencement of this Act, the provisions of this Act shall apply as from the date of the assent to the Act.</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Allowances to Leaders of Opposition.</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7.</w:t>
      </w:r>
      <w:r w:rsidR="001A7AB8">
        <w:rPr>
          <w:rFonts w:ascii="Times New Roman" w:eastAsia="Times New Roman" w:hAnsi="Times New Roman" w:cs="Times New Roman"/>
        </w:rPr>
        <w:tab/>
      </w:r>
      <w:r w:rsidRPr="001A7AB8">
        <w:rPr>
          <w:rFonts w:ascii="Times New Roman" w:eastAsia="Century Schoolbook" w:hAnsi="Times New Roman" w:cs="Century Schoolbook"/>
        </w:rPr>
        <w:t>In</w:t>
      </w:r>
      <w:r w:rsidRPr="00BF2DB9">
        <w:rPr>
          <w:rFonts w:ascii="Times New Roman" w:eastAsia="Times New Roman" w:hAnsi="Times New Roman" w:cs="Times New Roman"/>
        </w:rPr>
        <w:t xml:space="preserve"> addition to any other allowance payable under this Act there shall be payable to the Leader of the Opposition in the Senate, an allowance at the rate of Two hundred pounds a year, and to the Leader of the Opposition in the House of Representatives, an allowance at the rate of Four hundred pounds a year.</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Appropriation</w:t>
      </w:r>
    </w:p>
    <w:p w:rsidR="008B046D" w:rsidRPr="008B046D" w:rsidRDefault="008B046D" w:rsidP="000B1225">
      <w:pPr>
        <w:spacing w:after="0" w:line="240" w:lineRule="auto"/>
        <w:ind w:firstLine="432"/>
        <w:jc w:val="both"/>
        <w:rPr>
          <w:rFonts w:ascii="Times New Roman" w:eastAsia="Times New Roman" w:hAnsi="Times New Roman" w:cs="Times New Roman"/>
          <w:szCs w:val="20"/>
        </w:rPr>
      </w:pPr>
      <w:r w:rsidRPr="00BF2DB9">
        <w:rPr>
          <w:rFonts w:ascii="Times New Roman" w:eastAsia="Times New Roman" w:hAnsi="Times New Roman" w:cs="Times New Roman"/>
          <w:b/>
          <w:bCs/>
        </w:rPr>
        <w:t>8.</w:t>
      </w:r>
      <w:r w:rsidR="001A7AB8">
        <w:rPr>
          <w:rFonts w:ascii="Times New Roman" w:eastAsia="Times New Roman" w:hAnsi="Times New Roman" w:cs="Times New Roman"/>
        </w:rPr>
        <w:tab/>
      </w:r>
      <w:r w:rsidRPr="001A7AB8">
        <w:rPr>
          <w:rFonts w:ascii="Times New Roman" w:eastAsia="Century Schoolbook" w:hAnsi="Times New Roman" w:cs="Century Schoolbook"/>
        </w:rPr>
        <w:t>The</w:t>
      </w:r>
      <w:r w:rsidRPr="00BF2DB9">
        <w:rPr>
          <w:rFonts w:ascii="Times New Roman" w:eastAsia="Times New Roman" w:hAnsi="Times New Roman" w:cs="Times New Roman"/>
        </w:rPr>
        <w:t xml:space="preserve"> allowances provided for by this Act shall be payable out of the Consolidated Revenue Fund, which is hereby appropriated accordingly.</w:t>
      </w:r>
    </w:p>
    <w:p w:rsidR="008B046D" w:rsidRPr="008B046D" w:rsidRDefault="008B046D" w:rsidP="000B1225">
      <w:pPr>
        <w:spacing w:before="120" w:after="60" w:line="240" w:lineRule="auto"/>
        <w:jc w:val="both"/>
        <w:rPr>
          <w:rFonts w:ascii="Times New Roman" w:eastAsia="Century Schoolbook" w:hAnsi="Times New Roman" w:cs="Century Schoolbook"/>
          <w:b/>
          <w:bCs/>
          <w:sz w:val="20"/>
        </w:rPr>
      </w:pPr>
      <w:r w:rsidRPr="00175C87">
        <w:rPr>
          <w:rFonts w:ascii="Times New Roman" w:eastAsia="Century Schoolbook" w:hAnsi="Times New Roman" w:cs="Century Schoolbook"/>
          <w:b/>
          <w:bCs/>
          <w:sz w:val="20"/>
        </w:rPr>
        <w:t>Unclaimed allowances.</w:t>
      </w:r>
    </w:p>
    <w:p w:rsidR="008B046D" w:rsidRDefault="008B046D" w:rsidP="000B1225">
      <w:pPr>
        <w:spacing w:after="0" w:line="240" w:lineRule="auto"/>
        <w:ind w:firstLine="432"/>
        <w:jc w:val="both"/>
        <w:rPr>
          <w:rFonts w:ascii="Times New Roman" w:hAnsi="Times New Roman"/>
        </w:rPr>
      </w:pPr>
      <w:r w:rsidRPr="00BF2DB9">
        <w:rPr>
          <w:rFonts w:ascii="Times New Roman" w:hAnsi="Times New Roman"/>
          <w:b/>
          <w:bCs/>
        </w:rPr>
        <w:t>9.</w:t>
      </w:r>
      <w:r w:rsidR="001A7AB8">
        <w:tab/>
      </w:r>
      <w:r w:rsidRPr="001A7AB8">
        <w:rPr>
          <w:rFonts w:ascii="Times New Roman" w:eastAsia="Century Schoolbook" w:hAnsi="Times New Roman" w:cs="Century Schoolbook"/>
        </w:rPr>
        <w:t>All</w:t>
      </w:r>
      <w:r w:rsidRPr="00BF2DB9">
        <w:rPr>
          <w:rFonts w:ascii="Times New Roman" w:hAnsi="Times New Roman"/>
        </w:rPr>
        <w:t xml:space="preserve"> moneys accruing due to any senator or member of the House of Representatives under this Act not claimed within three months of becoming due shall revert to the Treasury.</w:t>
      </w:r>
    </w:p>
    <w:p w:rsidR="000977E5" w:rsidRPr="00BF2DB9" w:rsidRDefault="000977E5" w:rsidP="000B1225">
      <w:pPr>
        <w:pBdr>
          <w:top w:val="single" w:sz="4" w:space="1" w:color="auto"/>
        </w:pBdr>
        <w:spacing w:before="720" w:after="0" w:line="240" w:lineRule="auto"/>
        <w:ind w:left="3168" w:right="3168"/>
        <w:jc w:val="center"/>
        <w:rPr>
          <w:rFonts w:ascii="Times New Roman" w:hAnsi="Times New Roman"/>
        </w:rPr>
      </w:pPr>
    </w:p>
    <w:sectPr w:rsidR="000977E5" w:rsidRPr="00BF2DB9" w:rsidSect="00C93AA9">
      <w:headerReference w:type="even"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56" w:rsidRDefault="007C6256" w:rsidP="00637BF7">
      <w:pPr>
        <w:spacing w:after="0" w:line="240" w:lineRule="auto"/>
      </w:pPr>
      <w:r>
        <w:separator/>
      </w:r>
    </w:p>
  </w:endnote>
  <w:endnote w:type="continuationSeparator" w:id="0">
    <w:p w:rsidR="007C6256" w:rsidRDefault="007C6256" w:rsidP="0063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56" w:rsidRDefault="007C6256" w:rsidP="00637BF7">
      <w:pPr>
        <w:spacing w:after="0" w:line="240" w:lineRule="auto"/>
      </w:pPr>
      <w:r>
        <w:separator/>
      </w:r>
    </w:p>
  </w:footnote>
  <w:footnote w:type="continuationSeparator" w:id="0">
    <w:p w:rsidR="007C6256" w:rsidRDefault="007C6256" w:rsidP="0063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F7" w:rsidRPr="00540B2F" w:rsidRDefault="009F6134">
    <w:pPr>
      <w:pStyle w:val="Header"/>
      <w:rPr>
        <w:rFonts w:ascii="Times New Roman" w:hAnsi="Times New Roman" w:cs="Times New Roman"/>
        <w:sz w:val="20"/>
        <w:szCs w:val="20"/>
      </w:rPr>
    </w:pPr>
    <w:r w:rsidRPr="00540B2F">
      <w:rPr>
        <w:rFonts w:ascii="Times New Roman" w:hAnsi="Times New Roman" w:cs="Times New Roman"/>
        <w:sz w:val="20"/>
        <w:szCs w:val="20"/>
      </w:rPr>
      <w:t>1920.</w:t>
    </w:r>
    <w:r w:rsidRPr="00540B2F">
      <w:rPr>
        <w:rFonts w:ascii="Times New Roman" w:hAnsi="Times New Roman" w:cs="Times New Roman"/>
        <w:sz w:val="20"/>
        <w:szCs w:val="20"/>
      </w:rPr>
      <w:tab/>
    </w:r>
    <w:r w:rsidRPr="00540B2F">
      <w:rPr>
        <w:rFonts w:ascii="Times New Roman" w:hAnsi="Times New Roman" w:cs="Times New Roman"/>
        <w:i/>
        <w:sz w:val="20"/>
        <w:szCs w:val="20"/>
      </w:rPr>
      <w:t>Parliamentary Allowance</w:t>
    </w:r>
    <w:r w:rsidR="00540B2F" w:rsidRPr="00540B2F">
      <w:rPr>
        <w:rFonts w:ascii="Times New Roman" w:hAnsi="Times New Roman" w:cs="Times New Roman"/>
        <w:i/>
        <w:sz w:val="20"/>
        <w:szCs w:val="20"/>
      </w:rPr>
      <w:t>s</w:t>
    </w:r>
    <w:r w:rsidRPr="00540B2F">
      <w:rPr>
        <w:rFonts w:ascii="Times New Roman" w:hAnsi="Times New Roman" w:cs="Times New Roman"/>
        <w:i/>
        <w:sz w:val="20"/>
        <w:szCs w:val="20"/>
      </w:rPr>
      <w:tab/>
    </w:r>
    <w:r w:rsidRPr="00540B2F">
      <w:rPr>
        <w:rFonts w:ascii="Times New Roman" w:hAnsi="Times New Roman" w:cs="Times New Roman"/>
        <w:sz w:val="20"/>
        <w:szCs w:val="20"/>
      </w:rPr>
      <w:t>No.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8B046D"/>
    <w:rsid w:val="00023CB8"/>
    <w:rsid w:val="000977E5"/>
    <w:rsid w:val="000B1225"/>
    <w:rsid w:val="00175C87"/>
    <w:rsid w:val="001A7AB8"/>
    <w:rsid w:val="002526A7"/>
    <w:rsid w:val="002D0481"/>
    <w:rsid w:val="00364119"/>
    <w:rsid w:val="00530D11"/>
    <w:rsid w:val="00540B2F"/>
    <w:rsid w:val="005B5F30"/>
    <w:rsid w:val="00616370"/>
    <w:rsid w:val="00637BF7"/>
    <w:rsid w:val="006D1602"/>
    <w:rsid w:val="007C6209"/>
    <w:rsid w:val="007C6256"/>
    <w:rsid w:val="00833211"/>
    <w:rsid w:val="00842226"/>
    <w:rsid w:val="008B046D"/>
    <w:rsid w:val="009437B6"/>
    <w:rsid w:val="009F379E"/>
    <w:rsid w:val="009F6134"/>
    <w:rsid w:val="00B12CA8"/>
    <w:rsid w:val="00BA6C4A"/>
    <w:rsid w:val="00BC3A51"/>
    <w:rsid w:val="00BF2DB9"/>
    <w:rsid w:val="00C93AA9"/>
    <w:rsid w:val="00CD04C8"/>
    <w:rsid w:val="00D9716C"/>
    <w:rsid w:val="00DD47CA"/>
    <w:rsid w:val="00F7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B046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B046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B046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B046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B046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B046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B046D"/>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8B046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B046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B046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B046D"/>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8B046D"/>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8B046D"/>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8B046D"/>
    <w:rPr>
      <w:rFonts w:ascii="Times New Roman" w:eastAsia="Times New Roman" w:hAnsi="Times New Roman" w:cs="Times New Roman"/>
      <w:b w:val="0"/>
      <w:bCs w:val="0"/>
      <w:i w:val="0"/>
      <w:iCs w:val="0"/>
      <w:smallCaps w:val="0"/>
      <w:sz w:val="26"/>
      <w:szCs w:val="26"/>
    </w:rPr>
  </w:style>
  <w:style w:type="character" w:customStyle="1" w:styleId="CharStyle5">
    <w:name w:val="CharStyle5"/>
    <w:basedOn w:val="DefaultParagraphFont"/>
    <w:rsid w:val="008B046D"/>
    <w:rPr>
      <w:rFonts w:ascii="Georgia" w:eastAsia="Georgia" w:hAnsi="Georgia" w:cs="Georgia"/>
      <w:b w:val="0"/>
      <w:bCs w:val="0"/>
      <w:i w:val="0"/>
      <w:iCs w:val="0"/>
      <w:smallCaps w:val="0"/>
      <w:sz w:val="46"/>
      <w:szCs w:val="46"/>
    </w:rPr>
  </w:style>
  <w:style w:type="character" w:customStyle="1" w:styleId="CharStyle12">
    <w:name w:val="CharStyle12"/>
    <w:basedOn w:val="DefaultParagraphFont"/>
    <w:rsid w:val="008B046D"/>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8B046D"/>
    <w:rPr>
      <w:rFonts w:ascii="Times New Roman" w:eastAsia="Times New Roman" w:hAnsi="Times New Roman" w:cs="Times New Roman"/>
      <w:b/>
      <w:bCs/>
      <w:i w:val="0"/>
      <w:iCs w:val="0"/>
      <w:smallCaps w:val="0"/>
      <w:sz w:val="12"/>
      <w:szCs w:val="12"/>
    </w:rPr>
  </w:style>
  <w:style w:type="character" w:customStyle="1" w:styleId="CharStyle18">
    <w:name w:val="CharStyle18"/>
    <w:basedOn w:val="DefaultParagraphFont"/>
    <w:rsid w:val="008B046D"/>
    <w:rPr>
      <w:rFonts w:ascii="Times New Roman" w:eastAsia="Times New Roman" w:hAnsi="Times New Roman" w:cs="Times New Roman"/>
      <w:b w:val="0"/>
      <w:bCs w:val="0"/>
      <w:i w:val="0"/>
      <w:iCs w:val="0"/>
      <w:smallCaps w:val="0"/>
      <w:sz w:val="20"/>
      <w:szCs w:val="20"/>
    </w:rPr>
  </w:style>
  <w:style w:type="paragraph" w:styleId="ListParagraph">
    <w:name w:val="List Paragraph"/>
    <w:basedOn w:val="Normal"/>
    <w:uiPriority w:val="34"/>
    <w:qFormat/>
    <w:rsid w:val="001A7AB8"/>
    <w:pPr>
      <w:ind w:left="720"/>
      <w:contextualSpacing/>
    </w:pPr>
  </w:style>
  <w:style w:type="paragraph" w:styleId="Header">
    <w:name w:val="header"/>
    <w:basedOn w:val="Normal"/>
    <w:link w:val="HeaderChar"/>
    <w:uiPriority w:val="99"/>
    <w:semiHidden/>
    <w:unhideWhenUsed/>
    <w:rsid w:val="00637B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7BF7"/>
  </w:style>
  <w:style w:type="paragraph" w:styleId="Footer">
    <w:name w:val="footer"/>
    <w:basedOn w:val="Normal"/>
    <w:link w:val="FooterChar"/>
    <w:uiPriority w:val="99"/>
    <w:semiHidden/>
    <w:unhideWhenUsed/>
    <w:rsid w:val="00637B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7BF7"/>
  </w:style>
  <w:style w:type="paragraph" w:styleId="BalloonText">
    <w:name w:val="Balloon Text"/>
    <w:basedOn w:val="Normal"/>
    <w:link w:val="BalloonTextChar"/>
    <w:uiPriority w:val="99"/>
    <w:semiHidden/>
    <w:unhideWhenUsed/>
    <w:rsid w:val="006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8CD61D6-FF1E-4249-9BD7-20A62373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24</cp:revision>
  <dcterms:created xsi:type="dcterms:W3CDTF">2017-03-27T10:54:00Z</dcterms:created>
  <dcterms:modified xsi:type="dcterms:W3CDTF">2017-07-04T03:01:00Z</dcterms:modified>
</cp:coreProperties>
</file>