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75B5" w:rsidRDefault="0099395C">
      <w:r>
        <w:rPr>
          <w:noProof/>
          <w:sz w:val="20"/>
          <w:szCs w:val="20"/>
        </w:rPr>
        <w:drawing>
          <wp:inline distT="0" distB="0" distL="0" distR="0">
            <wp:extent cx="1758950" cy="1295400"/>
            <wp:effectExtent l="0" t="0" r="0"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8950" cy="1295400"/>
                    </a:xfrm>
                    <a:prstGeom prst="rect">
                      <a:avLst/>
                    </a:prstGeom>
                    <a:noFill/>
                    <a:ln>
                      <a:noFill/>
                    </a:ln>
                  </pic:spPr>
                </pic:pic>
              </a:graphicData>
            </a:graphic>
          </wp:inline>
        </w:drawing>
      </w:r>
    </w:p>
    <w:p w:rsidR="007375B5" w:rsidRDefault="00975921">
      <w:pPr>
        <w:pStyle w:val="ShortT"/>
        <w:rPr>
          <w:color w:val="000000"/>
        </w:rPr>
      </w:pPr>
      <w:r>
        <w:t>Jervis Bay Territory Acceptance Act 1915</w:t>
      </w:r>
    </w:p>
    <w:p w:rsidR="007375B5" w:rsidRDefault="00975921">
      <w:pPr>
        <w:pStyle w:val="Actno"/>
        <w:rPr>
          <w:color w:val="000000"/>
        </w:rPr>
      </w:pPr>
      <w:r>
        <w:t>Act No. 19</w:t>
      </w:r>
      <w:r>
        <w:rPr>
          <w:color w:val="000000"/>
        </w:rPr>
        <w:t xml:space="preserve"> of </w:t>
      </w:r>
      <w:r>
        <w:t>1915</w:t>
      </w:r>
      <w:r>
        <w:rPr>
          <w:color w:val="000000"/>
        </w:rPr>
        <w:t xml:space="preserve"> as amended</w:t>
      </w:r>
    </w:p>
    <w:p w:rsidR="007375B5" w:rsidRDefault="00975921">
      <w:pPr>
        <w:pStyle w:val="UpdateDate"/>
        <w:rPr>
          <w:color w:val="000000"/>
        </w:rPr>
      </w:pPr>
      <w:r>
        <w:t>This compilation was prepared on 22 October 2001</w:t>
      </w:r>
      <w:r>
        <w:rPr>
          <w:color w:val="000000"/>
        </w:rPr>
        <w:br/>
        <w:t>taking into account amendments up to Act No. 143 of 2001</w:t>
      </w:r>
    </w:p>
    <w:p w:rsidR="007375B5" w:rsidRDefault="00975921">
      <w:pPr>
        <w:pStyle w:val="UpdateDate"/>
        <w:rPr>
          <w:color w:val="000000"/>
        </w:rPr>
      </w:pPr>
      <w:r>
        <w:rPr>
          <w:color w:val="000000"/>
        </w:rPr>
        <w:t xml:space="preserve">The text of any of those amendments not in force </w:t>
      </w:r>
      <w:r>
        <w:rPr>
          <w:color w:val="000000"/>
        </w:rPr>
        <w:br/>
        <w:t>on that date is appended in the Notes section</w:t>
      </w:r>
    </w:p>
    <w:p w:rsidR="007375B5" w:rsidRDefault="00975921">
      <w:pPr>
        <w:pStyle w:val="UpdateDate"/>
        <w:rPr>
          <w:color w:val="000000"/>
        </w:rPr>
      </w:pPr>
      <w:r>
        <w:rPr>
          <w:color w:val="000000"/>
        </w:rPr>
        <w:t>Prepared by the Office of Legislative Drafting,</w:t>
      </w:r>
      <w:r>
        <w:rPr>
          <w:color w:val="000000"/>
        </w:rPr>
        <w:br/>
        <w:t>Attorney</w:t>
      </w:r>
      <w:r>
        <w:rPr>
          <w:color w:val="000000"/>
        </w:rPr>
        <w:noBreakHyphen/>
        <w:t>General’s Department, Canberra</w:t>
      </w:r>
    </w:p>
    <w:p w:rsidR="007375B5" w:rsidRDefault="00975921">
      <w:pPr>
        <w:pStyle w:val="Header"/>
      </w:pPr>
      <w:r>
        <w:rPr>
          <w:rStyle w:val="CharChapNo"/>
        </w:rPr>
        <w:t xml:space="preserve"> </w:t>
      </w:r>
      <w:r>
        <w:rPr>
          <w:rStyle w:val="CharChapText"/>
        </w:rPr>
        <w:t xml:space="preserve"> </w:t>
      </w:r>
    </w:p>
    <w:p w:rsidR="007375B5" w:rsidRDefault="00975921">
      <w:pPr>
        <w:pStyle w:val="Header"/>
      </w:pPr>
      <w:r>
        <w:rPr>
          <w:rStyle w:val="CharPartNo"/>
        </w:rPr>
        <w:t xml:space="preserve"> </w:t>
      </w:r>
      <w:r>
        <w:rPr>
          <w:rStyle w:val="CharPartText"/>
        </w:rPr>
        <w:t xml:space="preserve"> </w:t>
      </w:r>
    </w:p>
    <w:p w:rsidR="007375B5" w:rsidRDefault="00975921">
      <w:pPr>
        <w:pStyle w:val="Header"/>
      </w:pPr>
      <w:r>
        <w:rPr>
          <w:rStyle w:val="CharDivNo"/>
        </w:rPr>
        <w:t xml:space="preserve"> </w:t>
      </w:r>
      <w:r>
        <w:rPr>
          <w:rStyle w:val="CharDivText"/>
        </w:rPr>
        <w:t xml:space="preserve"> </w:t>
      </w:r>
    </w:p>
    <w:p w:rsidR="007375B5" w:rsidRDefault="007375B5">
      <w:pPr>
        <w:sectPr w:rsidR="007375B5" w:rsidSect="00A218F4">
          <w:headerReference w:type="even" r:id="rId8"/>
          <w:headerReference w:type="default" r:id="rId9"/>
          <w:footerReference w:type="even" r:id="rId10"/>
          <w:footerReference w:type="default" r:id="rId11"/>
          <w:pgSz w:w="11906" w:h="16838" w:code="9"/>
          <w:pgMar w:top="2268" w:right="2410" w:bottom="3827" w:left="2410" w:header="567" w:footer="3118" w:gutter="0"/>
          <w:pgNumType w:start="1"/>
          <w:cols w:space="709"/>
          <w:titlePg/>
          <w:docGrid w:linePitch="299"/>
        </w:sectPr>
      </w:pPr>
    </w:p>
    <w:p w:rsidR="007375B5" w:rsidRDefault="00975921">
      <w:pPr>
        <w:pStyle w:val="Contents"/>
      </w:pPr>
      <w:r>
        <w:lastRenderedPageBreak/>
        <w:t>Contents</w:t>
      </w:r>
    </w:p>
    <w:p w:rsidR="007375B5" w:rsidRDefault="00975921">
      <w:pPr>
        <w:pStyle w:val="TOC5"/>
        <w:rPr>
          <w:noProof/>
        </w:rPr>
      </w:pPr>
      <w:r>
        <w:fldChar w:fldCharType="begin"/>
      </w:r>
      <w:r>
        <w:instrText xml:space="preserve"> TOC \o "1-9" \t "Heading 1,2,Heading 2,2,Heading 3,3,Heading 4,4,Heading 5,5, Schedule,2, Schedule Text,3, NotesSection,6" </w:instrText>
      </w:r>
      <w:r>
        <w:fldChar w:fldCharType="separate"/>
      </w:r>
      <w:r>
        <w:rPr>
          <w:noProof/>
        </w:rPr>
        <w:t>1</w:t>
      </w:r>
      <w:r>
        <w:rPr>
          <w:noProof/>
        </w:rPr>
        <w:tab/>
        <w:t>Short title [</w:t>
      </w:r>
      <w:r>
        <w:rPr>
          <w:i/>
          <w:iCs/>
          <w:noProof/>
        </w:rPr>
        <w:t>see</w:t>
      </w:r>
      <w:r>
        <w:rPr>
          <w:noProof/>
        </w:rPr>
        <w:t xml:space="preserve"> Note 1]</w:t>
      </w:r>
      <w:r>
        <w:rPr>
          <w:noProof/>
        </w:rPr>
        <w:tab/>
      </w:r>
      <w:r>
        <w:rPr>
          <w:noProof/>
        </w:rPr>
        <w:fldChar w:fldCharType="begin"/>
      </w:r>
      <w:r>
        <w:rPr>
          <w:noProof/>
        </w:rPr>
        <w:instrText xml:space="preserve"> PAGEREF _Toc528384825 \h </w:instrText>
      </w:r>
      <w:r>
        <w:rPr>
          <w:noProof/>
        </w:rPr>
      </w:r>
      <w:r>
        <w:rPr>
          <w:noProof/>
        </w:rPr>
        <w:fldChar w:fldCharType="separate"/>
      </w:r>
      <w:r w:rsidR="004176D7">
        <w:rPr>
          <w:noProof/>
        </w:rPr>
        <w:t>1</w:t>
      </w:r>
      <w:r>
        <w:rPr>
          <w:noProof/>
        </w:rPr>
        <w:fldChar w:fldCharType="end"/>
      </w:r>
    </w:p>
    <w:p w:rsidR="007375B5" w:rsidRDefault="00975921">
      <w:pPr>
        <w:pStyle w:val="TOC5"/>
        <w:rPr>
          <w:noProof/>
        </w:rPr>
      </w:pPr>
      <w:r>
        <w:rPr>
          <w:noProof/>
        </w:rPr>
        <w:t>2</w:t>
      </w:r>
      <w:r>
        <w:rPr>
          <w:noProof/>
        </w:rPr>
        <w:tab/>
        <w:t>Commencement [</w:t>
      </w:r>
      <w:r>
        <w:rPr>
          <w:i/>
          <w:iCs/>
          <w:noProof/>
        </w:rPr>
        <w:t xml:space="preserve">see </w:t>
      </w:r>
      <w:r>
        <w:rPr>
          <w:noProof/>
        </w:rPr>
        <w:t>Notes 1 and 2]</w:t>
      </w:r>
      <w:r>
        <w:rPr>
          <w:noProof/>
        </w:rPr>
        <w:tab/>
      </w:r>
      <w:r>
        <w:rPr>
          <w:noProof/>
        </w:rPr>
        <w:fldChar w:fldCharType="begin"/>
      </w:r>
      <w:r>
        <w:rPr>
          <w:noProof/>
        </w:rPr>
        <w:instrText xml:space="preserve"> PAGEREF _Toc528384826 \h </w:instrText>
      </w:r>
      <w:r>
        <w:rPr>
          <w:noProof/>
        </w:rPr>
      </w:r>
      <w:r>
        <w:rPr>
          <w:noProof/>
        </w:rPr>
        <w:fldChar w:fldCharType="separate"/>
      </w:r>
      <w:r w:rsidR="004176D7">
        <w:rPr>
          <w:noProof/>
        </w:rPr>
        <w:t>1</w:t>
      </w:r>
      <w:r>
        <w:rPr>
          <w:noProof/>
        </w:rPr>
        <w:fldChar w:fldCharType="end"/>
      </w:r>
    </w:p>
    <w:p w:rsidR="007375B5" w:rsidRDefault="00975921">
      <w:pPr>
        <w:pStyle w:val="TOC5"/>
        <w:rPr>
          <w:noProof/>
        </w:rPr>
      </w:pPr>
      <w:r>
        <w:rPr>
          <w:noProof/>
        </w:rPr>
        <w:t>2A</w:t>
      </w:r>
      <w:r>
        <w:rPr>
          <w:noProof/>
        </w:rPr>
        <w:tab/>
        <w:t>Interpretation</w:t>
      </w:r>
      <w:r>
        <w:rPr>
          <w:noProof/>
        </w:rPr>
        <w:tab/>
      </w:r>
      <w:r>
        <w:rPr>
          <w:noProof/>
        </w:rPr>
        <w:fldChar w:fldCharType="begin"/>
      </w:r>
      <w:r>
        <w:rPr>
          <w:noProof/>
        </w:rPr>
        <w:instrText xml:space="preserve"> PAGEREF _Toc528384827 \h </w:instrText>
      </w:r>
      <w:r>
        <w:rPr>
          <w:noProof/>
        </w:rPr>
      </w:r>
      <w:r>
        <w:rPr>
          <w:noProof/>
        </w:rPr>
        <w:fldChar w:fldCharType="separate"/>
      </w:r>
      <w:r w:rsidR="004176D7">
        <w:rPr>
          <w:noProof/>
        </w:rPr>
        <w:t>1</w:t>
      </w:r>
      <w:r>
        <w:rPr>
          <w:noProof/>
        </w:rPr>
        <w:fldChar w:fldCharType="end"/>
      </w:r>
    </w:p>
    <w:p w:rsidR="007375B5" w:rsidRDefault="00975921">
      <w:pPr>
        <w:pStyle w:val="TOC5"/>
        <w:rPr>
          <w:noProof/>
        </w:rPr>
      </w:pPr>
      <w:r>
        <w:rPr>
          <w:noProof/>
        </w:rPr>
        <w:t>3</w:t>
      </w:r>
      <w:r>
        <w:rPr>
          <w:noProof/>
        </w:rPr>
        <w:tab/>
        <w:t>Ratification of agreement</w:t>
      </w:r>
      <w:r>
        <w:rPr>
          <w:noProof/>
        </w:rPr>
        <w:tab/>
      </w:r>
      <w:r>
        <w:rPr>
          <w:noProof/>
        </w:rPr>
        <w:fldChar w:fldCharType="begin"/>
      </w:r>
      <w:r>
        <w:rPr>
          <w:noProof/>
        </w:rPr>
        <w:instrText xml:space="preserve"> PAGEREF _Toc528384828 \h </w:instrText>
      </w:r>
      <w:r>
        <w:rPr>
          <w:noProof/>
        </w:rPr>
      </w:r>
      <w:r>
        <w:rPr>
          <w:noProof/>
        </w:rPr>
        <w:fldChar w:fldCharType="separate"/>
      </w:r>
      <w:r w:rsidR="004176D7">
        <w:rPr>
          <w:noProof/>
        </w:rPr>
        <w:t>2</w:t>
      </w:r>
      <w:r>
        <w:rPr>
          <w:noProof/>
        </w:rPr>
        <w:fldChar w:fldCharType="end"/>
      </w:r>
    </w:p>
    <w:p w:rsidR="007375B5" w:rsidRDefault="00975921">
      <w:pPr>
        <w:pStyle w:val="TOC5"/>
        <w:rPr>
          <w:noProof/>
        </w:rPr>
      </w:pPr>
      <w:r>
        <w:rPr>
          <w:noProof/>
        </w:rPr>
        <w:t>4</w:t>
      </w:r>
      <w:r>
        <w:rPr>
          <w:noProof/>
        </w:rPr>
        <w:tab/>
        <w:t>Acceptance of territory</w:t>
      </w:r>
      <w:r>
        <w:rPr>
          <w:noProof/>
        </w:rPr>
        <w:tab/>
      </w:r>
      <w:r>
        <w:rPr>
          <w:noProof/>
        </w:rPr>
        <w:fldChar w:fldCharType="begin"/>
      </w:r>
      <w:r>
        <w:rPr>
          <w:noProof/>
        </w:rPr>
        <w:instrText xml:space="preserve"> PAGEREF _Toc528384829 \h </w:instrText>
      </w:r>
      <w:r>
        <w:rPr>
          <w:noProof/>
        </w:rPr>
      </w:r>
      <w:r>
        <w:rPr>
          <w:noProof/>
        </w:rPr>
        <w:fldChar w:fldCharType="separate"/>
      </w:r>
      <w:r w:rsidR="004176D7">
        <w:rPr>
          <w:noProof/>
        </w:rPr>
        <w:t>2</w:t>
      </w:r>
      <w:r>
        <w:rPr>
          <w:noProof/>
        </w:rPr>
        <w:fldChar w:fldCharType="end"/>
      </w:r>
    </w:p>
    <w:p w:rsidR="007375B5" w:rsidRDefault="00975921">
      <w:pPr>
        <w:pStyle w:val="TOC5"/>
        <w:rPr>
          <w:noProof/>
        </w:rPr>
      </w:pPr>
      <w:r>
        <w:rPr>
          <w:noProof/>
        </w:rPr>
        <w:t>4A</w:t>
      </w:r>
      <w:r>
        <w:rPr>
          <w:noProof/>
        </w:rPr>
        <w:tab/>
        <w:t>Laws of Australian Capital Territory to be in force</w:t>
      </w:r>
      <w:r>
        <w:rPr>
          <w:noProof/>
        </w:rPr>
        <w:tab/>
      </w:r>
      <w:r>
        <w:rPr>
          <w:noProof/>
        </w:rPr>
        <w:fldChar w:fldCharType="begin"/>
      </w:r>
      <w:r>
        <w:rPr>
          <w:noProof/>
        </w:rPr>
        <w:instrText xml:space="preserve"> PAGEREF _Toc528384830 \h </w:instrText>
      </w:r>
      <w:r>
        <w:rPr>
          <w:noProof/>
        </w:rPr>
      </w:r>
      <w:r>
        <w:rPr>
          <w:noProof/>
        </w:rPr>
        <w:fldChar w:fldCharType="separate"/>
      </w:r>
      <w:r w:rsidR="004176D7">
        <w:rPr>
          <w:noProof/>
        </w:rPr>
        <w:t>2</w:t>
      </w:r>
      <w:r>
        <w:rPr>
          <w:noProof/>
        </w:rPr>
        <w:fldChar w:fldCharType="end"/>
      </w:r>
    </w:p>
    <w:p w:rsidR="007375B5" w:rsidRDefault="00975921">
      <w:pPr>
        <w:pStyle w:val="TOC5"/>
        <w:rPr>
          <w:noProof/>
        </w:rPr>
      </w:pPr>
      <w:r>
        <w:rPr>
          <w:noProof/>
        </w:rPr>
        <w:t>4AA</w:t>
      </w:r>
      <w:r>
        <w:rPr>
          <w:noProof/>
        </w:rPr>
        <w:tab/>
      </w:r>
      <w:r>
        <w:rPr>
          <w:i/>
          <w:iCs/>
          <w:noProof/>
        </w:rPr>
        <w:t xml:space="preserve">Criminal Code </w:t>
      </w:r>
      <w:r>
        <w:rPr>
          <w:noProof/>
        </w:rPr>
        <w:t>does not apply</w:t>
      </w:r>
      <w:r>
        <w:rPr>
          <w:noProof/>
        </w:rPr>
        <w:tab/>
      </w:r>
      <w:r>
        <w:rPr>
          <w:noProof/>
        </w:rPr>
        <w:fldChar w:fldCharType="begin"/>
      </w:r>
      <w:r>
        <w:rPr>
          <w:noProof/>
        </w:rPr>
        <w:instrText xml:space="preserve"> PAGEREF _Toc528384831 \h </w:instrText>
      </w:r>
      <w:r>
        <w:rPr>
          <w:noProof/>
        </w:rPr>
      </w:r>
      <w:r>
        <w:rPr>
          <w:noProof/>
        </w:rPr>
        <w:fldChar w:fldCharType="separate"/>
      </w:r>
      <w:r w:rsidR="004176D7">
        <w:rPr>
          <w:noProof/>
        </w:rPr>
        <w:t>2</w:t>
      </w:r>
      <w:r>
        <w:rPr>
          <w:noProof/>
        </w:rPr>
        <w:fldChar w:fldCharType="end"/>
      </w:r>
    </w:p>
    <w:p w:rsidR="007375B5" w:rsidRDefault="00975921">
      <w:pPr>
        <w:pStyle w:val="TOC5"/>
        <w:rPr>
          <w:noProof/>
        </w:rPr>
      </w:pPr>
      <w:r>
        <w:rPr>
          <w:noProof/>
        </w:rPr>
        <w:t>4B</w:t>
      </w:r>
      <w:r>
        <w:rPr>
          <w:noProof/>
        </w:rPr>
        <w:tab/>
        <w:t>Powers and functions under adopted laws</w:t>
      </w:r>
      <w:r>
        <w:rPr>
          <w:noProof/>
        </w:rPr>
        <w:tab/>
      </w:r>
      <w:r>
        <w:rPr>
          <w:noProof/>
        </w:rPr>
        <w:fldChar w:fldCharType="begin"/>
      </w:r>
      <w:r>
        <w:rPr>
          <w:noProof/>
        </w:rPr>
        <w:instrText xml:space="preserve"> PAGEREF _Toc528384832 \h </w:instrText>
      </w:r>
      <w:r>
        <w:rPr>
          <w:noProof/>
        </w:rPr>
      </w:r>
      <w:r>
        <w:rPr>
          <w:noProof/>
        </w:rPr>
        <w:fldChar w:fldCharType="separate"/>
      </w:r>
      <w:r w:rsidR="004176D7">
        <w:rPr>
          <w:noProof/>
        </w:rPr>
        <w:t>2</w:t>
      </w:r>
      <w:r>
        <w:rPr>
          <w:noProof/>
        </w:rPr>
        <w:fldChar w:fldCharType="end"/>
      </w:r>
    </w:p>
    <w:p w:rsidR="007375B5" w:rsidRDefault="00975921">
      <w:pPr>
        <w:pStyle w:val="TOC5"/>
        <w:rPr>
          <w:noProof/>
        </w:rPr>
      </w:pPr>
      <w:r>
        <w:rPr>
          <w:noProof/>
        </w:rPr>
        <w:t>4C</w:t>
      </w:r>
      <w:r>
        <w:rPr>
          <w:noProof/>
        </w:rPr>
        <w:tab/>
        <w:t>Ordinance may amend or repeal adopted laws</w:t>
      </w:r>
      <w:r>
        <w:rPr>
          <w:noProof/>
        </w:rPr>
        <w:tab/>
      </w:r>
      <w:r>
        <w:rPr>
          <w:noProof/>
        </w:rPr>
        <w:fldChar w:fldCharType="begin"/>
      </w:r>
      <w:r>
        <w:rPr>
          <w:noProof/>
        </w:rPr>
        <w:instrText xml:space="preserve"> PAGEREF _Toc528384833 \h </w:instrText>
      </w:r>
      <w:r>
        <w:rPr>
          <w:noProof/>
        </w:rPr>
      </w:r>
      <w:r>
        <w:rPr>
          <w:noProof/>
        </w:rPr>
        <w:fldChar w:fldCharType="separate"/>
      </w:r>
      <w:r w:rsidR="004176D7">
        <w:rPr>
          <w:noProof/>
        </w:rPr>
        <w:t>3</w:t>
      </w:r>
      <w:r>
        <w:rPr>
          <w:noProof/>
        </w:rPr>
        <w:fldChar w:fldCharType="end"/>
      </w:r>
    </w:p>
    <w:p w:rsidR="007375B5" w:rsidRDefault="00975921">
      <w:pPr>
        <w:pStyle w:val="TOC5"/>
        <w:rPr>
          <w:noProof/>
        </w:rPr>
      </w:pPr>
      <w:r>
        <w:rPr>
          <w:noProof/>
        </w:rPr>
        <w:t>4D</w:t>
      </w:r>
      <w:r>
        <w:rPr>
          <w:noProof/>
        </w:rPr>
        <w:tab/>
        <w:t>Supreme Court of Australia</w:t>
      </w:r>
      <w:bookmarkStart w:id="0" w:name="_GoBack"/>
      <w:bookmarkEnd w:id="0"/>
      <w:r>
        <w:rPr>
          <w:noProof/>
        </w:rPr>
        <w:t>n Capital Territory to have jurisdiction in Territory</w:t>
      </w:r>
      <w:r>
        <w:rPr>
          <w:noProof/>
        </w:rPr>
        <w:tab/>
      </w:r>
      <w:r>
        <w:rPr>
          <w:noProof/>
        </w:rPr>
        <w:fldChar w:fldCharType="begin"/>
      </w:r>
      <w:r>
        <w:rPr>
          <w:noProof/>
        </w:rPr>
        <w:instrText xml:space="preserve"> PAGEREF _Toc528384834 \h </w:instrText>
      </w:r>
      <w:r>
        <w:rPr>
          <w:noProof/>
        </w:rPr>
      </w:r>
      <w:r>
        <w:rPr>
          <w:noProof/>
        </w:rPr>
        <w:fldChar w:fldCharType="separate"/>
      </w:r>
      <w:r w:rsidR="004176D7">
        <w:rPr>
          <w:noProof/>
        </w:rPr>
        <w:t>3</w:t>
      </w:r>
      <w:r>
        <w:rPr>
          <w:noProof/>
        </w:rPr>
        <w:fldChar w:fldCharType="end"/>
      </w:r>
    </w:p>
    <w:p w:rsidR="007375B5" w:rsidRDefault="00975921">
      <w:pPr>
        <w:pStyle w:val="TOC5"/>
        <w:rPr>
          <w:noProof/>
        </w:rPr>
      </w:pPr>
      <w:r>
        <w:rPr>
          <w:noProof/>
        </w:rPr>
        <w:t>4E</w:t>
      </w:r>
      <w:r>
        <w:rPr>
          <w:noProof/>
        </w:rPr>
        <w:tab/>
        <w:t>Supply of water or electricity to persons outside the Territory</w:t>
      </w:r>
      <w:r>
        <w:rPr>
          <w:noProof/>
        </w:rPr>
        <w:tab/>
      </w:r>
      <w:r>
        <w:rPr>
          <w:noProof/>
        </w:rPr>
        <w:fldChar w:fldCharType="begin"/>
      </w:r>
      <w:r>
        <w:rPr>
          <w:noProof/>
        </w:rPr>
        <w:instrText xml:space="preserve"> PAGEREF _Toc528384835 \h </w:instrText>
      </w:r>
      <w:r>
        <w:rPr>
          <w:noProof/>
        </w:rPr>
      </w:r>
      <w:r>
        <w:rPr>
          <w:noProof/>
        </w:rPr>
        <w:fldChar w:fldCharType="separate"/>
      </w:r>
      <w:r w:rsidR="004176D7">
        <w:rPr>
          <w:noProof/>
        </w:rPr>
        <w:t>3</w:t>
      </w:r>
      <w:r>
        <w:rPr>
          <w:noProof/>
        </w:rPr>
        <w:fldChar w:fldCharType="end"/>
      </w:r>
    </w:p>
    <w:p w:rsidR="007375B5" w:rsidRDefault="00975921">
      <w:pPr>
        <w:pStyle w:val="TOC5"/>
        <w:rPr>
          <w:noProof/>
        </w:rPr>
      </w:pPr>
      <w:r>
        <w:rPr>
          <w:noProof/>
        </w:rPr>
        <w:t>4F</w:t>
      </w:r>
      <w:r>
        <w:rPr>
          <w:noProof/>
        </w:rPr>
        <w:tab/>
        <w:t>Ordinances</w:t>
      </w:r>
      <w:r>
        <w:rPr>
          <w:noProof/>
        </w:rPr>
        <w:tab/>
      </w:r>
      <w:r>
        <w:rPr>
          <w:noProof/>
        </w:rPr>
        <w:fldChar w:fldCharType="begin"/>
      </w:r>
      <w:r>
        <w:rPr>
          <w:noProof/>
        </w:rPr>
        <w:instrText xml:space="preserve"> PAGEREF _Toc528384836 \h </w:instrText>
      </w:r>
      <w:r>
        <w:rPr>
          <w:noProof/>
        </w:rPr>
      </w:r>
      <w:r>
        <w:rPr>
          <w:noProof/>
        </w:rPr>
        <w:fldChar w:fldCharType="separate"/>
      </w:r>
      <w:r w:rsidR="004176D7">
        <w:rPr>
          <w:noProof/>
        </w:rPr>
        <w:t>3</w:t>
      </w:r>
      <w:r>
        <w:rPr>
          <w:noProof/>
        </w:rPr>
        <w:fldChar w:fldCharType="end"/>
      </w:r>
    </w:p>
    <w:p w:rsidR="007375B5" w:rsidRDefault="00975921">
      <w:pPr>
        <w:pStyle w:val="TOC5"/>
        <w:rPr>
          <w:noProof/>
        </w:rPr>
      </w:pPr>
      <w:r>
        <w:rPr>
          <w:noProof/>
        </w:rPr>
        <w:t>4G</w:t>
      </w:r>
      <w:r>
        <w:rPr>
          <w:noProof/>
        </w:rPr>
        <w:tab/>
        <w:t>Tabling of Ordinances in Parliament</w:t>
      </w:r>
      <w:r>
        <w:rPr>
          <w:noProof/>
        </w:rPr>
        <w:tab/>
      </w:r>
      <w:r>
        <w:rPr>
          <w:noProof/>
        </w:rPr>
        <w:fldChar w:fldCharType="begin"/>
      </w:r>
      <w:r>
        <w:rPr>
          <w:noProof/>
        </w:rPr>
        <w:instrText xml:space="preserve"> PAGEREF _Toc528384837 \h </w:instrText>
      </w:r>
      <w:r>
        <w:rPr>
          <w:noProof/>
        </w:rPr>
      </w:r>
      <w:r>
        <w:rPr>
          <w:noProof/>
        </w:rPr>
        <w:fldChar w:fldCharType="separate"/>
      </w:r>
      <w:r w:rsidR="004176D7">
        <w:rPr>
          <w:noProof/>
        </w:rPr>
        <w:t>4</w:t>
      </w:r>
      <w:r>
        <w:rPr>
          <w:noProof/>
        </w:rPr>
        <w:fldChar w:fldCharType="end"/>
      </w:r>
    </w:p>
    <w:p w:rsidR="007375B5" w:rsidRDefault="00975921">
      <w:pPr>
        <w:pStyle w:val="TOC5"/>
        <w:rPr>
          <w:noProof/>
        </w:rPr>
      </w:pPr>
      <w:r>
        <w:rPr>
          <w:noProof/>
        </w:rPr>
        <w:t>4H</w:t>
      </w:r>
      <w:r>
        <w:rPr>
          <w:noProof/>
        </w:rPr>
        <w:tab/>
        <w:t>Ordinance not to be re</w:t>
      </w:r>
      <w:r>
        <w:rPr>
          <w:noProof/>
        </w:rPr>
        <w:noBreakHyphen/>
        <w:t>made while required to be tabled</w:t>
      </w:r>
      <w:r>
        <w:rPr>
          <w:noProof/>
        </w:rPr>
        <w:tab/>
      </w:r>
      <w:r>
        <w:rPr>
          <w:noProof/>
        </w:rPr>
        <w:fldChar w:fldCharType="begin"/>
      </w:r>
      <w:r>
        <w:rPr>
          <w:noProof/>
        </w:rPr>
        <w:instrText xml:space="preserve"> PAGEREF _Toc528384838 \h </w:instrText>
      </w:r>
      <w:r>
        <w:rPr>
          <w:noProof/>
        </w:rPr>
      </w:r>
      <w:r>
        <w:rPr>
          <w:noProof/>
        </w:rPr>
        <w:fldChar w:fldCharType="separate"/>
      </w:r>
      <w:r w:rsidR="004176D7">
        <w:rPr>
          <w:noProof/>
        </w:rPr>
        <w:t>5</w:t>
      </w:r>
      <w:r>
        <w:rPr>
          <w:noProof/>
        </w:rPr>
        <w:fldChar w:fldCharType="end"/>
      </w:r>
    </w:p>
    <w:p w:rsidR="007375B5" w:rsidRDefault="00975921">
      <w:pPr>
        <w:pStyle w:val="TOC5"/>
        <w:rPr>
          <w:noProof/>
        </w:rPr>
      </w:pPr>
      <w:r>
        <w:rPr>
          <w:noProof/>
        </w:rPr>
        <w:t>4J</w:t>
      </w:r>
      <w:r>
        <w:rPr>
          <w:noProof/>
        </w:rPr>
        <w:tab/>
        <w:t>Ordinance not to be re</w:t>
      </w:r>
      <w:r>
        <w:rPr>
          <w:noProof/>
        </w:rPr>
        <w:noBreakHyphen/>
        <w:t>made while subject to disallowance</w:t>
      </w:r>
      <w:r>
        <w:rPr>
          <w:noProof/>
        </w:rPr>
        <w:tab/>
      </w:r>
      <w:r>
        <w:rPr>
          <w:noProof/>
        </w:rPr>
        <w:fldChar w:fldCharType="begin"/>
      </w:r>
      <w:r>
        <w:rPr>
          <w:noProof/>
        </w:rPr>
        <w:instrText xml:space="preserve"> PAGEREF _Toc528384839 \h </w:instrText>
      </w:r>
      <w:r>
        <w:rPr>
          <w:noProof/>
        </w:rPr>
      </w:r>
      <w:r>
        <w:rPr>
          <w:noProof/>
        </w:rPr>
        <w:fldChar w:fldCharType="separate"/>
      </w:r>
      <w:r w:rsidR="004176D7">
        <w:rPr>
          <w:noProof/>
        </w:rPr>
        <w:t>6</w:t>
      </w:r>
      <w:r>
        <w:rPr>
          <w:noProof/>
        </w:rPr>
        <w:fldChar w:fldCharType="end"/>
      </w:r>
    </w:p>
    <w:p w:rsidR="007375B5" w:rsidRDefault="00975921">
      <w:pPr>
        <w:pStyle w:val="TOC5"/>
        <w:rPr>
          <w:noProof/>
        </w:rPr>
      </w:pPr>
      <w:r>
        <w:rPr>
          <w:noProof/>
        </w:rPr>
        <w:t>4K</w:t>
      </w:r>
      <w:r>
        <w:rPr>
          <w:noProof/>
        </w:rPr>
        <w:tab/>
        <w:t>Disallowed Ordinance not to be re</w:t>
      </w:r>
      <w:r>
        <w:rPr>
          <w:noProof/>
        </w:rPr>
        <w:noBreakHyphen/>
        <w:t>made unless resolution rescinded or House approves</w:t>
      </w:r>
      <w:r>
        <w:rPr>
          <w:noProof/>
        </w:rPr>
        <w:tab/>
      </w:r>
      <w:r>
        <w:rPr>
          <w:noProof/>
        </w:rPr>
        <w:fldChar w:fldCharType="begin"/>
      </w:r>
      <w:r>
        <w:rPr>
          <w:noProof/>
        </w:rPr>
        <w:instrText xml:space="preserve"> PAGEREF _Toc528384840 \h </w:instrText>
      </w:r>
      <w:r>
        <w:rPr>
          <w:noProof/>
        </w:rPr>
      </w:r>
      <w:r>
        <w:rPr>
          <w:noProof/>
        </w:rPr>
        <w:fldChar w:fldCharType="separate"/>
      </w:r>
      <w:r w:rsidR="004176D7">
        <w:rPr>
          <w:noProof/>
        </w:rPr>
        <w:t>7</w:t>
      </w:r>
      <w:r>
        <w:rPr>
          <w:noProof/>
        </w:rPr>
        <w:fldChar w:fldCharType="end"/>
      </w:r>
    </w:p>
    <w:p w:rsidR="007375B5" w:rsidRDefault="00975921">
      <w:pPr>
        <w:pStyle w:val="TOC5"/>
        <w:rPr>
          <w:noProof/>
        </w:rPr>
      </w:pPr>
      <w:r>
        <w:rPr>
          <w:noProof/>
        </w:rPr>
        <w:t>4L</w:t>
      </w:r>
      <w:r>
        <w:rPr>
          <w:noProof/>
        </w:rPr>
        <w:tab/>
        <w:t>Regulations, rules and by</w:t>
      </w:r>
      <w:r>
        <w:rPr>
          <w:noProof/>
        </w:rPr>
        <w:noBreakHyphen/>
        <w:t>laws</w:t>
      </w:r>
      <w:r>
        <w:rPr>
          <w:noProof/>
        </w:rPr>
        <w:tab/>
      </w:r>
      <w:r>
        <w:rPr>
          <w:noProof/>
        </w:rPr>
        <w:fldChar w:fldCharType="begin"/>
      </w:r>
      <w:r>
        <w:rPr>
          <w:noProof/>
        </w:rPr>
        <w:instrText xml:space="preserve"> PAGEREF _Toc528384841 \h </w:instrText>
      </w:r>
      <w:r>
        <w:rPr>
          <w:noProof/>
        </w:rPr>
      </w:r>
      <w:r>
        <w:rPr>
          <w:noProof/>
        </w:rPr>
        <w:fldChar w:fldCharType="separate"/>
      </w:r>
      <w:r w:rsidR="004176D7">
        <w:rPr>
          <w:noProof/>
        </w:rPr>
        <w:t>7</w:t>
      </w:r>
      <w:r>
        <w:rPr>
          <w:noProof/>
        </w:rPr>
        <w:fldChar w:fldCharType="end"/>
      </w:r>
    </w:p>
    <w:p w:rsidR="007375B5" w:rsidRDefault="00975921">
      <w:pPr>
        <w:pStyle w:val="TOC5"/>
        <w:rPr>
          <w:noProof/>
        </w:rPr>
      </w:pPr>
      <w:r>
        <w:rPr>
          <w:noProof/>
        </w:rPr>
        <w:t>5</w:t>
      </w:r>
      <w:r>
        <w:rPr>
          <w:noProof/>
        </w:rPr>
        <w:tab/>
        <w:t>Disposal of Crown lands</w:t>
      </w:r>
      <w:r>
        <w:rPr>
          <w:noProof/>
        </w:rPr>
        <w:tab/>
      </w:r>
      <w:r>
        <w:rPr>
          <w:noProof/>
        </w:rPr>
        <w:fldChar w:fldCharType="begin"/>
      </w:r>
      <w:r>
        <w:rPr>
          <w:noProof/>
        </w:rPr>
        <w:instrText xml:space="preserve"> PAGEREF _Toc528384842 \h </w:instrText>
      </w:r>
      <w:r>
        <w:rPr>
          <w:noProof/>
        </w:rPr>
      </w:r>
      <w:r>
        <w:rPr>
          <w:noProof/>
        </w:rPr>
        <w:fldChar w:fldCharType="separate"/>
      </w:r>
      <w:r w:rsidR="004176D7">
        <w:rPr>
          <w:noProof/>
        </w:rPr>
        <w:t>8</w:t>
      </w:r>
      <w:r>
        <w:rPr>
          <w:noProof/>
        </w:rPr>
        <w:fldChar w:fldCharType="end"/>
      </w:r>
    </w:p>
    <w:p w:rsidR="007375B5" w:rsidRDefault="00975921">
      <w:pPr>
        <w:pStyle w:val="TOC2"/>
        <w:rPr>
          <w:noProof/>
        </w:rPr>
      </w:pPr>
      <w:r>
        <w:rPr>
          <w:noProof/>
        </w:rPr>
        <w:t>The Schedule—Surrender to the Commonwealth Of Australia by the State of New South Wales of land at Jervis Bay.</w:t>
      </w:r>
      <w:r>
        <w:rPr>
          <w:b w:val="0"/>
          <w:bCs w:val="0"/>
          <w:noProof/>
          <w:sz w:val="18"/>
          <w:szCs w:val="18"/>
        </w:rPr>
        <w:tab/>
      </w:r>
      <w:r>
        <w:rPr>
          <w:b w:val="0"/>
          <w:bCs w:val="0"/>
          <w:noProof/>
          <w:sz w:val="18"/>
          <w:szCs w:val="18"/>
        </w:rPr>
        <w:fldChar w:fldCharType="begin"/>
      </w:r>
      <w:r>
        <w:rPr>
          <w:b w:val="0"/>
          <w:bCs w:val="0"/>
          <w:noProof/>
          <w:sz w:val="18"/>
          <w:szCs w:val="18"/>
        </w:rPr>
        <w:instrText xml:space="preserve"> PAGEREF _Toc528384843 \h </w:instrText>
      </w:r>
      <w:r>
        <w:rPr>
          <w:b w:val="0"/>
          <w:bCs w:val="0"/>
          <w:noProof/>
          <w:sz w:val="18"/>
          <w:szCs w:val="18"/>
        </w:rPr>
      </w:r>
      <w:r>
        <w:rPr>
          <w:b w:val="0"/>
          <w:bCs w:val="0"/>
          <w:noProof/>
          <w:sz w:val="18"/>
          <w:szCs w:val="18"/>
        </w:rPr>
        <w:fldChar w:fldCharType="separate"/>
      </w:r>
      <w:r w:rsidR="004176D7">
        <w:rPr>
          <w:b w:val="0"/>
          <w:bCs w:val="0"/>
          <w:noProof/>
          <w:sz w:val="18"/>
          <w:szCs w:val="18"/>
        </w:rPr>
        <w:t>9</w:t>
      </w:r>
      <w:r>
        <w:rPr>
          <w:b w:val="0"/>
          <w:bCs w:val="0"/>
          <w:noProof/>
          <w:sz w:val="18"/>
          <w:szCs w:val="18"/>
        </w:rPr>
        <w:fldChar w:fldCharType="end"/>
      </w:r>
    </w:p>
    <w:p w:rsidR="007375B5" w:rsidRDefault="00975921">
      <w:pPr>
        <w:pStyle w:val="TOC6"/>
        <w:rPr>
          <w:noProof/>
        </w:rPr>
      </w:pPr>
      <w:r>
        <w:rPr>
          <w:noProof/>
        </w:rPr>
        <w:t>Notes</w:t>
      </w:r>
      <w:r>
        <w:rPr>
          <w:noProof/>
        </w:rPr>
        <w:tab/>
      </w:r>
      <w:r>
        <w:rPr>
          <w:b w:val="0"/>
          <w:bCs w:val="0"/>
          <w:noProof/>
          <w:sz w:val="18"/>
          <w:szCs w:val="18"/>
        </w:rPr>
        <w:tab/>
      </w:r>
      <w:r>
        <w:rPr>
          <w:b w:val="0"/>
          <w:bCs w:val="0"/>
          <w:noProof/>
          <w:sz w:val="18"/>
          <w:szCs w:val="18"/>
        </w:rPr>
        <w:fldChar w:fldCharType="begin"/>
      </w:r>
      <w:r>
        <w:rPr>
          <w:b w:val="0"/>
          <w:bCs w:val="0"/>
          <w:noProof/>
          <w:sz w:val="18"/>
          <w:szCs w:val="18"/>
        </w:rPr>
        <w:instrText xml:space="preserve"> PAGEREF _Toc528384844 \h </w:instrText>
      </w:r>
      <w:r>
        <w:rPr>
          <w:b w:val="0"/>
          <w:bCs w:val="0"/>
          <w:noProof/>
          <w:sz w:val="18"/>
          <w:szCs w:val="18"/>
        </w:rPr>
      </w:r>
      <w:r>
        <w:rPr>
          <w:b w:val="0"/>
          <w:bCs w:val="0"/>
          <w:noProof/>
          <w:sz w:val="18"/>
          <w:szCs w:val="18"/>
        </w:rPr>
        <w:fldChar w:fldCharType="separate"/>
      </w:r>
      <w:r w:rsidR="004176D7">
        <w:rPr>
          <w:b w:val="0"/>
          <w:bCs w:val="0"/>
          <w:noProof/>
          <w:sz w:val="18"/>
          <w:szCs w:val="18"/>
        </w:rPr>
        <w:t>13</w:t>
      </w:r>
      <w:r>
        <w:rPr>
          <w:b w:val="0"/>
          <w:bCs w:val="0"/>
          <w:noProof/>
          <w:sz w:val="18"/>
          <w:szCs w:val="18"/>
        </w:rPr>
        <w:fldChar w:fldCharType="end"/>
      </w:r>
    </w:p>
    <w:p w:rsidR="007375B5" w:rsidRDefault="00975921">
      <w:pPr>
        <w:sectPr w:rsidR="007375B5" w:rsidSect="00A218F4">
          <w:headerReference w:type="even" r:id="rId12"/>
          <w:headerReference w:type="default" r:id="rId13"/>
          <w:pgSz w:w="11906" w:h="16838" w:code="9"/>
          <w:pgMar w:top="2268" w:right="2410" w:bottom="3827" w:left="2410" w:header="567" w:footer="3118" w:gutter="0"/>
          <w:pgNumType w:fmt="lowerRoman" w:start="3"/>
          <w:cols w:space="709"/>
          <w:docGrid w:linePitch="299"/>
        </w:sectPr>
      </w:pPr>
      <w:r>
        <w:fldChar w:fldCharType="end"/>
      </w:r>
    </w:p>
    <w:p w:rsidR="007375B5" w:rsidRDefault="00975921">
      <w:pPr>
        <w:pStyle w:val="LongT"/>
      </w:pPr>
      <w:r>
        <w:lastRenderedPageBreak/>
        <w:t>An Act to provide for the Acceptance of certain Territory Surrendered by the State of New South Wales to the Commonwealth</w:t>
      </w:r>
    </w:p>
    <w:p w:rsidR="007375B5" w:rsidRDefault="00975921">
      <w:pPr>
        <w:pStyle w:val="Preamble"/>
      </w:pPr>
      <w:r>
        <w:t>Preamble</w:t>
      </w:r>
    </w:p>
    <w:p w:rsidR="007375B5" w:rsidRDefault="00975921">
      <w:pPr>
        <w:pStyle w:val="Subsection"/>
      </w:pPr>
      <w:r>
        <w:tab/>
      </w:r>
      <w:r>
        <w:tab/>
        <w:t>WHEREAS the Commonwealth and the State of New South Wales (in this Act referred to as the State) have entered into an agreement, set out in the Schedule to this Act, for the surrender to and acceptance by the Commonwealth of the territory set out in the said agreement: And whereas it is desirable that the said agreement be ratified and confirmed and that the surrender of the territory be accepted by the Commonwealth: Be it therefore enacted by the King’s Most Excellent Majesty, the Senate, and the House of Representatives of the Commonwealth of Australia, as follows:</w:t>
      </w:r>
    </w:p>
    <w:p w:rsidR="007375B5" w:rsidRDefault="00975921">
      <w:pPr>
        <w:pStyle w:val="Heading5"/>
      </w:pPr>
      <w:bookmarkStart w:id="1" w:name="_Toc528384825"/>
      <w:r>
        <w:rPr>
          <w:rStyle w:val="CharSectno"/>
        </w:rPr>
        <w:t>1</w:t>
      </w:r>
      <w:r>
        <w:t xml:space="preserve">  Short title </w:t>
      </w:r>
      <w:r>
        <w:rPr>
          <w:b w:val="0"/>
          <w:bCs w:val="0"/>
          <w:sz w:val="18"/>
          <w:szCs w:val="18"/>
        </w:rPr>
        <w:t>[</w:t>
      </w:r>
      <w:r>
        <w:rPr>
          <w:b w:val="0"/>
          <w:bCs w:val="0"/>
          <w:i/>
          <w:iCs/>
          <w:sz w:val="18"/>
          <w:szCs w:val="18"/>
        </w:rPr>
        <w:t>see</w:t>
      </w:r>
      <w:r>
        <w:rPr>
          <w:b w:val="0"/>
          <w:bCs w:val="0"/>
          <w:sz w:val="18"/>
          <w:szCs w:val="18"/>
        </w:rPr>
        <w:t xml:space="preserve"> Note 1]</w:t>
      </w:r>
      <w:bookmarkEnd w:id="1"/>
    </w:p>
    <w:p w:rsidR="007375B5" w:rsidRDefault="00975921">
      <w:pPr>
        <w:pStyle w:val="Subsection"/>
      </w:pPr>
      <w:r>
        <w:tab/>
      </w:r>
      <w:r>
        <w:tab/>
        <w:t xml:space="preserve">This Act may be cited as the </w:t>
      </w:r>
      <w:r>
        <w:rPr>
          <w:i/>
          <w:iCs/>
        </w:rPr>
        <w:t>Jervis Bay Territory Acceptance Act 1915</w:t>
      </w:r>
      <w:r>
        <w:t>.</w:t>
      </w:r>
    </w:p>
    <w:p w:rsidR="007375B5" w:rsidRDefault="00975921">
      <w:pPr>
        <w:pStyle w:val="Heading5"/>
      </w:pPr>
      <w:bookmarkStart w:id="2" w:name="_Toc528384826"/>
      <w:r>
        <w:rPr>
          <w:rStyle w:val="CharSectno"/>
        </w:rPr>
        <w:t>2</w:t>
      </w:r>
      <w:r>
        <w:t xml:space="preserve">  Commencement </w:t>
      </w:r>
      <w:r>
        <w:rPr>
          <w:b w:val="0"/>
          <w:bCs w:val="0"/>
          <w:sz w:val="18"/>
          <w:szCs w:val="18"/>
        </w:rPr>
        <w:t>[</w:t>
      </w:r>
      <w:r>
        <w:rPr>
          <w:b w:val="0"/>
          <w:bCs w:val="0"/>
          <w:i/>
          <w:iCs/>
          <w:sz w:val="18"/>
          <w:szCs w:val="18"/>
        </w:rPr>
        <w:t xml:space="preserve">see </w:t>
      </w:r>
      <w:r>
        <w:rPr>
          <w:b w:val="0"/>
          <w:bCs w:val="0"/>
          <w:sz w:val="18"/>
          <w:szCs w:val="18"/>
        </w:rPr>
        <w:t>Notes 1 and 2]</w:t>
      </w:r>
      <w:bookmarkEnd w:id="2"/>
    </w:p>
    <w:p w:rsidR="007375B5" w:rsidRDefault="00975921">
      <w:pPr>
        <w:pStyle w:val="Subsection"/>
      </w:pPr>
      <w:r>
        <w:tab/>
      </w:r>
      <w:r>
        <w:tab/>
        <w:t>This Act shall commence on a day to be fixed by proclamation, after the Act passed by the Parliament of the State confirming the said agreement and surrendering the territory to the Commonwealth has been proclaimed by the Governor of the State to be in force.</w:t>
      </w:r>
    </w:p>
    <w:p w:rsidR="007375B5" w:rsidRDefault="00975921">
      <w:pPr>
        <w:pStyle w:val="Heading5"/>
      </w:pPr>
      <w:bookmarkStart w:id="3" w:name="_Toc528384827"/>
      <w:r>
        <w:rPr>
          <w:rStyle w:val="CharSectno"/>
        </w:rPr>
        <w:t>2A</w:t>
      </w:r>
      <w:r>
        <w:t xml:space="preserve">  Interpretation</w:t>
      </w:r>
      <w:bookmarkEnd w:id="3"/>
    </w:p>
    <w:p w:rsidR="007375B5" w:rsidRDefault="00975921">
      <w:pPr>
        <w:pStyle w:val="Subsection"/>
      </w:pPr>
      <w:r>
        <w:tab/>
      </w:r>
      <w:r>
        <w:tab/>
        <w:t>In this Act, unless the contrary intention appears:</w:t>
      </w:r>
    </w:p>
    <w:p w:rsidR="007375B5" w:rsidRDefault="00975921">
      <w:pPr>
        <w:pStyle w:val="Definition"/>
      </w:pPr>
      <w:r>
        <w:rPr>
          <w:b/>
          <w:bCs/>
          <w:i/>
          <w:iCs/>
        </w:rPr>
        <w:t>Act</w:t>
      </w:r>
      <w:r>
        <w:t xml:space="preserve"> does not include an enactment.</w:t>
      </w:r>
    </w:p>
    <w:p w:rsidR="007375B5" w:rsidRDefault="00975921">
      <w:pPr>
        <w:pStyle w:val="Definition"/>
      </w:pPr>
      <w:r>
        <w:rPr>
          <w:b/>
          <w:bCs/>
          <w:i/>
          <w:iCs/>
        </w:rPr>
        <w:t>enactment</w:t>
      </w:r>
      <w:r>
        <w:t xml:space="preserve"> has the same meaning as in the </w:t>
      </w:r>
      <w:r>
        <w:rPr>
          <w:i/>
          <w:iCs/>
        </w:rPr>
        <w:t>Australian Capital Territory (Self</w:t>
      </w:r>
      <w:r>
        <w:rPr>
          <w:i/>
          <w:iCs/>
        </w:rPr>
        <w:noBreakHyphen/>
        <w:t>Government) Act 1988</w:t>
      </w:r>
      <w:r>
        <w:t>.</w:t>
      </w:r>
    </w:p>
    <w:p w:rsidR="007375B5" w:rsidRDefault="00975921">
      <w:pPr>
        <w:pStyle w:val="Definition"/>
      </w:pPr>
      <w:r>
        <w:rPr>
          <w:b/>
          <w:bCs/>
          <w:i/>
          <w:iCs/>
        </w:rPr>
        <w:t>Ordinance</w:t>
      </w:r>
      <w:r>
        <w:t xml:space="preserve"> means an Ordinance made under this Act.</w:t>
      </w:r>
    </w:p>
    <w:p w:rsidR="007375B5" w:rsidRDefault="00975921">
      <w:pPr>
        <w:pStyle w:val="Definition"/>
      </w:pPr>
      <w:r>
        <w:rPr>
          <w:b/>
          <w:bCs/>
          <w:i/>
          <w:iCs/>
        </w:rPr>
        <w:t>Territory</w:t>
      </w:r>
      <w:r>
        <w:t xml:space="preserve"> means the Jervis Bay Territory.</w:t>
      </w:r>
    </w:p>
    <w:p w:rsidR="007375B5" w:rsidRDefault="00975921">
      <w:pPr>
        <w:pStyle w:val="Heading5"/>
      </w:pPr>
      <w:bookmarkStart w:id="4" w:name="_Toc528384828"/>
      <w:r>
        <w:rPr>
          <w:rStyle w:val="CharSectno"/>
        </w:rPr>
        <w:lastRenderedPageBreak/>
        <w:t>3</w:t>
      </w:r>
      <w:r>
        <w:t xml:space="preserve">  Ratification of agreement</w:t>
      </w:r>
      <w:bookmarkEnd w:id="4"/>
    </w:p>
    <w:p w:rsidR="007375B5" w:rsidRDefault="00975921">
      <w:pPr>
        <w:pStyle w:val="Subsection"/>
      </w:pPr>
      <w:r>
        <w:tab/>
      </w:r>
      <w:r>
        <w:tab/>
        <w:t>The agreement made between the Commonwealth and the State and set out in the Schedule to this Act is hereby ratified and confirmed.</w:t>
      </w:r>
    </w:p>
    <w:p w:rsidR="007375B5" w:rsidRDefault="00975921">
      <w:pPr>
        <w:pStyle w:val="Heading5"/>
      </w:pPr>
      <w:bookmarkStart w:id="5" w:name="_Toc528384829"/>
      <w:r>
        <w:rPr>
          <w:rStyle w:val="CharSectno"/>
        </w:rPr>
        <w:t>4</w:t>
      </w:r>
      <w:r>
        <w:t xml:space="preserve">  Acceptance of territory</w:t>
      </w:r>
      <w:bookmarkEnd w:id="5"/>
    </w:p>
    <w:p w:rsidR="007375B5" w:rsidRDefault="00975921">
      <w:pPr>
        <w:pStyle w:val="Subsection"/>
      </w:pPr>
      <w:r>
        <w:tab/>
        <w:t>(1)</w:t>
      </w:r>
      <w:r>
        <w:tab/>
        <w:t>Upon the commencement of this Act, the territory set out in the agreement and surrendered by the State to the Commonwealth shall be and is hereby accepted by the Commonwealth as a territory of the Commonwealth.</w:t>
      </w:r>
    </w:p>
    <w:p w:rsidR="007375B5" w:rsidRDefault="00975921">
      <w:pPr>
        <w:pStyle w:val="Subsection"/>
      </w:pPr>
      <w:r>
        <w:tab/>
        <w:t>(4)</w:t>
      </w:r>
      <w:r>
        <w:tab/>
        <w:t>The territory so accepted shall be known as the Jervis Bay Territory.</w:t>
      </w:r>
    </w:p>
    <w:p w:rsidR="007375B5" w:rsidRDefault="00975921">
      <w:pPr>
        <w:pStyle w:val="Heading5"/>
      </w:pPr>
      <w:bookmarkStart w:id="6" w:name="_Toc528384830"/>
      <w:r>
        <w:rPr>
          <w:rStyle w:val="CharSectno"/>
        </w:rPr>
        <w:t>4A</w:t>
      </w:r>
      <w:r>
        <w:t xml:space="preserve">  Laws of Australian Capital Territory to be in force</w:t>
      </w:r>
      <w:bookmarkEnd w:id="6"/>
    </w:p>
    <w:p w:rsidR="007375B5" w:rsidRDefault="00975921">
      <w:pPr>
        <w:pStyle w:val="Subsection"/>
      </w:pPr>
      <w:r>
        <w:tab/>
        <w:t>(1)</w:t>
      </w:r>
      <w:r>
        <w:tab/>
        <w:t>Subject to this Act, the laws (including the principles and rules of common law and equity) in force from time to time in the Australian Capital Territory are, so far as they are applicable to the Territory and are not inconsistent with an Ordinance, in force in the Territory as if the Territory formed part of the Australian Capital Territory.</w:t>
      </w:r>
    </w:p>
    <w:p w:rsidR="007375B5" w:rsidRDefault="00975921">
      <w:pPr>
        <w:pStyle w:val="Subsection"/>
      </w:pPr>
      <w:r>
        <w:tab/>
        <w:t>(2)</w:t>
      </w:r>
      <w:r>
        <w:tab/>
        <w:t>Subsection (1) extends to:</w:t>
      </w:r>
    </w:p>
    <w:p w:rsidR="007375B5" w:rsidRDefault="00975921">
      <w:pPr>
        <w:pStyle w:val="indenta"/>
      </w:pPr>
      <w:r>
        <w:tab/>
        <w:t>(a)</w:t>
      </w:r>
      <w:r>
        <w:tab/>
        <w:t xml:space="preserve">sections 6 and 7 of the </w:t>
      </w:r>
      <w:r>
        <w:rPr>
          <w:i/>
          <w:iCs/>
        </w:rPr>
        <w:t>Seat of Government Acceptance Act 1909</w:t>
      </w:r>
      <w:r>
        <w:t>; and</w:t>
      </w:r>
    </w:p>
    <w:p w:rsidR="007375B5" w:rsidRDefault="00975921">
      <w:pPr>
        <w:pStyle w:val="indenta"/>
        <w:keepNext/>
      </w:pPr>
      <w:r>
        <w:tab/>
        <w:t>(b)</w:t>
      </w:r>
      <w:r>
        <w:tab/>
        <w:t xml:space="preserve">the whole of the </w:t>
      </w:r>
      <w:r>
        <w:rPr>
          <w:i/>
          <w:iCs/>
        </w:rPr>
        <w:t xml:space="preserve">Seat of Government (Administration) Act 1910 </w:t>
      </w:r>
      <w:r>
        <w:t>except sections 9 and 12 of that Act;</w:t>
      </w:r>
    </w:p>
    <w:p w:rsidR="007375B5" w:rsidRDefault="00975921">
      <w:pPr>
        <w:pStyle w:val="subsection2"/>
      </w:pPr>
      <w:r>
        <w:t>but does not extend to any other Act or provision of an Act.</w:t>
      </w:r>
    </w:p>
    <w:p w:rsidR="007375B5" w:rsidRDefault="00975921">
      <w:pPr>
        <w:pStyle w:val="Heading5"/>
        <w:rPr>
          <w:b w:val="0"/>
          <w:bCs w:val="0"/>
        </w:rPr>
      </w:pPr>
      <w:bookmarkStart w:id="7" w:name="_Toc528384831"/>
      <w:r>
        <w:rPr>
          <w:rStyle w:val="CharSectno"/>
        </w:rPr>
        <w:t>4AA</w:t>
      </w:r>
      <w:r>
        <w:t xml:space="preserve">  </w:t>
      </w:r>
      <w:r>
        <w:rPr>
          <w:i/>
          <w:iCs/>
        </w:rPr>
        <w:t xml:space="preserve">Criminal Code </w:t>
      </w:r>
      <w:r>
        <w:t>does not apply</w:t>
      </w:r>
      <w:bookmarkEnd w:id="7"/>
    </w:p>
    <w:p w:rsidR="007375B5" w:rsidRDefault="00975921">
      <w:pPr>
        <w:pStyle w:val="Subsection"/>
      </w:pPr>
      <w:r>
        <w:tab/>
      </w:r>
      <w:r>
        <w:tab/>
        <w:t xml:space="preserve">Chapter 2 of the </w:t>
      </w:r>
      <w:r>
        <w:rPr>
          <w:i/>
          <w:iCs/>
        </w:rPr>
        <w:t>Criminal Code</w:t>
      </w:r>
      <w:r>
        <w:t xml:space="preserve"> does not apply in relation to, or in relation to matters arising under, a law in force in the Territory because of section 4A.</w:t>
      </w:r>
    </w:p>
    <w:p w:rsidR="007375B5" w:rsidRDefault="00975921">
      <w:pPr>
        <w:pStyle w:val="Heading5"/>
      </w:pPr>
      <w:bookmarkStart w:id="8" w:name="_Toc528384832"/>
      <w:r>
        <w:rPr>
          <w:rStyle w:val="CharSectno"/>
        </w:rPr>
        <w:t>4B</w:t>
      </w:r>
      <w:r>
        <w:t xml:space="preserve">  Powers and functions under adopted laws</w:t>
      </w:r>
      <w:bookmarkEnd w:id="8"/>
    </w:p>
    <w:p w:rsidR="007375B5" w:rsidRDefault="00975921">
      <w:pPr>
        <w:pStyle w:val="Subsection"/>
      </w:pPr>
      <w:r>
        <w:tab/>
        <w:t>(1)</w:t>
      </w:r>
      <w:r>
        <w:tab/>
        <w:t xml:space="preserve">Subject to subsection (2), where, by a law of the Australian Capital Territory in force in the Territory because of section 4A, a power </w:t>
      </w:r>
      <w:r>
        <w:lastRenderedPageBreak/>
        <w:t>or function is vested in a person or authority (not being a court), that power or function is, in relation to the Territory, vested in, and may be exercised or performed by, that person or authority.</w:t>
      </w:r>
    </w:p>
    <w:p w:rsidR="007375B5" w:rsidRDefault="00975921">
      <w:pPr>
        <w:pStyle w:val="Subsection"/>
      </w:pPr>
      <w:r>
        <w:tab/>
        <w:t>(2)</w:t>
      </w:r>
      <w:r>
        <w:tab/>
        <w:t>The Governor</w:t>
      </w:r>
      <w:r>
        <w:noBreakHyphen/>
        <w:t>General may direct that a power or function vested in a person or authority (not being a court) by a law of the Australian Capital Territory in force in the Territory because of section 4A shall, in relation to the Territory, be vested in, and may be exercised or performed by, such other person or authority as the Governor</w:t>
      </w:r>
      <w:r>
        <w:noBreakHyphen/>
        <w:t>General specifies.</w:t>
      </w:r>
    </w:p>
    <w:p w:rsidR="007375B5" w:rsidRDefault="00975921">
      <w:pPr>
        <w:pStyle w:val="Heading5"/>
      </w:pPr>
      <w:bookmarkStart w:id="9" w:name="_Toc528384833"/>
      <w:r>
        <w:rPr>
          <w:rStyle w:val="CharSectno"/>
        </w:rPr>
        <w:t>4C</w:t>
      </w:r>
      <w:r>
        <w:t xml:space="preserve">  Ordinance may amend or repeal adopted laws</w:t>
      </w:r>
      <w:bookmarkEnd w:id="9"/>
    </w:p>
    <w:p w:rsidR="007375B5" w:rsidRDefault="00975921">
      <w:pPr>
        <w:pStyle w:val="Subsection"/>
      </w:pPr>
      <w:r>
        <w:tab/>
      </w:r>
      <w:r>
        <w:tab/>
        <w:t>A law in force in the Territory because of section 4A may be amended or repealed by an Ordinance or by a law made under an Ordinance.</w:t>
      </w:r>
    </w:p>
    <w:p w:rsidR="007375B5" w:rsidRDefault="00975921">
      <w:pPr>
        <w:pStyle w:val="Heading5"/>
      </w:pPr>
      <w:bookmarkStart w:id="10" w:name="_Toc528384834"/>
      <w:r>
        <w:rPr>
          <w:rStyle w:val="CharSectno"/>
        </w:rPr>
        <w:t>4D</w:t>
      </w:r>
      <w:r>
        <w:t xml:space="preserve">  Supreme Court of Australian Capital Territory to have jurisdiction in Territory</w:t>
      </w:r>
      <w:bookmarkEnd w:id="10"/>
    </w:p>
    <w:p w:rsidR="007375B5" w:rsidRDefault="00975921">
      <w:pPr>
        <w:pStyle w:val="Subsection"/>
      </w:pPr>
      <w:r>
        <w:tab/>
        <w:t>(1)</w:t>
      </w:r>
      <w:r>
        <w:tab/>
        <w:t xml:space="preserve">Each court of the Australian Capital Territory has jurisdiction in and in relation to the Territory, and the </w:t>
      </w:r>
      <w:r>
        <w:rPr>
          <w:i/>
          <w:iCs/>
        </w:rPr>
        <w:t xml:space="preserve">Australian Capital Territory Supreme Court Act 1933 </w:t>
      </w:r>
      <w:r>
        <w:t>and the practice and procedure of each such court for the time being in force apply in the Territory as if the Territory formed part of the Australian Capital Territory.</w:t>
      </w:r>
    </w:p>
    <w:p w:rsidR="007375B5" w:rsidRDefault="00975921">
      <w:pPr>
        <w:pStyle w:val="Subsection"/>
      </w:pPr>
      <w:r>
        <w:tab/>
        <w:t>(2)</w:t>
      </w:r>
      <w:r>
        <w:tab/>
        <w:t xml:space="preserve">For the purposes of subsection (1), a reference in the </w:t>
      </w:r>
      <w:r>
        <w:rPr>
          <w:i/>
          <w:iCs/>
        </w:rPr>
        <w:t xml:space="preserve">Australian Capital Territory Supreme Court Act 1933 </w:t>
      </w:r>
      <w:r>
        <w:t>to an Ordinance or enactment is a reference to an Ordinance or enactment, as the case may be, in force under this Act.</w:t>
      </w:r>
    </w:p>
    <w:p w:rsidR="007375B5" w:rsidRDefault="00975921">
      <w:pPr>
        <w:pStyle w:val="Heading5"/>
      </w:pPr>
      <w:bookmarkStart w:id="11" w:name="_Toc528384835"/>
      <w:r>
        <w:rPr>
          <w:rStyle w:val="CharSectno"/>
        </w:rPr>
        <w:t>4E</w:t>
      </w:r>
      <w:r>
        <w:t xml:space="preserve">  Supply of water or electricity to persons outside the Territory</w:t>
      </w:r>
      <w:bookmarkEnd w:id="11"/>
    </w:p>
    <w:p w:rsidR="007375B5" w:rsidRDefault="00975921">
      <w:pPr>
        <w:pStyle w:val="Subsection"/>
      </w:pPr>
      <w:r>
        <w:tab/>
      </w:r>
      <w:r>
        <w:tab/>
        <w:t>The Minister may, on such terms and conditions as are agreed upon, supply water or electricity from the Territory to any person outside the Territory.</w:t>
      </w:r>
    </w:p>
    <w:p w:rsidR="007375B5" w:rsidRDefault="00975921">
      <w:pPr>
        <w:pStyle w:val="Heading5"/>
      </w:pPr>
      <w:bookmarkStart w:id="12" w:name="_Toc528384836"/>
      <w:r>
        <w:rPr>
          <w:rStyle w:val="CharSectno"/>
        </w:rPr>
        <w:t>4F</w:t>
      </w:r>
      <w:r>
        <w:t xml:space="preserve">  Ordinances</w:t>
      </w:r>
      <w:bookmarkEnd w:id="12"/>
    </w:p>
    <w:p w:rsidR="007375B5" w:rsidRDefault="00975921">
      <w:pPr>
        <w:pStyle w:val="Subsection"/>
      </w:pPr>
      <w:r>
        <w:tab/>
        <w:t>(1)</w:t>
      </w:r>
      <w:r>
        <w:tab/>
        <w:t>The Governor</w:t>
      </w:r>
      <w:r>
        <w:noBreakHyphen/>
        <w:t>General may make Ordinances for the peace, order and good government of the Territory.</w:t>
      </w:r>
    </w:p>
    <w:p w:rsidR="007375B5" w:rsidRDefault="00975921">
      <w:pPr>
        <w:pStyle w:val="Subsection"/>
      </w:pPr>
      <w:r>
        <w:lastRenderedPageBreak/>
        <w:tab/>
        <w:t>(2)</w:t>
      </w:r>
      <w:r>
        <w:tab/>
        <w:t xml:space="preserve">Notice of the making of an Ordinance shall be published in the </w:t>
      </w:r>
      <w:r>
        <w:rPr>
          <w:i/>
          <w:iCs/>
        </w:rPr>
        <w:t>Gazette</w:t>
      </w:r>
      <w:r>
        <w:t>, and an Ordinance shall, unless the contrary intention appears in the Ordinance, come into operation on the date of publication of the notice.</w:t>
      </w:r>
    </w:p>
    <w:p w:rsidR="007375B5" w:rsidRDefault="00975921">
      <w:pPr>
        <w:pStyle w:val="Heading5"/>
      </w:pPr>
      <w:bookmarkStart w:id="13" w:name="_Toc528384837"/>
      <w:r>
        <w:rPr>
          <w:rStyle w:val="CharSectno"/>
        </w:rPr>
        <w:t>4G</w:t>
      </w:r>
      <w:r>
        <w:t xml:space="preserve">  Tabling of Ordinances in Parliament</w:t>
      </w:r>
      <w:bookmarkEnd w:id="13"/>
    </w:p>
    <w:p w:rsidR="007375B5" w:rsidRDefault="00975921">
      <w:pPr>
        <w:pStyle w:val="Subsection"/>
      </w:pPr>
      <w:r>
        <w:tab/>
        <w:t>(1)</w:t>
      </w:r>
      <w:r>
        <w:tab/>
        <w:t>An Ordinance shall be laid before each House of the Parliament within 15 sitting days of that House after the making of the Ordinance, and, if it is not so laid before each House of the Parliament, ceases to have effect.</w:t>
      </w:r>
    </w:p>
    <w:p w:rsidR="007375B5" w:rsidRDefault="00975921">
      <w:pPr>
        <w:pStyle w:val="Subsection"/>
      </w:pPr>
      <w:r>
        <w:tab/>
        <w:t>(2)</w:t>
      </w:r>
      <w:r>
        <w:tab/>
        <w:t>If either House of the Parliament, in pursuance of a motion of which notice has been given within 15 sitting days after an Ordinance has been laid before that House, passes a resolution disallowing the Ordinance or a part of the Ordinance, the Ordinance or part so disallowed thereupon ceases to have effect.</w:t>
      </w:r>
    </w:p>
    <w:p w:rsidR="007375B5" w:rsidRDefault="00975921">
      <w:pPr>
        <w:pStyle w:val="Subsection"/>
      </w:pPr>
      <w:r>
        <w:tab/>
        <w:t>(3)</w:t>
      </w:r>
      <w:r>
        <w:tab/>
        <w:t>If, at the expiration of 15 sitting days after notice of a motion to disallow an Ordinance or part of an Ordinance has been given in a House of the Parliament, being notice given within 15 sitting days after the Ordinance has been laid before that House:</w:t>
      </w:r>
    </w:p>
    <w:p w:rsidR="007375B5" w:rsidRDefault="00975921">
      <w:pPr>
        <w:pStyle w:val="indenta"/>
      </w:pPr>
      <w:r>
        <w:tab/>
        <w:t>(a)</w:t>
      </w:r>
      <w:r>
        <w:tab/>
        <w:t>the notice has not been withdrawn and the motion has not been called on; or</w:t>
      </w:r>
    </w:p>
    <w:p w:rsidR="007375B5" w:rsidRDefault="00975921">
      <w:pPr>
        <w:pStyle w:val="indenta"/>
        <w:keepNext/>
      </w:pPr>
      <w:r>
        <w:tab/>
        <w:t>(b)</w:t>
      </w:r>
      <w:r>
        <w:tab/>
        <w:t>the motion has been called on, moved and seconded and has not been withdrawn or otherwise disposed of;</w:t>
      </w:r>
    </w:p>
    <w:p w:rsidR="007375B5" w:rsidRDefault="00975921">
      <w:pPr>
        <w:pStyle w:val="subsection2"/>
      </w:pPr>
      <w:r>
        <w:t>the Ordinance or part, as the case may be, specified in the motion shall thereupon be deemed to have been disallowed.</w:t>
      </w:r>
    </w:p>
    <w:p w:rsidR="007375B5" w:rsidRDefault="00975921">
      <w:pPr>
        <w:pStyle w:val="Subsection"/>
      </w:pPr>
      <w:r>
        <w:tab/>
        <w:t>(4)</w:t>
      </w:r>
      <w:r>
        <w:tab/>
        <w:t>If, before the expiration of 15 sitting days after notice of a motion to disallow an Ordinance or part of an Ordinance has been given in a House of the Parliament:</w:t>
      </w:r>
    </w:p>
    <w:p w:rsidR="007375B5" w:rsidRDefault="00975921">
      <w:pPr>
        <w:pStyle w:val="indenta"/>
      </w:pPr>
      <w:r>
        <w:tab/>
        <w:t>(a)</w:t>
      </w:r>
      <w:r>
        <w:tab/>
        <w:t>the House of Representatives is dissolved or expires, or the Parliament is prorogued; and</w:t>
      </w:r>
    </w:p>
    <w:p w:rsidR="007375B5" w:rsidRDefault="00975921">
      <w:pPr>
        <w:pStyle w:val="indenta"/>
      </w:pPr>
      <w:r>
        <w:tab/>
        <w:t>(b)</w:t>
      </w:r>
      <w:r>
        <w:tab/>
        <w:t>at the time of the dissolution, expiry or prorogation, as the case may be:</w:t>
      </w:r>
    </w:p>
    <w:p w:rsidR="007375B5" w:rsidRDefault="00975921">
      <w:pPr>
        <w:pStyle w:val="indentii"/>
      </w:pPr>
      <w:r>
        <w:tab/>
        <w:t>(i)</w:t>
      </w:r>
      <w:r>
        <w:tab/>
        <w:t>the notice has not been withdrawn and the motion has not been called on; or</w:t>
      </w:r>
    </w:p>
    <w:p w:rsidR="007375B5" w:rsidRDefault="00975921">
      <w:pPr>
        <w:pStyle w:val="indentii"/>
        <w:keepNext/>
      </w:pPr>
      <w:r>
        <w:lastRenderedPageBreak/>
        <w:tab/>
        <w:t>(ii)</w:t>
      </w:r>
      <w:r>
        <w:tab/>
        <w:t>the motion has been called on, moved and seconded and has not been withdrawn or otherwise disposed of;</w:t>
      </w:r>
    </w:p>
    <w:p w:rsidR="007375B5" w:rsidRDefault="00975921">
      <w:pPr>
        <w:pStyle w:val="subsection2"/>
      </w:pPr>
      <w:r>
        <w:t>the Ordinance shall, for the purposes of subsections (2) and (3), be deemed to have been laid before that first</w:t>
      </w:r>
      <w:r>
        <w:noBreakHyphen/>
        <w:t>mentioned House on the first sitting day of that first</w:t>
      </w:r>
      <w:r>
        <w:noBreakHyphen/>
        <w:t>mentioned House after the dissolution, expiry or prorogation, as the case may be.</w:t>
      </w:r>
    </w:p>
    <w:p w:rsidR="007375B5" w:rsidRDefault="00975921">
      <w:pPr>
        <w:pStyle w:val="Subsection"/>
      </w:pPr>
      <w:r>
        <w:tab/>
        <w:t>(5)</w:t>
      </w:r>
      <w:r>
        <w:tab/>
        <w:t>Where an Ordinance is disallowed, or is deemed to have been disallowed, under this section or ceases to have effect by virtue of the operation of subsection (1), the disallowance of the Ordinance or the operation of subsection (1) in relation to the Ordinance, as the case may be, has the same effect as a repeal of the Ordinance.</w:t>
      </w:r>
    </w:p>
    <w:p w:rsidR="007375B5" w:rsidRDefault="00975921">
      <w:pPr>
        <w:pStyle w:val="Subsection"/>
      </w:pPr>
      <w:r>
        <w:tab/>
        <w:t>(6)</w:t>
      </w:r>
      <w:r>
        <w:tab/>
        <w:t>Where:</w:t>
      </w:r>
    </w:p>
    <w:p w:rsidR="007375B5" w:rsidRDefault="00975921">
      <w:pPr>
        <w:pStyle w:val="indenta"/>
      </w:pPr>
      <w:r>
        <w:tab/>
        <w:t>(a)</w:t>
      </w:r>
      <w:r>
        <w:tab/>
        <w:t xml:space="preserve">an Ordinance (in this subsection called the </w:t>
      </w:r>
      <w:r>
        <w:rPr>
          <w:b/>
          <w:bCs/>
          <w:i/>
          <w:iCs/>
        </w:rPr>
        <w:t>relevant Ordinance</w:t>
      </w:r>
      <w:r>
        <w:t>) is disallowed, or is deemed to have been disallowed, under this section or ceases to have effect by virtue of the operation of subsection (1); and</w:t>
      </w:r>
    </w:p>
    <w:p w:rsidR="007375B5" w:rsidRDefault="00975921">
      <w:pPr>
        <w:pStyle w:val="indenta"/>
        <w:keepNext/>
      </w:pPr>
      <w:r>
        <w:tab/>
        <w:t>(b)</w:t>
      </w:r>
      <w:r>
        <w:tab/>
        <w:t>the relevant Ordinance repealed, in whole or in part, another Ordinance or any other law that was in force immediately before the relevant Ordinance came into operation;</w:t>
      </w:r>
    </w:p>
    <w:p w:rsidR="007375B5" w:rsidRDefault="00975921">
      <w:pPr>
        <w:pStyle w:val="subsection2"/>
      </w:pPr>
      <w:r>
        <w:t>the disallowance of the relevant Ordinance or the operation of subsection (1) in relation to the relevant Ordinance, as the case may be, has the effect of reviving that other Ordinance or law, as the case may be, from and including the date of the disallowance or the date on which the relevant Ordinance ceased to have effect by virtue of that operation of subsection (1), as the case may be, as if the relevant Ordinance had not been made.</w:t>
      </w:r>
    </w:p>
    <w:p w:rsidR="007375B5" w:rsidRDefault="00975921">
      <w:pPr>
        <w:pStyle w:val="Subsection"/>
      </w:pPr>
      <w:r>
        <w:tab/>
        <w:t>(7)</w:t>
      </w:r>
      <w:r>
        <w:tab/>
        <w:t>A reference in subsection (5) or (6) to an Ordinance shall be read as including a reference to a part of an Ordinance and a reference in subsection (6) to a law has a corresponding meaning.</w:t>
      </w:r>
    </w:p>
    <w:p w:rsidR="007375B5" w:rsidRDefault="00975921">
      <w:pPr>
        <w:pStyle w:val="Heading5"/>
      </w:pPr>
      <w:bookmarkStart w:id="14" w:name="_Toc528384838"/>
      <w:r>
        <w:rPr>
          <w:rStyle w:val="CharSectno"/>
        </w:rPr>
        <w:t>4H</w:t>
      </w:r>
      <w:r>
        <w:t xml:space="preserve">  Ordinance not to be re</w:t>
      </w:r>
      <w:r>
        <w:noBreakHyphen/>
        <w:t>made while required to be tabled</w:t>
      </w:r>
      <w:bookmarkEnd w:id="14"/>
    </w:p>
    <w:p w:rsidR="007375B5" w:rsidRDefault="00975921">
      <w:pPr>
        <w:pStyle w:val="Subsection"/>
      </w:pPr>
      <w:r>
        <w:tab/>
        <w:t>(1)</w:t>
      </w:r>
      <w:r>
        <w:tab/>
        <w:t xml:space="preserve">Where an Ordinance (in this section called the </w:t>
      </w:r>
      <w:r>
        <w:rPr>
          <w:b/>
          <w:bCs/>
          <w:i/>
          <w:iCs/>
        </w:rPr>
        <w:t>original Ordinance</w:t>
      </w:r>
      <w:r>
        <w:t xml:space="preserve">) has been made, no Ordinance containing a provision being the same in substance as a provision of the original Ordinance shall be made during the period defined by subsection (2) unless both Houses of the Parliament by resolution approve the making of an </w:t>
      </w:r>
      <w:r>
        <w:lastRenderedPageBreak/>
        <w:t>Ordinance containing a provision the same in substance as that provision of the original Ordinance.</w:t>
      </w:r>
    </w:p>
    <w:p w:rsidR="007375B5" w:rsidRDefault="00975921">
      <w:pPr>
        <w:pStyle w:val="Subsection"/>
      </w:pPr>
      <w:r>
        <w:tab/>
        <w:t>(2)</w:t>
      </w:r>
      <w:r>
        <w:tab/>
        <w:t>The period referred to in subsection (1) is the period starting on the day on which the original Ordinance was made and ending at the end of 7 days after:</w:t>
      </w:r>
    </w:p>
    <w:p w:rsidR="007375B5" w:rsidRDefault="00975921">
      <w:pPr>
        <w:pStyle w:val="indenta"/>
      </w:pPr>
      <w:r>
        <w:tab/>
        <w:t>(a)</w:t>
      </w:r>
      <w:r>
        <w:tab/>
        <w:t>if the original Ordinance has been laid, in accordance with subsection 4G(1), before both Houses of the Parliament on the same day—that day;</w:t>
      </w:r>
    </w:p>
    <w:p w:rsidR="007375B5" w:rsidRDefault="00975921">
      <w:pPr>
        <w:pStyle w:val="indenta"/>
      </w:pPr>
      <w:r>
        <w:tab/>
        <w:t>(b)</w:t>
      </w:r>
      <w:r>
        <w:tab/>
        <w:t>if the original Ordinance has been so laid before both Houses on different days—the later of those days; or</w:t>
      </w:r>
    </w:p>
    <w:p w:rsidR="007375B5" w:rsidRDefault="00975921">
      <w:pPr>
        <w:pStyle w:val="indenta"/>
      </w:pPr>
      <w:r>
        <w:tab/>
        <w:t>(c)</w:t>
      </w:r>
      <w:r>
        <w:tab/>
        <w:t>if the original Ordinance has not been so laid before both Houses—the last day on which subsection 4G(1) could have been complied with.</w:t>
      </w:r>
    </w:p>
    <w:p w:rsidR="007375B5" w:rsidRDefault="00975921">
      <w:pPr>
        <w:pStyle w:val="Subsection"/>
      </w:pPr>
      <w:r>
        <w:tab/>
        <w:t>(3)</w:t>
      </w:r>
      <w:r>
        <w:tab/>
        <w:t>If a provision of an Ordinance is made in contravention of this section, the provision has no effect.</w:t>
      </w:r>
    </w:p>
    <w:p w:rsidR="007375B5" w:rsidRDefault="00975921">
      <w:pPr>
        <w:pStyle w:val="Heading5"/>
      </w:pPr>
      <w:bookmarkStart w:id="15" w:name="_Toc528384839"/>
      <w:r>
        <w:rPr>
          <w:rStyle w:val="CharSectno"/>
        </w:rPr>
        <w:t>4J</w:t>
      </w:r>
      <w:r>
        <w:t xml:space="preserve">  Ordinance not to be re</w:t>
      </w:r>
      <w:r>
        <w:noBreakHyphen/>
        <w:t>made while subject to disallowance</w:t>
      </w:r>
      <w:bookmarkEnd w:id="15"/>
    </w:p>
    <w:p w:rsidR="007375B5" w:rsidRDefault="00975921">
      <w:pPr>
        <w:pStyle w:val="Subsection"/>
      </w:pPr>
      <w:r>
        <w:tab/>
        <w:t>(1)</w:t>
      </w:r>
      <w:r>
        <w:tab/>
        <w:t>Where notice of a motion to disallow an Ordinance has been given in a House of the Parliament within 15 sitting days after the Ordinance has been laid before that House, no Ordinance containing a provision being the same in substance as a provision of the first</w:t>
      </w:r>
      <w:r>
        <w:noBreakHyphen/>
        <w:t>mentioned Ordinance shall be made unless:</w:t>
      </w:r>
    </w:p>
    <w:p w:rsidR="007375B5" w:rsidRDefault="00975921">
      <w:pPr>
        <w:pStyle w:val="indenta"/>
      </w:pPr>
      <w:r>
        <w:tab/>
        <w:t>(a)</w:t>
      </w:r>
      <w:r>
        <w:tab/>
        <w:t>the notice has been withdrawn;</w:t>
      </w:r>
    </w:p>
    <w:p w:rsidR="007375B5" w:rsidRDefault="00975921">
      <w:pPr>
        <w:pStyle w:val="indenta"/>
      </w:pPr>
      <w:r>
        <w:tab/>
        <w:t>(b)</w:t>
      </w:r>
      <w:r>
        <w:tab/>
        <w:t>the Ordinance is deemed to have been disallowed under subsection 4G(3);</w:t>
      </w:r>
    </w:p>
    <w:p w:rsidR="007375B5" w:rsidRDefault="00975921">
      <w:pPr>
        <w:pStyle w:val="indenta"/>
      </w:pPr>
      <w:r>
        <w:tab/>
        <w:t>(c)</w:t>
      </w:r>
      <w:r>
        <w:tab/>
        <w:t>the motion has been withdrawn or otherwise disposed of; or</w:t>
      </w:r>
    </w:p>
    <w:p w:rsidR="007375B5" w:rsidRDefault="00975921">
      <w:pPr>
        <w:pStyle w:val="indenta"/>
      </w:pPr>
      <w:r>
        <w:tab/>
        <w:t>(d)</w:t>
      </w:r>
      <w:r>
        <w:tab/>
        <w:t>subsection 4G(4) has applied in relation to the Ordinance.</w:t>
      </w:r>
    </w:p>
    <w:p w:rsidR="007375B5" w:rsidRDefault="00975921">
      <w:pPr>
        <w:pStyle w:val="Subsection"/>
      </w:pPr>
      <w:r>
        <w:tab/>
        <w:t>(2)</w:t>
      </w:r>
      <w:r>
        <w:tab/>
        <w:t>Where:</w:t>
      </w:r>
    </w:p>
    <w:p w:rsidR="007375B5" w:rsidRDefault="00975921">
      <w:pPr>
        <w:pStyle w:val="indenta"/>
      </w:pPr>
      <w:r>
        <w:tab/>
        <w:t>(a)</w:t>
      </w:r>
      <w:r>
        <w:tab/>
        <w:t>because of subsection 4G(4), an Ordinance is deemed to have been laid before a House of the Parliament on a particular day; and</w:t>
      </w:r>
    </w:p>
    <w:p w:rsidR="007375B5" w:rsidRDefault="00975921">
      <w:pPr>
        <w:pStyle w:val="indenta"/>
        <w:keepNext/>
      </w:pPr>
      <w:r>
        <w:tab/>
        <w:t>(b)</w:t>
      </w:r>
      <w:r>
        <w:tab/>
        <w:t>notice of a motion to disallow the Ordinance has been given in that House within 15 sitting days after that day;</w:t>
      </w:r>
    </w:p>
    <w:p w:rsidR="007375B5" w:rsidRDefault="00975921">
      <w:pPr>
        <w:pStyle w:val="subsection2"/>
      </w:pPr>
      <w:r>
        <w:t>no Ordinance containing a provision being the same in substance as a provision of the first</w:t>
      </w:r>
      <w:r>
        <w:noBreakHyphen/>
        <w:t>mentioned Ordinance shall be made unless:</w:t>
      </w:r>
    </w:p>
    <w:p w:rsidR="007375B5" w:rsidRDefault="00975921">
      <w:pPr>
        <w:pStyle w:val="indenta"/>
      </w:pPr>
      <w:r>
        <w:lastRenderedPageBreak/>
        <w:tab/>
        <w:t>(c)</w:t>
      </w:r>
      <w:r>
        <w:tab/>
        <w:t>the notice has been withdrawn;</w:t>
      </w:r>
    </w:p>
    <w:p w:rsidR="007375B5" w:rsidRDefault="00975921">
      <w:pPr>
        <w:pStyle w:val="indenta"/>
      </w:pPr>
      <w:r>
        <w:tab/>
        <w:t>(d)</w:t>
      </w:r>
      <w:r>
        <w:tab/>
        <w:t>the Ordinance is deemed to have been disallowed under subsection 4G(3);</w:t>
      </w:r>
    </w:p>
    <w:p w:rsidR="007375B5" w:rsidRDefault="00975921">
      <w:pPr>
        <w:pStyle w:val="indenta"/>
      </w:pPr>
      <w:r>
        <w:tab/>
        <w:t>(e)</w:t>
      </w:r>
      <w:r>
        <w:tab/>
        <w:t>the motion has been withdrawn or otherwise disposed of; or</w:t>
      </w:r>
    </w:p>
    <w:p w:rsidR="007375B5" w:rsidRDefault="00975921">
      <w:pPr>
        <w:pStyle w:val="indenta"/>
      </w:pPr>
      <w:r>
        <w:tab/>
        <w:t>(f)</w:t>
      </w:r>
      <w:r>
        <w:tab/>
        <w:t>subsection 4G(4) has applied again in relation to the Ordinance.</w:t>
      </w:r>
    </w:p>
    <w:p w:rsidR="007375B5" w:rsidRDefault="00975921">
      <w:pPr>
        <w:pStyle w:val="Subsection"/>
      </w:pPr>
      <w:r>
        <w:tab/>
        <w:t>(3)</w:t>
      </w:r>
      <w:r>
        <w:tab/>
        <w:t>If a provision of an Ordinance is made in contravention of this section, the provision has no effect.</w:t>
      </w:r>
    </w:p>
    <w:p w:rsidR="007375B5" w:rsidRDefault="00975921">
      <w:pPr>
        <w:pStyle w:val="Subsection"/>
      </w:pPr>
      <w:r>
        <w:tab/>
        <w:t>(4)</w:t>
      </w:r>
      <w:r>
        <w:tab/>
        <w:t>This section does not limit the operation of section 4H or 4K.</w:t>
      </w:r>
    </w:p>
    <w:p w:rsidR="007375B5" w:rsidRDefault="00975921">
      <w:pPr>
        <w:pStyle w:val="Subsection"/>
      </w:pPr>
      <w:r>
        <w:tab/>
        <w:t>(5)</w:t>
      </w:r>
      <w:r>
        <w:tab/>
        <w:t>In this section:</w:t>
      </w:r>
    </w:p>
    <w:p w:rsidR="007375B5" w:rsidRDefault="00975921">
      <w:pPr>
        <w:pStyle w:val="Definition"/>
      </w:pPr>
      <w:r>
        <w:rPr>
          <w:b/>
          <w:bCs/>
          <w:i/>
          <w:iCs/>
        </w:rPr>
        <w:t>Ordinance</w:t>
      </w:r>
      <w:r>
        <w:t xml:space="preserve"> includes a part of an Ordinance.</w:t>
      </w:r>
    </w:p>
    <w:p w:rsidR="007375B5" w:rsidRDefault="00975921">
      <w:pPr>
        <w:pStyle w:val="Heading5"/>
      </w:pPr>
      <w:bookmarkStart w:id="16" w:name="_Toc528384840"/>
      <w:r>
        <w:rPr>
          <w:rStyle w:val="CharSectno"/>
        </w:rPr>
        <w:t>4K</w:t>
      </w:r>
      <w:r>
        <w:t xml:space="preserve">  Disallowed Ordinance not to be re</w:t>
      </w:r>
      <w:r>
        <w:noBreakHyphen/>
        <w:t>made unless resolution rescinded or House approves</w:t>
      </w:r>
      <w:bookmarkEnd w:id="16"/>
    </w:p>
    <w:p w:rsidR="007375B5" w:rsidRDefault="00975921">
      <w:pPr>
        <w:pStyle w:val="Subsection"/>
      </w:pPr>
      <w:r>
        <w:tab/>
      </w:r>
      <w:r>
        <w:tab/>
        <w:t>If an Ordinance or a part of an Ordinance is disallowed, or is deemed to have been disallowed, under section 4G, and an Ordinance containing a provision being the same in substance as a provision so disallowed, or deemed to have been disallowed, is made within 6 months after the date of the disallowance, that provision has no effect, unless:</w:t>
      </w:r>
    </w:p>
    <w:p w:rsidR="007375B5" w:rsidRDefault="00975921">
      <w:pPr>
        <w:pStyle w:val="indenta"/>
      </w:pPr>
      <w:r>
        <w:tab/>
        <w:t>(a)</w:t>
      </w:r>
      <w:r>
        <w:tab/>
        <w:t>in the case of an Ordinance, or a part of an Ordinance, disallowed by resolution—the resolution has been rescinded by the House of the Parliament by which it was passed; or</w:t>
      </w:r>
    </w:p>
    <w:p w:rsidR="007375B5" w:rsidRDefault="00975921">
      <w:pPr>
        <w:pStyle w:val="indenta"/>
      </w:pPr>
      <w:r>
        <w:tab/>
        <w:t>(b)</w:t>
      </w:r>
      <w:r>
        <w:tab/>
        <w:t>in the case of an Ordinance, or a part of an Ordinance, deemed to have been disallowed—the House of the Parliament in which notice of the motion to disallow the Ordinance or part was given has approved, by resolution, the making of a provision the same in substance as the provision deemed to have been disallowed.</w:t>
      </w:r>
    </w:p>
    <w:p w:rsidR="007375B5" w:rsidRDefault="00975921">
      <w:pPr>
        <w:pStyle w:val="Heading5"/>
      </w:pPr>
      <w:bookmarkStart w:id="17" w:name="_Toc528384841"/>
      <w:r>
        <w:rPr>
          <w:rStyle w:val="CharSectno"/>
        </w:rPr>
        <w:t>4L</w:t>
      </w:r>
      <w:r>
        <w:t xml:space="preserve">  Regulations, rules and by</w:t>
      </w:r>
      <w:r>
        <w:noBreakHyphen/>
        <w:t>laws</w:t>
      </w:r>
      <w:bookmarkEnd w:id="17"/>
    </w:p>
    <w:p w:rsidR="007375B5" w:rsidRDefault="00975921">
      <w:pPr>
        <w:pStyle w:val="Subsection"/>
      </w:pPr>
      <w:r>
        <w:tab/>
        <w:t>(1)</w:t>
      </w:r>
      <w:r>
        <w:tab/>
        <w:t>All regulations made under an Ordinance shall be laid before each House of the Parliament within 15 sitting days of that House after the day on which the regulations are made and, if they are not so laid before each House of the Parliament, have no effect.</w:t>
      </w:r>
    </w:p>
    <w:p w:rsidR="007375B5" w:rsidRDefault="00975921">
      <w:pPr>
        <w:pStyle w:val="Subsection"/>
      </w:pPr>
      <w:r>
        <w:lastRenderedPageBreak/>
        <w:tab/>
        <w:t>(2)</w:t>
      </w:r>
      <w:r>
        <w:tab/>
        <w:t>Sections 4G, 4H, 4J and 4K apply in relation to regulations laid before a House of the Parliament as if, in those provisions, references to an Ordinance were references to regulations and references to a provision of an Ordinance were references to a regulation.</w:t>
      </w:r>
    </w:p>
    <w:p w:rsidR="007375B5" w:rsidRDefault="00975921">
      <w:pPr>
        <w:pStyle w:val="Subsection"/>
      </w:pPr>
      <w:r>
        <w:tab/>
        <w:t>(3)</w:t>
      </w:r>
      <w:r>
        <w:tab/>
        <w:t>In this section:</w:t>
      </w:r>
    </w:p>
    <w:p w:rsidR="007375B5" w:rsidRDefault="00975921">
      <w:pPr>
        <w:pStyle w:val="Definition"/>
      </w:pPr>
      <w:r>
        <w:rPr>
          <w:b/>
          <w:bCs/>
          <w:i/>
          <w:iCs/>
        </w:rPr>
        <w:t>regulations</w:t>
      </w:r>
      <w:r>
        <w:t xml:space="preserve"> includes rules and by</w:t>
      </w:r>
      <w:r>
        <w:noBreakHyphen/>
        <w:t>laws.</w:t>
      </w:r>
    </w:p>
    <w:p w:rsidR="007375B5" w:rsidRDefault="00975921">
      <w:pPr>
        <w:pStyle w:val="Heading5"/>
      </w:pPr>
      <w:bookmarkStart w:id="18" w:name="_Toc528384842"/>
      <w:r>
        <w:rPr>
          <w:rStyle w:val="CharSectno"/>
        </w:rPr>
        <w:t>5</w:t>
      </w:r>
      <w:r>
        <w:t xml:space="preserve">  Disposal of Crown lands</w:t>
      </w:r>
      <w:bookmarkEnd w:id="18"/>
    </w:p>
    <w:p w:rsidR="007375B5" w:rsidRDefault="00975921">
      <w:pPr>
        <w:pStyle w:val="Subsection"/>
      </w:pPr>
      <w:r>
        <w:tab/>
      </w:r>
      <w:r>
        <w:tab/>
        <w:t xml:space="preserve">Subject to the </w:t>
      </w:r>
      <w:r>
        <w:rPr>
          <w:i/>
          <w:iCs/>
        </w:rPr>
        <w:t>Aboriginal Land Grant (Jervis Bay Territory) Act 1986</w:t>
      </w:r>
      <w:r>
        <w:t>, Crown lands in the territory shall not be sold or disposed of for any estate of freehold.</w:t>
      </w:r>
    </w:p>
    <w:p w:rsidR="007375B5" w:rsidRDefault="007375B5">
      <w:pPr>
        <w:sectPr w:rsidR="007375B5" w:rsidSect="00A218F4">
          <w:headerReference w:type="even" r:id="rId14"/>
          <w:headerReference w:type="default" r:id="rId15"/>
          <w:headerReference w:type="first" r:id="rId16"/>
          <w:footerReference w:type="first" r:id="rId17"/>
          <w:type w:val="oddPage"/>
          <w:pgSz w:w="11906" w:h="16838" w:code="9"/>
          <w:pgMar w:top="2268" w:right="2410" w:bottom="3827" w:left="2410" w:header="567" w:footer="3118" w:gutter="0"/>
          <w:pgNumType w:start="1"/>
          <w:cols w:space="709"/>
          <w:titlePg/>
          <w:docGrid w:linePitch="299"/>
        </w:sectPr>
      </w:pPr>
    </w:p>
    <w:p w:rsidR="007375B5" w:rsidRDefault="00975921">
      <w:pPr>
        <w:pStyle w:val="Heading1"/>
      </w:pPr>
      <w:bookmarkStart w:id="19" w:name="_Toc528384843"/>
      <w:r>
        <w:rPr>
          <w:rStyle w:val="CharChapNo"/>
        </w:rPr>
        <w:lastRenderedPageBreak/>
        <w:t>The Schedule</w:t>
      </w:r>
      <w:r>
        <w:t>—</w:t>
      </w:r>
      <w:r>
        <w:rPr>
          <w:rStyle w:val="CharChapText"/>
        </w:rPr>
        <w:t>Surrender to the Commonwealth Of Australia by the State of New South Wales of land at Jervis Bay.</w:t>
      </w:r>
      <w:bookmarkEnd w:id="19"/>
    </w:p>
    <w:p w:rsidR="007375B5" w:rsidRDefault="00975921">
      <w:pPr>
        <w:pStyle w:val="Header"/>
      </w:pPr>
      <w:r>
        <w:rPr>
          <w:rStyle w:val="CharPartNo"/>
        </w:rPr>
        <w:t xml:space="preserve"> </w:t>
      </w:r>
      <w:r>
        <w:rPr>
          <w:rStyle w:val="CharPartText"/>
        </w:rPr>
        <w:t xml:space="preserve"> </w:t>
      </w:r>
    </w:p>
    <w:p w:rsidR="007375B5" w:rsidRDefault="00975921">
      <w:pPr>
        <w:spacing w:before="120"/>
        <w:ind w:left="284" w:hanging="284"/>
        <w:jc w:val="both"/>
      </w:pPr>
      <w:r>
        <w:t>AGREEMENT between the Commonwealth of Australia (hereinafter called the Commonwealth) of the one part and the State of New South Wales (hereinafter called the State) of the other part:</w:t>
      </w:r>
    </w:p>
    <w:p w:rsidR="007375B5" w:rsidRDefault="00975921">
      <w:pPr>
        <w:spacing w:before="120"/>
        <w:ind w:left="284" w:hanging="284"/>
        <w:jc w:val="both"/>
      </w:pPr>
      <w:r>
        <w:t>WITNESSETH THAT, subject as hereinafter mentioned to the approval of the Parliaments of the Commonwealth and of the State, it is hereby agreed as follows—</w:t>
      </w:r>
    </w:p>
    <w:p w:rsidR="007375B5" w:rsidRDefault="00975921">
      <w:pPr>
        <w:spacing w:before="120"/>
        <w:ind w:firstLine="284"/>
        <w:jc w:val="both"/>
      </w:pPr>
      <w:r>
        <w:t>1.</w:t>
      </w:r>
      <w:r>
        <w:tab/>
        <w:t>The State shall surrender to the Commonwealth, and the Commonwealth shall accept, the territory (hereinafter called the territory), now being part of the State, described hereunder, namely—</w:t>
      </w:r>
    </w:p>
    <w:p w:rsidR="007375B5" w:rsidRDefault="00975921">
      <w:pPr>
        <w:spacing w:before="120"/>
        <w:ind w:firstLine="284"/>
        <w:jc w:val="both"/>
      </w:pPr>
      <w:r>
        <w:t>All that piece and parcel of land and water situate at Jervis Bay in the Parish of Bherwerre, County of St. Vincent, State of New South Wales, Commonwealth of Australia, area about 18,000 acres, commencing at a point on the high water mark on the left bank of Sussex Inlet at its intersection with the western boundary of portion 12 of 40 acres and bounded thence westerly and north</w:t>
      </w:r>
      <w:r>
        <w:noBreakHyphen/>
        <w:t>westerly by that high water mark to the high water mark of St. George’s Basin, thence in a general easterly and north</w:t>
      </w:r>
      <w:r>
        <w:noBreakHyphen/>
        <w:t>easterly direction by that high water mark to its intersection with the production westerly of the southern boundary of portion 18; thence easterly by a straight line formed by the western production of the southern boundary of portion 18, the boundary itself, and its production easterly to the high water mark of Jervis Bay; thence by a line across the southern part of Jervis Bay bearing north</w:t>
      </w:r>
      <w:r>
        <w:noBreakHyphen/>
        <w:t>easterly to a point in the high water mark of Jervis Bay at the northernmost extremity of Bowen Island; thence by the high water mark of Jervis Bay and of the South Pacific Ocean along the eastern boundary of Bowen Island to the southernmost point thereof; thence by a line bearing south</w:t>
      </w:r>
      <w:r>
        <w:noBreakHyphen/>
        <w:t>westerly across the passage between Bowen Island and Governor Head to the high water mark of the South Pacific Ocean on the foreshore of the mainland, at the northernmost point of Governor Head; and thence by that high water mark in a general southerly and south</w:t>
      </w:r>
      <w:r>
        <w:noBreakHyphen/>
        <w:t>westerly direction to St. George’s Head; thence in a general northerly, westerly and south</w:t>
      </w:r>
      <w:r>
        <w:noBreakHyphen/>
        <w:t>westerly direction by the high water mark of Wreck Bay to the high water mark on the left bank of Sussex Inlet before mentioned; and thence in a general northerly direction by that high water mark to the commencing point.</w:t>
      </w:r>
    </w:p>
    <w:p w:rsidR="007375B5" w:rsidRDefault="00975921">
      <w:pPr>
        <w:spacing w:before="120"/>
        <w:ind w:firstLine="284"/>
        <w:jc w:val="both"/>
      </w:pPr>
      <w:r>
        <w:lastRenderedPageBreak/>
        <w:t>2.</w:t>
      </w:r>
      <w:r>
        <w:tab/>
        <w:t>This Agreement shall not in any way be binding unless and until it is approved by the Parliaments of the Commonwealth and of the State, and legislation is passed enabling the Commonwealth and the State to effect the surrender and acceptance of the territory.</w:t>
      </w:r>
    </w:p>
    <w:p w:rsidR="007375B5" w:rsidRDefault="00975921">
      <w:pPr>
        <w:spacing w:before="120"/>
        <w:ind w:firstLine="284"/>
        <w:jc w:val="both"/>
      </w:pPr>
      <w:r>
        <w:t>3.</w:t>
      </w:r>
      <w:r>
        <w:tab/>
        <w:t>The Commonwealth shall account to the State for any purchase money received by the Commonwealth in respect of any grant of an estate in fee simple in the territory—</w:t>
      </w:r>
    </w:p>
    <w:p w:rsidR="007375B5" w:rsidRDefault="00975921">
      <w:pPr>
        <w:spacing w:before="60"/>
        <w:ind w:left="709" w:hanging="425"/>
        <w:jc w:val="both"/>
      </w:pPr>
      <w:r>
        <w:t>(a)</w:t>
      </w:r>
      <w:r>
        <w:tab/>
        <w:t xml:space="preserve">made by the State before the date of the surrender; or </w:t>
      </w:r>
    </w:p>
    <w:p w:rsidR="007375B5" w:rsidRDefault="00975921">
      <w:pPr>
        <w:spacing w:before="60"/>
        <w:ind w:left="709" w:hanging="425"/>
        <w:jc w:val="both"/>
      </w:pPr>
      <w:r>
        <w:t>(b)</w:t>
      </w:r>
      <w:r>
        <w:tab/>
        <w:t xml:space="preserve">contracted before that date to be so made, either unconditionally or upon conditions which (except as to the payment of purchase money) have been wholly fulfilled at that date. </w:t>
      </w:r>
    </w:p>
    <w:p w:rsidR="007375B5" w:rsidRDefault="00975921">
      <w:pPr>
        <w:spacing w:before="120"/>
        <w:ind w:firstLine="284"/>
        <w:jc w:val="both"/>
      </w:pPr>
      <w:r>
        <w:t>4.</w:t>
      </w:r>
      <w:r>
        <w:tab/>
        <w:t>The State shall make no claim for payment in respect of—</w:t>
      </w:r>
    </w:p>
    <w:p w:rsidR="007375B5" w:rsidRDefault="00975921">
      <w:pPr>
        <w:spacing w:before="60"/>
        <w:ind w:left="709" w:hanging="425"/>
        <w:jc w:val="both"/>
      </w:pPr>
      <w:r>
        <w:t>(a)</w:t>
      </w:r>
      <w:r>
        <w:tab/>
        <w:t>the value of the waste lands of the Crown in the territory; or</w:t>
      </w:r>
    </w:p>
    <w:p w:rsidR="007375B5" w:rsidRDefault="00975921">
      <w:pPr>
        <w:spacing w:before="60"/>
        <w:ind w:left="709" w:hanging="425"/>
        <w:jc w:val="both"/>
      </w:pPr>
      <w:r>
        <w:t>(b)</w:t>
      </w:r>
      <w:r>
        <w:tab/>
        <w:t>the rents and profits, after the date of the surrender, of any land in the territory held from the Crown under any estate less than an estate in fee simple; or</w:t>
      </w:r>
    </w:p>
    <w:p w:rsidR="007375B5" w:rsidRDefault="00975921">
      <w:pPr>
        <w:spacing w:before="60"/>
        <w:ind w:left="709" w:hanging="425"/>
        <w:jc w:val="both"/>
      </w:pPr>
      <w:r>
        <w:t>(c)</w:t>
      </w:r>
      <w:r>
        <w:tab/>
        <w:t>the value of the right, title, estate, or interest of the Crown in reversion or expectancy upon the termination of any such estate as mentioned in the last preceding paragraph; or</w:t>
      </w:r>
    </w:p>
    <w:p w:rsidR="007375B5" w:rsidRDefault="00975921">
      <w:pPr>
        <w:spacing w:before="60"/>
        <w:ind w:left="709" w:hanging="425"/>
        <w:jc w:val="both"/>
      </w:pPr>
      <w:r>
        <w:t>(d)</w:t>
      </w:r>
      <w:r>
        <w:tab/>
        <w:t>the purchase money for the grant by the State of any conditional estate in any land in the territory, in respect of which at the date of the surrender there remains unfulfilled any conditions precedent (other than the payment of purchase money) to the grant of an estate in fee simple.</w:t>
      </w:r>
    </w:p>
    <w:p w:rsidR="007375B5" w:rsidRDefault="00975921">
      <w:pPr>
        <w:spacing w:before="120"/>
        <w:jc w:val="both"/>
      </w:pPr>
      <w:r>
        <w:t>Signed by the Governor of the State of New South Wales, with the advice and consent of the Executive Council thereof, for and on behalf of that State and sealed with the public seal of that State on the twenty</w:t>
      </w:r>
      <w:r>
        <w:noBreakHyphen/>
        <w:t>third day of September 1913.</w:t>
      </w:r>
    </w:p>
    <w:p w:rsidR="007375B5" w:rsidRDefault="00975921">
      <w:pPr>
        <w:tabs>
          <w:tab w:val="left" w:pos="1843"/>
        </w:tabs>
        <w:spacing w:before="120"/>
        <w:jc w:val="both"/>
      </w:pPr>
      <w:r>
        <w:t>(L.S.)</w:t>
      </w:r>
      <w:r>
        <w:tab/>
      </w:r>
      <w:r>
        <w:tab/>
      </w:r>
      <w:r>
        <w:tab/>
      </w:r>
      <w:r>
        <w:tab/>
      </w:r>
      <w:r>
        <w:tab/>
      </w:r>
      <w:r>
        <w:tab/>
      </w:r>
      <w:r>
        <w:tab/>
        <w:t>G. STRICKLAND</w:t>
      </w:r>
    </w:p>
    <w:p w:rsidR="007375B5" w:rsidRDefault="00975921">
      <w:pPr>
        <w:ind w:left="4253"/>
        <w:jc w:val="both"/>
      </w:pPr>
      <w:r>
        <w:t>Governor of New South Wales.</w:t>
      </w:r>
    </w:p>
    <w:p w:rsidR="007375B5" w:rsidRDefault="00975921">
      <w:pPr>
        <w:spacing w:before="60"/>
        <w:jc w:val="both"/>
      </w:pPr>
      <w:r>
        <w:t>By Command.</w:t>
      </w:r>
    </w:p>
    <w:p w:rsidR="007375B5" w:rsidRDefault="00975921">
      <w:pPr>
        <w:spacing w:before="60"/>
        <w:ind w:left="567"/>
        <w:jc w:val="both"/>
      </w:pPr>
      <w:r>
        <w:t>W. A. HOLMAN.</w:t>
      </w:r>
    </w:p>
    <w:p w:rsidR="007375B5" w:rsidRDefault="00975921">
      <w:pPr>
        <w:spacing w:before="120"/>
        <w:jc w:val="both"/>
      </w:pPr>
      <w:r>
        <w:t>Signed by the Governor</w:t>
      </w:r>
      <w:r>
        <w:noBreakHyphen/>
        <w:t xml:space="preserve">General of the Commonwealth of Australia, with the advice and consent of the </w:t>
      </w:r>
      <w:r w:rsidR="001D73BE">
        <w:t>Executive</w:t>
      </w:r>
      <w:r>
        <w:t xml:space="preserve"> Council thereof, for and on behalf of the Commonwealth and sealed with the seal of the Commonwealth on the 4th day of December 1913.</w:t>
      </w:r>
    </w:p>
    <w:p w:rsidR="007375B5" w:rsidRDefault="00975921">
      <w:pPr>
        <w:tabs>
          <w:tab w:val="left" w:pos="1843"/>
        </w:tabs>
        <w:spacing w:before="120"/>
        <w:jc w:val="both"/>
      </w:pPr>
      <w:r>
        <w:t>(L.S.)</w:t>
      </w:r>
      <w:r>
        <w:tab/>
      </w:r>
      <w:r>
        <w:tab/>
      </w:r>
      <w:r>
        <w:tab/>
      </w:r>
      <w:r>
        <w:tab/>
      </w:r>
      <w:r>
        <w:tab/>
      </w:r>
      <w:r>
        <w:tab/>
      </w:r>
      <w:r>
        <w:tab/>
        <w:t>DENMAN</w:t>
      </w:r>
    </w:p>
    <w:p w:rsidR="007375B5" w:rsidRDefault="00975921">
      <w:pPr>
        <w:ind w:left="4253"/>
        <w:jc w:val="both"/>
      </w:pPr>
      <w:r>
        <w:lastRenderedPageBreak/>
        <w:t>Governor</w:t>
      </w:r>
      <w:r>
        <w:noBreakHyphen/>
        <w:t>General.</w:t>
      </w:r>
    </w:p>
    <w:p w:rsidR="007375B5" w:rsidRDefault="00975921">
      <w:pPr>
        <w:spacing w:before="60"/>
        <w:jc w:val="both"/>
      </w:pPr>
      <w:r>
        <w:t>By Command.</w:t>
      </w:r>
    </w:p>
    <w:p w:rsidR="007375B5" w:rsidRDefault="00975921">
      <w:pPr>
        <w:spacing w:before="60"/>
        <w:ind w:left="567"/>
        <w:jc w:val="both"/>
      </w:pPr>
      <w:r>
        <w:t xml:space="preserve">JOSEPH COOK. </w:t>
      </w:r>
    </w:p>
    <w:p w:rsidR="007375B5" w:rsidRDefault="007375B5">
      <w:pPr>
        <w:pBdr>
          <w:bottom w:val="single" w:sz="6" w:space="1" w:color="auto"/>
        </w:pBdr>
        <w:ind w:left="2880" w:right="2880"/>
        <w:jc w:val="center"/>
      </w:pPr>
    </w:p>
    <w:p w:rsidR="007375B5" w:rsidRDefault="007375B5">
      <w:pPr>
        <w:sectPr w:rsidR="007375B5" w:rsidSect="00A218F4">
          <w:headerReference w:type="even" r:id="rId18"/>
          <w:headerReference w:type="default" r:id="rId19"/>
          <w:pgSz w:w="11906" w:h="16838" w:code="9"/>
          <w:pgMar w:top="2268" w:right="2410" w:bottom="3827" w:left="2410" w:header="567" w:footer="3118" w:gutter="0"/>
          <w:cols w:space="709"/>
          <w:docGrid w:linePitch="299"/>
        </w:sectPr>
      </w:pPr>
    </w:p>
    <w:p w:rsidR="007375B5" w:rsidRDefault="00975921">
      <w:pPr>
        <w:pStyle w:val="NotesSection"/>
      </w:pPr>
      <w:bookmarkStart w:id="20" w:name="_Toc528384844"/>
      <w:r>
        <w:rPr>
          <w:rStyle w:val="CharNotesReg"/>
        </w:rPr>
        <w:lastRenderedPageBreak/>
        <w:t>Notes to the</w:t>
      </w:r>
      <w:r>
        <w:t xml:space="preserve"> </w:t>
      </w:r>
      <w:r>
        <w:rPr>
          <w:rStyle w:val="CharNotesItals"/>
        </w:rPr>
        <w:fldChar w:fldCharType="begin"/>
      </w:r>
      <w:r>
        <w:rPr>
          <w:rStyle w:val="CharNotesItals"/>
        </w:rPr>
        <w:instrText xml:space="preserve"> STYLEREF ShortT \* MERGEFORMAT </w:instrText>
      </w:r>
      <w:r>
        <w:rPr>
          <w:rStyle w:val="CharNotesItals"/>
        </w:rPr>
        <w:fldChar w:fldCharType="separate"/>
      </w:r>
      <w:r w:rsidR="004176D7">
        <w:rPr>
          <w:rStyle w:val="CharNotesItals"/>
          <w:noProof/>
        </w:rPr>
        <w:t>Jervis Bay Territory Acceptance Act 1915</w:t>
      </w:r>
      <w:bookmarkEnd w:id="20"/>
      <w:r>
        <w:rPr>
          <w:rStyle w:val="CharNotesItals"/>
        </w:rPr>
        <w:fldChar w:fldCharType="end"/>
      </w:r>
    </w:p>
    <w:p w:rsidR="007375B5" w:rsidRDefault="00975921">
      <w:pPr>
        <w:pStyle w:val="ENoteNo"/>
      </w:pPr>
      <w:r>
        <w:t>Note 1</w:t>
      </w:r>
    </w:p>
    <w:p w:rsidR="007375B5" w:rsidRDefault="00975921">
      <w:pPr>
        <w:pStyle w:val="EndNote"/>
      </w:pPr>
      <w:r>
        <w:t xml:space="preserve">The </w:t>
      </w:r>
      <w:r>
        <w:rPr>
          <w:rStyle w:val="CharNotesItals"/>
        </w:rPr>
        <w:fldChar w:fldCharType="begin"/>
      </w:r>
      <w:r>
        <w:rPr>
          <w:rStyle w:val="CharNotesItals"/>
        </w:rPr>
        <w:instrText xml:space="preserve"> STYLEREF ShortT \* CHARFORMAT </w:instrText>
      </w:r>
      <w:r>
        <w:rPr>
          <w:rStyle w:val="CharNotesItals"/>
        </w:rPr>
        <w:fldChar w:fldCharType="separate"/>
      </w:r>
      <w:r w:rsidR="004176D7">
        <w:rPr>
          <w:rStyle w:val="CharNotesItals"/>
          <w:noProof/>
        </w:rPr>
        <w:t>Jervis Bay Territory Acceptance Act 1915</w:t>
      </w:r>
      <w:r>
        <w:rPr>
          <w:rStyle w:val="CharNotesItals"/>
        </w:rPr>
        <w:fldChar w:fldCharType="end"/>
      </w:r>
      <w:r>
        <w:t xml:space="preserve"> as shown in this compilation comprises Act No. 19, 1915</w:t>
      </w:r>
      <w:r>
        <w:rPr>
          <w:color w:val="000000"/>
        </w:rPr>
        <w:t xml:space="preserve"> amended as indicated in the Tables below.</w:t>
      </w:r>
    </w:p>
    <w:p w:rsidR="007375B5" w:rsidRDefault="00975921">
      <w:pPr>
        <w:pStyle w:val="EndNote"/>
        <w:tabs>
          <w:tab w:val="left" w:pos="284"/>
          <w:tab w:val="left" w:pos="720"/>
          <w:tab w:val="left" w:pos="1440"/>
          <w:tab w:val="left" w:pos="2160"/>
          <w:tab w:val="left" w:pos="2880"/>
          <w:tab w:val="left" w:pos="3600"/>
          <w:tab w:val="left" w:pos="4320"/>
          <w:tab w:val="left" w:pos="5040"/>
          <w:tab w:val="left" w:pos="5760"/>
          <w:tab w:val="left" w:pos="6480"/>
        </w:tabs>
      </w:pPr>
      <w:r>
        <w:t xml:space="preserve">All relevant information pertaining to application, saving or transitional provisions prior to 1 October 2001 is not included in this </w:t>
      </w:r>
      <w:r>
        <w:rPr>
          <w:snapToGrid w:val="0"/>
        </w:rPr>
        <w:t>compilation</w:t>
      </w:r>
      <w:r>
        <w:t xml:space="preserve">. For subsequent information </w:t>
      </w:r>
      <w:r>
        <w:rPr>
          <w:i/>
          <w:iCs/>
        </w:rPr>
        <w:t>see</w:t>
      </w:r>
      <w:r>
        <w:t xml:space="preserve"> Table A.</w:t>
      </w:r>
    </w:p>
    <w:p w:rsidR="007375B5" w:rsidRDefault="00975921">
      <w:pPr>
        <w:pStyle w:val="TableOfActsHead"/>
      </w:pPr>
      <w:r>
        <w:t>Table of Acts</w:t>
      </w:r>
    </w:p>
    <w:p w:rsidR="007375B5" w:rsidRDefault="007375B5">
      <w:pPr>
        <w:pBdr>
          <w:bottom w:val="single" w:sz="6" w:space="3" w:color="auto"/>
        </w:pBdr>
      </w:pPr>
    </w:p>
    <w:tbl>
      <w:tblPr>
        <w:tblW w:w="0" w:type="auto"/>
        <w:tblLayout w:type="fixed"/>
        <w:tblCellMar>
          <w:left w:w="107" w:type="dxa"/>
          <w:right w:w="107" w:type="dxa"/>
        </w:tblCellMar>
        <w:tblLook w:val="0000" w:firstRow="0" w:lastRow="0" w:firstColumn="0" w:lastColumn="0" w:noHBand="0" w:noVBand="0"/>
      </w:tblPr>
      <w:tblGrid>
        <w:gridCol w:w="2235"/>
        <w:gridCol w:w="1135"/>
        <w:gridCol w:w="1323"/>
        <w:gridCol w:w="1610"/>
        <w:gridCol w:w="1032"/>
      </w:tblGrid>
      <w:tr w:rsidR="007375B5">
        <w:trPr>
          <w:tblHeader/>
        </w:trPr>
        <w:tc>
          <w:tcPr>
            <w:tcW w:w="2235" w:type="dxa"/>
            <w:tcBorders>
              <w:top w:val="nil"/>
              <w:left w:val="nil"/>
              <w:bottom w:val="nil"/>
              <w:right w:val="nil"/>
            </w:tcBorders>
          </w:tcPr>
          <w:p w:rsidR="007375B5" w:rsidRDefault="00975921">
            <w:pPr>
              <w:spacing w:before="60" w:after="60" w:line="180" w:lineRule="atLeast"/>
              <w:rPr>
                <w:rFonts w:ascii="Helvetica" w:hAnsi="Helvetica" w:cs="Helvetica"/>
                <w:sz w:val="16"/>
                <w:szCs w:val="16"/>
              </w:rPr>
            </w:pPr>
            <w:r>
              <w:rPr>
                <w:rFonts w:ascii="Helvetica" w:hAnsi="Helvetica" w:cs="Helvetica"/>
                <w:sz w:val="16"/>
                <w:szCs w:val="16"/>
              </w:rPr>
              <w:t>Act</w:t>
            </w:r>
          </w:p>
        </w:tc>
        <w:tc>
          <w:tcPr>
            <w:tcW w:w="1135" w:type="dxa"/>
            <w:tcBorders>
              <w:top w:val="nil"/>
              <w:left w:val="nil"/>
              <w:bottom w:val="nil"/>
              <w:right w:val="nil"/>
            </w:tcBorders>
          </w:tcPr>
          <w:p w:rsidR="007375B5" w:rsidRDefault="00975921">
            <w:pPr>
              <w:spacing w:before="60" w:after="60" w:line="180" w:lineRule="atLeast"/>
              <w:rPr>
                <w:rFonts w:ascii="Helvetica" w:hAnsi="Helvetica" w:cs="Helvetica"/>
                <w:sz w:val="16"/>
                <w:szCs w:val="16"/>
              </w:rPr>
            </w:pPr>
            <w:r>
              <w:rPr>
                <w:rFonts w:ascii="Helvetica" w:hAnsi="Helvetica" w:cs="Helvetica"/>
                <w:sz w:val="16"/>
                <w:szCs w:val="16"/>
              </w:rPr>
              <w:t xml:space="preserve">Number </w:t>
            </w:r>
            <w:r>
              <w:rPr>
                <w:rFonts w:ascii="Helvetica" w:hAnsi="Helvetica" w:cs="Helvetica"/>
                <w:sz w:val="16"/>
                <w:szCs w:val="16"/>
              </w:rPr>
              <w:br/>
              <w:t>and year</w:t>
            </w:r>
          </w:p>
        </w:tc>
        <w:tc>
          <w:tcPr>
            <w:tcW w:w="1323" w:type="dxa"/>
            <w:tcBorders>
              <w:top w:val="nil"/>
              <w:left w:val="nil"/>
              <w:bottom w:val="nil"/>
              <w:right w:val="nil"/>
            </w:tcBorders>
          </w:tcPr>
          <w:p w:rsidR="007375B5" w:rsidRDefault="00975921">
            <w:pPr>
              <w:spacing w:before="60" w:after="60" w:line="180" w:lineRule="atLeast"/>
              <w:rPr>
                <w:rFonts w:ascii="Helvetica" w:hAnsi="Helvetica" w:cs="Helvetica"/>
                <w:sz w:val="16"/>
                <w:szCs w:val="16"/>
              </w:rPr>
            </w:pPr>
            <w:r>
              <w:rPr>
                <w:rFonts w:ascii="Helvetica" w:hAnsi="Helvetica" w:cs="Helvetica"/>
                <w:sz w:val="16"/>
                <w:szCs w:val="16"/>
              </w:rPr>
              <w:t xml:space="preserve">Date </w:t>
            </w:r>
            <w:r>
              <w:rPr>
                <w:rFonts w:ascii="Helvetica" w:hAnsi="Helvetica" w:cs="Helvetica"/>
                <w:sz w:val="16"/>
                <w:szCs w:val="16"/>
              </w:rPr>
              <w:br/>
              <w:t>of Assent</w:t>
            </w:r>
          </w:p>
        </w:tc>
        <w:tc>
          <w:tcPr>
            <w:tcW w:w="1610" w:type="dxa"/>
            <w:tcBorders>
              <w:top w:val="nil"/>
              <w:left w:val="nil"/>
              <w:bottom w:val="nil"/>
              <w:right w:val="nil"/>
            </w:tcBorders>
          </w:tcPr>
          <w:p w:rsidR="007375B5" w:rsidRDefault="00975921">
            <w:pPr>
              <w:spacing w:before="60" w:after="60" w:line="180" w:lineRule="atLeast"/>
              <w:rPr>
                <w:rFonts w:ascii="Helvetica" w:hAnsi="Helvetica" w:cs="Helvetica"/>
                <w:sz w:val="16"/>
                <w:szCs w:val="16"/>
              </w:rPr>
            </w:pPr>
            <w:r>
              <w:rPr>
                <w:rFonts w:ascii="Helvetica" w:hAnsi="Helvetica" w:cs="Helvetica"/>
                <w:sz w:val="16"/>
                <w:szCs w:val="16"/>
              </w:rPr>
              <w:t>Date of commencement</w:t>
            </w:r>
          </w:p>
        </w:tc>
        <w:tc>
          <w:tcPr>
            <w:tcW w:w="1032" w:type="dxa"/>
            <w:tcBorders>
              <w:top w:val="nil"/>
              <w:left w:val="nil"/>
              <w:bottom w:val="nil"/>
              <w:right w:val="nil"/>
            </w:tcBorders>
          </w:tcPr>
          <w:p w:rsidR="007375B5" w:rsidRDefault="00975921">
            <w:pPr>
              <w:spacing w:before="60" w:after="60" w:line="180" w:lineRule="atLeast"/>
              <w:ind w:right="-108"/>
              <w:rPr>
                <w:rFonts w:ascii="Helvetica" w:hAnsi="Helvetica" w:cs="Helvetica"/>
                <w:sz w:val="16"/>
                <w:szCs w:val="16"/>
              </w:rPr>
            </w:pPr>
            <w:r>
              <w:rPr>
                <w:rFonts w:ascii="Helvetica" w:hAnsi="Helvetica" w:cs="Helvetica"/>
                <w:sz w:val="16"/>
                <w:szCs w:val="16"/>
              </w:rPr>
              <w:t>Application, saving or transitional provisions</w:t>
            </w:r>
          </w:p>
        </w:tc>
      </w:tr>
    </w:tbl>
    <w:p w:rsidR="007375B5" w:rsidRDefault="007375B5">
      <w:pPr>
        <w:pBdr>
          <w:bottom w:val="single" w:sz="6" w:space="0" w:color="auto"/>
        </w:pBdr>
        <w:spacing w:line="20" w:lineRule="exact"/>
        <w:rPr>
          <w:sz w:val="24"/>
          <w:szCs w:val="24"/>
        </w:rPr>
      </w:pPr>
    </w:p>
    <w:p w:rsidR="007375B5" w:rsidRDefault="007375B5">
      <w:pPr>
        <w:spacing w:line="80" w:lineRule="atLeast"/>
        <w:rPr>
          <w:sz w:val="8"/>
          <w:szCs w:val="8"/>
        </w:rPr>
      </w:pPr>
    </w:p>
    <w:tbl>
      <w:tblPr>
        <w:tblW w:w="0" w:type="auto"/>
        <w:tblLayout w:type="fixed"/>
        <w:tblLook w:val="0000" w:firstRow="0" w:lastRow="0" w:firstColumn="0" w:lastColumn="0" w:noHBand="0" w:noVBand="0"/>
      </w:tblPr>
      <w:tblGrid>
        <w:gridCol w:w="2234"/>
        <w:gridCol w:w="1134"/>
        <w:gridCol w:w="1321"/>
        <w:gridCol w:w="1616"/>
        <w:gridCol w:w="1032"/>
      </w:tblGrid>
      <w:tr w:rsidR="007375B5">
        <w:trPr>
          <w:cantSplit/>
        </w:trPr>
        <w:tc>
          <w:tcPr>
            <w:tcW w:w="2234" w:type="dxa"/>
            <w:tcBorders>
              <w:top w:val="nil"/>
              <w:left w:val="nil"/>
              <w:bottom w:val="nil"/>
              <w:right w:val="nil"/>
            </w:tcBorders>
          </w:tcPr>
          <w:p w:rsidR="007375B5" w:rsidRDefault="00975921">
            <w:pPr>
              <w:pStyle w:val="TableOfActs1"/>
            </w:pPr>
            <w:r>
              <w:t>Jervis Bay Territory Acceptance Act 1915</w:t>
            </w:r>
          </w:p>
        </w:tc>
        <w:tc>
          <w:tcPr>
            <w:tcW w:w="1134" w:type="dxa"/>
            <w:tcBorders>
              <w:top w:val="nil"/>
              <w:left w:val="nil"/>
              <w:bottom w:val="nil"/>
              <w:right w:val="nil"/>
            </w:tcBorders>
          </w:tcPr>
          <w:p w:rsidR="007375B5" w:rsidRDefault="00975921">
            <w:pPr>
              <w:pStyle w:val="TableOfActs2"/>
            </w:pPr>
            <w:r>
              <w:t>19, 1915</w:t>
            </w:r>
          </w:p>
        </w:tc>
        <w:tc>
          <w:tcPr>
            <w:tcW w:w="1321" w:type="dxa"/>
            <w:tcBorders>
              <w:top w:val="nil"/>
              <w:left w:val="nil"/>
              <w:bottom w:val="nil"/>
              <w:right w:val="nil"/>
            </w:tcBorders>
          </w:tcPr>
          <w:p w:rsidR="007375B5" w:rsidRDefault="00975921">
            <w:pPr>
              <w:pStyle w:val="TableOfActs2"/>
            </w:pPr>
            <w:r>
              <w:t>12 July 1915</w:t>
            </w:r>
          </w:p>
        </w:tc>
        <w:tc>
          <w:tcPr>
            <w:tcW w:w="1616" w:type="dxa"/>
            <w:tcBorders>
              <w:top w:val="nil"/>
              <w:left w:val="nil"/>
              <w:bottom w:val="nil"/>
              <w:right w:val="nil"/>
            </w:tcBorders>
          </w:tcPr>
          <w:p w:rsidR="007375B5" w:rsidRDefault="00975921">
            <w:pPr>
              <w:pStyle w:val="TableOfActs2"/>
            </w:pPr>
            <w:r>
              <w:t>4 Sept 1915 (</w:t>
            </w:r>
            <w:r>
              <w:rPr>
                <w:i/>
                <w:iCs/>
              </w:rPr>
              <w:t xml:space="preserve">see Gazette </w:t>
            </w:r>
            <w:r>
              <w:t>1915, p. 1710)</w:t>
            </w:r>
          </w:p>
        </w:tc>
        <w:tc>
          <w:tcPr>
            <w:tcW w:w="1032" w:type="dxa"/>
            <w:tcBorders>
              <w:top w:val="nil"/>
              <w:left w:val="nil"/>
              <w:bottom w:val="nil"/>
              <w:right w:val="nil"/>
            </w:tcBorders>
          </w:tcPr>
          <w:p w:rsidR="007375B5" w:rsidRDefault="007375B5">
            <w:pPr>
              <w:pStyle w:val="TableOfActs2"/>
            </w:pPr>
          </w:p>
        </w:tc>
      </w:tr>
      <w:tr w:rsidR="007375B5">
        <w:trPr>
          <w:cantSplit/>
        </w:trPr>
        <w:tc>
          <w:tcPr>
            <w:tcW w:w="2234" w:type="dxa"/>
            <w:tcBorders>
              <w:top w:val="nil"/>
              <w:left w:val="nil"/>
              <w:bottom w:val="nil"/>
              <w:right w:val="nil"/>
            </w:tcBorders>
          </w:tcPr>
          <w:p w:rsidR="007375B5" w:rsidRDefault="00975921">
            <w:pPr>
              <w:pStyle w:val="TableOfActs1"/>
            </w:pPr>
            <w:r>
              <w:t>Australian Capital Territory and Jervis Bay (Lands Acquisition) Act 1955</w:t>
            </w:r>
          </w:p>
        </w:tc>
        <w:tc>
          <w:tcPr>
            <w:tcW w:w="1134" w:type="dxa"/>
            <w:tcBorders>
              <w:top w:val="nil"/>
              <w:left w:val="nil"/>
              <w:bottom w:val="nil"/>
              <w:right w:val="nil"/>
            </w:tcBorders>
          </w:tcPr>
          <w:p w:rsidR="007375B5" w:rsidRDefault="00975921">
            <w:pPr>
              <w:pStyle w:val="TableOfActs2"/>
            </w:pPr>
            <w:r>
              <w:t>70, 1955</w:t>
            </w:r>
          </w:p>
        </w:tc>
        <w:tc>
          <w:tcPr>
            <w:tcW w:w="1321" w:type="dxa"/>
            <w:tcBorders>
              <w:top w:val="nil"/>
              <w:left w:val="nil"/>
              <w:bottom w:val="nil"/>
              <w:right w:val="nil"/>
            </w:tcBorders>
          </w:tcPr>
          <w:p w:rsidR="007375B5" w:rsidRDefault="00975921">
            <w:pPr>
              <w:pStyle w:val="TableOfActs2"/>
            </w:pPr>
            <w:r>
              <w:t>4 Nov 1955</w:t>
            </w:r>
          </w:p>
        </w:tc>
        <w:tc>
          <w:tcPr>
            <w:tcW w:w="1616" w:type="dxa"/>
            <w:tcBorders>
              <w:top w:val="nil"/>
              <w:left w:val="nil"/>
              <w:bottom w:val="nil"/>
              <w:right w:val="nil"/>
            </w:tcBorders>
          </w:tcPr>
          <w:p w:rsidR="007375B5" w:rsidRDefault="00975921">
            <w:pPr>
              <w:pStyle w:val="TableOfActs2"/>
            </w:pPr>
            <w:r>
              <w:t>16 Feb 1956 (</w:t>
            </w:r>
            <w:r>
              <w:rPr>
                <w:i/>
                <w:iCs/>
              </w:rPr>
              <w:t xml:space="preserve">see Gazette </w:t>
            </w:r>
            <w:r>
              <w:t>1956, p. 472)</w:t>
            </w:r>
          </w:p>
        </w:tc>
        <w:tc>
          <w:tcPr>
            <w:tcW w:w="1032" w:type="dxa"/>
            <w:tcBorders>
              <w:top w:val="nil"/>
              <w:left w:val="nil"/>
              <w:bottom w:val="nil"/>
              <w:right w:val="nil"/>
            </w:tcBorders>
          </w:tcPr>
          <w:p w:rsidR="007375B5" w:rsidRDefault="00975921">
            <w:pPr>
              <w:pStyle w:val="TableOfActs2"/>
            </w:pPr>
            <w:r>
              <w:t>S. 7(2)</w:t>
            </w:r>
          </w:p>
        </w:tc>
      </w:tr>
      <w:tr w:rsidR="007375B5">
        <w:trPr>
          <w:cantSplit/>
        </w:trPr>
        <w:tc>
          <w:tcPr>
            <w:tcW w:w="2234" w:type="dxa"/>
            <w:tcBorders>
              <w:top w:val="nil"/>
              <w:left w:val="nil"/>
              <w:bottom w:val="nil"/>
              <w:right w:val="nil"/>
            </w:tcBorders>
          </w:tcPr>
          <w:p w:rsidR="007375B5" w:rsidRDefault="00975921">
            <w:pPr>
              <w:pStyle w:val="TableOfActs1"/>
            </w:pPr>
            <w:r>
              <w:t>Statute Law Revision Act 1973</w:t>
            </w:r>
          </w:p>
        </w:tc>
        <w:tc>
          <w:tcPr>
            <w:tcW w:w="1134" w:type="dxa"/>
            <w:tcBorders>
              <w:top w:val="nil"/>
              <w:left w:val="nil"/>
              <w:bottom w:val="nil"/>
              <w:right w:val="nil"/>
            </w:tcBorders>
          </w:tcPr>
          <w:p w:rsidR="007375B5" w:rsidRDefault="00975921">
            <w:pPr>
              <w:pStyle w:val="TableOfActs2"/>
            </w:pPr>
            <w:r>
              <w:t>216, 1973</w:t>
            </w:r>
          </w:p>
        </w:tc>
        <w:tc>
          <w:tcPr>
            <w:tcW w:w="1321" w:type="dxa"/>
            <w:tcBorders>
              <w:top w:val="nil"/>
              <w:left w:val="nil"/>
              <w:bottom w:val="nil"/>
              <w:right w:val="nil"/>
            </w:tcBorders>
          </w:tcPr>
          <w:p w:rsidR="007375B5" w:rsidRDefault="00975921">
            <w:pPr>
              <w:pStyle w:val="TableOfActs2"/>
            </w:pPr>
            <w:r>
              <w:t>19 Dec 1973</w:t>
            </w:r>
          </w:p>
        </w:tc>
        <w:tc>
          <w:tcPr>
            <w:tcW w:w="1616" w:type="dxa"/>
            <w:tcBorders>
              <w:top w:val="nil"/>
              <w:left w:val="nil"/>
              <w:bottom w:val="nil"/>
              <w:right w:val="nil"/>
            </w:tcBorders>
          </w:tcPr>
          <w:p w:rsidR="007375B5" w:rsidRDefault="00975921">
            <w:pPr>
              <w:pStyle w:val="TableOfActs2"/>
            </w:pPr>
            <w:r>
              <w:t>31 Dec 1973</w:t>
            </w:r>
          </w:p>
        </w:tc>
        <w:tc>
          <w:tcPr>
            <w:tcW w:w="1032" w:type="dxa"/>
            <w:tcBorders>
              <w:top w:val="nil"/>
              <w:left w:val="nil"/>
              <w:bottom w:val="nil"/>
              <w:right w:val="nil"/>
            </w:tcBorders>
          </w:tcPr>
          <w:p w:rsidR="007375B5" w:rsidRDefault="00975921">
            <w:pPr>
              <w:pStyle w:val="TableOfActs2"/>
            </w:pPr>
            <w:r>
              <w:t>Ss. 9(1) and 10</w:t>
            </w:r>
          </w:p>
        </w:tc>
      </w:tr>
      <w:tr w:rsidR="007375B5">
        <w:trPr>
          <w:cantSplit/>
        </w:trPr>
        <w:tc>
          <w:tcPr>
            <w:tcW w:w="2234" w:type="dxa"/>
            <w:tcBorders>
              <w:top w:val="nil"/>
              <w:left w:val="nil"/>
              <w:bottom w:val="nil"/>
              <w:right w:val="nil"/>
            </w:tcBorders>
          </w:tcPr>
          <w:p w:rsidR="007375B5" w:rsidRDefault="00975921">
            <w:pPr>
              <w:pStyle w:val="TableOfActs1"/>
            </w:pPr>
            <w:r>
              <w:t>Aboriginal Land Grant (Jervis Bay Territory) Act 1986</w:t>
            </w:r>
          </w:p>
        </w:tc>
        <w:tc>
          <w:tcPr>
            <w:tcW w:w="1134" w:type="dxa"/>
            <w:tcBorders>
              <w:top w:val="nil"/>
              <w:left w:val="nil"/>
              <w:bottom w:val="nil"/>
              <w:right w:val="nil"/>
            </w:tcBorders>
          </w:tcPr>
          <w:p w:rsidR="007375B5" w:rsidRDefault="00975921">
            <w:pPr>
              <w:pStyle w:val="TableOfActs2"/>
            </w:pPr>
            <w:r>
              <w:t>164, 1986</w:t>
            </w:r>
          </w:p>
        </w:tc>
        <w:tc>
          <w:tcPr>
            <w:tcW w:w="1321" w:type="dxa"/>
            <w:tcBorders>
              <w:top w:val="nil"/>
              <w:left w:val="nil"/>
              <w:bottom w:val="nil"/>
              <w:right w:val="nil"/>
            </w:tcBorders>
          </w:tcPr>
          <w:p w:rsidR="007375B5" w:rsidRDefault="00975921">
            <w:pPr>
              <w:pStyle w:val="TableOfActs2"/>
            </w:pPr>
            <w:r>
              <w:t>18 Dec 1986</w:t>
            </w:r>
          </w:p>
        </w:tc>
        <w:tc>
          <w:tcPr>
            <w:tcW w:w="1616" w:type="dxa"/>
            <w:tcBorders>
              <w:top w:val="nil"/>
              <w:left w:val="nil"/>
              <w:bottom w:val="nil"/>
              <w:right w:val="nil"/>
            </w:tcBorders>
          </w:tcPr>
          <w:p w:rsidR="007375B5" w:rsidRDefault="00975921">
            <w:pPr>
              <w:pStyle w:val="TableOfActs2"/>
            </w:pPr>
            <w:r>
              <w:t>15 Jan 1987</w:t>
            </w:r>
          </w:p>
        </w:tc>
        <w:tc>
          <w:tcPr>
            <w:tcW w:w="1032" w:type="dxa"/>
            <w:tcBorders>
              <w:top w:val="nil"/>
              <w:left w:val="nil"/>
              <w:bottom w:val="nil"/>
              <w:right w:val="nil"/>
            </w:tcBorders>
          </w:tcPr>
          <w:p w:rsidR="007375B5" w:rsidRDefault="00975921">
            <w:pPr>
              <w:pStyle w:val="TableOfActs2"/>
            </w:pPr>
            <w:r>
              <w:t>S. 3</w:t>
            </w:r>
          </w:p>
        </w:tc>
      </w:tr>
      <w:tr w:rsidR="007375B5">
        <w:trPr>
          <w:cantSplit/>
        </w:trPr>
        <w:tc>
          <w:tcPr>
            <w:tcW w:w="2234" w:type="dxa"/>
            <w:tcBorders>
              <w:top w:val="nil"/>
              <w:left w:val="nil"/>
              <w:bottom w:val="nil"/>
              <w:right w:val="nil"/>
            </w:tcBorders>
          </w:tcPr>
          <w:p w:rsidR="007375B5" w:rsidRDefault="00975921">
            <w:pPr>
              <w:pStyle w:val="TableOfActs1"/>
            </w:pPr>
            <w:r>
              <w:t>A.C.T. Self</w:t>
            </w:r>
            <w:r>
              <w:noBreakHyphen/>
              <w:t>Government (Consequential Provisions) Act 1988</w:t>
            </w:r>
          </w:p>
        </w:tc>
        <w:tc>
          <w:tcPr>
            <w:tcW w:w="1134" w:type="dxa"/>
            <w:tcBorders>
              <w:top w:val="nil"/>
              <w:left w:val="nil"/>
              <w:bottom w:val="nil"/>
              <w:right w:val="nil"/>
            </w:tcBorders>
          </w:tcPr>
          <w:p w:rsidR="007375B5" w:rsidRDefault="00975921">
            <w:pPr>
              <w:pStyle w:val="TableOfActs2"/>
            </w:pPr>
            <w:r>
              <w:t>109, 1988</w:t>
            </w:r>
          </w:p>
        </w:tc>
        <w:tc>
          <w:tcPr>
            <w:tcW w:w="1321" w:type="dxa"/>
            <w:tcBorders>
              <w:top w:val="nil"/>
              <w:left w:val="nil"/>
              <w:bottom w:val="nil"/>
              <w:right w:val="nil"/>
            </w:tcBorders>
          </w:tcPr>
          <w:p w:rsidR="007375B5" w:rsidRDefault="00975921">
            <w:pPr>
              <w:pStyle w:val="TableOfActs2"/>
            </w:pPr>
            <w:r>
              <w:t>6 Dec 1988</w:t>
            </w:r>
          </w:p>
        </w:tc>
        <w:tc>
          <w:tcPr>
            <w:tcW w:w="1616" w:type="dxa"/>
            <w:tcBorders>
              <w:top w:val="nil"/>
              <w:left w:val="nil"/>
              <w:bottom w:val="nil"/>
              <w:right w:val="nil"/>
            </w:tcBorders>
          </w:tcPr>
          <w:p w:rsidR="007375B5" w:rsidRDefault="00975921">
            <w:pPr>
              <w:pStyle w:val="TableOfActs2"/>
            </w:pPr>
            <w:r>
              <w:t>S. 32 (in part): 11 May 1989 (</w:t>
            </w:r>
            <w:r>
              <w:rPr>
                <w:i/>
                <w:iCs/>
              </w:rPr>
              <w:t xml:space="preserve">see Gazette </w:t>
            </w:r>
            <w:r>
              <w:t xml:space="preserve">1989, No. S164) </w:t>
            </w:r>
            <w:r>
              <w:rPr>
                <w:i/>
                <w:iCs/>
              </w:rPr>
              <w:t>(a)</w:t>
            </w:r>
          </w:p>
        </w:tc>
        <w:tc>
          <w:tcPr>
            <w:tcW w:w="1032" w:type="dxa"/>
            <w:tcBorders>
              <w:top w:val="nil"/>
              <w:left w:val="nil"/>
              <w:bottom w:val="nil"/>
              <w:right w:val="nil"/>
            </w:tcBorders>
          </w:tcPr>
          <w:p w:rsidR="007375B5" w:rsidRDefault="00975921">
            <w:pPr>
              <w:pStyle w:val="TableOfActs2"/>
            </w:pPr>
            <w:r>
              <w:t>—</w:t>
            </w:r>
          </w:p>
        </w:tc>
      </w:tr>
      <w:tr w:rsidR="007375B5">
        <w:trPr>
          <w:cantSplit/>
        </w:trPr>
        <w:tc>
          <w:tcPr>
            <w:tcW w:w="2234" w:type="dxa"/>
            <w:tcBorders>
              <w:top w:val="nil"/>
              <w:left w:val="nil"/>
              <w:bottom w:val="nil"/>
              <w:right w:val="nil"/>
            </w:tcBorders>
          </w:tcPr>
          <w:p w:rsidR="007375B5" w:rsidRDefault="00975921">
            <w:pPr>
              <w:pStyle w:val="TableOfActs1"/>
            </w:pPr>
            <w:r>
              <w:t>Crimes Legislation Amendment Act 1991</w:t>
            </w:r>
          </w:p>
        </w:tc>
        <w:tc>
          <w:tcPr>
            <w:tcW w:w="1134" w:type="dxa"/>
            <w:tcBorders>
              <w:top w:val="nil"/>
              <w:left w:val="nil"/>
              <w:bottom w:val="nil"/>
              <w:right w:val="nil"/>
            </w:tcBorders>
          </w:tcPr>
          <w:p w:rsidR="007375B5" w:rsidRDefault="00975921">
            <w:pPr>
              <w:pStyle w:val="TableOfActs2"/>
            </w:pPr>
            <w:r>
              <w:t>28, 1991</w:t>
            </w:r>
          </w:p>
        </w:tc>
        <w:tc>
          <w:tcPr>
            <w:tcW w:w="1321" w:type="dxa"/>
            <w:tcBorders>
              <w:top w:val="nil"/>
              <w:left w:val="nil"/>
              <w:bottom w:val="nil"/>
              <w:right w:val="nil"/>
            </w:tcBorders>
          </w:tcPr>
          <w:p w:rsidR="007375B5" w:rsidRDefault="00975921">
            <w:pPr>
              <w:pStyle w:val="TableOfActs2"/>
            </w:pPr>
            <w:r>
              <w:t>4 Mar 1991</w:t>
            </w:r>
          </w:p>
        </w:tc>
        <w:tc>
          <w:tcPr>
            <w:tcW w:w="1616" w:type="dxa"/>
            <w:tcBorders>
              <w:top w:val="nil"/>
              <w:left w:val="nil"/>
              <w:bottom w:val="nil"/>
              <w:right w:val="nil"/>
            </w:tcBorders>
          </w:tcPr>
          <w:p w:rsidR="007375B5" w:rsidRDefault="00975921">
            <w:pPr>
              <w:pStyle w:val="TableOfActs2"/>
            </w:pPr>
            <w:r>
              <w:t xml:space="preserve">S. 74(1): Royal Assent </w:t>
            </w:r>
            <w:r>
              <w:rPr>
                <w:i/>
                <w:iCs/>
              </w:rPr>
              <w:t>(b)</w:t>
            </w:r>
          </w:p>
        </w:tc>
        <w:tc>
          <w:tcPr>
            <w:tcW w:w="1032" w:type="dxa"/>
            <w:tcBorders>
              <w:top w:val="nil"/>
              <w:left w:val="nil"/>
              <w:bottom w:val="nil"/>
              <w:right w:val="nil"/>
            </w:tcBorders>
          </w:tcPr>
          <w:p w:rsidR="007375B5" w:rsidRDefault="00975921">
            <w:pPr>
              <w:pStyle w:val="TableOfActs2"/>
            </w:pPr>
            <w:r>
              <w:t>—</w:t>
            </w:r>
          </w:p>
        </w:tc>
      </w:tr>
      <w:tr w:rsidR="007375B5">
        <w:trPr>
          <w:cantSplit/>
        </w:trPr>
        <w:tc>
          <w:tcPr>
            <w:tcW w:w="2234" w:type="dxa"/>
            <w:tcBorders>
              <w:top w:val="nil"/>
              <w:left w:val="nil"/>
              <w:bottom w:val="nil"/>
              <w:right w:val="nil"/>
            </w:tcBorders>
          </w:tcPr>
          <w:p w:rsidR="007375B5" w:rsidRDefault="00975921">
            <w:pPr>
              <w:pStyle w:val="TableOfActs1"/>
            </w:pPr>
            <w:r>
              <w:t>Transport and Regional Services Legislation Amendment (Application of Criminal Code) Act 2001</w:t>
            </w:r>
          </w:p>
        </w:tc>
        <w:tc>
          <w:tcPr>
            <w:tcW w:w="1134" w:type="dxa"/>
            <w:tcBorders>
              <w:top w:val="nil"/>
              <w:left w:val="nil"/>
              <w:bottom w:val="nil"/>
              <w:right w:val="nil"/>
            </w:tcBorders>
          </w:tcPr>
          <w:p w:rsidR="007375B5" w:rsidRDefault="00975921">
            <w:pPr>
              <w:pStyle w:val="TableOfActs2"/>
            </w:pPr>
            <w:r>
              <w:t>143, 2001</w:t>
            </w:r>
          </w:p>
        </w:tc>
        <w:tc>
          <w:tcPr>
            <w:tcW w:w="1321" w:type="dxa"/>
            <w:tcBorders>
              <w:top w:val="nil"/>
              <w:left w:val="nil"/>
              <w:bottom w:val="nil"/>
              <w:right w:val="nil"/>
            </w:tcBorders>
          </w:tcPr>
          <w:p w:rsidR="007375B5" w:rsidRDefault="00975921">
            <w:pPr>
              <w:pStyle w:val="TableOfActs2"/>
            </w:pPr>
            <w:r>
              <w:t>1 Oct 2001</w:t>
            </w:r>
          </w:p>
        </w:tc>
        <w:tc>
          <w:tcPr>
            <w:tcW w:w="1616" w:type="dxa"/>
            <w:tcBorders>
              <w:top w:val="nil"/>
              <w:left w:val="nil"/>
              <w:bottom w:val="nil"/>
              <w:right w:val="nil"/>
            </w:tcBorders>
          </w:tcPr>
          <w:p w:rsidR="007375B5" w:rsidRDefault="00975921">
            <w:pPr>
              <w:pStyle w:val="TableOfActs2"/>
            </w:pPr>
            <w:r>
              <w:t>2 Oct 2001</w:t>
            </w:r>
          </w:p>
        </w:tc>
        <w:tc>
          <w:tcPr>
            <w:tcW w:w="1032" w:type="dxa"/>
            <w:tcBorders>
              <w:top w:val="nil"/>
              <w:left w:val="nil"/>
              <w:bottom w:val="nil"/>
              <w:right w:val="nil"/>
            </w:tcBorders>
          </w:tcPr>
          <w:p w:rsidR="007375B5" w:rsidRDefault="00975921">
            <w:pPr>
              <w:pStyle w:val="TableOfActs2"/>
            </w:pPr>
            <w:r>
              <w:t>S. 4 [see Table A]</w:t>
            </w:r>
          </w:p>
        </w:tc>
      </w:tr>
    </w:tbl>
    <w:p w:rsidR="007375B5" w:rsidRDefault="007375B5">
      <w:pPr>
        <w:sectPr w:rsidR="007375B5" w:rsidSect="00A218F4">
          <w:headerReference w:type="even" r:id="rId20"/>
          <w:headerReference w:type="default" r:id="rId21"/>
          <w:headerReference w:type="first" r:id="rId22"/>
          <w:footerReference w:type="first" r:id="rId23"/>
          <w:type w:val="oddPage"/>
          <w:pgSz w:w="11906" w:h="16838" w:code="9"/>
          <w:pgMar w:top="2268" w:right="2410" w:bottom="3827" w:left="2410" w:header="567" w:footer="3119" w:gutter="0"/>
          <w:cols w:space="709"/>
          <w:titlePg/>
          <w:docGrid w:linePitch="299"/>
        </w:sectPr>
      </w:pPr>
    </w:p>
    <w:p w:rsidR="007375B5" w:rsidRDefault="00975921">
      <w:pPr>
        <w:pStyle w:val="ActNotesa"/>
      </w:pPr>
      <w:r>
        <w:rPr>
          <w:i/>
          <w:iCs/>
        </w:rPr>
        <w:lastRenderedPageBreak/>
        <w:t>(a)</w:t>
      </w:r>
      <w:r>
        <w:tab/>
        <w:t xml:space="preserve">The </w:t>
      </w:r>
      <w:r>
        <w:rPr>
          <w:i/>
          <w:iCs/>
        </w:rPr>
        <w:t>Jervis Bay Territory Acceptance Act 1915</w:t>
      </w:r>
      <w:r>
        <w:t xml:space="preserve"> was amended by section 32 only of the </w:t>
      </w:r>
      <w:r>
        <w:rPr>
          <w:i/>
          <w:iCs/>
        </w:rPr>
        <w:t>A.C.T. Self</w:t>
      </w:r>
      <w:r>
        <w:rPr>
          <w:i/>
          <w:iCs/>
        </w:rPr>
        <w:noBreakHyphen/>
        <w:t>Government (Consequential Provisions) Act 1988</w:t>
      </w:r>
      <w:r>
        <w:t>, subsection 2(3) of which provides as follows:</w:t>
      </w:r>
    </w:p>
    <w:p w:rsidR="007375B5" w:rsidRDefault="00975921">
      <w:pPr>
        <w:pStyle w:val="ActNotes1"/>
      </w:pPr>
      <w:r>
        <w:tab/>
        <w:t>(3)</w:t>
      </w:r>
      <w:r>
        <w:tab/>
        <w:t>The remaining provisions of this Act (including the amendments made by Schedule 5) commence on a day or days to be fixed by Proclamation.</w:t>
      </w:r>
    </w:p>
    <w:p w:rsidR="007375B5" w:rsidRDefault="00975921">
      <w:pPr>
        <w:pStyle w:val="ActNotesa"/>
      </w:pPr>
      <w:r>
        <w:rPr>
          <w:i/>
          <w:iCs/>
        </w:rPr>
        <w:t>(b)</w:t>
      </w:r>
      <w:r>
        <w:tab/>
        <w:t xml:space="preserve">The </w:t>
      </w:r>
      <w:r>
        <w:rPr>
          <w:i/>
          <w:iCs/>
        </w:rPr>
        <w:t>Jervis Bay Territory Acceptance Act 1915</w:t>
      </w:r>
      <w:r>
        <w:t xml:space="preserve"> was amended by subsection 74(1) only of the </w:t>
      </w:r>
      <w:r>
        <w:rPr>
          <w:i/>
          <w:iCs/>
        </w:rPr>
        <w:t>Crimes Legislation Amendment Act 1991</w:t>
      </w:r>
      <w:r>
        <w:t>, subsection 2(1) of which provides as follows:</w:t>
      </w:r>
    </w:p>
    <w:p w:rsidR="007375B5" w:rsidRDefault="00975921">
      <w:pPr>
        <w:pStyle w:val="ActNotes1"/>
      </w:pPr>
      <w:r>
        <w:tab/>
        <w:t>(1)</w:t>
      </w:r>
      <w:r>
        <w:tab/>
        <w:t>Subject to this section, this Act commences on the day on which it receives the Royal Assent.</w:t>
      </w:r>
    </w:p>
    <w:p w:rsidR="007375B5" w:rsidRDefault="007375B5">
      <w:pPr>
        <w:sectPr w:rsidR="007375B5" w:rsidSect="00A218F4">
          <w:headerReference w:type="even" r:id="rId24"/>
          <w:headerReference w:type="default" r:id="rId25"/>
          <w:pgSz w:w="11901" w:h="16840"/>
          <w:pgMar w:top="2268" w:right="2410" w:bottom="3827" w:left="2410" w:header="567" w:footer="3119" w:gutter="0"/>
          <w:cols w:space="709"/>
          <w:docGrid w:linePitch="299"/>
        </w:sectPr>
      </w:pPr>
    </w:p>
    <w:p w:rsidR="007375B5" w:rsidRDefault="00975921">
      <w:pPr>
        <w:pStyle w:val="TableOfAmendHead"/>
      </w:pPr>
      <w:r>
        <w:lastRenderedPageBreak/>
        <w:t>Table of Amendments</w:t>
      </w:r>
    </w:p>
    <w:p w:rsidR="007375B5" w:rsidRDefault="00975921">
      <w:pPr>
        <w:pStyle w:val="TableOfAmend"/>
      </w:pPr>
      <w:r>
        <w:t>ad. = added or inserted   am. = amended   rep. = repealed   rs. = repealed and substituted</w:t>
      </w:r>
    </w:p>
    <w:tbl>
      <w:tblPr>
        <w:tblW w:w="0" w:type="auto"/>
        <w:tblLayout w:type="fixed"/>
        <w:tblLook w:val="0000" w:firstRow="0" w:lastRow="0" w:firstColumn="0" w:lastColumn="0" w:noHBand="0" w:noVBand="0"/>
      </w:tblPr>
      <w:tblGrid>
        <w:gridCol w:w="2376"/>
        <w:gridCol w:w="4678"/>
      </w:tblGrid>
      <w:tr w:rsidR="007375B5" w:rsidTr="004176D7">
        <w:trPr>
          <w:cantSplit/>
          <w:tblHeader/>
        </w:trPr>
        <w:tc>
          <w:tcPr>
            <w:tcW w:w="2376" w:type="dxa"/>
            <w:tcBorders>
              <w:top w:val="single" w:sz="4" w:space="0" w:color="auto"/>
              <w:left w:val="nil"/>
              <w:bottom w:val="single" w:sz="4" w:space="0" w:color="auto"/>
              <w:right w:val="nil"/>
            </w:tcBorders>
          </w:tcPr>
          <w:p w:rsidR="007375B5" w:rsidRDefault="004176D7">
            <w:pPr>
              <w:pStyle w:val="TableOfAmend"/>
            </w:pPr>
            <w:r>
              <w:rPr>
                <w:sz w:val="18"/>
                <w:szCs w:val="18"/>
              </w:rPr>
              <w:t>Provision affected</w:t>
            </w:r>
          </w:p>
        </w:tc>
        <w:tc>
          <w:tcPr>
            <w:tcW w:w="4678" w:type="dxa"/>
            <w:tcBorders>
              <w:top w:val="single" w:sz="4" w:space="0" w:color="auto"/>
              <w:left w:val="nil"/>
              <w:bottom w:val="single" w:sz="4" w:space="0" w:color="auto"/>
              <w:right w:val="nil"/>
            </w:tcBorders>
          </w:tcPr>
          <w:p w:rsidR="007375B5" w:rsidRDefault="004176D7">
            <w:pPr>
              <w:pStyle w:val="TableOfAmend"/>
            </w:pPr>
            <w:r>
              <w:rPr>
                <w:sz w:val="18"/>
                <w:szCs w:val="18"/>
              </w:rPr>
              <w:t>How affected</w:t>
            </w:r>
          </w:p>
        </w:tc>
      </w:tr>
      <w:tr w:rsidR="004176D7" w:rsidTr="004176D7">
        <w:trPr>
          <w:cantSplit/>
        </w:trPr>
        <w:tc>
          <w:tcPr>
            <w:tcW w:w="2376" w:type="dxa"/>
            <w:tcBorders>
              <w:top w:val="single" w:sz="4" w:space="0" w:color="auto"/>
              <w:left w:val="nil"/>
              <w:bottom w:val="nil"/>
              <w:right w:val="nil"/>
            </w:tcBorders>
          </w:tcPr>
          <w:p w:rsidR="004176D7" w:rsidRDefault="004176D7">
            <w:pPr>
              <w:pStyle w:val="TableOfAmend"/>
            </w:pPr>
            <w:r>
              <w:t>S. 2A</w:t>
            </w:r>
            <w:r>
              <w:tab/>
            </w:r>
          </w:p>
        </w:tc>
        <w:tc>
          <w:tcPr>
            <w:tcW w:w="4678" w:type="dxa"/>
            <w:tcBorders>
              <w:top w:val="single" w:sz="4" w:space="0" w:color="auto"/>
              <w:left w:val="nil"/>
              <w:bottom w:val="nil"/>
              <w:right w:val="nil"/>
            </w:tcBorders>
          </w:tcPr>
          <w:p w:rsidR="004176D7" w:rsidRDefault="004176D7">
            <w:pPr>
              <w:pStyle w:val="TableOfAmend"/>
            </w:pPr>
            <w:r>
              <w:t>ad. No. 109, 1988</w:t>
            </w:r>
          </w:p>
        </w:tc>
      </w:tr>
      <w:tr w:rsidR="004176D7">
        <w:trPr>
          <w:cantSplit/>
        </w:trPr>
        <w:tc>
          <w:tcPr>
            <w:tcW w:w="2376" w:type="dxa"/>
            <w:tcBorders>
              <w:top w:val="nil"/>
              <w:left w:val="nil"/>
              <w:bottom w:val="nil"/>
              <w:right w:val="nil"/>
            </w:tcBorders>
          </w:tcPr>
          <w:p w:rsidR="004176D7" w:rsidRDefault="004176D7">
            <w:pPr>
              <w:pStyle w:val="TableOfAmend"/>
            </w:pPr>
            <w:r>
              <w:t>S. 4</w:t>
            </w:r>
            <w:r>
              <w:tab/>
            </w:r>
          </w:p>
        </w:tc>
        <w:tc>
          <w:tcPr>
            <w:tcW w:w="4678" w:type="dxa"/>
            <w:tcBorders>
              <w:top w:val="nil"/>
              <w:left w:val="nil"/>
              <w:bottom w:val="nil"/>
              <w:right w:val="nil"/>
            </w:tcBorders>
          </w:tcPr>
          <w:p w:rsidR="004176D7" w:rsidRDefault="004176D7">
            <w:pPr>
              <w:pStyle w:val="TableOfAmend"/>
            </w:pPr>
            <w:r>
              <w:t>am. No. 216, 1973; No. 109, 1988</w:t>
            </w:r>
          </w:p>
        </w:tc>
      </w:tr>
      <w:tr w:rsidR="007375B5">
        <w:trPr>
          <w:cantSplit/>
        </w:trPr>
        <w:tc>
          <w:tcPr>
            <w:tcW w:w="2376" w:type="dxa"/>
            <w:tcBorders>
              <w:top w:val="nil"/>
              <w:left w:val="nil"/>
              <w:bottom w:val="nil"/>
              <w:right w:val="nil"/>
            </w:tcBorders>
          </w:tcPr>
          <w:p w:rsidR="007375B5" w:rsidRDefault="00975921">
            <w:pPr>
              <w:pStyle w:val="TableOfAmend"/>
            </w:pPr>
            <w:r>
              <w:t>S. 4A</w:t>
            </w:r>
            <w:r>
              <w:tab/>
            </w:r>
          </w:p>
        </w:tc>
        <w:tc>
          <w:tcPr>
            <w:tcW w:w="4678" w:type="dxa"/>
            <w:tcBorders>
              <w:top w:val="nil"/>
              <w:left w:val="nil"/>
              <w:bottom w:val="nil"/>
              <w:right w:val="nil"/>
            </w:tcBorders>
          </w:tcPr>
          <w:p w:rsidR="007375B5" w:rsidRDefault="00975921">
            <w:pPr>
              <w:pStyle w:val="TableOfAmend"/>
            </w:pPr>
            <w:r>
              <w:t>ad. No. 109, 1988</w:t>
            </w:r>
          </w:p>
        </w:tc>
      </w:tr>
      <w:tr w:rsidR="007375B5">
        <w:trPr>
          <w:cantSplit/>
        </w:trPr>
        <w:tc>
          <w:tcPr>
            <w:tcW w:w="2376" w:type="dxa"/>
            <w:tcBorders>
              <w:top w:val="nil"/>
              <w:left w:val="nil"/>
              <w:bottom w:val="nil"/>
              <w:right w:val="nil"/>
            </w:tcBorders>
          </w:tcPr>
          <w:p w:rsidR="007375B5" w:rsidRDefault="00975921">
            <w:pPr>
              <w:pStyle w:val="TableOfAmend"/>
            </w:pPr>
            <w:r>
              <w:t>S. 4AA</w:t>
            </w:r>
            <w:r>
              <w:tab/>
            </w:r>
          </w:p>
        </w:tc>
        <w:tc>
          <w:tcPr>
            <w:tcW w:w="4678" w:type="dxa"/>
            <w:tcBorders>
              <w:top w:val="nil"/>
              <w:left w:val="nil"/>
              <w:bottom w:val="nil"/>
              <w:right w:val="nil"/>
            </w:tcBorders>
          </w:tcPr>
          <w:p w:rsidR="007375B5" w:rsidRDefault="00975921">
            <w:pPr>
              <w:pStyle w:val="TableOfAmend"/>
            </w:pPr>
            <w:r>
              <w:t>ad. No. 143, 2001</w:t>
            </w:r>
          </w:p>
        </w:tc>
      </w:tr>
      <w:tr w:rsidR="007375B5">
        <w:trPr>
          <w:cantSplit/>
        </w:trPr>
        <w:tc>
          <w:tcPr>
            <w:tcW w:w="2376" w:type="dxa"/>
            <w:tcBorders>
              <w:top w:val="nil"/>
              <w:left w:val="nil"/>
              <w:bottom w:val="nil"/>
              <w:right w:val="nil"/>
            </w:tcBorders>
          </w:tcPr>
          <w:p w:rsidR="007375B5" w:rsidRDefault="00975921">
            <w:pPr>
              <w:pStyle w:val="TableOfAmend"/>
            </w:pPr>
            <w:r>
              <w:t>Ss. 4B, 4C</w:t>
            </w:r>
            <w:r>
              <w:tab/>
            </w:r>
          </w:p>
        </w:tc>
        <w:tc>
          <w:tcPr>
            <w:tcW w:w="4678" w:type="dxa"/>
            <w:tcBorders>
              <w:top w:val="nil"/>
              <w:left w:val="nil"/>
              <w:bottom w:val="nil"/>
              <w:right w:val="nil"/>
            </w:tcBorders>
          </w:tcPr>
          <w:p w:rsidR="007375B5" w:rsidRDefault="00975921">
            <w:pPr>
              <w:pStyle w:val="TableOfAmend"/>
            </w:pPr>
            <w:r>
              <w:t>ad. No. 109, 1988</w:t>
            </w:r>
          </w:p>
        </w:tc>
      </w:tr>
      <w:tr w:rsidR="007375B5">
        <w:trPr>
          <w:cantSplit/>
        </w:trPr>
        <w:tc>
          <w:tcPr>
            <w:tcW w:w="2376" w:type="dxa"/>
            <w:tcBorders>
              <w:top w:val="nil"/>
              <w:left w:val="nil"/>
              <w:bottom w:val="nil"/>
              <w:right w:val="nil"/>
            </w:tcBorders>
          </w:tcPr>
          <w:p w:rsidR="007375B5" w:rsidRDefault="00975921">
            <w:pPr>
              <w:pStyle w:val="TableOfAmend"/>
              <w:keepNext/>
            </w:pPr>
            <w:r>
              <w:t>S. 4D</w:t>
            </w:r>
            <w:r>
              <w:tab/>
            </w:r>
          </w:p>
        </w:tc>
        <w:tc>
          <w:tcPr>
            <w:tcW w:w="4678" w:type="dxa"/>
            <w:tcBorders>
              <w:top w:val="nil"/>
              <w:left w:val="nil"/>
              <w:bottom w:val="nil"/>
              <w:right w:val="nil"/>
            </w:tcBorders>
          </w:tcPr>
          <w:p w:rsidR="007375B5" w:rsidRDefault="00975921">
            <w:pPr>
              <w:pStyle w:val="TableOfAmend"/>
              <w:keepNext/>
            </w:pPr>
            <w:r>
              <w:t>ad. No. 109, 1988</w:t>
            </w:r>
          </w:p>
        </w:tc>
      </w:tr>
      <w:tr w:rsidR="007375B5">
        <w:trPr>
          <w:cantSplit/>
        </w:trPr>
        <w:tc>
          <w:tcPr>
            <w:tcW w:w="2376" w:type="dxa"/>
            <w:tcBorders>
              <w:top w:val="nil"/>
              <w:left w:val="nil"/>
              <w:bottom w:val="nil"/>
              <w:right w:val="nil"/>
            </w:tcBorders>
          </w:tcPr>
          <w:p w:rsidR="007375B5" w:rsidRDefault="007375B5">
            <w:pPr>
              <w:pStyle w:val="TableOfAmendOpt"/>
            </w:pPr>
          </w:p>
        </w:tc>
        <w:tc>
          <w:tcPr>
            <w:tcW w:w="4678" w:type="dxa"/>
            <w:tcBorders>
              <w:top w:val="nil"/>
              <w:left w:val="nil"/>
              <w:bottom w:val="nil"/>
              <w:right w:val="nil"/>
            </w:tcBorders>
          </w:tcPr>
          <w:p w:rsidR="007375B5" w:rsidRDefault="00975921">
            <w:pPr>
              <w:pStyle w:val="TableOfAmendOpt"/>
            </w:pPr>
            <w:r>
              <w:t>am. No. 28, 1991</w:t>
            </w:r>
          </w:p>
        </w:tc>
      </w:tr>
      <w:tr w:rsidR="007375B5">
        <w:trPr>
          <w:cantSplit/>
        </w:trPr>
        <w:tc>
          <w:tcPr>
            <w:tcW w:w="2376" w:type="dxa"/>
            <w:tcBorders>
              <w:top w:val="nil"/>
              <w:left w:val="nil"/>
              <w:bottom w:val="nil"/>
              <w:right w:val="nil"/>
            </w:tcBorders>
          </w:tcPr>
          <w:p w:rsidR="007375B5" w:rsidRDefault="00975921" w:rsidP="00975921">
            <w:pPr>
              <w:pStyle w:val="TableOfAmend"/>
            </w:pPr>
            <w:r>
              <w:t>Ss. 4E–4L</w:t>
            </w:r>
            <w:r>
              <w:tab/>
            </w:r>
          </w:p>
        </w:tc>
        <w:tc>
          <w:tcPr>
            <w:tcW w:w="4678" w:type="dxa"/>
            <w:tcBorders>
              <w:top w:val="nil"/>
              <w:left w:val="nil"/>
              <w:bottom w:val="nil"/>
              <w:right w:val="nil"/>
            </w:tcBorders>
          </w:tcPr>
          <w:p w:rsidR="007375B5" w:rsidRDefault="00975921">
            <w:pPr>
              <w:pStyle w:val="TableOfAmend"/>
            </w:pPr>
            <w:r>
              <w:t>ad. No. 109, 1988</w:t>
            </w:r>
          </w:p>
        </w:tc>
      </w:tr>
      <w:tr w:rsidR="007375B5">
        <w:trPr>
          <w:cantSplit/>
        </w:trPr>
        <w:tc>
          <w:tcPr>
            <w:tcW w:w="2376" w:type="dxa"/>
            <w:tcBorders>
              <w:top w:val="nil"/>
              <w:left w:val="nil"/>
              <w:bottom w:val="nil"/>
              <w:right w:val="nil"/>
            </w:tcBorders>
          </w:tcPr>
          <w:p w:rsidR="007375B5" w:rsidRDefault="00975921">
            <w:pPr>
              <w:pStyle w:val="TableOfAmend"/>
            </w:pPr>
            <w:r>
              <w:t>S. 5</w:t>
            </w:r>
            <w:r>
              <w:tab/>
            </w:r>
          </w:p>
        </w:tc>
        <w:tc>
          <w:tcPr>
            <w:tcW w:w="4678" w:type="dxa"/>
            <w:tcBorders>
              <w:top w:val="nil"/>
              <w:left w:val="nil"/>
              <w:bottom w:val="nil"/>
              <w:right w:val="nil"/>
            </w:tcBorders>
          </w:tcPr>
          <w:p w:rsidR="007375B5" w:rsidRDefault="00975921">
            <w:pPr>
              <w:pStyle w:val="TableOfAmend"/>
            </w:pPr>
            <w:r>
              <w:t>rs. No. 164, 1986</w:t>
            </w:r>
          </w:p>
        </w:tc>
      </w:tr>
      <w:tr w:rsidR="007375B5">
        <w:trPr>
          <w:cantSplit/>
        </w:trPr>
        <w:tc>
          <w:tcPr>
            <w:tcW w:w="2376" w:type="dxa"/>
            <w:tcBorders>
              <w:top w:val="nil"/>
              <w:left w:val="nil"/>
              <w:bottom w:val="nil"/>
              <w:right w:val="nil"/>
            </w:tcBorders>
          </w:tcPr>
          <w:p w:rsidR="007375B5" w:rsidRDefault="00975921">
            <w:pPr>
              <w:pStyle w:val="TableOfAmend"/>
            </w:pPr>
            <w:r>
              <w:t>S. 6</w:t>
            </w:r>
            <w:r>
              <w:tab/>
            </w:r>
          </w:p>
        </w:tc>
        <w:tc>
          <w:tcPr>
            <w:tcW w:w="4678" w:type="dxa"/>
            <w:tcBorders>
              <w:top w:val="nil"/>
              <w:left w:val="nil"/>
              <w:bottom w:val="nil"/>
              <w:right w:val="nil"/>
            </w:tcBorders>
          </w:tcPr>
          <w:p w:rsidR="007375B5" w:rsidRDefault="00975921">
            <w:pPr>
              <w:pStyle w:val="TableOfAmend"/>
            </w:pPr>
            <w:r>
              <w:t>rep. No. 70, 1955</w:t>
            </w:r>
          </w:p>
        </w:tc>
      </w:tr>
    </w:tbl>
    <w:p w:rsidR="007375B5" w:rsidRDefault="007375B5">
      <w:pPr>
        <w:sectPr w:rsidR="007375B5" w:rsidSect="00A218F4">
          <w:headerReference w:type="even" r:id="rId26"/>
          <w:headerReference w:type="default" r:id="rId27"/>
          <w:headerReference w:type="first" r:id="rId28"/>
          <w:type w:val="oddPage"/>
          <w:pgSz w:w="11901" w:h="16840" w:code="9"/>
          <w:pgMar w:top="2268" w:right="2410" w:bottom="3827" w:left="2410" w:header="567" w:footer="3119" w:gutter="0"/>
          <w:cols w:space="709"/>
          <w:titlePg/>
          <w:docGrid w:linePitch="299"/>
        </w:sectPr>
      </w:pPr>
    </w:p>
    <w:p w:rsidR="007375B5" w:rsidRDefault="00975921">
      <w:pPr>
        <w:pStyle w:val="ENoteNo"/>
        <w:keepNext/>
        <w:keepLines/>
      </w:pPr>
      <w:r>
        <w:lastRenderedPageBreak/>
        <w:t>Note 2</w:t>
      </w:r>
    </w:p>
    <w:p w:rsidR="007375B5" w:rsidRDefault="00975921">
      <w:pPr>
        <w:pStyle w:val="EndNote"/>
      </w:pPr>
      <w:r>
        <w:t xml:space="preserve">S. 2—The Act of the Parliament of New South Wales which ratified and confirmed the agreement and surrendered the territory to the Commonwealth is the Seat of Government Surrender Act, 1915 (No. 9, 1915), which was assented to on 20 February 1915 and proclaimed to commence on 21 April 1915. </w:t>
      </w:r>
      <w:r>
        <w:rPr>
          <w:i/>
          <w:iCs/>
        </w:rPr>
        <w:t xml:space="preserve">See </w:t>
      </w:r>
      <w:r>
        <w:t xml:space="preserve">N.S.W. </w:t>
      </w:r>
      <w:r>
        <w:rPr>
          <w:i/>
          <w:iCs/>
        </w:rPr>
        <w:t>Gazette</w:t>
      </w:r>
      <w:r>
        <w:t>, 21 April 1915, p. 2362.</w:t>
      </w:r>
    </w:p>
    <w:p w:rsidR="007375B5" w:rsidRDefault="007375B5">
      <w:pPr>
        <w:sectPr w:rsidR="007375B5" w:rsidSect="00A218F4">
          <w:headerReference w:type="even" r:id="rId29"/>
          <w:headerReference w:type="default" r:id="rId30"/>
          <w:pgSz w:w="11901" w:h="16840" w:code="9"/>
          <w:pgMar w:top="2268" w:right="2410" w:bottom="3827" w:left="2410" w:header="567" w:footer="3119" w:gutter="0"/>
          <w:cols w:space="709"/>
          <w:docGrid w:linePitch="299"/>
        </w:sectPr>
      </w:pPr>
    </w:p>
    <w:p w:rsidR="007375B5" w:rsidRDefault="00975921">
      <w:pPr>
        <w:pStyle w:val="TableA"/>
        <w:widowControl w:val="0"/>
      </w:pPr>
      <w:r>
        <w:lastRenderedPageBreak/>
        <w:t>Table A</w:t>
      </w:r>
    </w:p>
    <w:p w:rsidR="007375B5" w:rsidRDefault="00975921">
      <w:pPr>
        <w:pStyle w:val="TableAHead"/>
      </w:pPr>
      <w:r>
        <w:t>Application, saving or transitional provisions</w:t>
      </w:r>
    </w:p>
    <w:p w:rsidR="007375B5" w:rsidRDefault="00975921">
      <w:pPr>
        <w:pStyle w:val="TableAHeadItal"/>
        <w:widowControl w:val="0"/>
        <w:spacing w:line="240" w:lineRule="atLeast"/>
        <w:rPr>
          <w:i w:val="0"/>
          <w:iCs w:val="0"/>
        </w:rPr>
      </w:pPr>
      <w:r>
        <w:t xml:space="preserve">Transport and Regional Services Legislation Amendment (Application of Criminal Code) Act 2001 </w:t>
      </w:r>
      <w:r>
        <w:rPr>
          <w:i w:val="0"/>
          <w:iCs w:val="0"/>
        </w:rPr>
        <w:t>(No. 143, 2001)</w:t>
      </w:r>
    </w:p>
    <w:p w:rsidR="007375B5" w:rsidRDefault="00975921">
      <w:pPr>
        <w:pStyle w:val="New5"/>
      </w:pPr>
      <w:r>
        <w:t>4  Application of Amendments</w:t>
      </w:r>
    </w:p>
    <w:p w:rsidR="007375B5" w:rsidRDefault="00975921">
      <w:pPr>
        <w:pStyle w:val="Subsection"/>
      </w:pPr>
      <w:r>
        <w:tab/>
        <w:t>(1)</w:t>
      </w:r>
      <w:r>
        <w:tab/>
        <w:t>Each amendment made by this Act applies to acts and omissions that take place after the amendment commences.</w:t>
      </w:r>
    </w:p>
    <w:p w:rsidR="007375B5" w:rsidRDefault="00975921">
      <w:pPr>
        <w:pStyle w:val="Subsection"/>
      </w:pPr>
      <w:r>
        <w:tab/>
        <w:t>(2)</w:t>
      </w:r>
      <w:r>
        <w:tab/>
        <w:t>For the purposes of this section, if an act or omission is alleged to have taken place between 2 dates, one before and one on or after the day on which a particular amendment commences, the act or omission is alleged to have taken place before the amendment commences.</w:t>
      </w:r>
    </w:p>
    <w:p w:rsidR="007375B5" w:rsidRDefault="007375B5">
      <w:pPr>
        <w:sectPr w:rsidR="007375B5" w:rsidSect="00A218F4">
          <w:headerReference w:type="even" r:id="rId31"/>
          <w:headerReference w:type="default" r:id="rId32"/>
          <w:pgSz w:w="11901" w:h="16840"/>
          <w:pgMar w:top="2268" w:right="2410" w:bottom="3827" w:left="2410" w:header="567" w:footer="3119" w:gutter="0"/>
          <w:cols w:space="709"/>
          <w:docGrid w:linePitch="299"/>
        </w:sectPr>
      </w:pPr>
    </w:p>
    <w:p w:rsidR="007375B5" w:rsidRDefault="007375B5"/>
    <w:sectPr w:rsidR="007375B5" w:rsidSect="00A218F4">
      <w:type w:val="continuous"/>
      <w:pgSz w:w="11901" w:h="16840"/>
      <w:pgMar w:top="2268" w:right="2410" w:bottom="3827" w:left="2410" w:header="567" w:footer="3119" w:gutter="0"/>
      <w:cols w:space="709"/>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75B5" w:rsidRDefault="00975921">
      <w:pPr>
        <w:spacing w:line="240" w:lineRule="auto"/>
      </w:pPr>
      <w:r>
        <w:separator/>
      </w:r>
    </w:p>
  </w:endnote>
  <w:endnote w:type="continuationSeparator" w:id="0">
    <w:p w:rsidR="007375B5" w:rsidRDefault="009759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008D914A-2DED-48A2-B325-64A46F9FF402}"/>
    <w:embedBold r:id="rId2" w:fontKey="{85F37041-84F4-4DBA-8EE4-60A57F2D3743}"/>
    <w:embedItalic r:id="rId3" w:fontKey="{0C648481-5917-4868-965D-25139B5CF9AC}"/>
    <w:embedBoldItalic r:id="rId4" w:fontKey="{E1A98E88-2681-475D-AEE4-B098D7869C37}"/>
  </w:font>
  <w:font w:name="Helvetica">
    <w:panose1 w:val="020B0504020202020204"/>
    <w:charset w:val="00"/>
    <w:family w:val="swiss"/>
    <w:pitch w:val="variable"/>
    <w:sig w:usb0="E0002EFF" w:usb1="C000785B" w:usb2="00000009" w:usb3="00000000" w:csb0="000001FF" w:csb1="00000000"/>
    <w:embedRegular r:id="rId5" w:fontKey="{173AE2F7-E28B-4C35-90C1-CF07E6677957}"/>
    <w:embedBold r:id="rId6" w:fontKey="{C9C1EA0C-2D66-4B9C-9B60-06F506D9EB50}"/>
    <w:embedItalic r:id="rId7" w:fontKey="{655AEC74-8CFF-4738-951D-C4E2B2C2E19C}"/>
    <w:embedBoldItalic r:id="rId8" w:fontKey="{B820D926-BCE3-4A12-92DE-D179803128E0}"/>
  </w:font>
  <w:font w:name="Cambria">
    <w:panose1 w:val="02040503050406030204"/>
    <w:charset w:val="00"/>
    <w:family w:val="roman"/>
    <w:pitch w:val="variable"/>
    <w:sig w:usb0="E00006FF" w:usb1="420024FF" w:usb2="02000000" w:usb3="00000000" w:csb0="0000019F" w:csb1="00000000"/>
  </w:font>
  <w:font w:name="Palatino">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5B5" w:rsidRDefault="007375B5">
    <w:pPr>
      <w:pBdr>
        <w:top w:val="single" w:sz="6" w:space="1" w:color="auto"/>
      </w:pBdr>
      <w:rPr>
        <w:sz w:val="18"/>
        <w:szCs w:val="18"/>
      </w:rPr>
    </w:pPr>
  </w:p>
  <w:p w:rsidR="007375B5" w:rsidRDefault="00975921">
    <w:pPr>
      <w:rPr>
        <w:i/>
        <w:iCs/>
      </w:rPr>
    </w:pPr>
    <w:r>
      <w:rPr>
        <w:i/>
        <w:iCs/>
      </w:rPr>
      <w:fldChar w:fldCharType="begin"/>
    </w:r>
    <w:r>
      <w:rPr>
        <w:i/>
        <w:iCs/>
      </w:rPr>
      <w:instrText xml:space="preserve"> PAGE </w:instrText>
    </w:r>
    <w:r>
      <w:rPr>
        <w:i/>
        <w:iCs/>
      </w:rPr>
      <w:fldChar w:fldCharType="separate"/>
    </w:r>
    <w:r>
      <w:rPr>
        <w:i/>
        <w:iCs/>
        <w:noProof/>
      </w:rPr>
      <w:t>16</w:t>
    </w:r>
    <w:r>
      <w:rPr>
        <w:i/>
        <w:iCs/>
      </w:rPr>
      <w:fldChar w:fldCharType="end"/>
    </w:r>
    <w:r>
      <w:rPr>
        <w:i/>
        <w:iCs/>
      </w:rPr>
      <w:t xml:space="preserve">            </w:t>
    </w:r>
    <w:r>
      <w:rPr>
        <w:i/>
        <w:iCs/>
      </w:rPr>
      <w:fldChar w:fldCharType="begin"/>
    </w:r>
    <w:r>
      <w:rPr>
        <w:i/>
        <w:iCs/>
      </w:rPr>
      <w:instrText xml:space="preserve"> STYLEREF ShortT </w:instrText>
    </w:r>
    <w:r>
      <w:rPr>
        <w:i/>
        <w:iCs/>
      </w:rPr>
      <w:fldChar w:fldCharType="separate"/>
    </w:r>
    <w:r w:rsidR="004176D7">
      <w:rPr>
        <w:i/>
        <w:iCs/>
        <w:noProof/>
      </w:rPr>
      <w:t>Jervis Bay Territory Acceptance Act 1915</w:t>
    </w:r>
    <w:r>
      <w:rPr>
        <w:i/>
        <w:iCs/>
      </w:rPr>
      <w:fldChar w:fldCharType="end"/>
    </w:r>
    <w:r>
      <w:rPr>
        <w:i/>
        <w:iC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5B5" w:rsidRDefault="007375B5">
    <w:pPr>
      <w:pBdr>
        <w:top w:val="single" w:sz="6" w:space="1" w:color="auto"/>
      </w:pBdr>
      <w:rPr>
        <w:sz w:val="18"/>
        <w:szCs w:val="18"/>
      </w:rPr>
    </w:pPr>
  </w:p>
  <w:p w:rsidR="007375B5" w:rsidRDefault="00975921">
    <w:pPr>
      <w:jc w:val="right"/>
      <w:rPr>
        <w:i/>
        <w:iCs/>
      </w:rPr>
    </w:pPr>
    <w:r>
      <w:rPr>
        <w:i/>
        <w:iCs/>
      </w:rPr>
      <w:fldChar w:fldCharType="begin"/>
    </w:r>
    <w:r>
      <w:rPr>
        <w:i/>
        <w:iCs/>
      </w:rPr>
      <w:instrText xml:space="preserve"> STYLEREF ShortT </w:instrText>
    </w:r>
    <w:r>
      <w:rPr>
        <w:i/>
        <w:iCs/>
      </w:rPr>
      <w:fldChar w:fldCharType="separate"/>
    </w:r>
    <w:r w:rsidR="004176D7">
      <w:rPr>
        <w:i/>
        <w:iCs/>
        <w:noProof/>
      </w:rPr>
      <w:t>Jervis Bay Territory Acceptance Act 1915</w:t>
    </w:r>
    <w:r>
      <w:rPr>
        <w:i/>
        <w:iCs/>
      </w:rPr>
      <w:fldChar w:fldCharType="end"/>
    </w:r>
    <w:r>
      <w:rPr>
        <w:i/>
        <w:iCs/>
      </w:rPr>
      <w:t xml:space="preserve">                   </w:t>
    </w:r>
    <w:r>
      <w:rPr>
        <w:i/>
        <w:iCs/>
      </w:rPr>
      <w:fldChar w:fldCharType="begin"/>
    </w:r>
    <w:r>
      <w:rPr>
        <w:i/>
        <w:iCs/>
      </w:rPr>
      <w:instrText xml:space="preserve"> PAGE </w:instrText>
    </w:r>
    <w:r>
      <w:rPr>
        <w:i/>
        <w:iCs/>
      </w:rPr>
      <w:fldChar w:fldCharType="separate"/>
    </w:r>
    <w:r>
      <w:rPr>
        <w:i/>
        <w:iCs/>
        <w:noProof/>
      </w:rPr>
      <w:t>17</w:t>
    </w:r>
    <w:r>
      <w:rPr>
        <w:i/>
        <w:i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5B5" w:rsidRDefault="007375B5">
    <w:pPr>
      <w:pBdr>
        <w:top w:val="single" w:sz="6" w:space="1" w:color="auto"/>
      </w:pBdr>
      <w:jc w:val="right"/>
      <w:rPr>
        <w:i/>
        <w:iCs/>
        <w:sz w:val="18"/>
        <w:szCs w:val="18"/>
      </w:rPr>
    </w:pPr>
  </w:p>
  <w:p w:rsidR="007375B5" w:rsidRDefault="00975921">
    <w:pPr>
      <w:pBdr>
        <w:top w:val="single" w:sz="6" w:space="1" w:color="auto"/>
      </w:pBdr>
      <w:jc w:val="right"/>
      <w:rPr>
        <w:i/>
        <w:iCs/>
      </w:rPr>
    </w:pPr>
    <w:r>
      <w:rPr>
        <w:i/>
        <w:iCs/>
      </w:rPr>
      <w:fldChar w:fldCharType="begin"/>
    </w:r>
    <w:r>
      <w:rPr>
        <w:i/>
        <w:iCs/>
      </w:rPr>
      <w:instrText xml:space="preserve"> STYLEREF ShortT </w:instrText>
    </w:r>
    <w:r>
      <w:rPr>
        <w:i/>
        <w:iCs/>
      </w:rPr>
      <w:fldChar w:fldCharType="separate"/>
    </w:r>
    <w:r w:rsidR="004176D7">
      <w:rPr>
        <w:i/>
        <w:iCs/>
        <w:noProof/>
      </w:rPr>
      <w:t>Jervis Bay Territory Acceptance Act 1915</w:t>
    </w:r>
    <w:r>
      <w:rPr>
        <w:i/>
        <w:iCs/>
      </w:rPr>
      <w:fldChar w:fldCharType="end"/>
    </w:r>
    <w:r>
      <w:rPr>
        <w:i/>
        <w:iCs/>
      </w:rPr>
      <w:t xml:space="preserve">                   </w:t>
    </w:r>
    <w:r>
      <w:rPr>
        <w:i/>
        <w:iCs/>
      </w:rPr>
      <w:fldChar w:fldCharType="begin"/>
    </w:r>
    <w:r>
      <w:rPr>
        <w:i/>
        <w:iCs/>
      </w:rPr>
      <w:instrText xml:space="preserve"> PAGE </w:instrText>
    </w:r>
    <w:r>
      <w:rPr>
        <w:i/>
        <w:iCs/>
      </w:rPr>
      <w:fldChar w:fldCharType="separate"/>
    </w:r>
    <w:r>
      <w:rPr>
        <w:i/>
        <w:iCs/>
        <w:noProof/>
      </w:rPr>
      <w:t>1</w:t>
    </w:r>
    <w:r>
      <w:rPr>
        <w:i/>
        <w:i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5B5" w:rsidRDefault="007375B5">
    <w:pPr>
      <w:pBdr>
        <w:top w:val="single" w:sz="6" w:space="1" w:color="auto"/>
      </w:pBdr>
      <w:jc w:val="right"/>
      <w:rPr>
        <w:i/>
        <w:iCs/>
        <w:sz w:val="18"/>
        <w:szCs w:val="18"/>
      </w:rPr>
    </w:pPr>
  </w:p>
  <w:p w:rsidR="007375B5" w:rsidRDefault="00975921">
    <w:pPr>
      <w:pBdr>
        <w:top w:val="single" w:sz="6" w:space="1" w:color="auto"/>
      </w:pBdr>
      <w:jc w:val="right"/>
      <w:rPr>
        <w:i/>
        <w:iCs/>
      </w:rPr>
    </w:pPr>
    <w:r>
      <w:rPr>
        <w:i/>
        <w:iCs/>
      </w:rPr>
      <w:fldChar w:fldCharType="begin"/>
    </w:r>
    <w:r>
      <w:rPr>
        <w:i/>
        <w:iCs/>
      </w:rPr>
      <w:instrText xml:space="preserve"> STYLEREF ShortT </w:instrText>
    </w:r>
    <w:r>
      <w:rPr>
        <w:i/>
        <w:iCs/>
      </w:rPr>
      <w:fldChar w:fldCharType="separate"/>
    </w:r>
    <w:r w:rsidR="004176D7">
      <w:rPr>
        <w:i/>
        <w:iCs/>
        <w:noProof/>
      </w:rPr>
      <w:t>Jervis Bay Territory Acceptance Act 1915</w:t>
    </w:r>
    <w:r>
      <w:rPr>
        <w:i/>
        <w:iCs/>
      </w:rPr>
      <w:fldChar w:fldCharType="end"/>
    </w:r>
    <w:r>
      <w:rPr>
        <w:i/>
        <w:iCs/>
      </w:rPr>
      <w:t xml:space="preserve">                   </w:t>
    </w:r>
    <w:r>
      <w:rPr>
        <w:i/>
        <w:iCs/>
      </w:rPr>
      <w:fldChar w:fldCharType="begin"/>
    </w:r>
    <w:r>
      <w:rPr>
        <w:i/>
        <w:iCs/>
      </w:rPr>
      <w:instrText xml:space="preserve"> PAGE </w:instrText>
    </w:r>
    <w:r>
      <w:rPr>
        <w:i/>
        <w:iCs/>
      </w:rPr>
      <w:fldChar w:fldCharType="separate"/>
    </w:r>
    <w:r>
      <w:rPr>
        <w:i/>
        <w:iCs/>
        <w:noProof/>
      </w:rPr>
      <w:t>15</w:t>
    </w:r>
    <w:r>
      <w:rP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75B5" w:rsidRDefault="00975921">
      <w:pPr>
        <w:spacing w:line="240" w:lineRule="auto"/>
      </w:pPr>
      <w:r>
        <w:separator/>
      </w:r>
    </w:p>
  </w:footnote>
  <w:footnote w:type="continuationSeparator" w:id="0">
    <w:p w:rsidR="007375B5" w:rsidRDefault="009759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5B5" w:rsidRDefault="007375B5">
    <w:pPr>
      <w:jc w:val="right"/>
    </w:pPr>
  </w:p>
  <w:p w:rsidR="007375B5" w:rsidRDefault="007375B5">
    <w:pPr>
      <w:jc w:val="right"/>
      <w:rPr>
        <w:i/>
        <w:iCs/>
      </w:rPr>
    </w:pPr>
  </w:p>
  <w:p w:rsidR="007375B5" w:rsidRDefault="007375B5">
    <w:pPr>
      <w:jc w:val="right"/>
    </w:pPr>
  </w:p>
  <w:p w:rsidR="007375B5" w:rsidRDefault="007375B5">
    <w:pPr>
      <w:jc w:val="right"/>
    </w:pPr>
  </w:p>
  <w:p w:rsidR="007375B5" w:rsidRDefault="007375B5">
    <w:pPr>
      <w:pBdr>
        <w:bottom w:val="single" w:sz="12" w:space="1" w:color="auto"/>
      </w:pBdr>
      <w:jc w:val="right"/>
      <w:rPr>
        <w:i/>
        <w:iCs/>
      </w:rPr>
    </w:pPr>
  </w:p>
  <w:p w:rsidR="007375B5" w:rsidRDefault="007375B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5B5" w:rsidRDefault="007375B5">
    <w:pPr>
      <w:pStyle w:val="headerpartodd"/>
    </w:pPr>
  </w:p>
  <w:p w:rsidR="007375B5" w:rsidRDefault="00975921">
    <w:pPr>
      <w:pStyle w:val="headerpartodd"/>
      <w:rPr>
        <w:i/>
        <w:iCs/>
      </w:rPr>
    </w:pPr>
    <w:r>
      <w:rPr>
        <w:rFonts w:ascii="Helvetica" w:hAnsi="Helvetica" w:cs="Helvetica"/>
      </w:rPr>
      <w:fldChar w:fldCharType="begin"/>
    </w:r>
    <w:r>
      <w:rPr>
        <w:rFonts w:ascii="Helvetica" w:hAnsi="Helvetica" w:cs="Helvetica"/>
      </w:rPr>
      <w:instrText xml:space="preserve"> STYLEREF CharNotesReg \* charFORMAT </w:instrText>
    </w:r>
    <w:r>
      <w:rPr>
        <w:rFonts w:ascii="Helvetica" w:hAnsi="Helvetica" w:cs="Helvetica"/>
      </w:rPr>
      <w:fldChar w:fldCharType="separate"/>
    </w:r>
    <w:r w:rsidR="004176D7">
      <w:rPr>
        <w:rFonts w:ascii="Helvetica" w:hAnsi="Helvetica" w:cs="Helvetica"/>
        <w:noProof/>
      </w:rPr>
      <w:t>Notes to the</w:t>
    </w:r>
    <w:r>
      <w:rPr>
        <w:rFonts w:ascii="Helvetica" w:hAnsi="Helvetica" w:cs="Helvetica"/>
      </w:rPr>
      <w:fldChar w:fldCharType="end"/>
    </w:r>
    <w:r>
      <w:rPr>
        <w:rFonts w:ascii="Helvetica" w:hAnsi="Helvetica" w:cs="Helvetica"/>
      </w:rPr>
      <w:t xml:space="preserve"> </w:t>
    </w:r>
    <w:r>
      <w:rPr>
        <w:rFonts w:ascii="Helvetica" w:hAnsi="Helvetica" w:cs="Helvetica"/>
        <w:i/>
        <w:iCs/>
      </w:rPr>
      <w:fldChar w:fldCharType="begin"/>
    </w:r>
    <w:r>
      <w:rPr>
        <w:rFonts w:ascii="Helvetica" w:hAnsi="Helvetica" w:cs="Helvetica"/>
        <w:i/>
        <w:iCs/>
      </w:rPr>
      <w:instrText xml:space="preserve"> STYLEREF CharNotesItals \* charFORMAT </w:instrText>
    </w:r>
    <w:r>
      <w:rPr>
        <w:rFonts w:ascii="Helvetica" w:hAnsi="Helvetica" w:cs="Helvetica"/>
        <w:i/>
        <w:iCs/>
      </w:rPr>
      <w:fldChar w:fldCharType="separate"/>
    </w:r>
    <w:r w:rsidR="004176D7">
      <w:rPr>
        <w:rFonts w:ascii="Helvetica" w:hAnsi="Helvetica" w:cs="Helvetica"/>
        <w:i/>
        <w:iCs/>
        <w:noProof/>
      </w:rPr>
      <w:t>Jervis Bay Territory Acceptance Act 1915</w:t>
    </w:r>
    <w:r>
      <w:rPr>
        <w:rFonts w:ascii="Helvetica" w:hAnsi="Helvetica" w:cs="Helvetica"/>
        <w:i/>
        <w:iCs/>
      </w:rPr>
      <w:fldChar w:fldCharType="end"/>
    </w:r>
  </w:p>
  <w:p w:rsidR="007375B5" w:rsidRDefault="007375B5">
    <w:pPr>
      <w:pStyle w:val="headerpart"/>
      <w:rPr>
        <w:rFonts w:ascii="Helvetica" w:hAnsi="Helvetica" w:cs="Helvetica"/>
      </w:rPr>
    </w:pPr>
  </w:p>
  <w:p w:rsidR="007375B5" w:rsidRDefault="007375B5">
    <w:pPr>
      <w:pStyle w:val="headerpart"/>
      <w:rPr>
        <w:rFonts w:ascii="Helvetica" w:hAnsi="Helvetica" w:cs="Helvetica"/>
        <w:sz w:val="24"/>
        <w:szCs w:val="24"/>
      </w:rPr>
    </w:pPr>
  </w:p>
  <w:p w:rsidR="007375B5" w:rsidRDefault="00975921">
    <w:pPr>
      <w:pBdr>
        <w:bottom w:val="single" w:sz="6" w:space="3" w:color="auto"/>
      </w:pBdr>
      <w:rPr>
        <w:b/>
        <w:bCs/>
      </w:rPr>
    </w:pPr>
    <w:r>
      <w:rPr>
        <w:rFonts w:ascii="Helvetica" w:hAnsi="Helvetica" w:cs="Helvetica"/>
        <w:b/>
        <w:bCs/>
        <w:sz w:val="24"/>
        <w:szCs w:val="24"/>
      </w:rPr>
      <w:t>Table of Acts</w:t>
    </w:r>
  </w:p>
  <w:tbl>
    <w:tblPr>
      <w:tblW w:w="0" w:type="auto"/>
      <w:tblLayout w:type="fixed"/>
      <w:tblCellMar>
        <w:left w:w="107" w:type="dxa"/>
        <w:right w:w="107" w:type="dxa"/>
      </w:tblCellMar>
      <w:tblLook w:val="0000" w:firstRow="0" w:lastRow="0" w:firstColumn="0" w:lastColumn="0" w:noHBand="0" w:noVBand="0"/>
    </w:tblPr>
    <w:tblGrid>
      <w:gridCol w:w="2235"/>
      <w:gridCol w:w="1135"/>
      <w:gridCol w:w="1323"/>
      <w:gridCol w:w="1610"/>
      <w:gridCol w:w="1032"/>
    </w:tblGrid>
    <w:tr w:rsidR="007375B5">
      <w:trPr>
        <w:tblHeader/>
      </w:trPr>
      <w:tc>
        <w:tcPr>
          <w:tcW w:w="2235" w:type="dxa"/>
          <w:tcBorders>
            <w:top w:val="nil"/>
            <w:left w:val="nil"/>
            <w:bottom w:val="nil"/>
            <w:right w:val="nil"/>
          </w:tcBorders>
        </w:tcPr>
        <w:p w:rsidR="007375B5" w:rsidRDefault="00975921">
          <w:pPr>
            <w:spacing w:before="60" w:after="60" w:line="180" w:lineRule="atLeast"/>
            <w:rPr>
              <w:rFonts w:ascii="Helvetica" w:hAnsi="Helvetica" w:cs="Helvetica"/>
              <w:sz w:val="16"/>
              <w:szCs w:val="16"/>
            </w:rPr>
          </w:pPr>
          <w:r>
            <w:rPr>
              <w:rFonts w:ascii="Helvetica" w:hAnsi="Helvetica" w:cs="Helvetica"/>
              <w:sz w:val="16"/>
              <w:szCs w:val="16"/>
            </w:rPr>
            <w:t>Act</w:t>
          </w:r>
        </w:p>
      </w:tc>
      <w:tc>
        <w:tcPr>
          <w:tcW w:w="1135" w:type="dxa"/>
          <w:tcBorders>
            <w:top w:val="nil"/>
            <w:left w:val="nil"/>
            <w:bottom w:val="nil"/>
            <w:right w:val="nil"/>
          </w:tcBorders>
        </w:tcPr>
        <w:p w:rsidR="007375B5" w:rsidRDefault="00975921">
          <w:pPr>
            <w:spacing w:before="60" w:after="60" w:line="180" w:lineRule="atLeast"/>
            <w:rPr>
              <w:rFonts w:ascii="Helvetica" w:hAnsi="Helvetica" w:cs="Helvetica"/>
              <w:sz w:val="16"/>
              <w:szCs w:val="16"/>
            </w:rPr>
          </w:pPr>
          <w:r>
            <w:rPr>
              <w:rFonts w:ascii="Helvetica" w:hAnsi="Helvetica" w:cs="Helvetica"/>
              <w:sz w:val="16"/>
              <w:szCs w:val="16"/>
            </w:rPr>
            <w:t xml:space="preserve">Number </w:t>
          </w:r>
          <w:r>
            <w:rPr>
              <w:rFonts w:ascii="Helvetica" w:hAnsi="Helvetica" w:cs="Helvetica"/>
              <w:sz w:val="16"/>
              <w:szCs w:val="16"/>
            </w:rPr>
            <w:br/>
            <w:t>and year</w:t>
          </w:r>
        </w:p>
      </w:tc>
      <w:tc>
        <w:tcPr>
          <w:tcW w:w="1323" w:type="dxa"/>
          <w:tcBorders>
            <w:top w:val="nil"/>
            <w:left w:val="nil"/>
            <w:bottom w:val="nil"/>
            <w:right w:val="nil"/>
          </w:tcBorders>
        </w:tcPr>
        <w:p w:rsidR="007375B5" w:rsidRDefault="00975921">
          <w:pPr>
            <w:spacing w:before="60" w:after="60" w:line="180" w:lineRule="atLeast"/>
            <w:rPr>
              <w:rFonts w:ascii="Helvetica" w:hAnsi="Helvetica" w:cs="Helvetica"/>
              <w:sz w:val="16"/>
              <w:szCs w:val="16"/>
            </w:rPr>
          </w:pPr>
          <w:r>
            <w:rPr>
              <w:rFonts w:ascii="Helvetica" w:hAnsi="Helvetica" w:cs="Helvetica"/>
              <w:sz w:val="16"/>
              <w:szCs w:val="16"/>
            </w:rPr>
            <w:t xml:space="preserve">Date </w:t>
          </w:r>
          <w:r>
            <w:rPr>
              <w:rFonts w:ascii="Helvetica" w:hAnsi="Helvetica" w:cs="Helvetica"/>
              <w:sz w:val="16"/>
              <w:szCs w:val="16"/>
            </w:rPr>
            <w:br/>
            <w:t>of Assent</w:t>
          </w:r>
        </w:p>
      </w:tc>
      <w:tc>
        <w:tcPr>
          <w:tcW w:w="1610" w:type="dxa"/>
          <w:tcBorders>
            <w:top w:val="nil"/>
            <w:left w:val="nil"/>
            <w:bottom w:val="nil"/>
            <w:right w:val="nil"/>
          </w:tcBorders>
        </w:tcPr>
        <w:p w:rsidR="007375B5" w:rsidRDefault="00975921">
          <w:pPr>
            <w:spacing w:before="60" w:after="60" w:line="180" w:lineRule="atLeast"/>
            <w:rPr>
              <w:rFonts w:ascii="Helvetica" w:hAnsi="Helvetica" w:cs="Helvetica"/>
              <w:sz w:val="16"/>
              <w:szCs w:val="16"/>
            </w:rPr>
          </w:pPr>
          <w:r>
            <w:rPr>
              <w:rFonts w:ascii="Helvetica" w:hAnsi="Helvetica" w:cs="Helvetica"/>
              <w:sz w:val="16"/>
              <w:szCs w:val="16"/>
            </w:rPr>
            <w:t>Date of commencement</w:t>
          </w:r>
        </w:p>
      </w:tc>
      <w:tc>
        <w:tcPr>
          <w:tcW w:w="1032" w:type="dxa"/>
          <w:tcBorders>
            <w:top w:val="nil"/>
            <w:left w:val="nil"/>
            <w:bottom w:val="nil"/>
            <w:right w:val="nil"/>
          </w:tcBorders>
        </w:tcPr>
        <w:p w:rsidR="007375B5" w:rsidRDefault="00975921">
          <w:pPr>
            <w:spacing w:before="60" w:after="60" w:line="180" w:lineRule="atLeast"/>
            <w:ind w:right="-108"/>
            <w:rPr>
              <w:rFonts w:ascii="Helvetica" w:hAnsi="Helvetica" w:cs="Helvetica"/>
              <w:sz w:val="16"/>
              <w:szCs w:val="16"/>
            </w:rPr>
          </w:pPr>
          <w:r>
            <w:rPr>
              <w:rFonts w:ascii="Helvetica" w:hAnsi="Helvetica" w:cs="Helvetica"/>
              <w:sz w:val="16"/>
              <w:szCs w:val="16"/>
            </w:rPr>
            <w:t>Application, saving or transitional provisions</w:t>
          </w:r>
        </w:p>
      </w:tc>
    </w:tr>
  </w:tbl>
  <w:p w:rsidR="007375B5" w:rsidRDefault="007375B5">
    <w:pPr>
      <w:pBdr>
        <w:bottom w:val="single" w:sz="6" w:space="0" w:color="auto"/>
      </w:pBdr>
      <w:spacing w:line="20" w:lineRule="exact"/>
      <w:rPr>
        <w:sz w:val="24"/>
        <w:szCs w:val="24"/>
      </w:rPr>
    </w:pPr>
  </w:p>
  <w:p w:rsidR="007375B5" w:rsidRDefault="007375B5">
    <w:pPr>
      <w:spacing w:line="80" w:lineRule="atLeast"/>
      <w:rPr>
        <w:sz w:val="8"/>
        <w:szCs w:val="8"/>
      </w:rPr>
    </w:pPr>
  </w:p>
  <w:p w:rsidR="007375B5" w:rsidRDefault="007375B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5B5" w:rsidRDefault="007375B5">
    <w:pPr>
      <w:pStyle w:val="headerpartodd"/>
      <w:jc w:val="right"/>
    </w:pPr>
  </w:p>
  <w:p w:rsidR="007375B5" w:rsidRDefault="00975921">
    <w:pPr>
      <w:pStyle w:val="headerpart"/>
      <w:jc w:val="right"/>
      <w:rPr>
        <w:rFonts w:ascii="Helvetica" w:hAnsi="Helvetica" w:cs="Helvetica"/>
        <w:b w:val="0"/>
        <w:bCs w:val="0"/>
      </w:rPr>
    </w:pPr>
    <w:r>
      <w:rPr>
        <w:rFonts w:ascii="Helvetica" w:hAnsi="Helvetica" w:cs="Helvetica"/>
        <w:b w:val="0"/>
        <w:bCs w:val="0"/>
      </w:rPr>
      <w:fldChar w:fldCharType="begin"/>
    </w:r>
    <w:r>
      <w:rPr>
        <w:rFonts w:ascii="Helvetica" w:hAnsi="Helvetica" w:cs="Helvetica"/>
        <w:b w:val="0"/>
        <w:bCs w:val="0"/>
      </w:rPr>
      <w:instrText xml:space="preserve"> STYLEREF CharNotesReg \* charFORMAT </w:instrText>
    </w:r>
    <w:r>
      <w:rPr>
        <w:rFonts w:ascii="Helvetica" w:hAnsi="Helvetica" w:cs="Helvetica"/>
        <w:b w:val="0"/>
        <w:bCs w:val="0"/>
      </w:rPr>
      <w:fldChar w:fldCharType="separate"/>
    </w:r>
    <w:r w:rsidR="004176D7">
      <w:rPr>
        <w:rFonts w:ascii="Helvetica" w:hAnsi="Helvetica" w:cs="Helvetica"/>
        <w:b w:val="0"/>
        <w:bCs w:val="0"/>
        <w:noProof/>
      </w:rPr>
      <w:t>Notes to the</w:t>
    </w:r>
    <w:r>
      <w:rPr>
        <w:rFonts w:ascii="Helvetica" w:hAnsi="Helvetica" w:cs="Helvetica"/>
        <w:b w:val="0"/>
        <w:bCs w:val="0"/>
      </w:rPr>
      <w:fldChar w:fldCharType="end"/>
    </w:r>
    <w:r>
      <w:rPr>
        <w:rFonts w:ascii="Helvetica" w:hAnsi="Helvetica" w:cs="Helvetica"/>
        <w:b w:val="0"/>
        <w:bCs w:val="0"/>
      </w:rPr>
      <w:t xml:space="preserve"> </w:t>
    </w:r>
    <w:r>
      <w:rPr>
        <w:rFonts w:ascii="Helvetica" w:hAnsi="Helvetica" w:cs="Helvetica"/>
        <w:b w:val="0"/>
        <w:bCs w:val="0"/>
        <w:i/>
        <w:iCs/>
      </w:rPr>
      <w:fldChar w:fldCharType="begin"/>
    </w:r>
    <w:r>
      <w:rPr>
        <w:rFonts w:ascii="Helvetica" w:hAnsi="Helvetica" w:cs="Helvetica"/>
        <w:b w:val="0"/>
        <w:bCs w:val="0"/>
        <w:i/>
        <w:iCs/>
      </w:rPr>
      <w:instrText xml:space="preserve"> STYLEREF CharNotesItals \* charFORMAT </w:instrText>
    </w:r>
    <w:r>
      <w:rPr>
        <w:rFonts w:ascii="Helvetica" w:hAnsi="Helvetica" w:cs="Helvetica"/>
        <w:b w:val="0"/>
        <w:bCs w:val="0"/>
        <w:i/>
        <w:iCs/>
      </w:rPr>
      <w:fldChar w:fldCharType="separate"/>
    </w:r>
    <w:r w:rsidR="004176D7">
      <w:rPr>
        <w:rFonts w:ascii="Helvetica" w:hAnsi="Helvetica" w:cs="Helvetica"/>
        <w:b w:val="0"/>
        <w:bCs w:val="0"/>
        <w:i/>
        <w:iCs/>
        <w:noProof/>
      </w:rPr>
      <w:t>Jervis Bay Territory Acceptance Act 1915</w:t>
    </w:r>
    <w:r>
      <w:rPr>
        <w:rFonts w:ascii="Helvetica" w:hAnsi="Helvetica" w:cs="Helvetica"/>
        <w:b w:val="0"/>
        <w:bCs w:val="0"/>
        <w:i/>
        <w:iCs/>
      </w:rPr>
      <w:fldChar w:fldCharType="end"/>
    </w:r>
  </w:p>
  <w:p w:rsidR="007375B5" w:rsidRDefault="007375B5">
    <w:pPr>
      <w:pStyle w:val="headerpart"/>
      <w:jc w:val="right"/>
      <w:rPr>
        <w:rFonts w:ascii="Helvetica" w:hAnsi="Helvetica" w:cs="Helvetica"/>
      </w:rPr>
    </w:pPr>
  </w:p>
  <w:p w:rsidR="007375B5" w:rsidRDefault="007375B5">
    <w:pPr>
      <w:pStyle w:val="headerpart"/>
      <w:jc w:val="right"/>
      <w:rPr>
        <w:rFonts w:ascii="Helvetica" w:hAnsi="Helvetica" w:cs="Helvetica"/>
        <w:sz w:val="24"/>
        <w:szCs w:val="24"/>
      </w:rPr>
    </w:pPr>
  </w:p>
  <w:p w:rsidR="007375B5" w:rsidRDefault="00975921">
    <w:pPr>
      <w:pBdr>
        <w:bottom w:val="single" w:sz="6" w:space="3" w:color="auto"/>
      </w:pBdr>
      <w:jc w:val="right"/>
      <w:rPr>
        <w:b/>
        <w:bCs/>
      </w:rPr>
    </w:pPr>
    <w:r>
      <w:rPr>
        <w:rFonts w:ascii="Helvetica" w:hAnsi="Helvetica" w:cs="Helvetica"/>
        <w:b/>
        <w:bCs/>
        <w:sz w:val="24"/>
        <w:szCs w:val="24"/>
      </w:rPr>
      <w:t>Table of Acts</w:t>
    </w:r>
  </w:p>
  <w:tbl>
    <w:tblPr>
      <w:tblW w:w="0" w:type="auto"/>
      <w:tblLayout w:type="fixed"/>
      <w:tblCellMar>
        <w:left w:w="107" w:type="dxa"/>
        <w:right w:w="107" w:type="dxa"/>
      </w:tblCellMar>
      <w:tblLook w:val="0000" w:firstRow="0" w:lastRow="0" w:firstColumn="0" w:lastColumn="0" w:noHBand="0" w:noVBand="0"/>
    </w:tblPr>
    <w:tblGrid>
      <w:gridCol w:w="2235"/>
      <w:gridCol w:w="1135"/>
      <w:gridCol w:w="1323"/>
      <w:gridCol w:w="1610"/>
      <w:gridCol w:w="1032"/>
    </w:tblGrid>
    <w:tr w:rsidR="007375B5">
      <w:trPr>
        <w:tblHeader/>
      </w:trPr>
      <w:tc>
        <w:tcPr>
          <w:tcW w:w="2235" w:type="dxa"/>
          <w:tcBorders>
            <w:top w:val="nil"/>
            <w:left w:val="nil"/>
            <w:bottom w:val="nil"/>
            <w:right w:val="nil"/>
          </w:tcBorders>
        </w:tcPr>
        <w:p w:rsidR="007375B5" w:rsidRDefault="00975921">
          <w:pPr>
            <w:spacing w:before="60" w:after="60" w:line="180" w:lineRule="atLeast"/>
            <w:rPr>
              <w:rFonts w:ascii="Helvetica" w:hAnsi="Helvetica" w:cs="Helvetica"/>
              <w:sz w:val="16"/>
              <w:szCs w:val="16"/>
            </w:rPr>
          </w:pPr>
          <w:r>
            <w:rPr>
              <w:rFonts w:ascii="Helvetica" w:hAnsi="Helvetica" w:cs="Helvetica"/>
              <w:sz w:val="16"/>
              <w:szCs w:val="16"/>
            </w:rPr>
            <w:t>Act</w:t>
          </w:r>
        </w:p>
      </w:tc>
      <w:tc>
        <w:tcPr>
          <w:tcW w:w="1135" w:type="dxa"/>
          <w:tcBorders>
            <w:top w:val="nil"/>
            <w:left w:val="nil"/>
            <w:bottom w:val="nil"/>
            <w:right w:val="nil"/>
          </w:tcBorders>
        </w:tcPr>
        <w:p w:rsidR="007375B5" w:rsidRDefault="00975921">
          <w:pPr>
            <w:spacing w:before="60" w:after="60" w:line="180" w:lineRule="atLeast"/>
            <w:rPr>
              <w:rFonts w:ascii="Helvetica" w:hAnsi="Helvetica" w:cs="Helvetica"/>
              <w:sz w:val="16"/>
              <w:szCs w:val="16"/>
            </w:rPr>
          </w:pPr>
          <w:r>
            <w:rPr>
              <w:rFonts w:ascii="Helvetica" w:hAnsi="Helvetica" w:cs="Helvetica"/>
              <w:sz w:val="16"/>
              <w:szCs w:val="16"/>
            </w:rPr>
            <w:t xml:space="preserve">Number </w:t>
          </w:r>
          <w:r>
            <w:rPr>
              <w:rFonts w:ascii="Helvetica" w:hAnsi="Helvetica" w:cs="Helvetica"/>
              <w:sz w:val="16"/>
              <w:szCs w:val="16"/>
            </w:rPr>
            <w:br/>
            <w:t>and year</w:t>
          </w:r>
        </w:p>
      </w:tc>
      <w:tc>
        <w:tcPr>
          <w:tcW w:w="1323" w:type="dxa"/>
          <w:tcBorders>
            <w:top w:val="nil"/>
            <w:left w:val="nil"/>
            <w:bottom w:val="nil"/>
            <w:right w:val="nil"/>
          </w:tcBorders>
        </w:tcPr>
        <w:p w:rsidR="007375B5" w:rsidRDefault="00975921">
          <w:pPr>
            <w:spacing w:before="60" w:after="60" w:line="180" w:lineRule="atLeast"/>
            <w:rPr>
              <w:rFonts w:ascii="Helvetica" w:hAnsi="Helvetica" w:cs="Helvetica"/>
              <w:sz w:val="16"/>
              <w:szCs w:val="16"/>
            </w:rPr>
          </w:pPr>
          <w:r>
            <w:rPr>
              <w:rFonts w:ascii="Helvetica" w:hAnsi="Helvetica" w:cs="Helvetica"/>
              <w:sz w:val="16"/>
              <w:szCs w:val="16"/>
            </w:rPr>
            <w:t xml:space="preserve">Date </w:t>
          </w:r>
          <w:r>
            <w:rPr>
              <w:rFonts w:ascii="Helvetica" w:hAnsi="Helvetica" w:cs="Helvetica"/>
              <w:sz w:val="16"/>
              <w:szCs w:val="16"/>
            </w:rPr>
            <w:br/>
            <w:t>of Assent</w:t>
          </w:r>
        </w:p>
      </w:tc>
      <w:tc>
        <w:tcPr>
          <w:tcW w:w="1610" w:type="dxa"/>
          <w:tcBorders>
            <w:top w:val="nil"/>
            <w:left w:val="nil"/>
            <w:bottom w:val="nil"/>
            <w:right w:val="nil"/>
          </w:tcBorders>
        </w:tcPr>
        <w:p w:rsidR="007375B5" w:rsidRDefault="00975921">
          <w:pPr>
            <w:spacing w:before="60" w:after="60" w:line="180" w:lineRule="atLeast"/>
            <w:rPr>
              <w:rFonts w:ascii="Helvetica" w:hAnsi="Helvetica" w:cs="Helvetica"/>
              <w:sz w:val="16"/>
              <w:szCs w:val="16"/>
            </w:rPr>
          </w:pPr>
          <w:r>
            <w:rPr>
              <w:rFonts w:ascii="Helvetica" w:hAnsi="Helvetica" w:cs="Helvetica"/>
              <w:sz w:val="16"/>
              <w:szCs w:val="16"/>
            </w:rPr>
            <w:t>Date of commencement</w:t>
          </w:r>
        </w:p>
      </w:tc>
      <w:tc>
        <w:tcPr>
          <w:tcW w:w="1032" w:type="dxa"/>
          <w:tcBorders>
            <w:top w:val="nil"/>
            <w:left w:val="nil"/>
            <w:bottom w:val="nil"/>
            <w:right w:val="nil"/>
          </w:tcBorders>
        </w:tcPr>
        <w:p w:rsidR="007375B5" w:rsidRDefault="00975921">
          <w:pPr>
            <w:spacing w:before="60" w:after="60" w:line="180" w:lineRule="atLeast"/>
            <w:ind w:right="-108"/>
            <w:rPr>
              <w:rFonts w:ascii="Helvetica" w:hAnsi="Helvetica" w:cs="Helvetica"/>
              <w:sz w:val="16"/>
              <w:szCs w:val="16"/>
            </w:rPr>
          </w:pPr>
          <w:r>
            <w:rPr>
              <w:rFonts w:ascii="Helvetica" w:hAnsi="Helvetica" w:cs="Helvetica"/>
              <w:sz w:val="16"/>
              <w:szCs w:val="16"/>
            </w:rPr>
            <w:t>Application, saving or transitional provisions</w:t>
          </w:r>
        </w:p>
      </w:tc>
    </w:tr>
  </w:tbl>
  <w:p w:rsidR="007375B5" w:rsidRDefault="007375B5">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5B5" w:rsidRDefault="00975921">
    <w:pPr>
      <w:pStyle w:val="headerpartodd"/>
      <w:jc w:val="right"/>
    </w:pPr>
    <w:r>
      <w:t xml:space="preserve">  </w:t>
    </w:r>
  </w:p>
  <w:p w:rsidR="007375B5" w:rsidRDefault="00975921">
    <w:pPr>
      <w:pStyle w:val="headerpartodd"/>
      <w:jc w:val="right"/>
      <w:rPr>
        <w:i/>
        <w:iCs/>
      </w:rPr>
    </w:pPr>
    <w:r>
      <w:rPr>
        <w:rFonts w:ascii="Helvetica" w:hAnsi="Helvetica" w:cs="Helvetica"/>
      </w:rPr>
      <w:fldChar w:fldCharType="begin"/>
    </w:r>
    <w:r>
      <w:rPr>
        <w:rFonts w:ascii="Helvetica" w:hAnsi="Helvetica" w:cs="Helvetica"/>
      </w:rPr>
      <w:instrText xml:space="preserve"> STYLEREF CharNotesReg \* CharFORMAT </w:instrText>
    </w:r>
    <w:r>
      <w:rPr>
        <w:rFonts w:ascii="Helvetica" w:hAnsi="Helvetica" w:cs="Helvetica"/>
      </w:rPr>
      <w:fldChar w:fldCharType="separate"/>
    </w:r>
    <w:r w:rsidR="004176D7">
      <w:rPr>
        <w:rFonts w:ascii="Helvetica" w:hAnsi="Helvetica" w:cs="Helvetica"/>
        <w:noProof/>
      </w:rPr>
      <w:t>Notes to the</w:t>
    </w:r>
    <w:r>
      <w:rPr>
        <w:rFonts w:ascii="Helvetica" w:hAnsi="Helvetica" w:cs="Helvetica"/>
      </w:rPr>
      <w:fldChar w:fldCharType="end"/>
    </w:r>
    <w:r>
      <w:rPr>
        <w:rFonts w:ascii="Helvetica" w:hAnsi="Helvetica" w:cs="Helvetica"/>
      </w:rPr>
      <w:t xml:space="preserve"> </w:t>
    </w:r>
    <w:r>
      <w:rPr>
        <w:rFonts w:ascii="Helvetica" w:hAnsi="Helvetica" w:cs="Helvetica"/>
        <w:i/>
        <w:iCs/>
      </w:rPr>
      <w:fldChar w:fldCharType="begin"/>
    </w:r>
    <w:r>
      <w:rPr>
        <w:rFonts w:ascii="Helvetica" w:hAnsi="Helvetica" w:cs="Helvetica"/>
        <w:i/>
        <w:iCs/>
      </w:rPr>
      <w:instrText xml:space="preserve"> STYLEREF CharNotesItals \* charFORMAT </w:instrText>
    </w:r>
    <w:r>
      <w:rPr>
        <w:rFonts w:ascii="Helvetica" w:hAnsi="Helvetica" w:cs="Helvetica"/>
        <w:i/>
        <w:iCs/>
      </w:rPr>
      <w:fldChar w:fldCharType="separate"/>
    </w:r>
    <w:r w:rsidR="004176D7">
      <w:rPr>
        <w:rFonts w:ascii="Helvetica" w:hAnsi="Helvetica" w:cs="Helvetica"/>
        <w:i/>
        <w:iCs/>
        <w:noProof/>
      </w:rPr>
      <w:t>Jervis Bay Territory Acceptance Act 1915</w:t>
    </w:r>
    <w:r>
      <w:rPr>
        <w:rFonts w:ascii="Helvetica" w:hAnsi="Helvetica" w:cs="Helvetica"/>
        <w:i/>
        <w:iCs/>
      </w:rPr>
      <w:fldChar w:fldCharType="end"/>
    </w:r>
    <w:r>
      <w:rPr>
        <w:rFonts w:ascii="Helvetica" w:hAnsi="Helvetica" w:cs="Helvetica"/>
        <w:i/>
        <w:iCs/>
      </w:rPr>
      <w:t xml:space="preserve"> </w:t>
    </w:r>
    <w:r>
      <w:t xml:space="preserve"> </w:t>
    </w:r>
  </w:p>
  <w:p w:rsidR="007375B5" w:rsidRDefault="007375B5">
    <w:pPr>
      <w:pStyle w:val="headerpart"/>
      <w:jc w:val="right"/>
      <w:rPr>
        <w:rFonts w:ascii="Helvetica" w:hAnsi="Helvetica" w:cs="Helvetica"/>
      </w:rPr>
    </w:pPr>
  </w:p>
  <w:p w:rsidR="007375B5" w:rsidRDefault="007375B5">
    <w:pPr>
      <w:pStyle w:val="headerpart"/>
      <w:jc w:val="right"/>
      <w:rPr>
        <w:rFonts w:ascii="Helvetica" w:hAnsi="Helvetica" w:cs="Helvetica"/>
        <w:sz w:val="24"/>
        <w:szCs w:val="24"/>
      </w:rPr>
    </w:pPr>
  </w:p>
  <w:p w:rsidR="007375B5" w:rsidRDefault="00975921">
    <w:pPr>
      <w:pBdr>
        <w:bottom w:val="single" w:sz="6" w:space="1" w:color="auto"/>
      </w:pBdr>
      <w:jc w:val="right"/>
      <w:rPr>
        <w:rFonts w:ascii="Helvetica" w:hAnsi="Helvetica" w:cs="Helvetica"/>
        <w:b/>
        <w:bCs/>
        <w:sz w:val="24"/>
        <w:szCs w:val="24"/>
      </w:rPr>
    </w:pPr>
    <w:r>
      <w:rPr>
        <w:rFonts w:ascii="Helvetica" w:hAnsi="Helvetica" w:cs="Helvetica"/>
        <w:b/>
        <w:bCs/>
        <w:sz w:val="24"/>
        <w:szCs w:val="24"/>
      </w:rPr>
      <w:t>Table of Acts</w:t>
    </w:r>
  </w:p>
  <w:p w:rsidR="007375B5" w:rsidRDefault="007375B5"/>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5B5" w:rsidRDefault="007375B5">
    <w:pPr>
      <w:pStyle w:val="headerpartodd"/>
    </w:pPr>
  </w:p>
  <w:p w:rsidR="007375B5" w:rsidRDefault="00975921">
    <w:pPr>
      <w:pStyle w:val="headerpartodd"/>
      <w:rPr>
        <w:i/>
        <w:iCs/>
      </w:rPr>
    </w:pPr>
    <w:r>
      <w:rPr>
        <w:rFonts w:ascii="Helvetica" w:hAnsi="Helvetica" w:cs="Helvetica"/>
      </w:rPr>
      <w:fldChar w:fldCharType="begin"/>
    </w:r>
    <w:r>
      <w:rPr>
        <w:rFonts w:ascii="Helvetica" w:hAnsi="Helvetica" w:cs="Helvetica"/>
      </w:rPr>
      <w:instrText xml:space="preserve"> STYLEREF CharNotesReg \* charFORMAT </w:instrText>
    </w:r>
    <w:r>
      <w:rPr>
        <w:rFonts w:ascii="Helvetica" w:hAnsi="Helvetica" w:cs="Helvetica"/>
      </w:rPr>
      <w:fldChar w:fldCharType="separate"/>
    </w:r>
    <w:r w:rsidR="004176D7">
      <w:rPr>
        <w:rFonts w:ascii="Helvetica" w:hAnsi="Helvetica" w:cs="Helvetica"/>
        <w:noProof/>
      </w:rPr>
      <w:t>Notes to the</w:t>
    </w:r>
    <w:r>
      <w:rPr>
        <w:rFonts w:ascii="Helvetica" w:hAnsi="Helvetica" w:cs="Helvetica"/>
      </w:rPr>
      <w:fldChar w:fldCharType="end"/>
    </w:r>
    <w:r>
      <w:rPr>
        <w:rFonts w:ascii="Helvetica" w:hAnsi="Helvetica" w:cs="Helvetica"/>
      </w:rPr>
      <w:t xml:space="preserve"> </w:t>
    </w:r>
    <w:r>
      <w:rPr>
        <w:rFonts w:ascii="Helvetica" w:hAnsi="Helvetica" w:cs="Helvetica"/>
        <w:i/>
        <w:iCs/>
      </w:rPr>
      <w:fldChar w:fldCharType="begin"/>
    </w:r>
    <w:r>
      <w:rPr>
        <w:rFonts w:ascii="Helvetica" w:hAnsi="Helvetica" w:cs="Helvetica"/>
        <w:i/>
        <w:iCs/>
      </w:rPr>
      <w:instrText xml:space="preserve"> STYLEREF CharNotesItals \* charFORMAT </w:instrText>
    </w:r>
    <w:r>
      <w:rPr>
        <w:rFonts w:ascii="Helvetica" w:hAnsi="Helvetica" w:cs="Helvetica"/>
        <w:i/>
        <w:iCs/>
      </w:rPr>
      <w:fldChar w:fldCharType="separate"/>
    </w:r>
    <w:r w:rsidR="004176D7">
      <w:rPr>
        <w:rFonts w:ascii="Helvetica" w:hAnsi="Helvetica" w:cs="Helvetica"/>
        <w:i/>
        <w:iCs/>
        <w:noProof/>
      </w:rPr>
      <w:t>Jervis Bay Territory Acceptance Act 1915</w:t>
    </w:r>
    <w:r>
      <w:rPr>
        <w:rFonts w:ascii="Helvetica" w:hAnsi="Helvetica" w:cs="Helvetica"/>
        <w:i/>
        <w:iCs/>
      </w:rPr>
      <w:fldChar w:fldCharType="end"/>
    </w:r>
  </w:p>
  <w:p w:rsidR="007375B5" w:rsidRDefault="007375B5">
    <w:pPr>
      <w:pStyle w:val="headerpart"/>
      <w:rPr>
        <w:rFonts w:ascii="Helvetica" w:hAnsi="Helvetica" w:cs="Helvetica"/>
      </w:rPr>
    </w:pPr>
  </w:p>
  <w:p w:rsidR="007375B5" w:rsidRDefault="007375B5">
    <w:pPr>
      <w:pStyle w:val="headerpart"/>
      <w:rPr>
        <w:rFonts w:ascii="Helvetica" w:hAnsi="Helvetica" w:cs="Helvetica"/>
        <w:sz w:val="24"/>
        <w:szCs w:val="24"/>
      </w:rPr>
    </w:pPr>
  </w:p>
  <w:p w:rsidR="007375B5" w:rsidRDefault="00975921">
    <w:pPr>
      <w:pBdr>
        <w:bottom w:val="single" w:sz="6" w:space="3" w:color="auto"/>
      </w:pBdr>
      <w:rPr>
        <w:b/>
        <w:bCs/>
      </w:rPr>
    </w:pPr>
    <w:r>
      <w:rPr>
        <w:rFonts w:ascii="Helvetica" w:hAnsi="Helvetica" w:cs="Helvetica"/>
        <w:b/>
        <w:bCs/>
        <w:sz w:val="24"/>
        <w:szCs w:val="24"/>
      </w:rPr>
      <w:t>Act Notes</w:t>
    </w:r>
  </w:p>
  <w:p w:rsidR="007375B5" w:rsidRDefault="007375B5">
    <w:pPr>
      <w:spacing w:line="80" w:lineRule="atLeast"/>
      <w:rPr>
        <w:sz w:val="8"/>
        <w:szCs w:val="8"/>
      </w:rPr>
    </w:pPr>
  </w:p>
  <w:p w:rsidR="007375B5" w:rsidRDefault="007375B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5B5" w:rsidRDefault="007375B5">
    <w:pPr>
      <w:pStyle w:val="headerpartodd"/>
      <w:jc w:val="right"/>
    </w:pPr>
  </w:p>
  <w:p w:rsidR="007375B5" w:rsidRDefault="00975921">
    <w:pPr>
      <w:pStyle w:val="headerpart"/>
      <w:jc w:val="right"/>
      <w:rPr>
        <w:rFonts w:ascii="Helvetica" w:hAnsi="Helvetica" w:cs="Helvetica"/>
        <w:b w:val="0"/>
        <w:bCs w:val="0"/>
      </w:rPr>
    </w:pPr>
    <w:r>
      <w:rPr>
        <w:rFonts w:ascii="Helvetica" w:hAnsi="Helvetica" w:cs="Helvetica"/>
        <w:b w:val="0"/>
        <w:bCs w:val="0"/>
      </w:rPr>
      <w:fldChar w:fldCharType="begin"/>
    </w:r>
    <w:r>
      <w:rPr>
        <w:rFonts w:ascii="Helvetica" w:hAnsi="Helvetica" w:cs="Helvetica"/>
        <w:b w:val="0"/>
        <w:bCs w:val="0"/>
      </w:rPr>
      <w:instrText xml:space="preserve"> STYLEREF CharNotesReg \* charFORMAT </w:instrText>
    </w:r>
    <w:r>
      <w:rPr>
        <w:rFonts w:ascii="Helvetica" w:hAnsi="Helvetica" w:cs="Helvetica"/>
        <w:b w:val="0"/>
        <w:bCs w:val="0"/>
      </w:rPr>
      <w:fldChar w:fldCharType="separate"/>
    </w:r>
    <w:r w:rsidR="004176D7">
      <w:rPr>
        <w:rFonts w:ascii="Helvetica" w:hAnsi="Helvetica" w:cs="Helvetica"/>
        <w:b w:val="0"/>
        <w:bCs w:val="0"/>
        <w:noProof/>
      </w:rPr>
      <w:t>Notes to the</w:t>
    </w:r>
    <w:r>
      <w:rPr>
        <w:rFonts w:ascii="Helvetica" w:hAnsi="Helvetica" w:cs="Helvetica"/>
        <w:b w:val="0"/>
        <w:bCs w:val="0"/>
      </w:rPr>
      <w:fldChar w:fldCharType="end"/>
    </w:r>
    <w:r>
      <w:rPr>
        <w:rFonts w:ascii="Helvetica" w:hAnsi="Helvetica" w:cs="Helvetica"/>
        <w:b w:val="0"/>
        <w:bCs w:val="0"/>
      </w:rPr>
      <w:t xml:space="preserve"> </w:t>
    </w:r>
    <w:r>
      <w:rPr>
        <w:rFonts w:ascii="Helvetica" w:hAnsi="Helvetica" w:cs="Helvetica"/>
        <w:b w:val="0"/>
        <w:bCs w:val="0"/>
        <w:i/>
        <w:iCs/>
      </w:rPr>
      <w:fldChar w:fldCharType="begin"/>
    </w:r>
    <w:r>
      <w:rPr>
        <w:rFonts w:ascii="Helvetica" w:hAnsi="Helvetica" w:cs="Helvetica"/>
        <w:b w:val="0"/>
        <w:bCs w:val="0"/>
        <w:i/>
        <w:iCs/>
      </w:rPr>
      <w:instrText xml:space="preserve"> STYLEREF CharNotesItals \* charFORMAT </w:instrText>
    </w:r>
    <w:r>
      <w:rPr>
        <w:rFonts w:ascii="Helvetica" w:hAnsi="Helvetica" w:cs="Helvetica"/>
        <w:b w:val="0"/>
        <w:bCs w:val="0"/>
        <w:i/>
        <w:iCs/>
      </w:rPr>
      <w:fldChar w:fldCharType="separate"/>
    </w:r>
    <w:r w:rsidR="004176D7">
      <w:rPr>
        <w:rFonts w:ascii="Helvetica" w:hAnsi="Helvetica" w:cs="Helvetica"/>
        <w:b w:val="0"/>
        <w:bCs w:val="0"/>
        <w:i/>
        <w:iCs/>
        <w:noProof/>
      </w:rPr>
      <w:t>Jervis Bay Territory Acceptance Act 1915</w:t>
    </w:r>
    <w:r>
      <w:rPr>
        <w:rFonts w:ascii="Helvetica" w:hAnsi="Helvetica" w:cs="Helvetica"/>
        <w:b w:val="0"/>
        <w:bCs w:val="0"/>
        <w:i/>
        <w:iCs/>
      </w:rPr>
      <w:fldChar w:fldCharType="end"/>
    </w:r>
  </w:p>
  <w:p w:rsidR="007375B5" w:rsidRDefault="007375B5">
    <w:pPr>
      <w:pStyle w:val="headerpart"/>
      <w:jc w:val="right"/>
      <w:rPr>
        <w:rFonts w:ascii="Helvetica" w:hAnsi="Helvetica" w:cs="Helvetica"/>
      </w:rPr>
    </w:pPr>
  </w:p>
  <w:p w:rsidR="007375B5" w:rsidRDefault="007375B5">
    <w:pPr>
      <w:pStyle w:val="headerpart"/>
      <w:jc w:val="right"/>
      <w:rPr>
        <w:rFonts w:ascii="Helvetica" w:hAnsi="Helvetica" w:cs="Helvetica"/>
        <w:sz w:val="24"/>
        <w:szCs w:val="24"/>
      </w:rPr>
    </w:pPr>
  </w:p>
  <w:p w:rsidR="007375B5" w:rsidRDefault="00975921">
    <w:pPr>
      <w:pBdr>
        <w:bottom w:val="single" w:sz="6" w:space="1" w:color="auto"/>
      </w:pBdr>
      <w:jc w:val="right"/>
      <w:rPr>
        <w:b/>
        <w:bCs/>
      </w:rPr>
    </w:pPr>
    <w:r>
      <w:rPr>
        <w:rFonts w:ascii="Helvetica" w:hAnsi="Helvetica" w:cs="Helvetica"/>
        <w:b/>
        <w:bCs/>
        <w:sz w:val="24"/>
        <w:szCs w:val="24"/>
      </w:rPr>
      <w:t>Act Notes</w:t>
    </w:r>
  </w:p>
  <w:p w:rsidR="007375B5" w:rsidRDefault="007375B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5B5" w:rsidRDefault="007375B5">
    <w:pPr>
      <w:pStyle w:val="headerpartodd"/>
    </w:pPr>
  </w:p>
  <w:p w:rsidR="007375B5" w:rsidRDefault="00975921">
    <w:pPr>
      <w:pStyle w:val="headerpartodd"/>
      <w:rPr>
        <w:rFonts w:ascii="Helvetica" w:hAnsi="Helvetica" w:cs="Helvetica"/>
        <w:i/>
        <w:iCs/>
      </w:rPr>
    </w:pPr>
    <w:r>
      <w:rPr>
        <w:rFonts w:ascii="Helvetica" w:hAnsi="Helvetica" w:cs="Helvetica"/>
      </w:rPr>
      <w:fldChar w:fldCharType="begin"/>
    </w:r>
    <w:r>
      <w:rPr>
        <w:rFonts w:ascii="Helvetica" w:hAnsi="Helvetica" w:cs="Helvetica"/>
      </w:rPr>
      <w:instrText xml:space="preserve"> STYLEREF CharNotesReg \* charFORMAT </w:instrText>
    </w:r>
    <w:r>
      <w:rPr>
        <w:rFonts w:ascii="Helvetica" w:hAnsi="Helvetica" w:cs="Helvetica"/>
      </w:rPr>
      <w:fldChar w:fldCharType="separate"/>
    </w:r>
    <w:r w:rsidR="004176D7">
      <w:rPr>
        <w:rFonts w:ascii="Helvetica" w:hAnsi="Helvetica" w:cs="Helvetica"/>
        <w:noProof/>
      </w:rPr>
      <w:t>Notes to the</w:t>
    </w:r>
    <w:r>
      <w:rPr>
        <w:rFonts w:ascii="Helvetica" w:hAnsi="Helvetica" w:cs="Helvetica"/>
      </w:rPr>
      <w:fldChar w:fldCharType="end"/>
    </w:r>
    <w:r>
      <w:rPr>
        <w:rFonts w:ascii="Helvetica" w:hAnsi="Helvetica" w:cs="Helvetica"/>
      </w:rPr>
      <w:t xml:space="preserve"> </w:t>
    </w:r>
    <w:r>
      <w:rPr>
        <w:rFonts w:ascii="Helvetica" w:hAnsi="Helvetica" w:cs="Helvetica"/>
        <w:i/>
        <w:iCs/>
      </w:rPr>
      <w:fldChar w:fldCharType="begin"/>
    </w:r>
    <w:r>
      <w:rPr>
        <w:rFonts w:ascii="Helvetica" w:hAnsi="Helvetica" w:cs="Helvetica"/>
        <w:i/>
        <w:iCs/>
      </w:rPr>
      <w:instrText xml:space="preserve"> STYLEREF CharNotesItals \* charFORMAT </w:instrText>
    </w:r>
    <w:r>
      <w:rPr>
        <w:rFonts w:ascii="Helvetica" w:hAnsi="Helvetica" w:cs="Helvetica"/>
        <w:i/>
        <w:iCs/>
      </w:rPr>
      <w:fldChar w:fldCharType="separate"/>
    </w:r>
    <w:r w:rsidR="004176D7">
      <w:rPr>
        <w:rFonts w:ascii="Helvetica" w:hAnsi="Helvetica" w:cs="Helvetica"/>
        <w:i/>
        <w:iCs/>
        <w:noProof/>
      </w:rPr>
      <w:t>Jervis Bay Territory Acceptance Act 1915</w:t>
    </w:r>
    <w:r>
      <w:rPr>
        <w:rFonts w:ascii="Helvetica" w:hAnsi="Helvetica" w:cs="Helvetica"/>
        <w:i/>
        <w:iCs/>
      </w:rPr>
      <w:fldChar w:fldCharType="end"/>
    </w:r>
  </w:p>
  <w:p w:rsidR="007375B5" w:rsidRDefault="007375B5">
    <w:pPr>
      <w:pStyle w:val="headerpart"/>
      <w:rPr>
        <w:rFonts w:ascii="Helvetica" w:hAnsi="Helvetica" w:cs="Helvetica"/>
        <w:b w:val="0"/>
        <w:bCs w:val="0"/>
      </w:rPr>
    </w:pPr>
  </w:p>
  <w:p w:rsidR="007375B5" w:rsidRDefault="007375B5">
    <w:pPr>
      <w:pStyle w:val="headerpart"/>
      <w:rPr>
        <w:rFonts w:ascii="Helvetica" w:hAnsi="Helvetica" w:cs="Helvetica"/>
        <w:sz w:val="24"/>
        <w:szCs w:val="24"/>
      </w:rPr>
    </w:pPr>
  </w:p>
  <w:p w:rsidR="007375B5" w:rsidRDefault="00975921">
    <w:pPr>
      <w:pBdr>
        <w:bottom w:val="single" w:sz="6" w:space="1" w:color="auto"/>
      </w:pBdr>
      <w:rPr>
        <w:rFonts w:ascii="Helvetica" w:hAnsi="Helvetica" w:cs="Helvetica"/>
        <w:b/>
        <w:bCs/>
        <w:sz w:val="24"/>
        <w:szCs w:val="24"/>
      </w:rPr>
    </w:pPr>
    <w:r>
      <w:rPr>
        <w:rFonts w:ascii="Helvetica" w:hAnsi="Helvetica" w:cs="Helvetica"/>
        <w:b/>
        <w:bCs/>
        <w:sz w:val="24"/>
        <w:szCs w:val="24"/>
      </w:rPr>
      <w:fldChar w:fldCharType="begin"/>
    </w:r>
    <w:r>
      <w:rPr>
        <w:rFonts w:ascii="Helvetica" w:hAnsi="Helvetica" w:cs="Helvetica"/>
        <w:b/>
        <w:bCs/>
        <w:sz w:val="24"/>
        <w:szCs w:val="24"/>
      </w:rPr>
      <w:instrText xml:space="preserve"> STYLEREF TableOfAmendHead \* charFORMAT </w:instrText>
    </w:r>
    <w:r>
      <w:rPr>
        <w:rFonts w:ascii="Helvetica" w:hAnsi="Helvetica" w:cs="Helvetica"/>
        <w:b/>
        <w:bCs/>
        <w:sz w:val="24"/>
        <w:szCs w:val="24"/>
      </w:rPr>
      <w:fldChar w:fldCharType="separate"/>
    </w:r>
    <w:r w:rsidR="004176D7">
      <w:rPr>
        <w:rFonts w:ascii="Helvetica" w:hAnsi="Helvetica" w:cs="Helvetica"/>
        <w:b/>
        <w:bCs/>
        <w:noProof/>
        <w:sz w:val="24"/>
        <w:szCs w:val="24"/>
      </w:rPr>
      <w:t>Table of Amendments</w:t>
    </w:r>
    <w:r>
      <w:rPr>
        <w:rFonts w:ascii="Helvetica" w:hAnsi="Helvetica" w:cs="Helvetica"/>
        <w:b/>
        <w:bCs/>
        <w:sz w:val="24"/>
        <w:szCs w:val="24"/>
      </w:rPr>
      <w:fldChar w:fldCharType="end"/>
    </w:r>
  </w:p>
  <w:p w:rsidR="007375B5" w:rsidRDefault="007375B5"/>
  <w:p w:rsidR="007375B5" w:rsidRDefault="00975921">
    <w:pPr>
      <w:pBdr>
        <w:bottom w:val="single" w:sz="6" w:space="3" w:color="auto"/>
      </w:pBdr>
      <w:jc w:val="both"/>
      <w:rPr>
        <w:rFonts w:ascii="Helvetica" w:hAnsi="Helvetica" w:cs="Helvetica"/>
        <w:sz w:val="16"/>
        <w:szCs w:val="16"/>
      </w:rPr>
    </w:pPr>
    <w:r>
      <w:rPr>
        <w:rFonts w:ascii="Helvetica" w:hAnsi="Helvetica" w:cs="Helvetica"/>
        <w:sz w:val="16"/>
        <w:szCs w:val="16"/>
      </w:rPr>
      <w:t>ad. = added or inserted      am. = amended      rep. = repealed      rs. = repealed and substituted</w:t>
    </w:r>
  </w:p>
  <w:tbl>
    <w:tblPr>
      <w:tblW w:w="0" w:type="auto"/>
      <w:tblLayout w:type="fixed"/>
      <w:tblLook w:val="0000" w:firstRow="0" w:lastRow="0" w:firstColumn="0" w:lastColumn="0" w:noHBand="0" w:noVBand="0"/>
    </w:tblPr>
    <w:tblGrid>
      <w:gridCol w:w="2376"/>
      <w:gridCol w:w="4678"/>
    </w:tblGrid>
    <w:tr w:rsidR="007375B5">
      <w:trPr>
        <w:cantSplit/>
      </w:trPr>
      <w:tc>
        <w:tcPr>
          <w:tcW w:w="2376" w:type="dxa"/>
          <w:tcBorders>
            <w:top w:val="nil"/>
            <w:left w:val="nil"/>
            <w:bottom w:val="nil"/>
            <w:right w:val="nil"/>
          </w:tcBorders>
        </w:tcPr>
        <w:p w:rsidR="007375B5" w:rsidRDefault="00975921">
          <w:pPr>
            <w:pStyle w:val="TableOfAmend"/>
            <w:spacing w:line="200" w:lineRule="exact"/>
            <w:rPr>
              <w:sz w:val="18"/>
              <w:szCs w:val="18"/>
            </w:rPr>
          </w:pPr>
          <w:r>
            <w:rPr>
              <w:sz w:val="18"/>
              <w:szCs w:val="18"/>
            </w:rPr>
            <w:t>Provision affected</w:t>
          </w:r>
        </w:p>
      </w:tc>
      <w:tc>
        <w:tcPr>
          <w:tcW w:w="4678" w:type="dxa"/>
          <w:tcBorders>
            <w:top w:val="nil"/>
            <w:left w:val="nil"/>
            <w:bottom w:val="nil"/>
            <w:right w:val="nil"/>
          </w:tcBorders>
        </w:tcPr>
        <w:p w:rsidR="007375B5" w:rsidRDefault="00975921">
          <w:pPr>
            <w:pStyle w:val="TableOfAmend"/>
            <w:spacing w:line="200" w:lineRule="exact"/>
            <w:rPr>
              <w:sz w:val="18"/>
              <w:szCs w:val="18"/>
            </w:rPr>
          </w:pPr>
          <w:r>
            <w:rPr>
              <w:sz w:val="18"/>
              <w:szCs w:val="18"/>
            </w:rPr>
            <w:t>How affected</w:t>
          </w:r>
        </w:p>
      </w:tc>
    </w:tr>
  </w:tbl>
  <w:p w:rsidR="007375B5" w:rsidRDefault="007375B5">
    <w:pPr>
      <w:pStyle w:val="Header"/>
      <w:pBdr>
        <w:top w:val="single" w:sz="4" w:space="1" w:color="auto"/>
      </w:pBdr>
      <w:spacing w:line="20" w:lineRule="exac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5B5" w:rsidRDefault="007375B5">
    <w:pPr>
      <w:pStyle w:val="headerpartodd"/>
      <w:jc w:val="right"/>
    </w:pPr>
  </w:p>
  <w:p w:rsidR="007375B5" w:rsidRDefault="00975921">
    <w:pPr>
      <w:pStyle w:val="headerpartodd"/>
      <w:jc w:val="right"/>
      <w:rPr>
        <w:rFonts w:ascii="Helvetica" w:hAnsi="Helvetica" w:cs="Helvetica"/>
        <w:i/>
        <w:iCs/>
      </w:rPr>
    </w:pPr>
    <w:r>
      <w:rPr>
        <w:rFonts w:ascii="Helvetica" w:hAnsi="Helvetica" w:cs="Helvetica"/>
      </w:rPr>
      <w:fldChar w:fldCharType="begin"/>
    </w:r>
    <w:r>
      <w:rPr>
        <w:rFonts w:ascii="Helvetica" w:hAnsi="Helvetica" w:cs="Helvetica"/>
      </w:rPr>
      <w:instrText xml:space="preserve"> STYLEREF CharNotesReg \* charFORMAT </w:instrText>
    </w:r>
    <w:r>
      <w:rPr>
        <w:rFonts w:ascii="Helvetica" w:hAnsi="Helvetica" w:cs="Helvetica"/>
      </w:rPr>
      <w:fldChar w:fldCharType="separate"/>
    </w:r>
    <w:r w:rsidR="004176D7">
      <w:rPr>
        <w:rFonts w:ascii="Helvetica" w:hAnsi="Helvetica" w:cs="Helvetica"/>
        <w:noProof/>
      </w:rPr>
      <w:t>Notes to the</w:t>
    </w:r>
    <w:r>
      <w:rPr>
        <w:rFonts w:ascii="Helvetica" w:hAnsi="Helvetica" w:cs="Helvetica"/>
      </w:rPr>
      <w:fldChar w:fldCharType="end"/>
    </w:r>
    <w:r>
      <w:rPr>
        <w:rFonts w:ascii="Helvetica" w:hAnsi="Helvetica" w:cs="Helvetica"/>
      </w:rPr>
      <w:t xml:space="preserve"> </w:t>
    </w:r>
    <w:r>
      <w:rPr>
        <w:rFonts w:ascii="Helvetica" w:hAnsi="Helvetica" w:cs="Helvetica"/>
        <w:i/>
        <w:iCs/>
      </w:rPr>
      <w:fldChar w:fldCharType="begin"/>
    </w:r>
    <w:r>
      <w:rPr>
        <w:rFonts w:ascii="Helvetica" w:hAnsi="Helvetica" w:cs="Helvetica"/>
        <w:i/>
        <w:iCs/>
      </w:rPr>
      <w:instrText xml:space="preserve"> STYLEREF CharNotesItals \* charFORMAT </w:instrText>
    </w:r>
    <w:r>
      <w:rPr>
        <w:rFonts w:ascii="Helvetica" w:hAnsi="Helvetica" w:cs="Helvetica"/>
        <w:i/>
        <w:iCs/>
      </w:rPr>
      <w:fldChar w:fldCharType="separate"/>
    </w:r>
    <w:r w:rsidR="004176D7">
      <w:rPr>
        <w:rFonts w:ascii="Helvetica" w:hAnsi="Helvetica" w:cs="Helvetica"/>
        <w:i/>
        <w:iCs/>
        <w:noProof/>
      </w:rPr>
      <w:t>Jervis Bay Territory Acceptance Act 1915</w:t>
    </w:r>
    <w:r>
      <w:rPr>
        <w:rFonts w:ascii="Helvetica" w:hAnsi="Helvetica" w:cs="Helvetica"/>
        <w:i/>
        <w:iCs/>
      </w:rPr>
      <w:fldChar w:fldCharType="end"/>
    </w:r>
  </w:p>
  <w:p w:rsidR="007375B5" w:rsidRDefault="007375B5">
    <w:pPr>
      <w:pStyle w:val="headerpart"/>
      <w:jc w:val="right"/>
      <w:rPr>
        <w:rFonts w:ascii="Helvetica" w:hAnsi="Helvetica" w:cs="Helvetica"/>
        <w:b w:val="0"/>
        <w:bCs w:val="0"/>
      </w:rPr>
    </w:pPr>
  </w:p>
  <w:p w:rsidR="007375B5" w:rsidRDefault="007375B5">
    <w:pPr>
      <w:pStyle w:val="headerpart"/>
      <w:jc w:val="right"/>
      <w:rPr>
        <w:rFonts w:ascii="Helvetica" w:hAnsi="Helvetica" w:cs="Helvetica"/>
        <w:b w:val="0"/>
        <w:bCs w:val="0"/>
        <w:sz w:val="24"/>
        <w:szCs w:val="24"/>
      </w:rPr>
    </w:pPr>
  </w:p>
  <w:p w:rsidR="007375B5" w:rsidRDefault="00975921">
    <w:pPr>
      <w:pStyle w:val="headerpart"/>
      <w:pBdr>
        <w:bottom w:val="single" w:sz="6" w:space="1" w:color="auto"/>
      </w:pBdr>
      <w:jc w:val="right"/>
      <w:rPr>
        <w:rFonts w:ascii="Helvetica" w:hAnsi="Helvetica" w:cs="Helvetica"/>
        <w:sz w:val="24"/>
        <w:szCs w:val="24"/>
      </w:rPr>
    </w:pPr>
    <w:r>
      <w:rPr>
        <w:rFonts w:ascii="Helvetica" w:hAnsi="Helvetica" w:cs="Helvetica"/>
        <w:sz w:val="24"/>
        <w:szCs w:val="24"/>
      </w:rPr>
      <w:fldChar w:fldCharType="begin"/>
    </w:r>
    <w:r>
      <w:rPr>
        <w:rFonts w:ascii="Helvetica" w:hAnsi="Helvetica" w:cs="Helvetica"/>
        <w:sz w:val="24"/>
        <w:szCs w:val="24"/>
      </w:rPr>
      <w:instrText xml:space="preserve"> STYLEREF TableOfAmendHead \* charFORMAT </w:instrText>
    </w:r>
    <w:r>
      <w:rPr>
        <w:rFonts w:ascii="Helvetica" w:hAnsi="Helvetica" w:cs="Helvetica"/>
        <w:sz w:val="24"/>
        <w:szCs w:val="24"/>
      </w:rPr>
      <w:fldChar w:fldCharType="separate"/>
    </w:r>
    <w:r w:rsidR="004176D7">
      <w:rPr>
        <w:rFonts w:ascii="Helvetica" w:hAnsi="Helvetica" w:cs="Helvetica"/>
        <w:noProof/>
        <w:sz w:val="24"/>
        <w:szCs w:val="24"/>
      </w:rPr>
      <w:t>Table of Amendments</w:t>
    </w:r>
    <w:r>
      <w:rPr>
        <w:rFonts w:ascii="Helvetica" w:hAnsi="Helvetica" w:cs="Helvetica"/>
        <w:sz w:val="24"/>
        <w:szCs w:val="24"/>
      </w:rPr>
      <w:fldChar w:fldCharType="end"/>
    </w:r>
  </w:p>
  <w:p w:rsidR="007375B5" w:rsidRDefault="007375B5">
    <w:pPr>
      <w:pStyle w:val="headerpart"/>
      <w:jc w:val="right"/>
      <w:rPr>
        <w:b w:val="0"/>
        <w:bCs w:val="0"/>
        <w:sz w:val="22"/>
        <w:szCs w:val="22"/>
      </w:rPr>
    </w:pPr>
  </w:p>
  <w:p w:rsidR="007375B5" w:rsidRDefault="00975921">
    <w:pPr>
      <w:pBdr>
        <w:bottom w:val="single" w:sz="6" w:space="3" w:color="auto"/>
      </w:pBdr>
      <w:jc w:val="both"/>
      <w:rPr>
        <w:rFonts w:ascii="Helvetica" w:hAnsi="Helvetica" w:cs="Helvetica"/>
        <w:sz w:val="16"/>
        <w:szCs w:val="16"/>
      </w:rPr>
    </w:pPr>
    <w:r>
      <w:rPr>
        <w:rFonts w:ascii="Helvetica" w:hAnsi="Helvetica" w:cs="Helvetica"/>
        <w:sz w:val="16"/>
        <w:szCs w:val="16"/>
      </w:rPr>
      <w:t>ad. = added or inserted      am. = amended      rep. = repealed      rs. = repealed and substituted</w:t>
    </w:r>
  </w:p>
  <w:tbl>
    <w:tblPr>
      <w:tblW w:w="0" w:type="auto"/>
      <w:tblLayout w:type="fixed"/>
      <w:tblLook w:val="0000" w:firstRow="0" w:lastRow="0" w:firstColumn="0" w:lastColumn="0" w:noHBand="0" w:noVBand="0"/>
    </w:tblPr>
    <w:tblGrid>
      <w:gridCol w:w="2376"/>
      <w:gridCol w:w="4678"/>
    </w:tblGrid>
    <w:tr w:rsidR="007375B5">
      <w:trPr>
        <w:cantSplit/>
      </w:trPr>
      <w:tc>
        <w:tcPr>
          <w:tcW w:w="2376" w:type="dxa"/>
          <w:tcBorders>
            <w:top w:val="nil"/>
            <w:left w:val="nil"/>
            <w:bottom w:val="nil"/>
            <w:right w:val="nil"/>
          </w:tcBorders>
        </w:tcPr>
        <w:p w:rsidR="007375B5" w:rsidRDefault="00975921">
          <w:pPr>
            <w:pStyle w:val="TableOfAmend"/>
            <w:spacing w:line="200" w:lineRule="exact"/>
            <w:rPr>
              <w:sz w:val="18"/>
              <w:szCs w:val="18"/>
            </w:rPr>
          </w:pPr>
          <w:r>
            <w:rPr>
              <w:sz w:val="18"/>
              <w:szCs w:val="18"/>
            </w:rPr>
            <w:t>Provision affected</w:t>
          </w:r>
        </w:p>
      </w:tc>
      <w:tc>
        <w:tcPr>
          <w:tcW w:w="4678" w:type="dxa"/>
          <w:tcBorders>
            <w:top w:val="nil"/>
            <w:left w:val="nil"/>
            <w:bottom w:val="nil"/>
            <w:right w:val="nil"/>
          </w:tcBorders>
        </w:tcPr>
        <w:p w:rsidR="007375B5" w:rsidRDefault="00975921">
          <w:pPr>
            <w:pStyle w:val="TableOfAmend"/>
            <w:spacing w:line="200" w:lineRule="exact"/>
            <w:rPr>
              <w:sz w:val="18"/>
              <w:szCs w:val="18"/>
            </w:rPr>
          </w:pPr>
          <w:r>
            <w:rPr>
              <w:sz w:val="18"/>
              <w:szCs w:val="18"/>
            </w:rPr>
            <w:t>How affected</w:t>
          </w:r>
        </w:p>
      </w:tc>
    </w:tr>
  </w:tbl>
  <w:p w:rsidR="007375B5" w:rsidRDefault="007375B5">
    <w:pPr>
      <w:pBdr>
        <w:bottom w:val="single" w:sz="6" w:space="0" w:color="auto"/>
      </w:pBdr>
      <w:spacing w:line="20" w:lineRule="exact"/>
    </w:pPr>
  </w:p>
  <w:p w:rsidR="007375B5" w:rsidRDefault="007375B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5B5" w:rsidRDefault="007375B5">
    <w:pPr>
      <w:pStyle w:val="headerpartodd"/>
      <w:jc w:val="right"/>
    </w:pPr>
  </w:p>
  <w:p w:rsidR="007375B5" w:rsidRDefault="00975921">
    <w:pPr>
      <w:pStyle w:val="headerpartodd"/>
      <w:jc w:val="right"/>
      <w:rPr>
        <w:rFonts w:ascii="Helvetica" w:hAnsi="Helvetica" w:cs="Helvetica"/>
        <w:i/>
        <w:iCs/>
      </w:rPr>
    </w:pPr>
    <w:r>
      <w:rPr>
        <w:rFonts w:ascii="Helvetica" w:hAnsi="Helvetica" w:cs="Helvetica"/>
      </w:rPr>
      <w:fldChar w:fldCharType="begin"/>
    </w:r>
    <w:r>
      <w:rPr>
        <w:rFonts w:ascii="Helvetica" w:hAnsi="Helvetica" w:cs="Helvetica"/>
      </w:rPr>
      <w:instrText xml:space="preserve"> STYLEREF CharNotesReg \* charFORMAT </w:instrText>
    </w:r>
    <w:r>
      <w:rPr>
        <w:rFonts w:ascii="Helvetica" w:hAnsi="Helvetica" w:cs="Helvetica"/>
      </w:rPr>
      <w:fldChar w:fldCharType="separate"/>
    </w:r>
    <w:r w:rsidR="004176D7">
      <w:rPr>
        <w:rFonts w:ascii="Helvetica" w:hAnsi="Helvetica" w:cs="Helvetica"/>
        <w:noProof/>
      </w:rPr>
      <w:t>Notes to the</w:t>
    </w:r>
    <w:r>
      <w:rPr>
        <w:rFonts w:ascii="Helvetica" w:hAnsi="Helvetica" w:cs="Helvetica"/>
      </w:rPr>
      <w:fldChar w:fldCharType="end"/>
    </w:r>
    <w:r>
      <w:rPr>
        <w:rFonts w:ascii="Helvetica" w:hAnsi="Helvetica" w:cs="Helvetica"/>
      </w:rPr>
      <w:t xml:space="preserve"> </w:t>
    </w:r>
    <w:r>
      <w:rPr>
        <w:rFonts w:ascii="Helvetica" w:hAnsi="Helvetica" w:cs="Helvetica"/>
        <w:i/>
        <w:iCs/>
      </w:rPr>
      <w:fldChar w:fldCharType="begin"/>
    </w:r>
    <w:r>
      <w:rPr>
        <w:rFonts w:ascii="Helvetica" w:hAnsi="Helvetica" w:cs="Helvetica"/>
        <w:i/>
        <w:iCs/>
      </w:rPr>
      <w:instrText xml:space="preserve"> STYLEREF CharNotesItals \* charFORMAT </w:instrText>
    </w:r>
    <w:r>
      <w:rPr>
        <w:rFonts w:ascii="Helvetica" w:hAnsi="Helvetica" w:cs="Helvetica"/>
        <w:i/>
        <w:iCs/>
      </w:rPr>
      <w:fldChar w:fldCharType="separate"/>
    </w:r>
    <w:r w:rsidR="004176D7">
      <w:rPr>
        <w:rFonts w:ascii="Helvetica" w:hAnsi="Helvetica" w:cs="Helvetica"/>
        <w:i/>
        <w:iCs/>
        <w:noProof/>
      </w:rPr>
      <w:t>Jervis Bay Territory Acceptance Act 1915</w:t>
    </w:r>
    <w:r>
      <w:rPr>
        <w:rFonts w:ascii="Helvetica" w:hAnsi="Helvetica" w:cs="Helvetica"/>
        <w:i/>
        <w:iCs/>
      </w:rPr>
      <w:fldChar w:fldCharType="end"/>
    </w:r>
  </w:p>
  <w:p w:rsidR="007375B5" w:rsidRDefault="007375B5">
    <w:pPr>
      <w:pStyle w:val="headerpart"/>
      <w:jc w:val="right"/>
      <w:rPr>
        <w:rFonts w:ascii="Helvetica" w:hAnsi="Helvetica" w:cs="Helvetica"/>
        <w:b w:val="0"/>
        <w:bCs w:val="0"/>
      </w:rPr>
    </w:pPr>
  </w:p>
  <w:p w:rsidR="007375B5" w:rsidRDefault="007375B5">
    <w:pPr>
      <w:pStyle w:val="headerpart"/>
      <w:jc w:val="right"/>
      <w:rPr>
        <w:rFonts w:ascii="Helvetica" w:hAnsi="Helvetica" w:cs="Helvetica"/>
        <w:b w:val="0"/>
        <w:bCs w:val="0"/>
        <w:sz w:val="24"/>
        <w:szCs w:val="24"/>
      </w:rPr>
    </w:pPr>
  </w:p>
  <w:p w:rsidR="007375B5" w:rsidRDefault="00975921">
    <w:pPr>
      <w:pStyle w:val="headerpart"/>
      <w:pBdr>
        <w:bottom w:val="single" w:sz="6" w:space="1" w:color="auto"/>
      </w:pBdr>
      <w:jc w:val="right"/>
      <w:rPr>
        <w:rFonts w:ascii="Helvetica" w:hAnsi="Helvetica" w:cs="Helvetica"/>
        <w:sz w:val="24"/>
        <w:szCs w:val="24"/>
      </w:rPr>
    </w:pPr>
    <w:r>
      <w:rPr>
        <w:rFonts w:ascii="Helvetica" w:hAnsi="Helvetica" w:cs="Helvetica"/>
        <w:sz w:val="24"/>
        <w:szCs w:val="24"/>
      </w:rPr>
      <w:fldChar w:fldCharType="begin"/>
    </w:r>
    <w:r>
      <w:rPr>
        <w:rFonts w:ascii="Helvetica" w:hAnsi="Helvetica" w:cs="Helvetica"/>
        <w:sz w:val="24"/>
        <w:szCs w:val="24"/>
      </w:rPr>
      <w:instrText xml:space="preserve"> STYLEREF TableOfAmendHead \* charFORMAT </w:instrText>
    </w:r>
    <w:r>
      <w:rPr>
        <w:rFonts w:ascii="Helvetica" w:hAnsi="Helvetica" w:cs="Helvetica"/>
        <w:sz w:val="24"/>
        <w:szCs w:val="24"/>
      </w:rPr>
      <w:fldChar w:fldCharType="separate"/>
    </w:r>
    <w:r w:rsidR="004176D7">
      <w:rPr>
        <w:rFonts w:ascii="Helvetica" w:hAnsi="Helvetica" w:cs="Helvetica"/>
        <w:noProof/>
        <w:sz w:val="24"/>
        <w:szCs w:val="24"/>
      </w:rPr>
      <w:t>Table of Amendments</w:t>
    </w:r>
    <w:r>
      <w:rPr>
        <w:rFonts w:ascii="Helvetica" w:hAnsi="Helvetica" w:cs="Helvetica"/>
        <w:sz w:val="24"/>
        <w:szCs w:val="24"/>
      </w:rPr>
      <w:fldChar w:fldCharType="end"/>
    </w:r>
  </w:p>
  <w:p w:rsidR="007375B5" w:rsidRDefault="007375B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5B5" w:rsidRDefault="007375B5">
    <w:pPr>
      <w:pStyle w:val="headerpartodd"/>
    </w:pPr>
  </w:p>
  <w:p w:rsidR="007375B5" w:rsidRDefault="00975921">
    <w:pPr>
      <w:pStyle w:val="headerpartodd"/>
      <w:rPr>
        <w:i/>
        <w:iCs/>
      </w:rPr>
    </w:pPr>
    <w:r>
      <w:rPr>
        <w:rFonts w:ascii="Helvetica" w:hAnsi="Helvetica" w:cs="Helvetica"/>
      </w:rPr>
      <w:fldChar w:fldCharType="begin"/>
    </w:r>
    <w:r>
      <w:rPr>
        <w:rFonts w:ascii="Helvetica" w:hAnsi="Helvetica" w:cs="Helvetica"/>
      </w:rPr>
      <w:instrText xml:space="preserve"> STYLEREF CharNotesReg \* charFORMAT </w:instrText>
    </w:r>
    <w:r>
      <w:rPr>
        <w:rFonts w:ascii="Helvetica" w:hAnsi="Helvetica" w:cs="Helvetica"/>
      </w:rPr>
      <w:fldChar w:fldCharType="separate"/>
    </w:r>
    <w:r w:rsidR="004176D7">
      <w:rPr>
        <w:rFonts w:ascii="Helvetica" w:hAnsi="Helvetica" w:cs="Helvetica"/>
        <w:noProof/>
      </w:rPr>
      <w:t>Notes to the</w:t>
    </w:r>
    <w:r>
      <w:rPr>
        <w:rFonts w:ascii="Helvetica" w:hAnsi="Helvetica" w:cs="Helvetica"/>
      </w:rPr>
      <w:fldChar w:fldCharType="end"/>
    </w:r>
    <w:r>
      <w:rPr>
        <w:rFonts w:ascii="Helvetica" w:hAnsi="Helvetica" w:cs="Helvetica"/>
      </w:rPr>
      <w:t xml:space="preserve"> </w:t>
    </w:r>
    <w:r>
      <w:rPr>
        <w:rFonts w:ascii="Helvetica" w:hAnsi="Helvetica" w:cs="Helvetica"/>
        <w:i/>
        <w:iCs/>
      </w:rPr>
      <w:fldChar w:fldCharType="begin"/>
    </w:r>
    <w:r>
      <w:rPr>
        <w:rFonts w:ascii="Helvetica" w:hAnsi="Helvetica" w:cs="Helvetica"/>
        <w:i/>
        <w:iCs/>
      </w:rPr>
      <w:instrText xml:space="preserve"> STYLEREF CharNotesItals \* charFORMAT </w:instrText>
    </w:r>
    <w:r>
      <w:rPr>
        <w:rFonts w:ascii="Helvetica" w:hAnsi="Helvetica" w:cs="Helvetica"/>
        <w:i/>
        <w:iCs/>
      </w:rPr>
      <w:fldChar w:fldCharType="separate"/>
    </w:r>
    <w:r w:rsidR="004176D7">
      <w:rPr>
        <w:rFonts w:ascii="Helvetica" w:hAnsi="Helvetica" w:cs="Helvetica"/>
        <w:i/>
        <w:iCs/>
        <w:noProof/>
      </w:rPr>
      <w:t>Jervis Bay Territory Acceptance Act 1915</w:t>
    </w:r>
    <w:r>
      <w:rPr>
        <w:rFonts w:ascii="Helvetica" w:hAnsi="Helvetica" w:cs="Helvetica"/>
        <w:i/>
        <w:iCs/>
      </w:rPr>
      <w:fldChar w:fldCharType="end"/>
    </w:r>
  </w:p>
  <w:p w:rsidR="007375B5" w:rsidRDefault="007375B5">
    <w:pPr>
      <w:pStyle w:val="headerpart"/>
    </w:pPr>
  </w:p>
  <w:p w:rsidR="007375B5" w:rsidRDefault="007375B5">
    <w:pPr>
      <w:pStyle w:val="headerpart"/>
      <w:rPr>
        <w:rFonts w:ascii="Helvetica" w:hAnsi="Helvetica" w:cs="Helvetica"/>
        <w:sz w:val="24"/>
        <w:szCs w:val="24"/>
      </w:rPr>
    </w:pPr>
  </w:p>
  <w:p w:rsidR="007375B5" w:rsidRDefault="00975921">
    <w:pPr>
      <w:pBdr>
        <w:bottom w:val="single" w:sz="6" w:space="1" w:color="auto"/>
      </w:pBdr>
      <w:rPr>
        <w:rFonts w:ascii="Helvetica" w:hAnsi="Helvetica" w:cs="Helvetica"/>
        <w:b/>
        <w:bCs/>
        <w:sz w:val="24"/>
        <w:szCs w:val="24"/>
      </w:rPr>
    </w:pPr>
    <w:r>
      <w:rPr>
        <w:rFonts w:ascii="Helvetica" w:hAnsi="Helvetica" w:cs="Helvetica"/>
        <w:b/>
        <w:bCs/>
        <w:sz w:val="24"/>
        <w:szCs w:val="24"/>
      </w:rPr>
      <w:fldChar w:fldCharType="begin"/>
    </w:r>
    <w:r>
      <w:rPr>
        <w:rFonts w:ascii="Helvetica" w:hAnsi="Helvetica" w:cs="Helvetica"/>
        <w:b/>
        <w:bCs/>
        <w:sz w:val="24"/>
        <w:szCs w:val="24"/>
      </w:rPr>
      <w:instrText xml:space="preserve"> STYLEREF ENoteNo \* charFORMAT </w:instrText>
    </w:r>
    <w:r>
      <w:rPr>
        <w:rFonts w:ascii="Helvetica" w:hAnsi="Helvetica" w:cs="Helvetica"/>
        <w:b/>
        <w:bCs/>
        <w:sz w:val="24"/>
        <w:szCs w:val="24"/>
      </w:rPr>
      <w:fldChar w:fldCharType="separate"/>
    </w:r>
    <w:r w:rsidR="004176D7">
      <w:rPr>
        <w:rFonts w:ascii="Helvetica" w:hAnsi="Helvetica" w:cs="Helvetica"/>
        <w:b/>
        <w:bCs/>
        <w:noProof/>
        <w:sz w:val="24"/>
        <w:szCs w:val="24"/>
      </w:rPr>
      <w:t>Note 2</w:t>
    </w:r>
    <w:r>
      <w:rPr>
        <w:rFonts w:ascii="Helvetica" w:hAnsi="Helvetica" w:cs="Helvetica"/>
        <w:b/>
        <w:bCs/>
        <w:sz w:val="24"/>
        <w:szCs w:val="24"/>
      </w:rPr>
      <w:fldChar w:fldCharType="end"/>
    </w:r>
  </w:p>
  <w:p w:rsidR="007375B5" w:rsidRDefault="007375B5">
    <w:pPr>
      <w:keepNex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5B5" w:rsidRDefault="007375B5">
    <w:pPr>
      <w:pStyle w:val="headerpartodd"/>
      <w:jc w:val="right"/>
    </w:pPr>
  </w:p>
  <w:p w:rsidR="007375B5" w:rsidRDefault="00975921">
    <w:pPr>
      <w:pStyle w:val="headerpartodd"/>
      <w:jc w:val="right"/>
      <w:rPr>
        <w:i/>
        <w:iCs/>
      </w:rPr>
    </w:pPr>
    <w:r>
      <w:rPr>
        <w:rFonts w:ascii="Helvetica" w:hAnsi="Helvetica" w:cs="Helvetica"/>
      </w:rPr>
      <w:fldChar w:fldCharType="begin"/>
    </w:r>
    <w:r>
      <w:rPr>
        <w:rFonts w:ascii="Helvetica" w:hAnsi="Helvetica" w:cs="Helvetica"/>
      </w:rPr>
      <w:instrText xml:space="preserve"> STYLEREF CharNotesReg \* charFORMAT </w:instrText>
    </w:r>
    <w:r>
      <w:rPr>
        <w:rFonts w:ascii="Helvetica" w:hAnsi="Helvetica" w:cs="Helvetica"/>
      </w:rPr>
      <w:fldChar w:fldCharType="separate"/>
    </w:r>
    <w:r w:rsidR="004176D7">
      <w:rPr>
        <w:rFonts w:ascii="Helvetica" w:hAnsi="Helvetica" w:cs="Helvetica"/>
        <w:noProof/>
      </w:rPr>
      <w:t>Notes to the</w:t>
    </w:r>
    <w:r>
      <w:rPr>
        <w:rFonts w:ascii="Helvetica" w:hAnsi="Helvetica" w:cs="Helvetica"/>
      </w:rPr>
      <w:fldChar w:fldCharType="end"/>
    </w:r>
    <w:r>
      <w:rPr>
        <w:rFonts w:ascii="Helvetica" w:hAnsi="Helvetica" w:cs="Helvetica"/>
      </w:rPr>
      <w:t xml:space="preserve"> </w:t>
    </w:r>
    <w:r>
      <w:rPr>
        <w:rFonts w:ascii="Helvetica" w:hAnsi="Helvetica" w:cs="Helvetica"/>
        <w:i/>
        <w:iCs/>
      </w:rPr>
      <w:fldChar w:fldCharType="begin"/>
    </w:r>
    <w:r>
      <w:rPr>
        <w:rFonts w:ascii="Helvetica" w:hAnsi="Helvetica" w:cs="Helvetica"/>
        <w:i/>
        <w:iCs/>
      </w:rPr>
      <w:instrText xml:space="preserve"> STYLEREF CharNotesItals \* charFORMAT </w:instrText>
    </w:r>
    <w:r>
      <w:rPr>
        <w:rFonts w:ascii="Helvetica" w:hAnsi="Helvetica" w:cs="Helvetica"/>
        <w:i/>
        <w:iCs/>
      </w:rPr>
      <w:fldChar w:fldCharType="separate"/>
    </w:r>
    <w:r w:rsidR="004176D7">
      <w:rPr>
        <w:rFonts w:ascii="Helvetica" w:hAnsi="Helvetica" w:cs="Helvetica"/>
        <w:i/>
        <w:iCs/>
        <w:noProof/>
      </w:rPr>
      <w:t>Jervis Bay Territory Acceptance Act 1915</w:t>
    </w:r>
    <w:r>
      <w:rPr>
        <w:rFonts w:ascii="Helvetica" w:hAnsi="Helvetica" w:cs="Helvetica"/>
        <w:i/>
        <w:iCs/>
      </w:rPr>
      <w:fldChar w:fldCharType="end"/>
    </w:r>
    <w:r>
      <w:rPr>
        <w:rFonts w:ascii="Helvetica" w:hAnsi="Helvetica" w:cs="Helvetica"/>
        <w:i/>
        <w:iCs/>
      </w:rPr>
      <w:t xml:space="preserve"> </w:t>
    </w:r>
    <w:r>
      <w:t xml:space="preserve"> </w:t>
    </w:r>
  </w:p>
  <w:p w:rsidR="007375B5" w:rsidRDefault="00975921">
    <w:pPr>
      <w:pStyle w:val="headerpartodd"/>
      <w:jc w:val="right"/>
    </w:pPr>
    <w:r>
      <w:t xml:space="preserve"> </w:t>
    </w:r>
  </w:p>
  <w:p w:rsidR="007375B5" w:rsidRDefault="007375B5">
    <w:pPr>
      <w:pStyle w:val="headerpart"/>
      <w:jc w:val="right"/>
      <w:rPr>
        <w:rFonts w:ascii="Helvetica" w:hAnsi="Helvetica" w:cs="Helvetica"/>
        <w:sz w:val="24"/>
        <w:szCs w:val="24"/>
      </w:rPr>
    </w:pPr>
  </w:p>
  <w:p w:rsidR="007375B5" w:rsidRDefault="00975921">
    <w:pPr>
      <w:pStyle w:val="headerpart"/>
      <w:pBdr>
        <w:bottom w:val="single" w:sz="6" w:space="1" w:color="auto"/>
      </w:pBdr>
      <w:jc w:val="right"/>
      <w:rPr>
        <w:rFonts w:ascii="Helvetica" w:hAnsi="Helvetica" w:cs="Helvetica"/>
        <w:sz w:val="24"/>
        <w:szCs w:val="24"/>
      </w:rPr>
    </w:pPr>
    <w:r>
      <w:rPr>
        <w:rFonts w:ascii="Helvetica" w:hAnsi="Helvetica" w:cs="Helvetica"/>
        <w:sz w:val="24"/>
        <w:szCs w:val="24"/>
      </w:rPr>
      <w:fldChar w:fldCharType="begin"/>
    </w:r>
    <w:r>
      <w:rPr>
        <w:rFonts w:ascii="Helvetica" w:hAnsi="Helvetica" w:cs="Helvetica"/>
        <w:sz w:val="24"/>
        <w:szCs w:val="24"/>
      </w:rPr>
      <w:instrText xml:space="preserve"> STYLEREF ENoteNo \* charFORMAT </w:instrText>
    </w:r>
    <w:r>
      <w:rPr>
        <w:rFonts w:ascii="Helvetica" w:hAnsi="Helvetica" w:cs="Helvetica"/>
        <w:sz w:val="24"/>
        <w:szCs w:val="24"/>
      </w:rPr>
      <w:fldChar w:fldCharType="separate"/>
    </w:r>
    <w:r w:rsidR="004176D7">
      <w:rPr>
        <w:rFonts w:ascii="Helvetica" w:hAnsi="Helvetica" w:cs="Helvetica"/>
        <w:noProof/>
        <w:sz w:val="24"/>
        <w:szCs w:val="24"/>
      </w:rPr>
      <w:t>Note 1</w:t>
    </w:r>
    <w:r>
      <w:rPr>
        <w:rFonts w:ascii="Helvetica" w:hAnsi="Helvetica" w:cs="Helvetica"/>
        <w:sz w:val="24"/>
        <w:szCs w:val="24"/>
      </w:rPr>
      <w:fldChar w:fldCharType="end"/>
    </w:r>
  </w:p>
  <w:p w:rsidR="007375B5" w:rsidRDefault="00737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5B5" w:rsidRDefault="007375B5">
    <w:pPr>
      <w:jc w:val="right"/>
    </w:pPr>
  </w:p>
  <w:p w:rsidR="007375B5" w:rsidRDefault="007375B5">
    <w:pPr>
      <w:jc w:val="right"/>
      <w:rPr>
        <w:i/>
        <w:iCs/>
      </w:rPr>
    </w:pPr>
  </w:p>
  <w:p w:rsidR="007375B5" w:rsidRDefault="007375B5">
    <w:pPr>
      <w:jc w:val="right"/>
    </w:pPr>
  </w:p>
  <w:p w:rsidR="007375B5" w:rsidRDefault="007375B5">
    <w:pPr>
      <w:jc w:val="right"/>
    </w:pPr>
  </w:p>
  <w:p w:rsidR="007375B5" w:rsidRDefault="007375B5">
    <w:pPr>
      <w:pBdr>
        <w:bottom w:val="single" w:sz="12" w:space="1" w:color="auto"/>
      </w:pBdr>
      <w:jc w:val="right"/>
      <w:rPr>
        <w:i/>
        <w:iCs/>
      </w:rPr>
    </w:pPr>
  </w:p>
  <w:p w:rsidR="007375B5" w:rsidRDefault="007375B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5B5" w:rsidRDefault="007375B5">
    <w:pPr>
      <w:pStyle w:val="headerpartodd"/>
    </w:pPr>
  </w:p>
  <w:p w:rsidR="007375B5" w:rsidRDefault="00975921">
    <w:pPr>
      <w:pStyle w:val="headerpartodd"/>
      <w:rPr>
        <w:i/>
        <w:iCs/>
      </w:rPr>
    </w:pPr>
    <w:r>
      <w:rPr>
        <w:rFonts w:ascii="Helvetica" w:hAnsi="Helvetica" w:cs="Helvetica"/>
      </w:rPr>
      <w:fldChar w:fldCharType="begin"/>
    </w:r>
    <w:r>
      <w:rPr>
        <w:rFonts w:ascii="Helvetica" w:hAnsi="Helvetica" w:cs="Helvetica"/>
      </w:rPr>
      <w:instrText xml:space="preserve"> STYLEREF CharNotesReg \* charFORMAT </w:instrText>
    </w:r>
    <w:r>
      <w:rPr>
        <w:rFonts w:ascii="Helvetica" w:hAnsi="Helvetica" w:cs="Helvetica"/>
      </w:rPr>
      <w:fldChar w:fldCharType="separate"/>
    </w:r>
    <w:r w:rsidR="004176D7">
      <w:rPr>
        <w:rFonts w:ascii="Helvetica" w:hAnsi="Helvetica" w:cs="Helvetica"/>
        <w:noProof/>
      </w:rPr>
      <w:t>Notes to the</w:t>
    </w:r>
    <w:r>
      <w:rPr>
        <w:rFonts w:ascii="Helvetica" w:hAnsi="Helvetica" w:cs="Helvetica"/>
      </w:rPr>
      <w:fldChar w:fldCharType="end"/>
    </w:r>
    <w:r>
      <w:rPr>
        <w:rFonts w:ascii="Helvetica" w:hAnsi="Helvetica" w:cs="Helvetica"/>
      </w:rPr>
      <w:t xml:space="preserve"> </w:t>
    </w:r>
    <w:r>
      <w:rPr>
        <w:rFonts w:ascii="Helvetica" w:hAnsi="Helvetica" w:cs="Helvetica"/>
        <w:i/>
        <w:iCs/>
      </w:rPr>
      <w:fldChar w:fldCharType="begin"/>
    </w:r>
    <w:r>
      <w:rPr>
        <w:rFonts w:ascii="Helvetica" w:hAnsi="Helvetica" w:cs="Helvetica"/>
        <w:i/>
        <w:iCs/>
      </w:rPr>
      <w:instrText xml:space="preserve"> STYLEREF CharNotesItals \* charFORMAT </w:instrText>
    </w:r>
    <w:r>
      <w:rPr>
        <w:rFonts w:ascii="Helvetica" w:hAnsi="Helvetica" w:cs="Helvetica"/>
        <w:i/>
        <w:iCs/>
      </w:rPr>
      <w:fldChar w:fldCharType="separate"/>
    </w:r>
    <w:r w:rsidR="004176D7">
      <w:rPr>
        <w:rFonts w:ascii="Helvetica" w:hAnsi="Helvetica" w:cs="Helvetica"/>
        <w:i/>
        <w:iCs/>
        <w:noProof/>
      </w:rPr>
      <w:t>Jervis Bay Territory Acceptance Act 1915</w:t>
    </w:r>
    <w:r>
      <w:rPr>
        <w:rFonts w:ascii="Helvetica" w:hAnsi="Helvetica" w:cs="Helvetica"/>
        <w:i/>
        <w:iCs/>
      </w:rPr>
      <w:fldChar w:fldCharType="end"/>
    </w:r>
  </w:p>
  <w:p w:rsidR="007375B5" w:rsidRDefault="007375B5">
    <w:pPr>
      <w:pStyle w:val="headerpart"/>
    </w:pPr>
  </w:p>
  <w:p w:rsidR="007375B5" w:rsidRDefault="007375B5">
    <w:pPr>
      <w:pStyle w:val="headerpart"/>
      <w:rPr>
        <w:rFonts w:ascii="Helvetica" w:hAnsi="Helvetica" w:cs="Helvetica"/>
        <w:sz w:val="24"/>
        <w:szCs w:val="24"/>
      </w:rPr>
    </w:pPr>
  </w:p>
  <w:p w:rsidR="007375B5" w:rsidRDefault="00975921">
    <w:pPr>
      <w:pBdr>
        <w:bottom w:val="single" w:sz="6" w:space="1" w:color="auto"/>
      </w:pBdr>
      <w:rPr>
        <w:rFonts w:ascii="Helvetica" w:hAnsi="Helvetica" w:cs="Helvetica"/>
        <w:b/>
        <w:bCs/>
        <w:sz w:val="24"/>
        <w:szCs w:val="24"/>
      </w:rPr>
    </w:pPr>
    <w:r>
      <w:rPr>
        <w:rFonts w:ascii="Helvetica" w:hAnsi="Helvetica" w:cs="Helvetica"/>
        <w:b/>
        <w:bCs/>
        <w:sz w:val="24"/>
        <w:szCs w:val="24"/>
      </w:rPr>
      <w:fldChar w:fldCharType="begin"/>
    </w:r>
    <w:r>
      <w:rPr>
        <w:rFonts w:ascii="Helvetica" w:hAnsi="Helvetica" w:cs="Helvetica"/>
        <w:b/>
        <w:bCs/>
        <w:sz w:val="24"/>
        <w:szCs w:val="24"/>
      </w:rPr>
      <w:instrText xml:space="preserve"> STYLEREF TableA \* CharFORMAT </w:instrText>
    </w:r>
    <w:r>
      <w:rPr>
        <w:rFonts w:ascii="Helvetica" w:hAnsi="Helvetica" w:cs="Helvetica"/>
        <w:b/>
        <w:bCs/>
        <w:sz w:val="24"/>
        <w:szCs w:val="24"/>
      </w:rPr>
      <w:fldChar w:fldCharType="separate"/>
    </w:r>
    <w:r w:rsidR="004176D7">
      <w:rPr>
        <w:rFonts w:ascii="Helvetica" w:hAnsi="Helvetica" w:cs="Helvetica"/>
        <w:b/>
        <w:bCs/>
        <w:noProof/>
        <w:sz w:val="24"/>
        <w:szCs w:val="24"/>
      </w:rPr>
      <w:t>Table A</w:t>
    </w:r>
    <w:r>
      <w:rPr>
        <w:rFonts w:ascii="Helvetica" w:hAnsi="Helvetica" w:cs="Helvetica"/>
        <w:b/>
        <w:bCs/>
        <w:sz w:val="24"/>
        <w:szCs w:val="24"/>
      </w:rPr>
      <w:fldChar w:fldCharType="end"/>
    </w:r>
  </w:p>
  <w:p w:rsidR="007375B5" w:rsidRDefault="007375B5">
    <w:pPr>
      <w:keepNext/>
    </w:pPr>
  </w:p>
  <w:p w:rsidR="007375B5" w:rsidRDefault="007375B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5B5" w:rsidRDefault="007375B5">
    <w:pPr>
      <w:pStyle w:val="headerpartodd"/>
      <w:jc w:val="right"/>
    </w:pPr>
  </w:p>
  <w:p w:rsidR="007375B5" w:rsidRDefault="00975921">
    <w:pPr>
      <w:pStyle w:val="headerpartodd"/>
      <w:jc w:val="right"/>
      <w:rPr>
        <w:i/>
        <w:iCs/>
      </w:rPr>
    </w:pPr>
    <w:r>
      <w:rPr>
        <w:rFonts w:ascii="Helvetica" w:hAnsi="Helvetica" w:cs="Helvetica"/>
      </w:rPr>
      <w:fldChar w:fldCharType="begin"/>
    </w:r>
    <w:r>
      <w:rPr>
        <w:rFonts w:ascii="Helvetica" w:hAnsi="Helvetica" w:cs="Helvetica"/>
      </w:rPr>
      <w:instrText xml:space="preserve"> STYLEREF CharNotesReg \* charFORMAT </w:instrText>
    </w:r>
    <w:r>
      <w:rPr>
        <w:rFonts w:ascii="Helvetica" w:hAnsi="Helvetica" w:cs="Helvetica"/>
      </w:rPr>
      <w:fldChar w:fldCharType="separate"/>
    </w:r>
    <w:r w:rsidR="004176D7">
      <w:rPr>
        <w:rFonts w:ascii="Helvetica" w:hAnsi="Helvetica" w:cs="Helvetica"/>
        <w:noProof/>
      </w:rPr>
      <w:t>Notes to the</w:t>
    </w:r>
    <w:r>
      <w:rPr>
        <w:rFonts w:ascii="Helvetica" w:hAnsi="Helvetica" w:cs="Helvetica"/>
      </w:rPr>
      <w:fldChar w:fldCharType="end"/>
    </w:r>
    <w:r>
      <w:rPr>
        <w:rFonts w:ascii="Helvetica" w:hAnsi="Helvetica" w:cs="Helvetica"/>
      </w:rPr>
      <w:t xml:space="preserve"> </w:t>
    </w:r>
    <w:r>
      <w:rPr>
        <w:rFonts w:ascii="Helvetica" w:hAnsi="Helvetica" w:cs="Helvetica"/>
        <w:i/>
        <w:iCs/>
      </w:rPr>
      <w:fldChar w:fldCharType="begin"/>
    </w:r>
    <w:r>
      <w:rPr>
        <w:rFonts w:ascii="Helvetica" w:hAnsi="Helvetica" w:cs="Helvetica"/>
        <w:i/>
        <w:iCs/>
      </w:rPr>
      <w:instrText xml:space="preserve"> STYLEREF CharNotesItals \* charFORMAT </w:instrText>
    </w:r>
    <w:r>
      <w:rPr>
        <w:rFonts w:ascii="Helvetica" w:hAnsi="Helvetica" w:cs="Helvetica"/>
        <w:i/>
        <w:iCs/>
      </w:rPr>
      <w:fldChar w:fldCharType="separate"/>
    </w:r>
    <w:r w:rsidR="004176D7">
      <w:rPr>
        <w:rFonts w:ascii="Helvetica" w:hAnsi="Helvetica" w:cs="Helvetica"/>
        <w:i/>
        <w:iCs/>
        <w:noProof/>
      </w:rPr>
      <w:t>Jervis Bay Territory Acceptance Act 1915</w:t>
    </w:r>
    <w:r>
      <w:rPr>
        <w:rFonts w:ascii="Helvetica" w:hAnsi="Helvetica" w:cs="Helvetica"/>
        <w:i/>
        <w:iCs/>
      </w:rPr>
      <w:fldChar w:fldCharType="end"/>
    </w:r>
  </w:p>
  <w:p w:rsidR="007375B5" w:rsidRDefault="007375B5">
    <w:pPr>
      <w:pStyle w:val="headerpart"/>
      <w:jc w:val="right"/>
    </w:pPr>
  </w:p>
  <w:p w:rsidR="007375B5" w:rsidRDefault="007375B5">
    <w:pPr>
      <w:pStyle w:val="headerpart"/>
      <w:jc w:val="right"/>
      <w:rPr>
        <w:rFonts w:ascii="Helvetica" w:hAnsi="Helvetica" w:cs="Helvetica"/>
        <w:sz w:val="24"/>
        <w:szCs w:val="24"/>
      </w:rPr>
    </w:pPr>
  </w:p>
  <w:p w:rsidR="007375B5" w:rsidRDefault="00975921">
    <w:pPr>
      <w:pBdr>
        <w:bottom w:val="single" w:sz="6" w:space="1" w:color="auto"/>
      </w:pBdr>
      <w:jc w:val="right"/>
      <w:rPr>
        <w:rFonts w:ascii="Helvetica" w:hAnsi="Helvetica" w:cs="Helvetica"/>
        <w:b/>
        <w:bCs/>
        <w:sz w:val="24"/>
        <w:szCs w:val="24"/>
      </w:rPr>
    </w:pPr>
    <w:r>
      <w:rPr>
        <w:rFonts w:ascii="Helvetica" w:hAnsi="Helvetica" w:cs="Helvetica"/>
        <w:b/>
        <w:bCs/>
        <w:sz w:val="24"/>
        <w:szCs w:val="24"/>
      </w:rPr>
      <w:fldChar w:fldCharType="begin"/>
    </w:r>
    <w:r>
      <w:rPr>
        <w:rFonts w:ascii="Helvetica" w:hAnsi="Helvetica" w:cs="Helvetica"/>
        <w:b/>
        <w:bCs/>
        <w:sz w:val="24"/>
        <w:szCs w:val="24"/>
      </w:rPr>
      <w:instrText xml:space="preserve"> STYLEREF TableA \*charFORMAT </w:instrText>
    </w:r>
    <w:r>
      <w:rPr>
        <w:rFonts w:ascii="Helvetica" w:hAnsi="Helvetica" w:cs="Helvetica"/>
        <w:b/>
        <w:bCs/>
        <w:sz w:val="24"/>
        <w:szCs w:val="24"/>
      </w:rPr>
      <w:fldChar w:fldCharType="separate"/>
    </w:r>
    <w:r w:rsidR="004176D7">
      <w:rPr>
        <w:rFonts w:ascii="Helvetica" w:hAnsi="Helvetica" w:cs="Helvetica"/>
        <w:b/>
        <w:bCs/>
        <w:noProof/>
        <w:sz w:val="24"/>
        <w:szCs w:val="24"/>
      </w:rPr>
      <w:t>Table A</w:t>
    </w:r>
    <w:r>
      <w:rPr>
        <w:rFonts w:ascii="Helvetica" w:hAnsi="Helvetica" w:cs="Helvetica"/>
        <w:b/>
        <w:bCs/>
        <w:sz w:val="24"/>
        <w:szCs w:val="24"/>
      </w:rPr>
      <w:fldChar w:fldCharType="end"/>
    </w:r>
  </w:p>
  <w:p w:rsidR="007375B5" w:rsidRDefault="007375B5">
    <w:pPr>
      <w:keepNext/>
    </w:pPr>
  </w:p>
  <w:p w:rsidR="007375B5" w:rsidRDefault="007375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5B5" w:rsidRDefault="007375B5">
    <w:pPr>
      <w:jc w:val="right"/>
    </w:pPr>
  </w:p>
  <w:p w:rsidR="007375B5" w:rsidRDefault="007375B5">
    <w:pPr>
      <w:jc w:val="right"/>
      <w:rPr>
        <w:i/>
        <w:iCs/>
      </w:rPr>
    </w:pPr>
  </w:p>
  <w:p w:rsidR="007375B5" w:rsidRDefault="007375B5">
    <w:pPr>
      <w:jc w:val="right"/>
    </w:pPr>
  </w:p>
  <w:p w:rsidR="007375B5" w:rsidRDefault="007375B5">
    <w:pPr>
      <w:jc w:val="right"/>
    </w:pPr>
  </w:p>
  <w:p w:rsidR="007375B5" w:rsidRDefault="007375B5">
    <w:pPr>
      <w:pBdr>
        <w:bottom w:val="single" w:sz="12" w:space="1" w:color="auto"/>
      </w:pBdr>
      <w:jc w:val="right"/>
      <w:rPr>
        <w:i/>
        <w:iCs/>
      </w:rPr>
    </w:pPr>
  </w:p>
  <w:p w:rsidR="007375B5" w:rsidRDefault="007375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5B5" w:rsidRDefault="007375B5">
    <w:pPr>
      <w:jc w:val="right"/>
    </w:pPr>
  </w:p>
  <w:p w:rsidR="007375B5" w:rsidRDefault="007375B5">
    <w:pPr>
      <w:jc w:val="right"/>
      <w:rPr>
        <w:i/>
        <w:iCs/>
      </w:rPr>
    </w:pPr>
  </w:p>
  <w:p w:rsidR="007375B5" w:rsidRDefault="007375B5">
    <w:pPr>
      <w:jc w:val="right"/>
    </w:pPr>
  </w:p>
  <w:p w:rsidR="007375B5" w:rsidRDefault="007375B5">
    <w:pPr>
      <w:jc w:val="right"/>
    </w:pPr>
  </w:p>
  <w:p w:rsidR="007375B5" w:rsidRDefault="007375B5" w:rsidP="00F14F5A">
    <w:pPr>
      <w:pBdr>
        <w:bottom w:val="single" w:sz="6" w:space="1" w:color="auto"/>
      </w:pBdr>
      <w:jc w:val="right"/>
      <w:rPr>
        <w:i/>
        <w:iCs/>
      </w:rPr>
    </w:pPr>
  </w:p>
  <w:p w:rsidR="007375B5" w:rsidRDefault="007375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5B5" w:rsidRDefault="00975921">
    <w:pPr>
      <w:rPr>
        <w:sz w:val="20"/>
        <w:szCs w:val="20"/>
      </w:rPr>
    </w:pPr>
    <w:r>
      <w:rPr>
        <w:b/>
        <w:bCs/>
        <w:sz w:val="20"/>
        <w:szCs w:val="20"/>
      </w:rPr>
      <w:fldChar w:fldCharType="begin"/>
    </w:r>
    <w:r>
      <w:rPr>
        <w:b/>
        <w:bCs/>
        <w:sz w:val="20"/>
        <w:szCs w:val="20"/>
      </w:rPr>
      <w:instrText xml:space="preserve"> STYLEREF CharChapNo </w:instrText>
    </w:r>
    <w:r>
      <w:rPr>
        <w:b/>
        <w:bCs/>
        <w:sz w:val="20"/>
        <w:szCs w:val="20"/>
      </w:rPr>
      <w:fldChar w:fldCharType="end"/>
    </w:r>
    <w:r>
      <w:rPr>
        <w:b/>
        <w:bCs/>
        <w:sz w:val="20"/>
        <w:szCs w:val="20"/>
      </w:rPr>
      <w:t xml:space="preserve">  </w:t>
    </w:r>
    <w:r>
      <w:rPr>
        <w:sz w:val="20"/>
        <w:szCs w:val="20"/>
      </w:rPr>
      <w:fldChar w:fldCharType="begin"/>
    </w:r>
    <w:r>
      <w:rPr>
        <w:sz w:val="20"/>
        <w:szCs w:val="20"/>
      </w:rPr>
      <w:instrText xml:space="preserve"> STYLEREF CharChapText </w:instrText>
    </w:r>
    <w:r>
      <w:rPr>
        <w:sz w:val="20"/>
        <w:szCs w:val="20"/>
      </w:rPr>
      <w:fldChar w:fldCharType="end"/>
    </w:r>
  </w:p>
  <w:p w:rsidR="007375B5" w:rsidRDefault="00975921">
    <w:pPr>
      <w:rPr>
        <w:b/>
        <w:bCs/>
        <w:sz w:val="20"/>
        <w:szCs w:val="20"/>
      </w:rPr>
    </w:pPr>
    <w:r>
      <w:rPr>
        <w:b/>
        <w:bCs/>
        <w:sz w:val="20"/>
        <w:szCs w:val="20"/>
      </w:rPr>
      <w:fldChar w:fldCharType="begin"/>
    </w:r>
    <w:r>
      <w:rPr>
        <w:b/>
        <w:bCs/>
        <w:sz w:val="20"/>
        <w:szCs w:val="20"/>
      </w:rPr>
      <w:instrText xml:space="preserve"> STYLEREF CharPartNo </w:instrText>
    </w:r>
    <w:r>
      <w:rPr>
        <w:b/>
        <w:bCs/>
        <w:sz w:val="20"/>
        <w:szCs w:val="20"/>
      </w:rPr>
      <w:fldChar w:fldCharType="end"/>
    </w:r>
    <w:r>
      <w:rPr>
        <w:b/>
        <w:bCs/>
        <w:sz w:val="20"/>
        <w:szCs w:val="20"/>
      </w:rPr>
      <w:t xml:space="preserve">  </w:t>
    </w:r>
    <w:r>
      <w:rPr>
        <w:sz w:val="20"/>
        <w:szCs w:val="20"/>
      </w:rPr>
      <w:fldChar w:fldCharType="begin"/>
    </w:r>
    <w:r>
      <w:rPr>
        <w:sz w:val="20"/>
        <w:szCs w:val="20"/>
      </w:rPr>
      <w:instrText xml:space="preserve"> STYLEREF CharPartText </w:instrText>
    </w:r>
    <w:r>
      <w:rPr>
        <w:sz w:val="20"/>
        <w:szCs w:val="20"/>
      </w:rPr>
      <w:fldChar w:fldCharType="end"/>
    </w:r>
  </w:p>
  <w:p w:rsidR="007375B5" w:rsidRDefault="00975921">
    <w:pPr>
      <w:rPr>
        <w:sz w:val="20"/>
        <w:szCs w:val="20"/>
      </w:rPr>
    </w:pPr>
    <w:r>
      <w:rPr>
        <w:b/>
        <w:bCs/>
        <w:sz w:val="20"/>
        <w:szCs w:val="20"/>
      </w:rPr>
      <w:fldChar w:fldCharType="begin"/>
    </w:r>
    <w:r>
      <w:rPr>
        <w:b/>
        <w:bCs/>
        <w:sz w:val="20"/>
        <w:szCs w:val="20"/>
      </w:rPr>
      <w:instrText xml:space="preserve"> STYLEREF CharDivNo </w:instrText>
    </w:r>
    <w:r>
      <w:rPr>
        <w:b/>
        <w:bCs/>
        <w:sz w:val="20"/>
        <w:szCs w:val="20"/>
      </w:rPr>
      <w:fldChar w:fldCharType="end"/>
    </w:r>
    <w:r>
      <w:rPr>
        <w:b/>
        <w:bCs/>
        <w:sz w:val="20"/>
        <w:szCs w:val="20"/>
      </w:rPr>
      <w:t xml:space="preserve">  </w:t>
    </w:r>
    <w:r>
      <w:rPr>
        <w:sz w:val="20"/>
        <w:szCs w:val="20"/>
      </w:rPr>
      <w:fldChar w:fldCharType="begin"/>
    </w:r>
    <w:r>
      <w:rPr>
        <w:sz w:val="20"/>
        <w:szCs w:val="20"/>
      </w:rPr>
      <w:instrText xml:space="preserve"> STYLEREF CharDivText </w:instrText>
    </w:r>
    <w:r>
      <w:rPr>
        <w:sz w:val="20"/>
        <w:szCs w:val="20"/>
      </w:rPr>
      <w:fldChar w:fldCharType="end"/>
    </w:r>
  </w:p>
  <w:p w:rsidR="007375B5" w:rsidRDefault="007375B5">
    <w:pPr>
      <w:rPr>
        <w:b/>
        <w:bCs/>
        <w:sz w:val="24"/>
        <w:szCs w:val="24"/>
      </w:rPr>
    </w:pPr>
  </w:p>
  <w:p w:rsidR="007375B5" w:rsidRDefault="00975921">
    <w:pPr>
      <w:pBdr>
        <w:bottom w:val="single" w:sz="6" w:space="1" w:color="auto"/>
      </w:pBdr>
      <w:rPr>
        <w:sz w:val="24"/>
        <w:szCs w:val="24"/>
      </w:rPr>
    </w:pPr>
    <w:r>
      <w:rPr>
        <w:sz w:val="24"/>
        <w:szCs w:val="24"/>
      </w:rPr>
      <w:t xml:space="preserve">Section </w:t>
    </w:r>
    <w:r>
      <w:rPr>
        <w:sz w:val="24"/>
        <w:szCs w:val="24"/>
      </w:rPr>
      <w:fldChar w:fldCharType="begin"/>
    </w:r>
    <w:r>
      <w:rPr>
        <w:sz w:val="24"/>
        <w:szCs w:val="24"/>
      </w:rPr>
      <w:instrText xml:space="preserve"> STYLEREF CharSectno </w:instrText>
    </w:r>
    <w:r>
      <w:rPr>
        <w:sz w:val="24"/>
        <w:szCs w:val="24"/>
      </w:rPr>
      <w:fldChar w:fldCharType="separate"/>
    </w:r>
    <w:r w:rsidR="004176D7">
      <w:rPr>
        <w:noProof/>
        <w:sz w:val="24"/>
        <w:szCs w:val="24"/>
      </w:rPr>
      <w:t>5</w:t>
    </w:r>
    <w:r>
      <w:rPr>
        <w:sz w:val="24"/>
        <w:szCs w:val="24"/>
      </w:rPr>
      <w:fldChar w:fldCharType="end"/>
    </w:r>
  </w:p>
  <w:p w:rsidR="007375B5" w:rsidRDefault="007375B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5B5" w:rsidRDefault="00975921">
    <w:pPr>
      <w:jc w:val="right"/>
      <w:rPr>
        <w:sz w:val="20"/>
        <w:szCs w:val="20"/>
      </w:rPr>
    </w:pPr>
    <w:r>
      <w:rPr>
        <w:sz w:val="20"/>
        <w:szCs w:val="20"/>
      </w:rPr>
      <w:fldChar w:fldCharType="begin"/>
    </w:r>
    <w:r>
      <w:rPr>
        <w:sz w:val="20"/>
        <w:szCs w:val="20"/>
      </w:rPr>
      <w:instrText xml:space="preserve"> STYLEREF CharChapText </w:instrText>
    </w:r>
    <w:r>
      <w:rPr>
        <w:sz w:val="20"/>
        <w:szCs w:val="20"/>
      </w:rPr>
      <w:fldChar w:fldCharType="end"/>
    </w:r>
    <w:r>
      <w:rPr>
        <w:sz w:val="20"/>
        <w:szCs w:val="20"/>
      </w:rPr>
      <w:t xml:space="preserve">  </w:t>
    </w:r>
    <w:r>
      <w:rPr>
        <w:b/>
        <w:bCs/>
        <w:sz w:val="20"/>
        <w:szCs w:val="20"/>
      </w:rPr>
      <w:fldChar w:fldCharType="begin"/>
    </w:r>
    <w:r>
      <w:rPr>
        <w:b/>
        <w:bCs/>
        <w:sz w:val="20"/>
        <w:szCs w:val="20"/>
      </w:rPr>
      <w:instrText xml:space="preserve"> STYLEREF CharChapNo </w:instrText>
    </w:r>
    <w:r>
      <w:rPr>
        <w:b/>
        <w:bCs/>
        <w:sz w:val="20"/>
        <w:szCs w:val="20"/>
      </w:rPr>
      <w:fldChar w:fldCharType="end"/>
    </w:r>
  </w:p>
  <w:p w:rsidR="007375B5" w:rsidRDefault="00975921">
    <w:pPr>
      <w:jc w:val="right"/>
      <w:rPr>
        <w:sz w:val="20"/>
        <w:szCs w:val="20"/>
      </w:rPr>
    </w:pPr>
    <w:r>
      <w:rPr>
        <w:sz w:val="20"/>
        <w:szCs w:val="20"/>
      </w:rPr>
      <w:fldChar w:fldCharType="begin"/>
    </w:r>
    <w:r>
      <w:rPr>
        <w:sz w:val="20"/>
        <w:szCs w:val="20"/>
      </w:rPr>
      <w:instrText xml:space="preserve"> STYLEREF CharPartText </w:instrText>
    </w:r>
    <w:r>
      <w:rPr>
        <w:sz w:val="20"/>
        <w:szCs w:val="20"/>
      </w:rPr>
      <w:fldChar w:fldCharType="end"/>
    </w:r>
    <w:r>
      <w:rPr>
        <w:sz w:val="20"/>
        <w:szCs w:val="20"/>
      </w:rPr>
      <w:t xml:space="preserve">  </w:t>
    </w:r>
    <w:r>
      <w:rPr>
        <w:b/>
        <w:bCs/>
        <w:sz w:val="20"/>
        <w:szCs w:val="20"/>
      </w:rPr>
      <w:fldChar w:fldCharType="begin"/>
    </w:r>
    <w:r>
      <w:rPr>
        <w:b/>
        <w:bCs/>
        <w:sz w:val="20"/>
        <w:szCs w:val="20"/>
      </w:rPr>
      <w:instrText xml:space="preserve"> STYLEREF CharPartNo </w:instrText>
    </w:r>
    <w:r>
      <w:rPr>
        <w:b/>
        <w:bCs/>
        <w:sz w:val="20"/>
        <w:szCs w:val="20"/>
      </w:rPr>
      <w:fldChar w:fldCharType="end"/>
    </w:r>
  </w:p>
  <w:p w:rsidR="007375B5" w:rsidRDefault="00975921">
    <w:pPr>
      <w:jc w:val="right"/>
      <w:rPr>
        <w:sz w:val="20"/>
        <w:szCs w:val="20"/>
      </w:rPr>
    </w:pPr>
    <w:r>
      <w:rPr>
        <w:sz w:val="20"/>
        <w:szCs w:val="20"/>
      </w:rPr>
      <w:fldChar w:fldCharType="begin"/>
    </w:r>
    <w:r>
      <w:rPr>
        <w:sz w:val="20"/>
        <w:szCs w:val="20"/>
      </w:rPr>
      <w:instrText xml:space="preserve"> STYLEREF CharDivText </w:instrText>
    </w:r>
    <w:r>
      <w:rPr>
        <w:sz w:val="20"/>
        <w:szCs w:val="20"/>
      </w:rPr>
      <w:fldChar w:fldCharType="end"/>
    </w:r>
    <w:r>
      <w:rPr>
        <w:sz w:val="20"/>
        <w:szCs w:val="20"/>
      </w:rPr>
      <w:t xml:space="preserve">  </w:t>
    </w:r>
    <w:r>
      <w:rPr>
        <w:b/>
        <w:bCs/>
        <w:sz w:val="20"/>
        <w:szCs w:val="20"/>
      </w:rPr>
      <w:fldChar w:fldCharType="begin"/>
    </w:r>
    <w:r>
      <w:rPr>
        <w:b/>
        <w:bCs/>
        <w:sz w:val="20"/>
        <w:szCs w:val="20"/>
      </w:rPr>
      <w:instrText xml:space="preserve"> STYLEREF CharDivNo </w:instrText>
    </w:r>
    <w:r>
      <w:rPr>
        <w:b/>
        <w:bCs/>
        <w:sz w:val="20"/>
        <w:szCs w:val="20"/>
      </w:rPr>
      <w:fldChar w:fldCharType="end"/>
    </w:r>
  </w:p>
  <w:p w:rsidR="007375B5" w:rsidRDefault="007375B5">
    <w:pPr>
      <w:jc w:val="right"/>
      <w:rPr>
        <w:sz w:val="24"/>
        <w:szCs w:val="24"/>
      </w:rPr>
    </w:pPr>
  </w:p>
  <w:p w:rsidR="007375B5" w:rsidRDefault="00975921">
    <w:pPr>
      <w:pBdr>
        <w:bottom w:val="single" w:sz="6" w:space="1" w:color="auto"/>
      </w:pBdr>
      <w:jc w:val="right"/>
      <w:rPr>
        <w:sz w:val="24"/>
        <w:szCs w:val="24"/>
      </w:rPr>
    </w:pPr>
    <w:r>
      <w:rPr>
        <w:sz w:val="24"/>
        <w:szCs w:val="24"/>
      </w:rPr>
      <w:t xml:space="preserve">Section </w:t>
    </w:r>
    <w:r>
      <w:rPr>
        <w:sz w:val="24"/>
        <w:szCs w:val="24"/>
      </w:rPr>
      <w:fldChar w:fldCharType="begin"/>
    </w:r>
    <w:r>
      <w:rPr>
        <w:sz w:val="24"/>
        <w:szCs w:val="24"/>
      </w:rPr>
      <w:instrText xml:space="preserve"> STYLEREF CharSectno </w:instrText>
    </w:r>
    <w:r>
      <w:rPr>
        <w:sz w:val="24"/>
        <w:szCs w:val="24"/>
      </w:rPr>
      <w:fldChar w:fldCharType="separate"/>
    </w:r>
    <w:r w:rsidR="004176D7">
      <w:rPr>
        <w:noProof/>
        <w:sz w:val="24"/>
        <w:szCs w:val="24"/>
      </w:rPr>
      <w:t>4K</w:t>
    </w:r>
    <w:r>
      <w:rPr>
        <w:sz w:val="24"/>
        <w:szCs w:val="24"/>
      </w:rPr>
      <w:fldChar w:fldCharType="end"/>
    </w:r>
  </w:p>
  <w:p w:rsidR="007375B5" w:rsidRDefault="007375B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5B5" w:rsidRDefault="007375B5">
    <w:pPr>
      <w:rPr>
        <w:sz w:val="20"/>
        <w:szCs w:val="20"/>
      </w:rPr>
    </w:pPr>
  </w:p>
  <w:p w:rsidR="007375B5" w:rsidRDefault="007375B5">
    <w:pPr>
      <w:rPr>
        <w:b/>
        <w:bCs/>
        <w:sz w:val="20"/>
        <w:szCs w:val="20"/>
      </w:rPr>
    </w:pPr>
  </w:p>
  <w:p w:rsidR="007375B5" w:rsidRDefault="007375B5">
    <w:pPr>
      <w:rPr>
        <w:sz w:val="20"/>
        <w:szCs w:val="20"/>
      </w:rPr>
    </w:pPr>
  </w:p>
  <w:p w:rsidR="007375B5" w:rsidRDefault="007375B5">
    <w:pPr>
      <w:rPr>
        <w:b/>
        <w:bCs/>
        <w:sz w:val="24"/>
        <w:szCs w:val="24"/>
      </w:rPr>
    </w:pPr>
  </w:p>
  <w:p w:rsidR="007375B5" w:rsidRDefault="007375B5">
    <w:pPr>
      <w:pBdr>
        <w:bottom w:val="single" w:sz="6" w:space="1" w:color="auto"/>
      </w:pBdr>
      <w:rPr>
        <w:sz w:val="24"/>
        <w:szCs w:val="24"/>
      </w:rPr>
    </w:pPr>
  </w:p>
  <w:p w:rsidR="007375B5" w:rsidRDefault="007375B5">
    <w:pPr>
      <w:spacing w:line="160" w:lineRule="exact"/>
      <w:rPr>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5B5" w:rsidRDefault="00975921">
    <w:pPr>
      <w:rPr>
        <w:sz w:val="20"/>
        <w:szCs w:val="20"/>
      </w:rPr>
    </w:pPr>
    <w:r>
      <w:rPr>
        <w:b/>
        <w:bCs/>
        <w:sz w:val="20"/>
        <w:szCs w:val="20"/>
      </w:rPr>
      <w:fldChar w:fldCharType="begin"/>
    </w:r>
    <w:r>
      <w:rPr>
        <w:b/>
        <w:bCs/>
        <w:sz w:val="20"/>
        <w:szCs w:val="20"/>
      </w:rPr>
      <w:instrText xml:space="preserve"> STYLEREF CharChapNo </w:instrText>
    </w:r>
    <w:r w:rsidR="004176D7">
      <w:rPr>
        <w:b/>
        <w:bCs/>
        <w:sz w:val="20"/>
        <w:szCs w:val="20"/>
      </w:rPr>
      <w:fldChar w:fldCharType="separate"/>
    </w:r>
    <w:r w:rsidR="004176D7">
      <w:rPr>
        <w:b/>
        <w:bCs/>
        <w:noProof/>
        <w:sz w:val="20"/>
        <w:szCs w:val="20"/>
      </w:rPr>
      <w:t>The Schedule</w:t>
    </w:r>
    <w:r>
      <w:rPr>
        <w:b/>
        <w:bCs/>
        <w:sz w:val="20"/>
        <w:szCs w:val="20"/>
      </w:rPr>
      <w:fldChar w:fldCharType="end"/>
    </w:r>
    <w:r>
      <w:rPr>
        <w:b/>
        <w:bCs/>
        <w:sz w:val="20"/>
        <w:szCs w:val="20"/>
      </w:rPr>
      <w:t xml:space="preserve">  </w:t>
    </w:r>
    <w:r>
      <w:rPr>
        <w:sz w:val="20"/>
        <w:szCs w:val="20"/>
      </w:rPr>
      <w:fldChar w:fldCharType="begin"/>
    </w:r>
    <w:r>
      <w:rPr>
        <w:sz w:val="20"/>
        <w:szCs w:val="20"/>
      </w:rPr>
      <w:instrText xml:space="preserve"> STYLEREF CharChapText </w:instrText>
    </w:r>
    <w:r w:rsidR="004176D7">
      <w:rPr>
        <w:sz w:val="20"/>
        <w:szCs w:val="20"/>
      </w:rPr>
      <w:fldChar w:fldCharType="separate"/>
    </w:r>
    <w:r w:rsidR="004176D7">
      <w:rPr>
        <w:noProof/>
        <w:sz w:val="20"/>
        <w:szCs w:val="20"/>
      </w:rPr>
      <w:t>Surrender to the Commonwealth Of Australia by the State of New South Wales of land at Jervis Bay.</w:t>
    </w:r>
    <w:r>
      <w:rPr>
        <w:sz w:val="20"/>
        <w:szCs w:val="20"/>
      </w:rPr>
      <w:fldChar w:fldCharType="end"/>
    </w:r>
  </w:p>
  <w:p w:rsidR="007375B5" w:rsidRDefault="007375B5">
    <w:pPr>
      <w:rPr>
        <w:b/>
        <w:bCs/>
        <w:sz w:val="20"/>
        <w:szCs w:val="20"/>
      </w:rPr>
    </w:pPr>
  </w:p>
  <w:p w:rsidR="007375B5" w:rsidRDefault="007375B5">
    <w:pPr>
      <w:rPr>
        <w:sz w:val="20"/>
        <w:szCs w:val="20"/>
      </w:rPr>
    </w:pPr>
  </w:p>
  <w:p w:rsidR="007375B5" w:rsidRDefault="007375B5">
    <w:pPr>
      <w:rPr>
        <w:b/>
        <w:bCs/>
        <w:sz w:val="24"/>
        <w:szCs w:val="24"/>
      </w:rPr>
    </w:pPr>
  </w:p>
  <w:p w:rsidR="007375B5" w:rsidRDefault="007375B5">
    <w:pPr>
      <w:pBdr>
        <w:bottom w:val="single" w:sz="6" w:space="1" w:color="auto"/>
      </w:pBdr>
      <w:rPr>
        <w:sz w:val="24"/>
        <w:szCs w:val="24"/>
      </w:rPr>
    </w:pPr>
  </w:p>
  <w:p w:rsidR="007375B5" w:rsidRDefault="007375B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5B5" w:rsidRDefault="00975921">
    <w:pPr>
      <w:jc w:val="right"/>
      <w:rPr>
        <w:sz w:val="20"/>
        <w:szCs w:val="20"/>
      </w:rPr>
    </w:pPr>
    <w:r>
      <w:rPr>
        <w:sz w:val="20"/>
        <w:szCs w:val="20"/>
      </w:rPr>
      <w:fldChar w:fldCharType="begin"/>
    </w:r>
    <w:r>
      <w:rPr>
        <w:sz w:val="20"/>
        <w:szCs w:val="20"/>
      </w:rPr>
      <w:instrText xml:space="preserve"> STYLEREF CharChapText </w:instrText>
    </w:r>
    <w:r w:rsidR="004176D7">
      <w:rPr>
        <w:sz w:val="20"/>
        <w:szCs w:val="20"/>
      </w:rPr>
      <w:fldChar w:fldCharType="separate"/>
    </w:r>
    <w:r w:rsidR="004176D7">
      <w:rPr>
        <w:noProof/>
        <w:sz w:val="20"/>
        <w:szCs w:val="20"/>
      </w:rPr>
      <w:t>Surrender to the Commonwealth Of Australia by the State of New South Wales of land at Jervis Bay.</w:t>
    </w:r>
    <w:r>
      <w:rPr>
        <w:sz w:val="20"/>
        <w:szCs w:val="20"/>
      </w:rPr>
      <w:fldChar w:fldCharType="end"/>
    </w:r>
    <w:r>
      <w:rPr>
        <w:sz w:val="20"/>
        <w:szCs w:val="20"/>
      </w:rPr>
      <w:t xml:space="preserve">  </w:t>
    </w:r>
    <w:r>
      <w:rPr>
        <w:b/>
        <w:bCs/>
        <w:sz w:val="20"/>
        <w:szCs w:val="20"/>
      </w:rPr>
      <w:fldChar w:fldCharType="begin"/>
    </w:r>
    <w:r>
      <w:rPr>
        <w:b/>
        <w:bCs/>
        <w:sz w:val="20"/>
        <w:szCs w:val="20"/>
      </w:rPr>
      <w:instrText xml:space="preserve"> STYLEREF CharChapNo </w:instrText>
    </w:r>
    <w:r w:rsidR="004176D7">
      <w:rPr>
        <w:b/>
        <w:bCs/>
        <w:sz w:val="20"/>
        <w:szCs w:val="20"/>
      </w:rPr>
      <w:fldChar w:fldCharType="separate"/>
    </w:r>
    <w:r w:rsidR="004176D7">
      <w:rPr>
        <w:b/>
        <w:bCs/>
        <w:noProof/>
        <w:sz w:val="20"/>
        <w:szCs w:val="20"/>
      </w:rPr>
      <w:t>The Schedule</w:t>
    </w:r>
    <w:r>
      <w:rPr>
        <w:b/>
        <w:bCs/>
        <w:sz w:val="20"/>
        <w:szCs w:val="20"/>
      </w:rPr>
      <w:fldChar w:fldCharType="end"/>
    </w:r>
  </w:p>
  <w:p w:rsidR="007375B5" w:rsidRDefault="007375B5">
    <w:pPr>
      <w:jc w:val="right"/>
      <w:rPr>
        <w:b/>
        <w:bCs/>
        <w:sz w:val="20"/>
        <w:szCs w:val="20"/>
      </w:rPr>
    </w:pPr>
  </w:p>
  <w:p w:rsidR="007375B5" w:rsidRDefault="007375B5">
    <w:pPr>
      <w:jc w:val="right"/>
      <w:rPr>
        <w:sz w:val="20"/>
        <w:szCs w:val="20"/>
      </w:rPr>
    </w:pPr>
  </w:p>
  <w:p w:rsidR="007375B5" w:rsidRDefault="007375B5">
    <w:pPr>
      <w:jc w:val="right"/>
      <w:rPr>
        <w:b/>
        <w:bCs/>
        <w:sz w:val="24"/>
        <w:szCs w:val="24"/>
      </w:rPr>
    </w:pPr>
  </w:p>
  <w:p w:rsidR="007375B5" w:rsidRDefault="007375B5">
    <w:pPr>
      <w:pBdr>
        <w:bottom w:val="single" w:sz="6" w:space="1" w:color="auto"/>
      </w:pBdr>
      <w:jc w:val="right"/>
      <w:rPr>
        <w:sz w:val="24"/>
        <w:szCs w:val="24"/>
      </w:rPr>
    </w:pPr>
  </w:p>
  <w:p w:rsidR="007375B5" w:rsidRDefault="00737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F16D8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5C1E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19ABC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A8DB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C27E9C"/>
    <w:lvl w:ilvl="0">
      <w:start w:val="1"/>
      <w:numFmt w:val="bullet"/>
      <w:pStyle w:val="ListBullet5"/>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4DEEF608"/>
    <w:lvl w:ilvl="0">
      <w:start w:val="1"/>
      <w:numFmt w:val="bullet"/>
      <w:pStyle w:val="ListBullet4"/>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093A4CE0"/>
    <w:lvl w:ilvl="0">
      <w:start w:val="1"/>
      <w:numFmt w:val="bullet"/>
      <w:pStyle w:val="ListBullet3"/>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6A720894"/>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408C92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0AA58C"/>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0" w15:restartNumberingAfterBreak="0">
    <w:nsid w:val="1F565067"/>
    <w:multiLevelType w:val="singleLevel"/>
    <w:tmpl w:val="C4D0FBA0"/>
    <w:lvl w:ilvl="0">
      <w:start w:val="1"/>
      <w:numFmt w:val="bullet"/>
      <w:pStyle w:val="TLPNotebullet"/>
      <w:lvlText w:val=""/>
      <w:lvlJc w:val="left"/>
      <w:pPr>
        <w:tabs>
          <w:tab w:val="num" w:pos="360"/>
        </w:tabs>
        <w:ind w:left="360" w:hanging="360"/>
      </w:pPr>
      <w:rPr>
        <w:rFonts w:ascii="Symbol" w:hAnsi="Symbol" w:cs="Symbol" w:hint="default"/>
      </w:rPr>
    </w:lvl>
  </w:abstractNum>
  <w:abstractNum w:abstractNumId="11" w15:restartNumberingAfterBreak="0">
    <w:nsid w:val="795C104B"/>
    <w:multiLevelType w:val="singleLevel"/>
    <w:tmpl w:val="3FDE850A"/>
    <w:lvl w:ilvl="0">
      <w:start w:val="1"/>
      <w:numFmt w:val="bullet"/>
      <w:pStyle w:val="notebullet"/>
      <w:lvlText w:val=""/>
      <w:lvlJc w:val="left"/>
      <w:pPr>
        <w:tabs>
          <w:tab w:val="num" w:pos="2118"/>
        </w:tabs>
        <w:ind w:left="360" w:firstLine="1398"/>
      </w:pPr>
      <w:rPr>
        <w:rFonts w:ascii="Symbol" w:hAnsi="Symbol" w:cs="Symbol" w:hint="default"/>
      </w:rPr>
    </w:lvl>
  </w:abstractNum>
  <w:num w:numId="1">
    <w:abstractNumId w:val="9"/>
  </w:num>
  <w:num w:numId="2">
    <w:abstractNumId w:val="7"/>
  </w:num>
  <w:num w:numId="3">
    <w:abstractNumId w:val="6"/>
  </w:num>
  <w:num w:numId="4">
    <w:abstractNumId w:val="5"/>
  </w:num>
  <w:num w:numId="5">
    <w:abstractNumId w:val="4"/>
  </w:num>
  <w:num w:numId="6">
    <w:abstractNumId w:val="9"/>
  </w:num>
  <w:num w:numId="7">
    <w:abstractNumId w:val="7"/>
  </w:num>
  <w:num w:numId="8">
    <w:abstractNumId w:val="6"/>
  </w:num>
  <w:num w:numId="9">
    <w:abstractNumId w:val="5"/>
  </w:num>
  <w:num w:numId="10">
    <w:abstractNumId w:val="4"/>
  </w:num>
  <w:num w:numId="11">
    <w:abstractNumId w:val="9"/>
  </w:num>
  <w:num w:numId="12">
    <w:abstractNumId w:val="7"/>
  </w:num>
  <w:num w:numId="13">
    <w:abstractNumId w:val="6"/>
  </w:num>
  <w:num w:numId="14">
    <w:abstractNumId w:val="5"/>
  </w:num>
  <w:num w:numId="15">
    <w:abstractNumId w:val="4"/>
  </w:num>
  <w:num w:numId="16">
    <w:abstractNumId w:val="10"/>
  </w:num>
  <w:num w:numId="17">
    <w:abstractNumId w:val="8"/>
  </w:num>
  <w:num w:numId="18">
    <w:abstractNumId w:val="3"/>
  </w:num>
  <w:num w:numId="19">
    <w:abstractNumId w:val="2"/>
  </w:num>
  <w:num w:numId="20">
    <w:abstractNumId w:val="1"/>
  </w:num>
  <w:num w:numId="21">
    <w:abstractNumId w:val="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30"/>
  <w:removePersonalInformation/>
  <w:printFractionalCharacterWidth/>
  <w:embedTrueTypeFonts/>
  <w:saveSubsetFonts/>
  <w:defaultTabStop w:val="567"/>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921"/>
    <w:rsid w:val="001D73BE"/>
    <w:rsid w:val="003B1104"/>
    <w:rsid w:val="004176D7"/>
    <w:rsid w:val="007375B5"/>
    <w:rsid w:val="00745C84"/>
    <w:rsid w:val="007F030D"/>
    <w:rsid w:val="008E4D58"/>
    <w:rsid w:val="00975921"/>
    <w:rsid w:val="0099395C"/>
    <w:rsid w:val="00A218F4"/>
    <w:rsid w:val="00C40DAB"/>
    <w:rsid w:val="00F14F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995CB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autoSpaceDE w:val="0"/>
      <w:autoSpaceDN w:val="0"/>
      <w:spacing w:after="0" w:line="260" w:lineRule="atLeast"/>
    </w:pPr>
    <w:rPr>
      <w:rFonts w:ascii="Times" w:hAnsi="Times" w:cs="Times"/>
    </w:rPr>
  </w:style>
  <w:style w:type="paragraph" w:styleId="Heading1">
    <w:name w:val="heading 1"/>
    <w:aliases w:val="c"/>
    <w:basedOn w:val="Normal"/>
    <w:next w:val="Heading2"/>
    <w:link w:val="Heading1Char"/>
    <w:uiPriority w:val="99"/>
    <w:qFormat/>
    <w:pPr>
      <w:keepNext/>
      <w:keepLines/>
      <w:ind w:left="1134" w:hanging="1134"/>
      <w:outlineLvl w:val="0"/>
    </w:pPr>
    <w:rPr>
      <w:b/>
      <w:bCs/>
      <w:kern w:val="28"/>
      <w:sz w:val="36"/>
      <w:szCs w:val="36"/>
    </w:rPr>
  </w:style>
  <w:style w:type="paragraph" w:styleId="Heading2">
    <w:name w:val="heading 2"/>
    <w:aliases w:val="p"/>
    <w:basedOn w:val="Heading1"/>
    <w:next w:val="Heading3"/>
    <w:link w:val="Heading2Char"/>
    <w:uiPriority w:val="99"/>
    <w:qFormat/>
    <w:pPr>
      <w:spacing w:before="280"/>
      <w:outlineLvl w:val="1"/>
    </w:pPr>
    <w:rPr>
      <w:sz w:val="32"/>
      <w:szCs w:val="32"/>
    </w:rPr>
  </w:style>
  <w:style w:type="paragraph" w:styleId="Heading3">
    <w:name w:val="heading 3"/>
    <w:aliases w:val="d"/>
    <w:basedOn w:val="Heading1"/>
    <w:next w:val="Heading4"/>
    <w:link w:val="Heading3Char"/>
    <w:uiPriority w:val="99"/>
    <w:qFormat/>
    <w:pPr>
      <w:spacing w:before="240"/>
      <w:outlineLvl w:val="2"/>
    </w:pPr>
    <w:rPr>
      <w:sz w:val="28"/>
      <w:szCs w:val="28"/>
    </w:rPr>
  </w:style>
  <w:style w:type="paragraph" w:styleId="Heading4">
    <w:name w:val="heading 4"/>
    <w:aliases w:val="sd"/>
    <w:basedOn w:val="Heading1"/>
    <w:next w:val="Heading5"/>
    <w:link w:val="Heading4Char"/>
    <w:uiPriority w:val="99"/>
    <w:qFormat/>
    <w:pPr>
      <w:spacing w:before="220"/>
      <w:outlineLvl w:val="3"/>
    </w:pPr>
    <w:rPr>
      <w:sz w:val="26"/>
      <w:szCs w:val="26"/>
    </w:rPr>
  </w:style>
  <w:style w:type="paragraph" w:styleId="Heading5">
    <w:name w:val="heading 5"/>
    <w:aliases w:val="s"/>
    <w:basedOn w:val="Heading1"/>
    <w:next w:val="Subsection"/>
    <w:link w:val="Heading5Char"/>
    <w:uiPriority w:val="99"/>
    <w:qFormat/>
    <w:pPr>
      <w:spacing w:before="280"/>
      <w:outlineLvl w:val="4"/>
    </w:pPr>
    <w:rPr>
      <w:sz w:val="24"/>
      <w:szCs w:val="24"/>
    </w:rPr>
  </w:style>
  <w:style w:type="paragraph" w:styleId="Heading6">
    <w:name w:val="heading 6"/>
    <w:aliases w:val="as"/>
    <w:basedOn w:val="Heading1"/>
    <w:next w:val="Heading7"/>
    <w:link w:val="Heading6Char"/>
    <w:uiPriority w:val="99"/>
    <w:qFormat/>
    <w:pPr>
      <w:outlineLvl w:val="5"/>
    </w:pPr>
    <w:rPr>
      <w:rFonts w:ascii="Helvetica" w:hAnsi="Helvetica" w:cs="Helvetica"/>
      <w:sz w:val="32"/>
      <w:szCs w:val="32"/>
    </w:rPr>
  </w:style>
  <w:style w:type="paragraph" w:styleId="Heading7">
    <w:name w:val="heading 7"/>
    <w:aliases w:val="ap"/>
    <w:basedOn w:val="Heading6"/>
    <w:next w:val="ItemHead"/>
    <w:link w:val="Heading7Char"/>
    <w:uiPriority w:val="99"/>
    <w:qFormat/>
    <w:pPr>
      <w:spacing w:before="280"/>
      <w:outlineLvl w:val="6"/>
    </w:pPr>
    <w:rPr>
      <w:sz w:val="28"/>
      <w:szCs w:val="28"/>
    </w:rPr>
  </w:style>
  <w:style w:type="paragraph" w:styleId="Heading8">
    <w:name w:val="heading 8"/>
    <w:aliases w:val="ad"/>
    <w:basedOn w:val="Heading6"/>
    <w:next w:val="Normal"/>
    <w:link w:val="Heading8Char"/>
    <w:uiPriority w:val="99"/>
    <w:qFormat/>
    <w:pPr>
      <w:spacing w:before="240"/>
      <w:outlineLvl w:val="7"/>
    </w:pPr>
    <w:rPr>
      <w:sz w:val="26"/>
      <w:szCs w:val="26"/>
    </w:rPr>
  </w:style>
  <w:style w:type="paragraph" w:styleId="Heading9">
    <w:name w:val="heading 9"/>
    <w:aliases w:val="aat"/>
    <w:basedOn w:val="Heading1"/>
    <w:next w:val="ItemHead"/>
    <w:link w:val="Heading9Char"/>
    <w:uiPriority w:val="99"/>
    <w:qFormat/>
    <w:pPr>
      <w:keepNext w:val="0"/>
      <w:spacing w:before="280"/>
      <w:outlineLvl w:val="8"/>
    </w:pPr>
    <w:rPr>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aliases w:val="p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aliases w:val="d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aliases w:val="sd Char"/>
    <w:basedOn w:val="DefaultParagraphFont"/>
    <w:link w:val="Heading4"/>
    <w:uiPriority w:val="9"/>
    <w:semiHidden/>
    <w:rPr>
      <w:b/>
      <w:bCs/>
      <w:sz w:val="28"/>
      <w:szCs w:val="28"/>
    </w:rPr>
  </w:style>
  <w:style w:type="character" w:customStyle="1" w:styleId="Heading5Char">
    <w:name w:val="Heading 5 Char"/>
    <w:aliases w:val="s Char"/>
    <w:basedOn w:val="DefaultParagraphFont"/>
    <w:link w:val="Heading5"/>
    <w:uiPriority w:val="9"/>
    <w:semiHidden/>
    <w:rPr>
      <w:b/>
      <w:bCs/>
      <w:i/>
      <w:iCs/>
      <w:sz w:val="26"/>
      <w:szCs w:val="26"/>
    </w:rPr>
  </w:style>
  <w:style w:type="character" w:customStyle="1" w:styleId="Heading6Char">
    <w:name w:val="Heading 6 Char"/>
    <w:aliases w:val="as Char"/>
    <w:basedOn w:val="DefaultParagraphFont"/>
    <w:link w:val="Heading6"/>
    <w:uiPriority w:val="9"/>
    <w:semiHidden/>
    <w:rPr>
      <w:b/>
      <w:bCs/>
    </w:rPr>
  </w:style>
  <w:style w:type="character" w:customStyle="1" w:styleId="Heading7Char">
    <w:name w:val="Heading 7 Char"/>
    <w:aliases w:val="ap Char"/>
    <w:basedOn w:val="DefaultParagraphFont"/>
    <w:link w:val="Heading7"/>
    <w:uiPriority w:val="9"/>
    <w:semiHidden/>
    <w:rPr>
      <w:sz w:val="24"/>
      <w:szCs w:val="24"/>
    </w:rPr>
  </w:style>
  <w:style w:type="character" w:customStyle="1" w:styleId="Heading8Char">
    <w:name w:val="Heading 8 Char"/>
    <w:aliases w:val="ad Char"/>
    <w:basedOn w:val="DefaultParagraphFont"/>
    <w:link w:val="Heading8"/>
    <w:uiPriority w:val="9"/>
    <w:semiHidden/>
    <w:rPr>
      <w:i/>
      <w:iCs/>
      <w:sz w:val="24"/>
      <w:szCs w:val="24"/>
    </w:rPr>
  </w:style>
  <w:style w:type="character" w:customStyle="1" w:styleId="Heading9Char">
    <w:name w:val="Heading 9 Char"/>
    <w:aliases w:val="aat Char"/>
    <w:basedOn w:val="DefaultParagraphFont"/>
    <w:link w:val="Heading9"/>
    <w:uiPriority w:val="9"/>
    <w:semiHidden/>
    <w:rPr>
      <w:rFonts w:asciiTheme="majorHAnsi" w:eastAsiaTheme="majorEastAsia" w:hAnsiTheme="majorHAnsi" w:cstheme="majorBidi"/>
    </w:rPr>
  </w:style>
  <w:style w:type="paragraph" w:customStyle="1" w:styleId="Subsection">
    <w:name w:val="Subsection"/>
    <w:aliases w:val="ss"/>
    <w:basedOn w:val="Normal"/>
    <w:uiPriority w:val="99"/>
    <w:pPr>
      <w:tabs>
        <w:tab w:val="right" w:pos="1021"/>
      </w:tabs>
      <w:spacing w:before="180"/>
      <w:ind w:left="1134" w:hanging="1134"/>
    </w:pPr>
  </w:style>
  <w:style w:type="paragraph" w:customStyle="1" w:styleId="ItemHead">
    <w:name w:val="ItemHead"/>
    <w:aliases w:val="ih"/>
    <w:basedOn w:val="Heading1"/>
    <w:next w:val="Item"/>
    <w:uiPriority w:val="99"/>
    <w:pPr>
      <w:keepNext w:val="0"/>
      <w:spacing w:before="220"/>
      <w:ind w:left="709" w:hanging="709"/>
      <w:outlineLvl w:val="9"/>
    </w:pPr>
    <w:rPr>
      <w:rFonts w:ascii="Helvetica" w:hAnsi="Helvetica" w:cs="Helvetica"/>
      <w:sz w:val="24"/>
      <w:szCs w:val="24"/>
    </w:rPr>
  </w:style>
  <w:style w:type="paragraph" w:customStyle="1" w:styleId="Item">
    <w:name w:val="Item"/>
    <w:aliases w:val="i"/>
    <w:basedOn w:val="Subsection"/>
    <w:next w:val="ItemHead"/>
    <w:uiPriority w:val="99"/>
    <w:pPr>
      <w:keepLines/>
      <w:tabs>
        <w:tab w:val="clear" w:pos="1021"/>
      </w:tabs>
      <w:spacing w:before="80"/>
      <w:ind w:left="709" w:firstLine="0"/>
    </w:pPr>
  </w:style>
  <w:style w:type="paragraph" w:customStyle="1" w:styleId="BoxHeadBold">
    <w:name w:val="BoxHeadBold"/>
    <w:aliases w:val="bhb"/>
    <w:basedOn w:val="BoxText"/>
    <w:next w:val="BoxText"/>
    <w:uiPriority w:val="99"/>
    <w:rPr>
      <w:b/>
      <w:bCs/>
    </w:rPr>
  </w:style>
  <w:style w:type="paragraph" w:customStyle="1" w:styleId="BoxText">
    <w:name w:val="BoxText"/>
    <w:aliases w:val="bt"/>
    <w:basedOn w:val="Normal"/>
    <w:uiPriority w:val="99"/>
    <w:pPr>
      <w:pBdr>
        <w:top w:val="single" w:sz="6" w:space="5" w:color="auto"/>
        <w:left w:val="single" w:sz="6" w:space="5" w:color="auto"/>
        <w:bottom w:val="single" w:sz="6" w:space="5" w:color="auto"/>
        <w:right w:val="single" w:sz="6" w:space="5" w:color="auto"/>
      </w:pBdr>
      <w:spacing w:before="240"/>
      <w:ind w:left="1134"/>
    </w:pPr>
  </w:style>
  <w:style w:type="paragraph" w:customStyle="1" w:styleId="BoxHeadItalic">
    <w:name w:val="BoxHeadItalic"/>
    <w:aliases w:val="bhi"/>
    <w:basedOn w:val="BoxHeadBold"/>
    <w:next w:val="BoxText"/>
    <w:uiPriority w:val="99"/>
    <w:rPr>
      <w:b w:val="0"/>
      <w:bCs w:val="0"/>
      <w:i/>
      <w:iCs/>
    </w:rPr>
  </w:style>
  <w:style w:type="paragraph" w:customStyle="1" w:styleId="BoxList">
    <w:name w:val="BoxList"/>
    <w:aliases w:val="bl"/>
    <w:basedOn w:val="BoxText"/>
    <w:uiPriority w:val="99"/>
    <w:pPr>
      <w:ind w:left="1559" w:hanging="425"/>
    </w:pPr>
  </w:style>
  <w:style w:type="paragraph" w:customStyle="1" w:styleId="BoxPara">
    <w:name w:val="BoxPara"/>
    <w:aliases w:val="bp"/>
    <w:basedOn w:val="BoxText"/>
    <w:uiPriority w:val="99"/>
    <w:pPr>
      <w:tabs>
        <w:tab w:val="right" w:pos="2268"/>
      </w:tabs>
      <w:ind w:left="2552" w:hanging="1418"/>
    </w:pPr>
  </w:style>
  <w:style w:type="paragraph" w:customStyle="1" w:styleId="BoxStep">
    <w:name w:val="BoxStep"/>
    <w:aliases w:val="bs"/>
    <w:basedOn w:val="BoxText"/>
    <w:uiPriority w:val="99"/>
    <w:pPr>
      <w:ind w:left="1985" w:hanging="851"/>
    </w:pPr>
  </w:style>
  <w:style w:type="character" w:customStyle="1" w:styleId="CharAmSchNo">
    <w:name w:val="CharAmSchNo"/>
    <w:basedOn w:val="DefaultParagraphFont"/>
    <w:uiPriority w:val="99"/>
  </w:style>
  <w:style w:type="character" w:customStyle="1" w:styleId="CharAmSchText">
    <w:name w:val="CharAmSchText"/>
    <w:basedOn w:val="DefaultParagraphFont"/>
    <w:uiPriority w:val="99"/>
  </w:style>
  <w:style w:type="character" w:customStyle="1" w:styleId="CharChapNo">
    <w:name w:val="CharChapNo"/>
    <w:basedOn w:val="DefaultParagraphFont"/>
    <w:uiPriority w:val="99"/>
  </w:style>
  <w:style w:type="character" w:customStyle="1" w:styleId="CharChapText">
    <w:name w:val="CharChapText"/>
    <w:basedOn w:val="DefaultParagraphFont"/>
    <w:uiPriority w:val="99"/>
  </w:style>
  <w:style w:type="character" w:customStyle="1" w:styleId="CharDivNo">
    <w:name w:val="CharDivNo"/>
    <w:basedOn w:val="DefaultParagraphFont"/>
    <w:uiPriority w:val="99"/>
  </w:style>
  <w:style w:type="character" w:customStyle="1" w:styleId="CharDivText">
    <w:name w:val="CharDivText"/>
    <w:basedOn w:val="DefaultParagraphFont"/>
    <w:uiPriority w:val="99"/>
  </w:style>
  <w:style w:type="character" w:customStyle="1" w:styleId="CharPartNo">
    <w:name w:val="CharPartNo"/>
    <w:basedOn w:val="DefaultParagraphFont"/>
    <w:uiPriority w:val="99"/>
  </w:style>
  <w:style w:type="character" w:customStyle="1" w:styleId="CharPartText">
    <w:name w:val="CharPartText"/>
    <w:basedOn w:val="DefaultParagraphFont"/>
    <w:uiPriority w:val="99"/>
  </w:style>
  <w:style w:type="character" w:customStyle="1" w:styleId="CharSectno">
    <w:name w:val="CharSectno"/>
    <w:basedOn w:val="DefaultParagraphFont"/>
    <w:uiPriority w:val="99"/>
  </w:style>
  <w:style w:type="paragraph" w:customStyle="1" w:styleId="Definition">
    <w:name w:val="Definition"/>
    <w:aliases w:val="dd"/>
    <w:basedOn w:val="Subsection"/>
    <w:uiPriority w:val="99"/>
    <w:pPr>
      <w:tabs>
        <w:tab w:val="clear" w:pos="1021"/>
      </w:tabs>
      <w:ind w:firstLine="0"/>
    </w:pPr>
  </w:style>
  <w:style w:type="paragraph" w:styleId="Footer">
    <w:name w:val="footer"/>
    <w:basedOn w:val="Normal"/>
    <w:link w:val="FooterChar"/>
    <w:uiPriority w:val="99"/>
    <w:pPr>
      <w:tabs>
        <w:tab w:val="center" w:pos="4150"/>
        <w:tab w:val="right" w:pos="8307"/>
      </w:tabs>
    </w:pPr>
  </w:style>
  <w:style w:type="character" w:customStyle="1" w:styleId="FooterChar">
    <w:name w:val="Footer Char"/>
    <w:basedOn w:val="DefaultParagraphFont"/>
    <w:link w:val="Footer"/>
    <w:uiPriority w:val="99"/>
    <w:semiHidden/>
    <w:rPr>
      <w:rFonts w:ascii="Times" w:hAnsi="Times" w:cs="Times"/>
    </w:rPr>
  </w:style>
  <w:style w:type="paragraph" w:styleId="Header">
    <w:name w:val="header"/>
    <w:basedOn w:val="Normal"/>
    <w:link w:val="HeaderChar"/>
    <w:uiPriority w:val="99"/>
    <w:pPr>
      <w:keepNext/>
      <w:keepLines/>
      <w:spacing w:line="160" w:lineRule="exact"/>
    </w:pPr>
    <w:rPr>
      <w:sz w:val="16"/>
      <w:szCs w:val="16"/>
    </w:rPr>
  </w:style>
  <w:style w:type="character" w:customStyle="1" w:styleId="HeaderChar">
    <w:name w:val="Header Char"/>
    <w:basedOn w:val="DefaultParagraphFont"/>
    <w:link w:val="Header"/>
    <w:uiPriority w:val="99"/>
    <w:semiHidden/>
    <w:rPr>
      <w:rFonts w:ascii="Times" w:hAnsi="Times" w:cs="Times"/>
    </w:rPr>
  </w:style>
  <w:style w:type="paragraph" w:customStyle="1" w:styleId="indenta">
    <w:name w:val="indent(a)"/>
    <w:aliases w:val="a"/>
    <w:basedOn w:val="Normal"/>
    <w:uiPriority w:val="99"/>
    <w:pPr>
      <w:tabs>
        <w:tab w:val="right" w:pos="1531"/>
      </w:tabs>
      <w:spacing w:before="40"/>
      <w:ind w:left="1644" w:hanging="1644"/>
    </w:pPr>
  </w:style>
  <w:style w:type="paragraph" w:customStyle="1" w:styleId="indentA0">
    <w:name w:val="indent(A)"/>
    <w:aliases w:val="aaa"/>
    <w:basedOn w:val="indenta"/>
    <w:uiPriority w:val="99"/>
    <w:pPr>
      <w:tabs>
        <w:tab w:val="clear" w:pos="1531"/>
        <w:tab w:val="right" w:pos="2722"/>
      </w:tabs>
      <w:ind w:left="2835" w:hanging="2835"/>
    </w:pPr>
  </w:style>
  <w:style w:type="paragraph" w:customStyle="1" w:styleId="indentii">
    <w:name w:val="indent(ii)"/>
    <w:aliases w:val="aa"/>
    <w:basedOn w:val="indenta"/>
    <w:uiPriority w:val="99"/>
    <w:pPr>
      <w:tabs>
        <w:tab w:val="clear" w:pos="1531"/>
        <w:tab w:val="right" w:pos="1985"/>
      </w:tabs>
      <w:ind w:left="2098" w:hanging="2098"/>
    </w:pPr>
  </w:style>
  <w:style w:type="character" w:styleId="LineNumber">
    <w:name w:val="line number"/>
    <w:basedOn w:val="DefaultParagraphFont"/>
    <w:uiPriority w:val="99"/>
    <w:rPr>
      <w:rFonts w:ascii="Times" w:hAnsi="Times" w:cs="Times"/>
      <w:sz w:val="16"/>
      <w:szCs w:val="16"/>
    </w:rPr>
  </w:style>
  <w:style w:type="paragraph" w:customStyle="1" w:styleId="LongT">
    <w:name w:val="LongT"/>
    <w:basedOn w:val="Normal"/>
    <w:uiPriority w:val="99"/>
    <w:rPr>
      <w:b/>
      <w:bCs/>
      <w:sz w:val="32"/>
      <w:szCs w:val="32"/>
    </w:rPr>
  </w:style>
  <w:style w:type="paragraph" w:customStyle="1" w:styleId="notemargin">
    <w:name w:val="note(margin)"/>
    <w:aliases w:val="nm"/>
    <w:basedOn w:val="notetext"/>
    <w:uiPriority w:val="99"/>
    <w:pPr>
      <w:tabs>
        <w:tab w:val="left" w:pos="709"/>
      </w:tabs>
      <w:ind w:left="709" w:hanging="709"/>
    </w:pPr>
  </w:style>
  <w:style w:type="paragraph" w:customStyle="1" w:styleId="notetext">
    <w:name w:val="note(text)"/>
    <w:aliases w:val="n"/>
    <w:basedOn w:val="Normal"/>
    <w:uiPriority w:val="99"/>
    <w:pPr>
      <w:spacing w:before="122" w:line="198" w:lineRule="exact"/>
      <w:ind w:left="1985" w:hanging="851"/>
    </w:pPr>
    <w:rPr>
      <w:sz w:val="18"/>
      <w:szCs w:val="18"/>
    </w:rPr>
  </w:style>
  <w:style w:type="paragraph" w:customStyle="1" w:styleId="notepara">
    <w:name w:val="note(para)"/>
    <w:aliases w:val="na"/>
    <w:basedOn w:val="notetext"/>
    <w:uiPriority w:val="99"/>
    <w:pPr>
      <w:ind w:left="2353" w:hanging="709"/>
    </w:pPr>
  </w:style>
  <w:style w:type="character" w:styleId="PageNumber">
    <w:name w:val="page number"/>
    <w:basedOn w:val="DefaultParagraphFont"/>
    <w:uiPriority w:val="99"/>
  </w:style>
  <w:style w:type="paragraph" w:customStyle="1" w:styleId="parabullet">
    <w:name w:val="para bullet"/>
    <w:aliases w:val="b"/>
    <w:basedOn w:val="Normal"/>
    <w:uiPriority w:val="99"/>
    <w:pPr>
      <w:spacing w:before="240"/>
      <w:ind w:left="1843" w:hanging="284"/>
    </w:pPr>
  </w:style>
  <w:style w:type="paragraph" w:customStyle="1" w:styleId="Penalty">
    <w:name w:val="Penalty"/>
    <w:basedOn w:val="Normal"/>
    <w:uiPriority w:val="99"/>
    <w:pPr>
      <w:tabs>
        <w:tab w:val="left" w:pos="2977"/>
      </w:tabs>
      <w:spacing w:before="180"/>
      <w:ind w:left="1985" w:hanging="851"/>
    </w:pPr>
  </w:style>
  <w:style w:type="paragraph" w:customStyle="1" w:styleId="ShortT">
    <w:name w:val="ShortT"/>
    <w:basedOn w:val="Normal"/>
    <w:next w:val="Normal"/>
    <w:uiPriority w:val="99"/>
    <w:pPr>
      <w:spacing w:before="360"/>
    </w:pPr>
    <w:rPr>
      <w:b/>
      <w:bCs/>
      <w:sz w:val="40"/>
      <w:szCs w:val="40"/>
    </w:rPr>
  </w:style>
  <w:style w:type="paragraph" w:customStyle="1" w:styleId="Subitem">
    <w:name w:val="Subitem"/>
    <w:aliases w:val="iss"/>
    <w:basedOn w:val="Normal"/>
    <w:uiPriority w:val="99"/>
    <w:pPr>
      <w:spacing w:before="180"/>
      <w:ind w:left="709" w:hanging="709"/>
    </w:pPr>
  </w:style>
  <w:style w:type="paragraph" w:customStyle="1" w:styleId="subsection2">
    <w:name w:val="subsection2"/>
    <w:aliases w:val="ss2"/>
    <w:basedOn w:val="Subsection"/>
    <w:next w:val="Subsection"/>
    <w:uiPriority w:val="99"/>
    <w:pPr>
      <w:tabs>
        <w:tab w:val="clear" w:pos="1021"/>
      </w:tabs>
      <w:spacing w:before="40"/>
      <w:ind w:firstLine="0"/>
    </w:pPr>
  </w:style>
  <w:style w:type="paragraph" w:customStyle="1" w:styleId="SubsectionHead">
    <w:name w:val="SubsectionHead"/>
    <w:aliases w:val="ssh"/>
    <w:basedOn w:val="Subsection"/>
    <w:next w:val="Subsection"/>
    <w:uiPriority w:val="99"/>
    <w:pPr>
      <w:keepNext/>
      <w:keepLines/>
      <w:tabs>
        <w:tab w:val="clear" w:pos="1021"/>
      </w:tabs>
      <w:spacing w:before="240"/>
      <w:ind w:firstLine="0"/>
    </w:pPr>
    <w:rPr>
      <w:i/>
      <w:iCs/>
    </w:rPr>
  </w:style>
  <w:style w:type="paragraph" w:styleId="TOC1">
    <w:name w:val="toc 1"/>
    <w:basedOn w:val="Heading1"/>
    <w:next w:val="Normal"/>
    <w:autoRedefine/>
    <w:uiPriority w:val="99"/>
    <w:pPr>
      <w:tabs>
        <w:tab w:val="right" w:pos="7088"/>
      </w:tabs>
      <w:spacing w:before="120" w:line="240" w:lineRule="auto"/>
      <w:ind w:left="1474" w:right="567" w:hanging="1474"/>
      <w:outlineLvl w:val="9"/>
    </w:pPr>
    <w:rPr>
      <w:sz w:val="28"/>
      <w:szCs w:val="28"/>
    </w:rPr>
  </w:style>
  <w:style w:type="paragraph" w:styleId="TOC2">
    <w:name w:val="toc 2"/>
    <w:basedOn w:val="Heading2"/>
    <w:next w:val="Normal"/>
    <w:autoRedefine/>
    <w:uiPriority w:val="99"/>
    <w:pPr>
      <w:tabs>
        <w:tab w:val="right" w:pos="7088"/>
      </w:tabs>
      <w:spacing w:before="120" w:line="240" w:lineRule="auto"/>
      <w:ind w:left="879" w:right="567" w:hanging="879"/>
      <w:outlineLvl w:val="9"/>
    </w:pPr>
    <w:rPr>
      <w:sz w:val="24"/>
      <w:szCs w:val="24"/>
    </w:rPr>
  </w:style>
  <w:style w:type="paragraph" w:styleId="TOC3">
    <w:name w:val="toc 3"/>
    <w:basedOn w:val="Heading3"/>
    <w:next w:val="Normal"/>
    <w:autoRedefine/>
    <w:uiPriority w:val="99"/>
    <w:pPr>
      <w:tabs>
        <w:tab w:val="right" w:pos="7088"/>
      </w:tabs>
      <w:spacing w:before="80" w:line="240" w:lineRule="auto"/>
      <w:ind w:left="1604" w:right="567" w:hanging="1179"/>
      <w:outlineLvl w:val="9"/>
    </w:pPr>
    <w:rPr>
      <w:sz w:val="22"/>
      <w:szCs w:val="22"/>
    </w:rPr>
  </w:style>
  <w:style w:type="paragraph" w:styleId="TOC4">
    <w:name w:val="toc 4"/>
    <w:basedOn w:val="Heading4"/>
    <w:next w:val="Normal"/>
    <w:autoRedefine/>
    <w:uiPriority w:val="99"/>
    <w:pPr>
      <w:tabs>
        <w:tab w:val="right" w:pos="7088"/>
      </w:tabs>
      <w:spacing w:before="80" w:line="240" w:lineRule="auto"/>
      <w:ind w:left="2183" w:right="567" w:hanging="1332"/>
      <w:outlineLvl w:val="9"/>
    </w:pPr>
    <w:rPr>
      <w:sz w:val="20"/>
      <w:szCs w:val="20"/>
    </w:rPr>
  </w:style>
  <w:style w:type="paragraph" w:styleId="TOC5">
    <w:name w:val="toc 5"/>
    <w:basedOn w:val="Heading5"/>
    <w:next w:val="Normal"/>
    <w:autoRedefine/>
    <w:uiPriority w:val="99"/>
    <w:pPr>
      <w:keepNext w:val="0"/>
      <w:tabs>
        <w:tab w:val="right" w:leader="dot" w:pos="7088"/>
      </w:tabs>
      <w:spacing w:before="40" w:line="240" w:lineRule="auto"/>
      <w:ind w:left="2098" w:right="567" w:hanging="680"/>
      <w:outlineLvl w:val="9"/>
    </w:pPr>
    <w:rPr>
      <w:b w:val="0"/>
      <w:bCs w:val="0"/>
      <w:sz w:val="18"/>
      <w:szCs w:val="18"/>
    </w:rPr>
  </w:style>
  <w:style w:type="paragraph" w:styleId="TOC6">
    <w:name w:val="toc 6"/>
    <w:basedOn w:val="TOC1"/>
    <w:next w:val="Normal"/>
    <w:autoRedefine/>
    <w:uiPriority w:val="99"/>
    <w:pPr>
      <w:keepNext w:val="0"/>
      <w:ind w:left="1344" w:hanging="1344"/>
    </w:pPr>
    <w:rPr>
      <w:sz w:val="24"/>
      <w:szCs w:val="24"/>
    </w:rPr>
  </w:style>
  <w:style w:type="paragraph" w:styleId="TOC7">
    <w:name w:val="toc 7"/>
    <w:basedOn w:val="TOC2"/>
    <w:next w:val="Normal"/>
    <w:autoRedefine/>
    <w:uiPriority w:val="99"/>
    <w:pPr>
      <w:keepNext w:val="0"/>
      <w:ind w:left="1253" w:hanging="828"/>
    </w:pPr>
    <w:rPr>
      <w:b w:val="0"/>
      <w:bCs w:val="0"/>
    </w:rPr>
  </w:style>
  <w:style w:type="paragraph" w:styleId="TOC8">
    <w:name w:val="toc 8"/>
    <w:basedOn w:val="TOC3"/>
    <w:next w:val="Normal"/>
    <w:autoRedefine/>
    <w:uiPriority w:val="99"/>
    <w:pPr>
      <w:keepNext w:val="0"/>
      <w:ind w:left="1900" w:hanging="1049"/>
    </w:pPr>
    <w:rPr>
      <w:b w:val="0"/>
      <w:bCs w:val="0"/>
      <w:sz w:val="20"/>
      <w:szCs w:val="20"/>
    </w:rPr>
  </w:style>
  <w:style w:type="paragraph" w:styleId="TOC9">
    <w:name w:val="toc 9"/>
    <w:basedOn w:val="Heading9"/>
    <w:next w:val="Normal"/>
    <w:autoRedefine/>
    <w:uiPriority w:val="99"/>
    <w:pPr>
      <w:tabs>
        <w:tab w:val="right" w:pos="7088"/>
      </w:tabs>
      <w:spacing w:before="80" w:line="240" w:lineRule="auto"/>
      <w:ind w:left="851" w:right="567" w:firstLine="0"/>
      <w:outlineLvl w:val="9"/>
    </w:pPr>
    <w:rPr>
      <w:b w:val="0"/>
      <w:bCs w:val="0"/>
      <w:sz w:val="20"/>
      <w:szCs w:val="20"/>
    </w:rPr>
  </w:style>
  <w:style w:type="paragraph" w:styleId="BodyText2">
    <w:name w:val="Body Text 2"/>
    <w:basedOn w:val="Normal"/>
    <w:link w:val="BodyText2Char"/>
    <w:uiPriority w:val="99"/>
    <w:pPr>
      <w:spacing w:after="120"/>
      <w:ind w:left="283"/>
    </w:pPr>
  </w:style>
  <w:style w:type="character" w:customStyle="1" w:styleId="BodyText2Char">
    <w:name w:val="Body Text 2 Char"/>
    <w:basedOn w:val="DefaultParagraphFont"/>
    <w:link w:val="BodyText2"/>
    <w:uiPriority w:val="99"/>
    <w:semiHidden/>
    <w:rPr>
      <w:rFonts w:ascii="Times" w:hAnsi="Times" w:cs="Times"/>
    </w:rPr>
  </w:style>
  <w:style w:type="paragraph" w:styleId="EndnoteText">
    <w:name w:val="endnote text"/>
    <w:basedOn w:val="Normal"/>
    <w:link w:val="EndnoteTextChar"/>
    <w:uiPriority w:val="99"/>
    <w:rPr>
      <w:sz w:val="20"/>
      <w:szCs w:val="20"/>
    </w:rPr>
  </w:style>
  <w:style w:type="character" w:customStyle="1" w:styleId="EndnoteTextChar">
    <w:name w:val="Endnote Text Char"/>
    <w:basedOn w:val="DefaultParagraphFont"/>
    <w:link w:val="EndnoteText"/>
    <w:uiPriority w:val="99"/>
    <w:semiHidden/>
    <w:rPr>
      <w:rFonts w:ascii="Times" w:hAnsi="Times" w:cs="Times"/>
      <w:sz w:val="20"/>
      <w:szCs w:val="20"/>
    </w:rPr>
  </w:style>
  <w:style w:type="character" w:styleId="EndnoteReference">
    <w:name w:val="endnote reference"/>
    <w:basedOn w:val="DefaultParagraphFont"/>
    <w:uiPriority w:val="99"/>
    <w:rPr>
      <w:rFonts w:ascii="Palatino" w:hAnsi="Palatino" w:cs="Palatino"/>
      <w:smallCaps/>
      <w:vertAlign w:val="superscript"/>
    </w:rPr>
  </w:style>
  <w:style w:type="paragraph" w:customStyle="1" w:styleId="EndNote">
    <w:name w:val="EndNote"/>
    <w:basedOn w:val="Normal"/>
    <w:uiPriority w:val="99"/>
    <w:pPr>
      <w:spacing w:before="180"/>
    </w:pPr>
  </w:style>
  <w:style w:type="paragraph" w:customStyle="1" w:styleId="TableOfActs1">
    <w:name w:val="TableOfActs(1)"/>
    <w:basedOn w:val="Normal"/>
    <w:uiPriority w:val="99"/>
    <w:pPr>
      <w:spacing w:before="60" w:line="180" w:lineRule="exact"/>
      <w:ind w:left="142" w:hanging="142"/>
    </w:pPr>
    <w:rPr>
      <w:rFonts w:ascii="Helvetica" w:hAnsi="Helvetica" w:cs="Helvetica"/>
      <w:i/>
      <w:iCs/>
      <w:sz w:val="16"/>
      <w:szCs w:val="16"/>
    </w:rPr>
  </w:style>
  <w:style w:type="paragraph" w:customStyle="1" w:styleId="TableOfActs2">
    <w:name w:val="TableOfActs(2)"/>
    <w:basedOn w:val="TableOfActs1"/>
    <w:uiPriority w:val="99"/>
    <w:pPr>
      <w:ind w:left="0" w:firstLine="0"/>
    </w:pPr>
    <w:rPr>
      <w:i w:val="0"/>
      <w:iCs w:val="0"/>
    </w:rPr>
  </w:style>
  <w:style w:type="paragraph" w:customStyle="1" w:styleId="asamended">
    <w:name w:val="as amended"/>
    <w:basedOn w:val="Normal"/>
    <w:uiPriority w:val="99"/>
    <w:pPr>
      <w:keepNext/>
      <w:spacing w:before="60" w:line="200" w:lineRule="exact"/>
      <w:ind w:left="284"/>
    </w:pPr>
    <w:rPr>
      <w:rFonts w:ascii="Helvetica" w:hAnsi="Helvetica" w:cs="Helvetica"/>
      <w:b/>
      <w:bCs/>
      <w:sz w:val="16"/>
      <w:szCs w:val="16"/>
    </w:rPr>
  </w:style>
  <w:style w:type="paragraph" w:customStyle="1" w:styleId="asamendedital">
    <w:name w:val="as amended ital"/>
    <w:basedOn w:val="Normal"/>
    <w:uiPriority w:val="99"/>
    <w:pPr>
      <w:spacing w:before="60" w:line="200" w:lineRule="exact"/>
      <w:ind w:left="284"/>
    </w:pPr>
    <w:rPr>
      <w:rFonts w:ascii="Helvetica" w:hAnsi="Helvetica" w:cs="Helvetica"/>
      <w:i/>
      <w:iCs/>
      <w:sz w:val="16"/>
      <w:szCs w:val="16"/>
    </w:rPr>
  </w:style>
  <w:style w:type="paragraph" w:customStyle="1" w:styleId="TableOfAmend">
    <w:name w:val="TableOfAmend"/>
    <w:basedOn w:val="Normal"/>
    <w:next w:val="Normal"/>
    <w:uiPriority w:val="99"/>
    <w:pPr>
      <w:tabs>
        <w:tab w:val="right" w:leader="dot" w:pos="2268"/>
      </w:tabs>
      <w:spacing w:before="60" w:line="180" w:lineRule="exact"/>
      <w:ind w:left="170" w:right="-113" w:hanging="170"/>
    </w:pPr>
    <w:rPr>
      <w:rFonts w:ascii="Helvetica" w:hAnsi="Helvetica" w:cs="Helvetica"/>
      <w:sz w:val="16"/>
      <w:szCs w:val="16"/>
    </w:rPr>
  </w:style>
  <w:style w:type="paragraph" w:customStyle="1" w:styleId="TOAmRenumbered">
    <w:name w:val="TOAmRenumbered"/>
    <w:basedOn w:val="TableOfAmend"/>
    <w:uiPriority w:val="99"/>
    <w:pPr>
      <w:ind w:left="0" w:firstLine="0"/>
    </w:pPr>
  </w:style>
  <w:style w:type="paragraph" w:customStyle="1" w:styleId="ActNotes1">
    <w:name w:val="ActNotes(1)"/>
    <w:basedOn w:val="Normal"/>
    <w:uiPriority w:val="99"/>
    <w:pPr>
      <w:tabs>
        <w:tab w:val="right" w:pos="992"/>
      </w:tabs>
      <w:spacing w:before="60" w:line="240" w:lineRule="auto"/>
      <w:ind w:left="1134" w:hanging="1134"/>
    </w:pPr>
    <w:rPr>
      <w:rFonts w:ascii="Helvetica" w:hAnsi="Helvetica" w:cs="Helvetica"/>
      <w:sz w:val="16"/>
      <w:szCs w:val="16"/>
    </w:rPr>
  </w:style>
  <w:style w:type="paragraph" w:customStyle="1" w:styleId="ActNotes1a">
    <w:name w:val="ActNotes(1)(a)"/>
    <w:basedOn w:val="Normal"/>
    <w:uiPriority w:val="99"/>
    <w:pPr>
      <w:tabs>
        <w:tab w:val="right" w:pos="1559"/>
      </w:tabs>
      <w:spacing w:before="60" w:line="180" w:lineRule="exact"/>
      <w:ind w:left="1701" w:hanging="1701"/>
    </w:pPr>
    <w:rPr>
      <w:rFonts w:ascii="Helvetica" w:hAnsi="Helvetica" w:cs="Helvetica"/>
      <w:sz w:val="16"/>
      <w:szCs w:val="16"/>
    </w:rPr>
  </w:style>
  <w:style w:type="paragraph" w:customStyle="1" w:styleId="ActNotesa">
    <w:name w:val="ActNotes(a)"/>
    <w:basedOn w:val="Normal"/>
    <w:uiPriority w:val="99"/>
    <w:pPr>
      <w:spacing w:before="60" w:line="180" w:lineRule="exact"/>
      <w:ind w:left="425" w:hanging="425"/>
    </w:pPr>
    <w:rPr>
      <w:rFonts w:ascii="Helvetica" w:hAnsi="Helvetica" w:cs="Helvetica"/>
      <w:sz w:val="16"/>
      <w:szCs w:val="16"/>
    </w:rPr>
  </w:style>
  <w:style w:type="paragraph" w:styleId="Caption">
    <w:name w:val="caption"/>
    <w:basedOn w:val="Normal"/>
    <w:next w:val="Normal"/>
    <w:uiPriority w:val="99"/>
    <w:qFormat/>
    <w:pPr>
      <w:spacing w:before="120" w:after="120" w:line="240" w:lineRule="atLeast"/>
    </w:pPr>
    <w:rPr>
      <w:b/>
      <w:bCs/>
    </w:rPr>
  </w:style>
  <w:style w:type="paragraph" w:customStyle="1" w:styleId="PageBreak">
    <w:name w:val="PageBreak"/>
    <w:aliases w:val="pb"/>
    <w:basedOn w:val="Normal"/>
    <w:next w:val="Heading2"/>
    <w:uiPriority w:val="99"/>
    <w:pPr>
      <w:spacing w:line="240" w:lineRule="auto"/>
    </w:pPr>
    <w:rPr>
      <w:sz w:val="2"/>
      <w:szCs w:val="2"/>
    </w:rPr>
  </w:style>
  <w:style w:type="paragraph" w:customStyle="1" w:styleId="SubitemHead">
    <w:name w:val="SubitemHead"/>
    <w:aliases w:val="issh"/>
    <w:basedOn w:val="Normal"/>
    <w:next w:val="Subitem"/>
    <w:uiPriority w:val="99"/>
    <w:pPr>
      <w:keepNext/>
      <w:keepLines/>
      <w:spacing w:before="220"/>
      <w:ind w:left="709"/>
    </w:pPr>
    <w:rPr>
      <w:rFonts w:ascii="Helvetica" w:hAnsi="Helvetica" w:cs="Helvetica"/>
      <w:i/>
      <w:iCs/>
      <w:kern w:val="28"/>
    </w:rPr>
  </w:style>
  <w:style w:type="paragraph" w:customStyle="1" w:styleId="BoxNote">
    <w:name w:val="BoxNote"/>
    <w:aliases w:val="bn"/>
    <w:basedOn w:val="BoxText"/>
    <w:uiPriority w:val="99"/>
    <w:pPr>
      <w:tabs>
        <w:tab w:val="left" w:pos="1985"/>
      </w:tabs>
      <w:spacing w:before="122" w:line="198" w:lineRule="exact"/>
      <w:ind w:left="2948" w:hanging="1814"/>
    </w:pPr>
    <w:rPr>
      <w:sz w:val="18"/>
      <w:szCs w:val="18"/>
    </w:rPr>
  </w:style>
  <w:style w:type="paragraph" w:customStyle="1" w:styleId="notebullet">
    <w:name w:val="note(bullet)"/>
    <w:basedOn w:val="Normal"/>
    <w:uiPriority w:val="99"/>
    <w:pPr>
      <w:numPr>
        <w:numId w:val="22"/>
      </w:numPr>
      <w:tabs>
        <w:tab w:val="left" w:pos="2268"/>
      </w:tabs>
    </w:pPr>
    <w:rPr>
      <w:sz w:val="18"/>
      <w:szCs w:val="18"/>
    </w:rPr>
  </w:style>
  <w:style w:type="paragraph" w:customStyle="1" w:styleId="Contents">
    <w:name w:val="Contents"/>
    <w:basedOn w:val="Normal"/>
    <w:next w:val="Normal"/>
    <w:uiPriority w:val="99"/>
    <w:pPr>
      <w:spacing w:line="240" w:lineRule="auto"/>
    </w:pPr>
    <w:rPr>
      <w:sz w:val="36"/>
      <w:szCs w:val="36"/>
    </w:rPr>
  </w:style>
  <w:style w:type="paragraph" w:customStyle="1" w:styleId="NotesSection">
    <w:name w:val="NotesSection"/>
    <w:basedOn w:val="Normal"/>
    <w:uiPriority w:val="99"/>
    <w:pPr>
      <w:spacing w:before="240"/>
    </w:pPr>
    <w:rPr>
      <w:rFonts w:ascii="Helvetica" w:hAnsi="Helvetica" w:cs="Helvetica"/>
      <w:b/>
      <w:bCs/>
      <w:sz w:val="28"/>
      <w:szCs w:val="28"/>
    </w:rPr>
  </w:style>
  <w:style w:type="character" w:customStyle="1" w:styleId="superscriptstyle">
    <w:name w:val="superscriptstyle"/>
    <w:basedOn w:val="DefaultParagraphFont"/>
    <w:uiPriority w:val="99"/>
    <w:rPr>
      <w:rFonts w:ascii="Times" w:hAnsi="Times" w:cs="Times"/>
      <w:sz w:val="18"/>
      <w:szCs w:val="18"/>
      <w:vertAlign w:val="baseline"/>
    </w:rPr>
  </w:style>
  <w:style w:type="paragraph" w:customStyle="1" w:styleId="TableOfAmendHead">
    <w:name w:val="TableOfAmendHead"/>
    <w:basedOn w:val="Normal"/>
    <w:uiPriority w:val="99"/>
    <w:pPr>
      <w:tabs>
        <w:tab w:val="right" w:pos="1021"/>
      </w:tabs>
      <w:spacing w:before="240" w:after="240"/>
      <w:ind w:left="1134" w:hanging="1134"/>
    </w:pPr>
    <w:rPr>
      <w:rFonts w:ascii="Helvetica" w:hAnsi="Helvetica" w:cs="Helvetica"/>
      <w:b/>
      <w:bCs/>
      <w:sz w:val="24"/>
      <w:szCs w:val="24"/>
    </w:rPr>
  </w:style>
  <w:style w:type="paragraph" w:customStyle="1" w:styleId="TableOfActsHead">
    <w:name w:val="TableOfActsHead"/>
    <w:basedOn w:val="Normal"/>
    <w:uiPriority w:val="99"/>
    <w:pPr>
      <w:spacing w:before="240" w:after="240"/>
    </w:pPr>
    <w:rPr>
      <w:rFonts w:ascii="Helvetica" w:hAnsi="Helvetica" w:cs="Helvetica"/>
      <w:b/>
      <w:bCs/>
      <w:sz w:val="24"/>
      <w:szCs w:val="24"/>
    </w:rPr>
  </w:style>
  <w:style w:type="paragraph" w:customStyle="1" w:styleId="UpdateDate">
    <w:name w:val="UpdateDate"/>
    <w:basedOn w:val="Normal"/>
    <w:uiPriority w:val="99"/>
    <w:pPr>
      <w:spacing w:before="240"/>
    </w:pPr>
    <w:rPr>
      <w:sz w:val="24"/>
      <w:szCs w:val="24"/>
    </w:rPr>
  </w:style>
  <w:style w:type="paragraph" w:customStyle="1" w:styleId="ReprintDate">
    <w:name w:val="ReprintDate"/>
    <w:basedOn w:val="Normal"/>
    <w:uiPriority w:val="99"/>
    <w:pPr>
      <w:spacing w:before="240"/>
    </w:pPr>
    <w:rPr>
      <w:b/>
      <w:bCs/>
      <w:sz w:val="28"/>
      <w:szCs w:val="28"/>
    </w:rPr>
  </w:style>
  <w:style w:type="paragraph" w:customStyle="1" w:styleId="TableA">
    <w:name w:val="TableA"/>
    <w:basedOn w:val="Normal"/>
    <w:uiPriority w:val="99"/>
    <w:pPr>
      <w:spacing w:before="120" w:after="120"/>
    </w:pPr>
    <w:rPr>
      <w:rFonts w:ascii="Helvetica" w:hAnsi="Helvetica" w:cs="Helvetica"/>
      <w:b/>
      <w:bCs/>
      <w:sz w:val="24"/>
      <w:szCs w:val="24"/>
    </w:rPr>
  </w:style>
  <w:style w:type="paragraph" w:customStyle="1" w:styleId="TableAHead">
    <w:name w:val="TableAHead"/>
    <w:basedOn w:val="TableA"/>
    <w:uiPriority w:val="99"/>
    <w:rPr>
      <w:sz w:val="22"/>
      <w:szCs w:val="22"/>
    </w:rPr>
  </w:style>
  <w:style w:type="paragraph" w:customStyle="1" w:styleId="TableAHeadItal">
    <w:name w:val="TableAHeadItal"/>
    <w:basedOn w:val="TableAHead"/>
    <w:uiPriority w:val="99"/>
    <w:pPr>
      <w:ind w:left="1134" w:hanging="1134"/>
    </w:pPr>
    <w:rPr>
      <w:rFonts w:ascii="Times" w:hAnsi="Times" w:cs="Times"/>
      <w:b w:val="0"/>
      <w:bCs w:val="0"/>
      <w:i/>
      <w:iCs/>
    </w:rPr>
  </w:style>
  <w:style w:type="paragraph" w:customStyle="1" w:styleId="Formula">
    <w:name w:val="Formula"/>
    <w:basedOn w:val="Normal"/>
    <w:uiPriority w:val="99"/>
    <w:pPr>
      <w:ind w:left="1134"/>
    </w:pPr>
    <w:rPr>
      <w:sz w:val="20"/>
      <w:szCs w:val="20"/>
    </w:rPr>
  </w:style>
  <w:style w:type="paragraph" w:styleId="PlainText">
    <w:name w:val="Plain Text"/>
    <w:basedOn w:val="Normal"/>
    <w:link w:val="PlainTextChar"/>
    <w:uiPriority w:val="99"/>
    <w:rPr>
      <w:rFonts w:ascii="Courier New" w:hAnsi="Courier New" w:cs="Courier New"/>
    </w:rPr>
  </w:style>
  <w:style w:type="character" w:customStyle="1" w:styleId="PlainTextChar">
    <w:name w:val="Plain Text Char"/>
    <w:basedOn w:val="DefaultParagraphFont"/>
    <w:link w:val="PlainText"/>
    <w:uiPriority w:val="99"/>
    <w:semiHidden/>
    <w:rPr>
      <w:rFonts w:ascii="Courier New" w:hAnsi="Courier New" w:cs="Courier New"/>
      <w:sz w:val="20"/>
      <w:szCs w:val="20"/>
    </w:rPr>
  </w:style>
  <w:style w:type="paragraph" w:customStyle="1" w:styleId="Actno">
    <w:name w:val="Actno"/>
    <w:basedOn w:val="UpdateDate"/>
    <w:next w:val="Normal"/>
    <w:uiPriority w:val="99"/>
    <w:rPr>
      <w:b/>
      <w:bCs/>
    </w:rPr>
  </w:style>
  <w:style w:type="character" w:customStyle="1" w:styleId="CharAmPartNo">
    <w:name w:val="CharAmPartNo"/>
    <w:basedOn w:val="DefaultParagraphFont"/>
    <w:uiPriority w:val="99"/>
  </w:style>
  <w:style w:type="character" w:customStyle="1" w:styleId="CharAmPartText">
    <w:name w:val="CharAmPartText"/>
    <w:basedOn w:val="DefaultParagraphFont"/>
    <w:uiPriority w:val="99"/>
  </w:style>
  <w:style w:type="character" w:customStyle="1" w:styleId="CharSubdNo">
    <w:name w:val="CharSubdNo"/>
    <w:basedOn w:val="DefaultParagraphFont"/>
    <w:uiPriority w:val="99"/>
  </w:style>
  <w:style w:type="character" w:customStyle="1" w:styleId="CharSubdText">
    <w:name w:val="CharSubdText"/>
    <w:basedOn w:val="DefaultParagraphFont"/>
    <w:uiPriority w:val="99"/>
  </w:style>
  <w:style w:type="paragraph" w:styleId="ListBullet">
    <w:name w:val="List Bullet"/>
    <w:basedOn w:val="Normal"/>
    <w:autoRedefine/>
    <w:uiPriority w:val="99"/>
    <w:pPr>
      <w:numPr>
        <w:numId w:val="6"/>
      </w:numPr>
      <w:tabs>
        <w:tab w:val="clear" w:pos="360"/>
      </w:tabs>
      <w:ind w:left="284" w:hanging="284"/>
    </w:pPr>
  </w:style>
  <w:style w:type="paragraph" w:styleId="ListBullet2">
    <w:name w:val="List Bullet 2"/>
    <w:basedOn w:val="Normal"/>
    <w:autoRedefine/>
    <w:uiPriority w:val="99"/>
    <w:pPr>
      <w:numPr>
        <w:numId w:val="7"/>
      </w:numPr>
    </w:pPr>
  </w:style>
  <w:style w:type="paragraph" w:styleId="ListBullet3">
    <w:name w:val="List Bullet 3"/>
    <w:basedOn w:val="Normal"/>
    <w:autoRedefine/>
    <w:uiPriority w:val="99"/>
    <w:pPr>
      <w:numPr>
        <w:numId w:val="8"/>
      </w:numPr>
    </w:pPr>
  </w:style>
  <w:style w:type="paragraph" w:styleId="ListBullet4">
    <w:name w:val="List Bullet 4"/>
    <w:basedOn w:val="Normal"/>
    <w:autoRedefine/>
    <w:uiPriority w:val="99"/>
    <w:pPr>
      <w:numPr>
        <w:numId w:val="9"/>
      </w:numPr>
    </w:pPr>
  </w:style>
  <w:style w:type="paragraph" w:styleId="ListBullet5">
    <w:name w:val="List Bullet 5"/>
    <w:basedOn w:val="Normal"/>
    <w:autoRedefine/>
    <w:uiPriority w:val="99"/>
    <w:pPr>
      <w:numPr>
        <w:numId w:val="10"/>
      </w:numPr>
    </w:pPr>
  </w:style>
  <w:style w:type="paragraph" w:customStyle="1" w:styleId="notedraft">
    <w:name w:val="note(draft)"/>
    <w:aliases w:val="nd"/>
    <w:basedOn w:val="Normal"/>
    <w:uiPriority w:val="99"/>
    <w:pPr>
      <w:spacing w:before="240"/>
      <w:ind w:left="284" w:hanging="284"/>
    </w:pPr>
    <w:rPr>
      <w:i/>
      <w:iCs/>
      <w:sz w:val="24"/>
      <w:szCs w:val="24"/>
    </w:rPr>
  </w:style>
  <w:style w:type="paragraph" w:customStyle="1" w:styleId="Page1">
    <w:name w:val="Page1"/>
    <w:basedOn w:val="Normal"/>
    <w:uiPriority w:val="99"/>
    <w:pPr>
      <w:spacing w:before="5600" w:line="240" w:lineRule="auto"/>
    </w:pPr>
    <w:rPr>
      <w:b/>
      <w:bCs/>
      <w:sz w:val="32"/>
      <w:szCs w:val="32"/>
    </w:rPr>
  </w:style>
  <w:style w:type="paragraph" w:customStyle="1" w:styleId="ParlAmend">
    <w:name w:val="ParlAmend"/>
    <w:aliases w:val="pp"/>
    <w:basedOn w:val="Normal"/>
    <w:uiPriority w:val="99"/>
    <w:pPr>
      <w:spacing w:before="240" w:line="240" w:lineRule="atLeast"/>
      <w:ind w:hanging="567"/>
    </w:pPr>
    <w:rPr>
      <w:sz w:val="24"/>
      <w:szCs w:val="24"/>
    </w:rPr>
  </w:style>
  <w:style w:type="paragraph" w:customStyle="1" w:styleId="Preamble">
    <w:name w:val="Preamble"/>
    <w:basedOn w:val="Heading5"/>
    <w:next w:val="Normal"/>
    <w:uiPriority w:val="99"/>
    <w:pPr>
      <w:tabs>
        <w:tab w:val="center" w:pos="4513"/>
      </w:tabs>
      <w:spacing w:line="240" w:lineRule="auto"/>
      <w:outlineLvl w:val="9"/>
    </w:pPr>
    <w:rPr>
      <w:sz w:val="28"/>
      <w:szCs w:val="28"/>
    </w:rPr>
  </w:style>
  <w:style w:type="paragraph" w:styleId="Subtitle">
    <w:name w:val="Subtitle"/>
    <w:basedOn w:val="Normal"/>
    <w:link w:val="SubtitleChar"/>
    <w:uiPriority w:val="99"/>
    <w:qFormat/>
    <w:pPr>
      <w:spacing w:after="60"/>
      <w:jc w:val="center"/>
    </w:pPr>
    <w:rPr>
      <w:rFonts w:ascii="Arial" w:hAnsi="Arial" w:cs="Arial"/>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sz w:val="24"/>
      <w:szCs w:val="24"/>
    </w:rPr>
  </w:style>
  <w:style w:type="paragraph" w:styleId="TableofAuthorities">
    <w:name w:val="table of authorities"/>
    <w:basedOn w:val="Normal"/>
    <w:next w:val="Normal"/>
    <w:uiPriority w:val="99"/>
    <w:pPr>
      <w:ind w:left="220" w:hanging="220"/>
    </w:pPr>
  </w:style>
  <w:style w:type="paragraph" w:customStyle="1" w:styleId="Tablea0">
    <w:name w:val="Table(a)"/>
    <w:aliases w:val="ta"/>
    <w:basedOn w:val="Normal"/>
    <w:uiPriority w:val="99"/>
    <w:pPr>
      <w:spacing w:line="240" w:lineRule="auto"/>
      <w:ind w:left="284" w:hanging="284"/>
    </w:pPr>
    <w:rPr>
      <w:sz w:val="20"/>
      <w:szCs w:val="20"/>
    </w:rPr>
  </w:style>
  <w:style w:type="paragraph" w:customStyle="1" w:styleId="Tablei">
    <w:name w:val="Table(i)"/>
    <w:aliases w:val="taa"/>
    <w:basedOn w:val="Normal"/>
    <w:uiPriority w:val="99"/>
    <w:pPr>
      <w:tabs>
        <w:tab w:val="left" w:pos="-6543"/>
        <w:tab w:val="left" w:pos="-6260"/>
        <w:tab w:val="right" w:pos="970"/>
      </w:tabs>
      <w:spacing w:line="240" w:lineRule="exact"/>
      <w:ind w:left="828" w:hanging="284"/>
    </w:pPr>
    <w:rPr>
      <w:sz w:val="20"/>
      <w:szCs w:val="20"/>
    </w:rPr>
  </w:style>
  <w:style w:type="paragraph" w:customStyle="1" w:styleId="Table">
    <w:name w:val="Table"/>
    <w:aliases w:val="t"/>
    <w:basedOn w:val="Normal"/>
    <w:uiPriority w:val="99"/>
    <w:pPr>
      <w:spacing w:before="60" w:line="240" w:lineRule="atLeast"/>
    </w:pPr>
    <w:rPr>
      <w:sz w:val="20"/>
      <w:szCs w:val="20"/>
    </w:rPr>
  </w:style>
  <w:style w:type="paragraph" w:styleId="Title">
    <w:name w:val="Title"/>
    <w:basedOn w:val="Normal"/>
    <w:link w:val="TitleChar"/>
    <w:uiPriority w:val="99"/>
    <w:qFormat/>
    <w:pPr>
      <w:spacing w:before="240" w:after="60"/>
      <w:jc w:val="center"/>
    </w:pPr>
    <w:rPr>
      <w:rFonts w:ascii="Arial" w:hAnsi="Arial" w:cs="Arial"/>
      <w:b/>
      <w:bCs/>
      <w:kern w:val="28"/>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rPr>
  </w:style>
  <w:style w:type="paragraph" w:customStyle="1" w:styleId="TLPBoxTextnote">
    <w:name w:val="TLPBoxText(note"/>
    <w:aliases w:val="right)"/>
    <w:basedOn w:val="Normal"/>
    <w:uiPriority w:val="9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18"/>
    </w:rPr>
  </w:style>
  <w:style w:type="paragraph" w:customStyle="1" w:styleId="TLPLink">
    <w:name w:val="TLPLink"/>
    <w:basedOn w:val="Heading9"/>
    <w:uiPriority w:val="99"/>
    <w:pPr>
      <w:keepLines w:val="0"/>
      <w:spacing w:before="360" w:line="240" w:lineRule="auto"/>
      <w:ind w:firstLine="0"/>
      <w:outlineLvl w:val="9"/>
    </w:pPr>
    <w:rPr>
      <w:b w:val="0"/>
      <w:bCs w:val="0"/>
      <w:kern w:val="0"/>
      <w:sz w:val="20"/>
      <w:szCs w:val="20"/>
    </w:rPr>
  </w:style>
  <w:style w:type="paragraph" w:customStyle="1" w:styleId="TLPNotebullet">
    <w:name w:val="TLPNote(bullet)"/>
    <w:basedOn w:val="Normal"/>
    <w:uiPriority w:val="99"/>
    <w:pPr>
      <w:numPr>
        <w:numId w:val="16"/>
      </w:numPr>
      <w:tabs>
        <w:tab w:val="clear" w:pos="360"/>
      </w:tabs>
      <w:spacing w:before="122" w:line="198" w:lineRule="exact"/>
      <w:ind w:left="2552" w:hanging="284"/>
    </w:pPr>
    <w:rPr>
      <w:sz w:val="18"/>
      <w:szCs w:val="18"/>
    </w:rPr>
  </w:style>
  <w:style w:type="paragraph" w:customStyle="1" w:styleId="TLPnoteright">
    <w:name w:val="TLPnote(right)"/>
    <w:aliases w:val="nr"/>
    <w:basedOn w:val="Normal"/>
    <w:uiPriority w:val="99"/>
    <w:pPr>
      <w:spacing w:before="122" w:line="198" w:lineRule="exact"/>
      <w:ind w:left="1985" w:hanging="851"/>
      <w:jc w:val="right"/>
    </w:pPr>
    <w:rPr>
      <w:sz w:val="18"/>
      <w:szCs w:val="18"/>
    </w:rPr>
  </w:style>
  <w:style w:type="paragraph" w:customStyle="1" w:styleId="TLPTableBullet">
    <w:name w:val="TLPTableBullet"/>
    <w:aliases w:val="ttb"/>
    <w:basedOn w:val="Normal"/>
    <w:uiPriority w:val="99"/>
    <w:pPr>
      <w:spacing w:line="240" w:lineRule="exact"/>
      <w:ind w:left="284" w:hanging="284"/>
    </w:pPr>
    <w:rPr>
      <w:sz w:val="20"/>
      <w:szCs w:val="20"/>
    </w:rPr>
  </w:style>
  <w:style w:type="paragraph" w:customStyle="1" w:styleId="TofSectsGroupHeading">
    <w:name w:val="TofSects(GroupHeading)"/>
    <w:basedOn w:val="TOC4"/>
    <w:next w:val="TofSectsSection"/>
    <w:uiPriority w:val="99"/>
    <w:pPr>
      <w:tabs>
        <w:tab w:val="clear" w:pos="7088"/>
      </w:tabs>
      <w:spacing w:before="240" w:after="120"/>
      <w:ind w:left="794" w:right="0" w:firstLine="0"/>
    </w:pPr>
  </w:style>
  <w:style w:type="paragraph" w:customStyle="1" w:styleId="TofSectsSection">
    <w:name w:val="TofSects(Section)"/>
    <w:basedOn w:val="TOC5"/>
    <w:uiPriority w:val="99"/>
    <w:pPr>
      <w:tabs>
        <w:tab w:val="clear" w:pos="7088"/>
      </w:tabs>
      <w:ind w:left="1588" w:right="0" w:hanging="794"/>
    </w:pPr>
  </w:style>
  <w:style w:type="paragraph" w:customStyle="1" w:styleId="TofSectsHeading">
    <w:name w:val="TofSects(Heading)"/>
    <w:basedOn w:val="TOC5"/>
    <w:next w:val="TofSectsSection"/>
    <w:uiPriority w:val="99"/>
    <w:pPr>
      <w:keepLines w:val="0"/>
      <w:tabs>
        <w:tab w:val="clear" w:pos="7088"/>
      </w:tabs>
      <w:spacing w:before="240" w:after="120"/>
      <w:ind w:left="0" w:right="0" w:firstLine="0"/>
    </w:pPr>
    <w:rPr>
      <w:b/>
      <w:bCs/>
      <w:kern w:val="0"/>
      <w:sz w:val="24"/>
      <w:szCs w:val="24"/>
    </w:rPr>
  </w:style>
  <w:style w:type="paragraph" w:customStyle="1" w:styleId="TofSectsSubdiv">
    <w:name w:val="TofSects(Subdiv)"/>
    <w:basedOn w:val="TOC4"/>
    <w:uiPriority w:val="99"/>
    <w:pPr>
      <w:tabs>
        <w:tab w:val="clear" w:pos="7088"/>
      </w:tabs>
      <w:ind w:left="1588" w:right="0" w:hanging="794"/>
    </w:pPr>
    <w:rPr>
      <w:b w:val="0"/>
      <w:bCs w:val="0"/>
      <w:sz w:val="22"/>
      <w:szCs w:val="22"/>
    </w:rPr>
  </w:style>
  <w:style w:type="paragraph" w:styleId="DocumentMap">
    <w:name w:val="Document Map"/>
    <w:basedOn w:val="Normal"/>
    <w:link w:val="DocumentMapChar"/>
    <w:uiPriority w:val="99"/>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customStyle="1" w:styleId="noteParlAmend">
    <w:name w:val="note(ParlAmend)"/>
    <w:aliases w:val="npp"/>
    <w:basedOn w:val="Normal"/>
    <w:next w:val="ParlAmend"/>
    <w:uiPriority w:val="99"/>
    <w:pPr>
      <w:jc w:val="right"/>
    </w:pPr>
    <w:rPr>
      <w:rFonts w:ascii="Helvetica" w:hAnsi="Helvetica" w:cs="Helvetica"/>
      <w:b/>
      <w:bCs/>
      <w:i/>
      <w:iCs/>
    </w:rPr>
  </w:style>
  <w:style w:type="paragraph" w:customStyle="1" w:styleId="TableAA">
    <w:name w:val="Table(AA)"/>
    <w:aliases w:val="taaa"/>
    <w:basedOn w:val="Tablei"/>
    <w:uiPriority w:val="99"/>
    <w:pPr>
      <w:tabs>
        <w:tab w:val="clear" w:pos="970"/>
      </w:tabs>
      <w:ind w:left="1055"/>
    </w:pPr>
  </w:style>
  <w:style w:type="character" w:customStyle="1" w:styleId="CharNotesItals">
    <w:name w:val="CharNotesItals"/>
    <w:basedOn w:val="DefaultParagraphFont"/>
    <w:uiPriority w:val="99"/>
    <w:rPr>
      <w:i/>
      <w:iCs/>
    </w:rPr>
  </w:style>
  <w:style w:type="character" w:customStyle="1" w:styleId="CharNotesReg">
    <w:name w:val="CharNotesReg"/>
    <w:basedOn w:val="DefaultParagraphFont"/>
    <w:uiPriority w:val="99"/>
  </w:style>
  <w:style w:type="paragraph" w:customStyle="1" w:styleId="CoverActNo">
    <w:name w:val="CoverActNo"/>
    <w:basedOn w:val="UpdateDate"/>
    <w:uiPriority w:val="99"/>
    <w:rPr>
      <w:b/>
      <w:bCs/>
    </w:rPr>
  </w:style>
  <w:style w:type="paragraph" w:customStyle="1" w:styleId="ENoteNo">
    <w:name w:val="ENoteNo"/>
    <w:basedOn w:val="Normal"/>
    <w:uiPriority w:val="99"/>
    <w:pPr>
      <w:spacing w:before="120" w:after="120"/>
      <w:ind w:left="1134" w:hanging="1134"/>
    </w:pPr>
    <w:rPr>
      <w:rFonts w:ascii="Helvetica" w:hAnsi="Helvetica" w:cs="Helvetica"/>
      <w:b/>
      <w:bCs/>
      <w:sz w:val="24"/>
      <w:szCs w:val="24"/>
    </w:rPr>
  </w:style>
  <w:style w:type="paragraph" w:customStyle="1" w:styleId="TableOfAmendOpt">
    <w:name w:val="TableOfAmendOpt"/>
    <w:basedOn w:val="TableOfAmend"/>
    <w:uiPriority w:val="99"/>
    <w:pPr>
      <w:spacing w:before="0"/>
    </w:pPr>
  </w:style>
  <w:style w:type="paragraph" w:customStyle="1" w:styleId="AmendTableColHead">
    <w:name w:val="AmendTableColHead"/>
    <w:basedOn w:val="TableOfAmend"/>
    <w:uiPriority w:val="99"/>
    <w:pPr>
      <w:spacing w:line="200" w:lineRule="exact"/>
    </w:pPr>
    <w:rPr>
      <w:sz w:val="18"/>
      <w:szCs w:val="18"/>
    </w:rPr>
  </w:style>
  <w:style w:type="paragraph" w:customStyle="1" w:styleId="Mathtype">
    <w:name w:val="Mathtype"/>
    <w:basedOn w:val="Normal"/>
    <w:uiPriority w:val="99"/>
  </w:style>
  <w:style w:type="paragraph" w:customStyle="1" w:styleId="ActNotes1ai">
    <w:name w:val="ActNotes(1)(a)(i)"/>
    <w:basedOn w:val="Normal"/>
    <w:uiPriority w:val="99"/>
    <w:pPr>
      <w:tabs>
        <w:tab w:val="right" w:pos="1843"/>
      </w:tabs>
      <w:spacing w:line="180" w:lineRule="atLeast"/>
      <w:ind w:left="1985" w:hanging="1985"/>
    </w:pPr>
    <w:rPr>
      <w:rFonts w:ascii="Helvetica" w:hAnsi="Helvetica" w:cs="Helvetica"/>
      <w:sz w:val="16"/>
      <w:szCs w:val="16"/>
    </w:rPr>
  </w:style>
  <w:style w:type="paragraph" w:customStyle="1" w:styleId="headerpartodd">
    <w:name w:val="header.part.odd"/>
    <w:basedOn w:val="Normal"/>
    <w:uiPriority w:val="99"/>
    <w:pPr>
      <w:keepNext/>
    </w:pPr>
    <w:rPr>
      <w:sz w:val="20"/>
      <w:szCs w:val="20"/>
    </w:rPr>
  </w:style>
  <w:style w:type="paragraph" w:customStyle="1" w:styleId="headerpart">
    <w:name w:val="header.part"/>
    <w:basedOn w:val="Normal"/>
    <w:uiPriority w:val="99"/>
    <w:pPr>
      <w:keepNext/>
    </w:pPr>
    <w:rPr>
      <w:b/>
      <w:bCs/>
      <w:sz w:val="20"/>
      <w:szCs w:val="20"/>
    </w:rPr>
  </w:style>
  <w:style w:type="paragraph" w:customStyle="1" w:styleId="New5">
    <w:name w:val="New5"/>
    <w:basedOn w:val="Normal"/>
    <w:uiPriority w:val="99"/>
    <w:pPr>
      <w:keepNext/>
      <w:keepLines/>
      <w:spacing w:before="280"/>
      <w:ind w:left="1134" w:hanging="1134"/>
      <w:outlineLvl w:val="4"/>
    </w:pPr>
    <w:rPr>
      <w:b/>
      <w:bCs/>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header" Target="header15.xml"/><Relationship Id="rId3" Type="http://schemas.openxmlformats.org/officeDocument/2006/relationships/settings" Target="settings.xml"/><Relationship Id="rId21" Type="http://schemas.openxmlformats.org/officeDocument/2006/relationships/header" Target="header11.xm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header" Target="header14.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header" Target="header10.xml"/><Relationship Id="rId29" Type="http://schemas.openxmlformats.org/officeDocument/2006/relationships/header" Target="header1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13.xml"/><Relationship Id="rId32" Type="http://schemas.openxmlformats.org/officeDocument/2006/relationships/header" Target="header21.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footer" Target="footer4.xml"/><Relationship Id="rId28" Type="http://schemas.openxmlformats.org/officeDocument/2006/relationships/header" Target="header17.xml"/><Relationship Id="rId10" Type="http://schemas.openxmlformats.org/officeDocument/2006/relationships/footer" Target="footer1.xml"/><Relationship Id="rId19" Type="http://schemas.openxmlformats.org/officeDocument/2006/relationships/header" Target="header9.xml"/><Relationship Id="rId31" Type="http://schemas.openxmlformats.org/officeDocument/2006/relationships/header" Target="header20.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2.xml"/><Relationship Id="rId27" Type="http://schemas.openxmlformats.org/officeDocument/2006/relationships/header" Target="header16.xml"/><Relationship Id="rId30" Type="http://schemas.openxmlformats.org/officeDocument/2006/relationships/header" Target="header1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3753</Words>
  <Characters>18722</Characters>
  <Application>Microsoft Office Word</Application>
  <DocSecurity>0</DocSecurity>
  <PresentationFormat/>
  <Lines>567</Lines>
  <Paragraphs>351</Paragraphs>
  <ScaleCrop>false</ScaleCrop>
  <HeadingPairs>
    <vt:vector size="2" baseType="variant">
      <vt:variant>
        <vt:lpstr>Title</vt:lpstr>
      </vt:variant>
      <vt:variant>
        <vt:i4>1</vt:i4>
      </vt:variant>
    </vt:vector>
  </HeadingPairs>
  <TitlesOfParts>
    <vt:vector size="1" baseType="lpstr">
      <vt:lpstr>Jervis Bay Territory Acceptance Act 1915</vt:lpstr>
    </vt:vector>
  </TitlesOfParts>
  <Manager/>
  <Company/>
  <LinksUpToDate>false</LinksUpToDate>
  <CharactersWithSpaces>22124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Jervis Bay Territory Acceptance Act 1915</dc:title>
  <dc:subject/>
  <dc:creator/>
  <cp:keywords/>
  <dc:description/>
  <cp:lastModifiedBy/>
  <cp:revision>1</cp:revision>
  <cp:lastPrinted>2001-10-22T04:26:00Z</cp:lastPrinted>
  <dcterms:created xsi:type="dcterms:W3CDTF">2023-09-21T02:01:00Z</dcterms:created>
  <dcterms:modified xsi:type="dcterms:W3CDTF">2023-09-21T02:24:00Z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d">
    <vt:bool>false</vt:bool>
  </property>
  <property fmtid="{D5CDD505-2E9C-101B-9397-08002B2CF9AE}" pid="3" name="Classification">
    <vt:lpwstr>OFFICIAL</vt:lpwstr>
  </property>
  <property fmtid="{D5CDD505-2E9C-101B-9397-08002B2CF9AE}" pid="4" name="DLM">
    <vt:lpwstr> </vt:lpwstr>
  </property>
  <property fmtid="{D5CDD505-2E9C-101B-9397-08002B2CF9AE}" pid="5" name="ShortT">
    <vt:lpwstr>Jervis Bay Territory Acceptance Act 1915</vt:lpwstr>
  </property>
  <property fmtid="{D5CDD505-2E9C-101B-9397-08002B2CF9AE}" pid="6" name="Actno">
    <vt:lpwstr>Act No. 19 of 1915 as amended</vt:lpwstr>
  </property>
  <property fmtid="{D5CDD505-2E9C-101B-9397-08002B2CF9AE}" pid="7" name="Compilation">
    <vt:lpwstr>Yes</vt:lpwstr>
  </property>
</Properties>
</file>