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50" w:rsidRPr="0043332B" w:rsidRDefault="00A07450" w:rsidP="007C23CF">
      <w:pPr>
        <w:pStyle w:val="Style2"/>
        <w:spacing w:before="500"/>
        <w:jc w:val="center"/>
        <w:rPr>
          <w:rStyle w:val="FontStyle15"/>
          <w:rFonts w:ascii="Times New Roman" w:hAnsi="Times New Roman" w:cs="Times New Roman"/>
          <w:sz w:val="36"/>
        </w:rPr>
      </w:pPr>
      <w:r w:rsidRPr="0043332B">
        <w:rPr>
          <w:rStyle w:val="FontStyle15"/>
          <w:rFonts w:ascii="Times New Roman" w:hAnsi="Times New Roman" w:cs="Times New Roman"/>
          <w:sz w:val="36"/>
        </w:rPr>
        <w:t>ESTATE</w:t>
      </w:r>
      <w:bookmarkStart w:id="0" w:name="_GoBack"/>
      <w:bookmarkEnd w:id="0"/>
      <w:r w:rsidRPr="0043332B">
        <w:rPr>
          <w:rStyle w:val="FontStyle15"/>
          <w:rFonts w:ascii="Times New Roman" w:hAnsi="Times New Roman" w:cs="Times New Roman"/>
          <w:sz w:val="36"/>
        </w:rPr>
        <w:t xml:space="preserve"> DUTY.</w:t>
      </w:r>
    </w:p>
    <w:p w:rsidR="0043332B" w:rsidRPr="007C23CF" w:rsidRDefault="0043332B" w:rsidP="007C23CF">
      <w:pPr>
        <w:pBdr>
          <w:top w:val="single" w:sz="2" w:space="1" w:color="auto"/>
        </w:pBdr>
        <w:spacing w:before="240" w:after="120"/>
        <w:ind w:left="4176" w:right="4176"/>
        <w:jc w:val="center"/>
        <w:rPr>
          <w:rFonts w:ascii="Times New Roman" w:hAnsi="Times New Roman"/>
          <w:b/>
          <w:sz w:val="10"/>
        </w:rPr>
      </w:pPr>
    </w:p>
    <w:p w:rsidR="00A11E9B" w:rsidRPr="0043332B" w:rsidRDefault="00A11E9B" w:rsidP="0043332B">
      <w:pPr>
        <w:pStyle w:val="Style3"/>
        <w:spacing w:after="120"/>
        <w:jc w:val="center"/>
        <w:rPr>
          <w:rStyle w:val="FontStyle16"/>
          <w:rFonts w:ascii="Times New Roman" w:hAnsi="Times New Roman" w:cs="Times New Roman"/>
          <w:sz w:val="28"/>
        </w:rPr>
      </w:pPr>
      <w:r w:rsidRPr="0043332B">
        <w:rPr>
          <w:rStyle w:val="FontStyle16"/>
          <w:rFonts w:ascii="Times New Roman" w:hAnsi="Times New Roman" w:cs="Times New Roman"/>
          <w:sz w:val="28"/>
        </w:rPr>
        <w:t>No. 25 of 1914.</w:t>
      </w:r>
    </w:p>
    <w:p w:rsidR="00A07450" w:rsidRPr="00AD7A7C" w:rsidRDefault="00B2515B" w:rsidP="007C23CF">
      <w:pPr>
        <w:pStyle w:val="Style4"/>
        <w:spacing w:after="120"/>
        <w:jc w:val="center"/>
        <w:rPr>
          <w:rStyle w:val="FontStyle17"/>
          <w:rFonts w:ascii="Times New Roman" w:hAnsi="Times New Roman" w:cs="Times New Roman"/>
          <w:sz w:val="26"/>
        </w:rPr>
      </w:pPr>
      <w:r>
        <w:rPr>
          <w:rStyle w:val="FontStyle17"/>
          <w:rFonts w:ascii="Times New Roman" w:hAnsi="Times New Roman" w:cs="Times New Roman"/>
          <w:sz w:val="26"/>
        </w:rPr>
        <w:t xml:space="preserve">An </w:t>
      </w:r>
      <w:r w:rsidR="00A07450" w:rsidRPr="00AD7A7C">
        <w:rPr>
          <w:rStyle w:val="FontStyle17"/>
          <w:rFonts w:ascii="Times New Roman" w:hAnsi="Times New Roman" w:cs="Times New Roman"/>
          <w:sz w:val="26"/>
        </w:rPr>
        <w:t>Act to impose Duties upon the Estates of Deceased Persons.</w:t>
      </w:r>
    </w:p>
    <w:p w:rsidR="00A07450" w:rsidRPr="00AD7A7C" w:rsidRDefault="00A07450" w:rsidP="007C23CF">
      <w:pPr>
        <w:pStyle w:val="Style5"/>
        <w:spacing w:after="120"/>
        <w:jc w:val="right"/>
        <w:rPr>
          <w:rStyle w:val="FontStyle17"/>
          <w:rFonts w:ascii="Times New Roman" w:hAnsi="Times New Roman" w:cs="Times New Roman"/>
          <w:sz w:val="26"/>
        </w:rPr>
      </w:pPr>
      <w:r w:rsidRPr="00AD7A7C">
        <w:rPr>
          <w:rStyle w:val="FontStyle17"/>
          <w:rFonts w:ascii="Times New Roman" w:hAnsi="Times New Roman" w:cs="Times New Roman"/>
          <w:sz w:val="26"/>
        </w:rPr>
        <w:t>[Assented to 21st December, 1914.</w:t>
      </w:r>
      <w:r w:rsidR="007C23CF">
        <w:rPr>
          <w:rStyle w:val="FontStyle17"/>
          <w:rFonts w:ascii="Times New Roman" w:hAnsi="Times New Roman" w:cs="Times New Roman"/>
          <w:sz w:val="26"/>
        </w:rPr>
        <w:t>]</w:t>
      </w:r>
    </w:p>
    <w:p w:rsidR="00A07450" w:rsidRPr="00E33F43" w:rsidRDefault="00A07450" w:rsidP="007C23CF">
      <w:pPr>
        <w:pStyle w:val="Style6"/>
        <w:jc w:val="both"/>
        <w:rPr>
          <w:rStyle w:val="FontStyle21"/>
          <w:rFonts w:ascii="Times New Roman" w:hAnsi="Times New Roman" w:cs="Times New Roman"/>
          <w:sz w:val="22"/>
          <w:szCs w:val="22"/>
        </w:rPr>
      </w:pPr>
      <w:r w:rsidRPr="00E33F43">
        <w:rPr>
          <w:rStyle w:val="FontStyle18"/>
          <w:rFonts w:ascii="Times New Roman" w:hAnsi="Times New Roman" w:cs="Times New Roman"/>
          <w:sz w:val="22"/>
          <w:szCs w:val="22"/>
        </w:rPr>
        <w:t>B</w:t>
      </w:r>
      <w:r w:rsidRPr="00E33F43">
        <w:rPr>
          <w:rStyle w:val="FontStyle21"/>
          <w:rFonts w:ascii="Times New Roman" w:hAnsi="Times New Roman" w:cs="Times New Roman"/>
          <w:sz w:val="22"/>
          <w:szCs w:val="22"/>
        </w:rPr>
        <w:t>E it enacted by the King</w:t>
      </w:r>
      <w:r w:rsidR="000C5397" w:rsidRPr="00E33F43">
        <w:rPr>
          <w:rStyle w:val="FontStyle21"/>
          <w:rFonts w:ascii="Times New Roman" w:hAnsi="Times New Roman" w:cs="Times New Roman"/>
          <w:sz w:val="22"/>
          <w:szCs w:val="22"/>
        </w:rPr>
        <w:t>’</w:t>
      </w:r>
      <w:r w:rsidRPr="00E33F43">
        <w:rPr>
          <w:rStyle w:val="FontStyle21"/>
          <w:rFonts w:ascii="Times New Roman" w:hAnsi="Times New Roman" w:cs="Times New Roman"/>
          <w:sz w:val="22"/>
          <w:szCs w:val="22"/>
        </w:rPr>
        <w:t>s Most Excellent Majesty, the Senate, and the House of Representatives of the Commonwealth of Australia, as follows:—</w:t>
      </w:r>
    </w:p>
    <w:p w:rsidR="00AD7A7C" w:rsidRPr="00E1107D" w:rsidRDefault="00AD7A7C" w:rsidP="007C23CF">
      <w:pPr>
        <w:pStyle w:val="Style7"/>
        <w:spacing w:before="120" w:after="60"/>
        <w:jc w:val="both"/>
        <w:rPr>
          <w:rStyle w:val="FontStyle20"/>
          <w:rFonts w:ascii="Times New Roman" w:hAnsi="Times New Roman" w:cs="Times New Roman"/>
          <w:bCs w:val="0"/>
          <w:sz w:val="20"/>
        </w:rPr>
      </w:pPr>
      <w:r w:rsidRPr="00E1107D">
        <w:rPr>
          <w:rStyle w:val="FontStyle20"/>
          <w:rFonts w:ascii="Times New Roman" w:hAnsi="Times New Roman" w:cs="Times New Roman"/>
          <w:bCs w:val="0"/>
          <w:sz w:val="20"/>
        </w:rPr>
        <w:t>Short title.</w:t>
      </w:r>
    </w:p>
    <w:p w:rsidR="00A07450" w:rsidRPr="00FD7D38" w:rsidRDefault="00A11E9B" w:rsidP="007C23CF">
      <w:pPr>
        <w:pStyle w:val="Style6"/>
        <w:ind w:firstLine="432"/>
        <w:jc w:val="both"/>
        <w:rPr>
          <w:rStyle w:val="FontStyle21"/>
          <w:rFonts w:ascii="Times New Roman" w:hAnsi="Times New Roman" w:cs="Times New Roman"/>
          <w:sz w:val="22"/>
        </w:rPr>
      </w:pPr>
      <w:r w:rsidRPr="00FD7D38">
        <w:rPr>
          <w:rStyle w:val="FontStyle21"/>
          <w:rFonts w:ascii="Times New Roman" w:hAnsi="Times New Roman" w:cs="Times New Roman"/>
          <w:b/>
          <w:bCs/>
          <w:sz w:val="22"/>
        </w:rPr>
        <w:t>1.</w:t>
      </w:r>
      <w:r w:rsidR="00A01E21">
        <w:rPr>
          <w:rStyle w:val="FontStyle21"/>
          <w:rFonts w:ascii="Times New Roman" w:hAnsi="Times New Roman" w:cs="Times New Roman"/>
          <w:sz w:val="22"/>
        </w:rPr>
        <w:tab/>
      </w:r>
      <w:r w:rsidR="00A07450" w:rsidRPr="00FD7D38">
        <w:rPr>
          <w:rStyle w:val="FontStyle21"/>
          <w:rFonts w:ascii="Times New Roman" w:hAnsi="Times New Roman" w:cs="Times New Roman"/>
          <w:sz w:val="22"/>
        </w:rPr>
        <w:t xml:space="preserve">This Act may be cited as the </w:t>
      </w:r>
      <w:r w:rsidRPr="00FD7D38">
        <w:rPr>
          <w:rStyle w:val="FontStyle19"/>
          <w:rFonts w:ascii="Times New Roman" w:hAnsi="Times New Roman" w:cs="Times New Roman"/>
          <w:sz w:val="22"/>
        </w:rPr>
        <w:t xml:space="preserve">Estate Duty Act </w:t>
      </w:r>
      <w:r w:rsidR="00A07450" w:rsidRPr="00FD7D38">
        <w:rPr>
          <w:rStyle w:val="FontStyle21"/>
          <w:rFonts w:ascii="Times New Roman" w:hAnsi="Times New Roman" w:cs="Times New Roman"/>
          <w:sz w:val="22"/>
        </w:rPr>
        <w:t>1914.</w:t>
      </w:r>
    </w:p>
    <w:p w:rsidR="00F30206" w:rsidRPr="00E1107D" w:rsidRDefault="00F30206" w:rsidP="007C23CF">
      <w:pPr>
        <w:pStyle w:val="Style7"/>
        <w:spacing w:before="120" w:after="60"/>
        <w:jc w:val="both"/>
        <w:rPr>
          <w:rStyle w:val="FontStyle20"/>
          <w:rFonts w:ascii="Times New Roman" w:hAnsi="Times New Roman" w:cs="Times New Roman"/>
          <w:bCs w:val="0"/>
          <w:sz w:val="20"/>
        </w:rPr>
      </w:pPr>
      <w:r w:rsidRPr="00E1107D">
        <w:rPr>
          <w:rStyle w:val="FontStyle20"/>
          <w:rFonts w:ascii="Times New Roman" w:hAnsi="Times New Roman" w:cs="Times New Roman"/>
          <w:bCs w:val="0"/>
          <w:sz w:val="20"/>
        </w:rPr>
        <w:t>Incorporation.</w:t>
      </w:r>
    </w:p>
    <w:p w:rsidR="00A07450" w:rsidRPr="00FD7D38" w:rsidRDefault="00A11E9B" w:rsidP="007C23CF">
      <w:pPr>
        <w:pStyle w:val="Style8"/>
        <w:ind w:firstLine="432"/>
        <w:jc w:val="both"/>
        <w:rPr>
          <w:rStyle w:val="FontStyle21"/>
          <w:rFonts w:ascii="Times New Roman" w:hAnsi="Times New Roman" w:cs="Times New Roman"/>
          <w:sz w:val="22"/>
        </w:rPr>
      </w:pPr>
      <w:r w:rsidRPr="00FD7D38">
        <w:rPr>
          <w:rStyle w:val="FontStyle21"/>
          <w:rFonts w:ascii="Times New Roman" w:hAnsi="Times New Roman" w:cs="Times New Roman"/>
          <w:b/>
          <w:bCs/>
          <w:sz w:val="22"/>
        </w:rPr>
        <w:t>2.</w:t>
      </w:r>
      <w:r w:rsidR="00A01E21">
        <w:rPr>
          <w:rStyle w:val="FontStyle21"/>
          <w:rFonts w:ascii="Times New Roman" w:hAnsi="Times New Roman" w:cs="Times New Roman"/>
          <w:sz w:val="22"/>
        </w:rPr>
        <w:tab/>
      </w:r>
      <w:r w:rsidR="00A07450" w:rsidRPr="00FD7D38">
        <w:rPr>
          <w:rStyle w:val="FontStyle21"/>
          <w:rFonts w:ascii="Times New Roman" w:hAnsi="Times New Roman" w:cs="Times New Roman"/>
          <w:sz w:val="22"/>
        </w:rPr>
        <w:t xml:space="preserve">The </w:t>
      </w:r>
      <w:r w:rsidRPr="00FD7D38">
        <w:rPr>
          <w:rStyle w:val="FontStyle19"/>
          <w:rFonts w:ascii="Times New Roman" w:hAnsi="Times New Roman" w:cs="Times New Roman"/>
          <w:sz w:val="22"/>
        </w:rPr>
        <w:t xml:space="preserve">Estate Duty Assessment Act </w:t>
      </w:r>
      <w:r w:rsidR="00A07450" w:rsidRPr="00FD7D38">
        <w:rPr>
          <w:rStyle w:val="FontStyle21"/>
          <w:rFonts w:ascii="Times New Roman" w:hAnsi="Times New Roman" w:cs="Times New Roman"/>
          <w:sz w:val="22"/>
        </w:rPr>
        <w:t>1914 shall be incorporated and read as one with this Act.</w:t>
      </w:r>
    </w:p>
    <w:p w:rsidR="00F30206" w:rsidRPr="00F30206" w:rsidRDefault="00F30206" w:rsidP="007C23CF">
      <w:pPr>
        <w:pStyle w:val="Style7"/>
        <w:spacing w:before="120" w:after="60"/>
        <w:jc w:val="both"/>
        <w:rPr>
          <w:rStyle w:val="FontStyle20"/>
          <w:rFonts w:ascii="Times New Roman" w:hAnsi="Times New Roman" w:cs="Times New Roman"/>
          <w:bCs w:val="0"/>
          <w:sz w:val="20"/>
        </w:rPr>
      </w:pPr>
      <w:r w:rsidRPr="00F30206">
        <w:rPr>
          <w:rStyle w:val="FontStyle20"/>
          <w:rFonts w:ascii="Times New Roman" w:hAnsi="Times New Roman" w:cs="Times New Roman"/>
          <w:bCs w:val="0"/>
          <w:sz w:val="20"/>
        </w:rPr>
        <w:t>Imposition of succession duties.</w:t>
      </w:r>
    </w:p>
    <w:p w:rsidR="00A07450" w:rsidRPr="00FD7D38" w:rsidRDefault="00A11E9B" w:rsidP="007C23CF">
      <w:pPr>
        <w:pStyle w:val="Style8"/>
        <w:ind w:firstLine="432"/>
        <w:jc w:val="both"/>
        <w:rPr>
          <w:rStyle w:val="FontStyle21"/>
          <w:rFonts w:ascii="Times New Roman" w:hAnsi="Times New Roman" w:cs="Times New Roman"/>
          <w:sz w:val="22"/>
        </w:rPr>
      </w:pPr>
      <w:r w:rsidRPr="00FD7D38">
        <w:rPr>
          <w:rStyle w:val="FontStyle21"/>
          <w:rFonts w:ascii="Times New Roman" w:hAnsi="Times New Roman" w:cs="Times New Roman"/>
          <w:b/>
          <w:bCs/>
          <w:sz w:val="22"/>
        </w:rPr>
        <w:t>3.</w:t>
      </w:r>
      <w:r w:rsidR="00F30206">
        <w:rPr>
          <w:rStyle w:val="FontStyle21"/>
          <w:rFonts w:ascii="Times New Roman" w:hAnsi="Times New Roman" w:cs="Times New Roman"/>
          <w:sz w:val="22"/>
        </w:rPr>
        <w:tab/>
      </w:r>
      <w:r w:rsidR="00A07450" w:rsidRPr="00FD7D38">
        <w:rPr>
          <w:rStyle w:val="FontStyle21"/>
          <w:rFonts w:ascii="Times New Roman" w:hAnsi="Times New Roman" w:cs="Times New Roman"/>
          <w:sz w:val="22"/>
        </w:rPr>
        <w:t>Estate duty is imposed at the rates declared in the Schedule to this Act upon the estates of deceased persons dying after the commencement of this Act.</w:t>
      </w:r>
    </w:p>
    <w:p w:rsidR="00F30206" w:rsidRPr="007C23CF" w:rsidRDefault="00F30206" w:rsidP="007C23CF">
      <w:pPr>
        <w:pBdr>
          <w:top w:val="single" w:sz="2" w:space="1" w:color="auto"/>
        </w:pBdr>
        <w:spacing w:before="240" w:after="120"/>
        <w:ind w:left="4176" w:right="4176"/>
        <w:jc w:val="center"/>
        <w:rPr>
          <w:rFonts w:ascii="Times New Roman" w:hAnsi="Times New Roman"/>
          <w:b/>
          <w:sz w:val="10"/>
        </w:rPr>
      </w:pPr>
    </w:p>
    <w:p w:rsidR="00A07450" w:rsidRPr="007C23CF" w:rsidRDefault="00A07450" w:rsidP="007C23CF">
      <w:pPr>
        <w:pStyle w:val="Style9"/>
        <w:spacing w:after="120"/>
        <w:jc w:val="center"/>
        <w:rPr>
          <w:rStyle w:val="FontStyle21"/>
          <w:rFonts w:ascii="Times New Roman" w:hAnsi="Times New Roman" w:cs="Times New Roman"/>
          <w:sz w:val="24"/>
        </w:rPr>
      </w:pPr>
      <w:r w:rsidRPr="007C23CF">
        <w:rPr>
          <w:rStyle w:val="FontStyle21"/>
          <w:rFonts w:ascii="Times New Roman" w:hAnsi="Times New Roman" w:cs="Times New Roman"/>
          <w:sz w:val="24"/>
        </w:rPr>
        <w:t>THE SCHEDULE.</w:t>
      </w:r>
    </w:p>
    <w:p w:rsidR="00A07450" w:rsidRPr="00FD7D38" w:rsidRDefault="00A07450" w:rsidP="002C3A3F">
      <w:pPr>
        <w:pStyle w:val="Style10"/>
        <w:spacing w:before="60" w:after="60"/>
        <w:ind w:left="432" w:firstLine="432"/>
        <w:jc w:val="both"/>
        <w:rPr>
          <w:rStyle w:val="FontStyle22"/>
          <w:rFonts w:ascii="Times New Roman" w:hAnsi="Times New Roman" w:cs="Times New Roman"/>
          <w:b w:val="0"/>
          <w:bCs w:val="0"/>
          <w:sz w:val="22"/>
        </w:rPr>
      </w:pPr>
      <w:r w:rsidRPr="00FD7D38">
        <w:rPr>
          <w:rStyle w:val="FontStyle22"/>
          <w:rFonts w:ascii="Times New Roman" w:hAnsi="Times New Roman" w:cs="Times New Roman"/>
          <w:b w:val="0"/>
          <w:bCs w:val="0"/>
          <w:sz w:val="22"/>
        </w:rPr>
        <w:t>Rates of Estate Duty payable on the Estates of deceased persons dying after the commencement of this Act—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10"/>
        <w:gridCol w:w="4099"/>
      </w:tblGrid>
      <w:tr w:rsidR="00A07450" w:rsidRPr="00FD7D38" w:rsidTr="007C23CF">
        <w:trPr>
          <w:trHeight w:val="687"/>
        </w:trPr>
        <w:tc>
          <w:tcPr>
            <w:tcW w:w="27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7450" w:rsidRPr="00FD7D38" w:rsidRDefault="00A07450" w:rsidP="002C3A3F">
            <w:pPr>
              <w:pStyle w:val="Style12"/>
              <w:spacing w:before="120" w:after="120"/>
              <w:jc w:val="center"/>
              <w:rPr>
                <w:rStyle w:val="FontStyle23"/>
                <w:rFonts w:ascii="Times New Roman" w:hAnsi="Times New Roman" w:cs="Times New Roman"/>
                <w:b w:val="0"/>
                <w:bCs w:val="0"/>
                <w:sz w:val="22"/>
              </w:rPr>
            </w:pPr>
            <w:r w:rsidRPr="00FD7D38">
              <w:rPr>
                <w:rStyle w:val="FontStyle23"/>
                <w:rFonts w:ascii="Times New Roman" w:hAnsi="Times New Roman" w:cs="Times New Roman"/>
                <w:b w:val="0"/>
                <w:bCs w:val="0"/>
                <w:sz w:val="22"/>
              </w:rPr>
              <w:t>Where the Total Value of the Estate, after Deducting all Debts—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7450" w:rsidRPr="00FD7D38" w:rsidRDefault="00A07450" w:rsidP="002C3A3F">
            <w:pPr>
              <w:pStyle w:val="Style12"/>
              <w:spacing w:before="120" w:after="120"/>
              <w:jc w:val="center"/>
              <w:rPr>
                <w:rStyle w:val="FontStyle23"/>
                <w:rFonts w:ascii="Times New Roman" w:hAnsi="Times New Roman" w:cs="Times New Roman"/>
                <w:b w:val="0"/>
                <w:bCs w:val="0"/>
                <w:sz w:val="22"/>
              </w:rPr>
            </w:pPr>
            <w:r w:rsidRPr="00FD7D38">
              <w:rPr>
                <w:rStyle w:val="FontStyle23"/>
                <w:rFonts w:ascii="Times New Roman" w:hAnsi="Times New Roman" w:cs="Times New Roman"/>
                <w:b w:val="0"/>
                <w:bCs w:val="0"/>
                <w:sz w:val="22"/>
              </w:rPr>
              <w:t>Duty shall be Payable at the rate per cent, of—</w:t>
            </w:r>
          </w:p>
        </w:tc>
      </w:tr>
      <w:tr w:rsidR="00567889" w:rsidRPr="00FD7D38" w:rsidTr="007C23CF">
        <w:trPr>
          <w:trHeight w:val="581"/>
        </w:trPr>
        <w:tc>
          <w:tcPr>
            <w:tcW w:w="2750" w:type="pc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567889" w:rsidRPr="00FD7D38" w:rsidRDefault="00567889" w:rsidP="002C3A3F">
            <w:pPr>
              <w:pStyle w:val="Style12"/>
              <w:spacing w:before="60"/>
              <w:ind w:left="288" w:hanging="288"/>
              <w:jc w:val="both"/>
              <w:rPr>
                <w:rStyle w:val="FontStyle23"/>
                <w:rFonts w:ascii="Times New Roman" w:hAnsi="Times New Roman" w:cs="Times New Roman"/>
                <w:b w:val="0"/>
                <w:bCs w:val="0"/>
                <w:sz w:val="22"/>
              </w:rPr>
            </w:pPr>
            <w:r w:rsidRPr="00FD7D38">
              <w:rPr>
                <w:rStyle w:val="FontStyle22"/>
                <w:rFonts w:ascii="Times New Roman" w:hAnsi="Times New Roman" w:cs="Times New Roman"/>
                <w:b w:val="0"/>
                <w:bCs w:val="0"/>
                <w:sz w:val="22"/>
              </w:rPr>
              <w:t xml:space="preserve">Exceeds One </w:t>
            </w:r>
            <w:r w:rsidRPr="00FD7D38">
              <w:rPr>
                <w:rStyle w:val="FontStyle23"/>
                <w:rFonts w:ascii="Times New Roman" w:hAnsi="Times New Roman" w:cs="Times New Roman"/>
                <w:b w:val="0"/>
                <w:bCs w:val="0"/>
                <w:sz w:val="22"/>
              </w:rPr>
              <w:t>thousand pounds and does not</w:t>
            </w:r>
            <w:r>
              <w:rPr>
                <w:rStyle w:val="FontStyle23"/>
                <w:rFonts w:ascii="Times New Roman" w:hAnsi="Times New Roman" w:cs="Times New Roman"/>
                <w:b w:val="0"/>
                <w:bCs w:val="0"/>
                <w:sz w:val="22"/>
              </w:rPr>
              <w:t xml:space="preserve"> </w:t>
            </w:r>
            <w:r w:rsidRPr="00FD7D38">
              <w:rPr>
                <w:rStyle w:val="FontStyle23"/>
                <w:rFonts w:ascii="Times New Roman" w:hAnsi="Times New Roman" w:cs="Times New Roman"/>
                <w:b w:val="0"/>
                <w:bCs w:val="0"/>
                <w:sz w:val="22"/>
              </w:rPr>
              <w:t xml:space="preserve">exceed </w:t>
            </w:r>
            <w:r w:rsidRPr="00FD7D38">
              <w:rPr>
                <w:rStyle w:val="FontStyle22"/>
                <w:rFonts w:ascii="Times New Roman" w:hAnsi="Times New Roman" w:cs="Times New Roman"/>
                <w:b w:val="0"/>
                <w:bCs w:val="0"/>
                <w:sz w:val="22"/>
              </w:rPr>
              <w:t xml:space="preserve">Two </w:t>
            </w:r>
            <w:r w:rsidRPr="00FD7D38">
              <w:rPr>
                <w:rStyle w:val="FontStyle23"/>
                <w:rFonts w:ascii="Times New Roman" w:hAnsi="Times New Roman" w:cs="Times New Roman"/>
                <w:b w:val="0"/>
                <w:bCs w:val="0"/>
                <w:sz w:val="22"/>
              </w:rPr>
              <w:t>thousand pounds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567889" w:rsidRPr="00FD7D38" w:rsidRDefault="00567889" w:rsidP="00567889">
            <w:pPr>
              <w:pStyle w:val="Style12"/>
              <w:spacing w:before="60"/>
              <w:rPr>
                <w:rStyle w:val="FontStyle23"/>
                <w:rFonts w:ascii="Times New Roman" w:hAnsi="Times New Roman" w:cs="Times New Roman"/>
                <w:b w:val="0"/>
                <w:bCs w:val="0"/>
                <w:sz w:val="22"/>
              </w:rPr>
            </w:pPr>
            <w:r w:rsidRPr="00FD7D38">
              <w:rPr>
                <w:rStyle w:val="FontStyle22"/>
                <w:rFonts w:ascii="Times New Roman" w:hAnsi="Times New Roman" w:cs="Times New Roman"/>
                <w:b w:val="0"/>
                <w:bCs w:val="0"/>
                <w:sz w:val="22"/>
              </w:rPr>
              <w:t xml:space="preserve">One </w:t>
            </w:r>
            <w:r w:rsidRPr="00FD7D38">
              <w:rPr>
                <w:rStyle w:val="FontStyle23"/>
                <w:rFonts w:ascii="Times New Roman" w:hAnsi="Times New Roman" w:cs="Times New Roman"/>
                <w:b w:val="0"/>
                <w:bCs w:val="0"/>
                <w:sz w:val="22"/>
              </w:rPr>
              <w:t>pound</w:t>
            </w:r>
          </w:p>
        </w:tc>
      </w:tr>
      <w:tr w:rsidR="00A07450" w:rsidRPr="00FD7D38" w:rsidTr="007C23CF">
        <w:trPr>
          <w:trHeight w:val="20"/>
        </w:trPr>
        <w:tc>
          <w:tcPr>
            <w:tcW w:w="2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07450" w:rsidRPr="00FD7D38" w:rsidRDefault="00A07450" w:rsidP="007C23CF">
            <w:pPr>
              <w:pStyle w:val="Style12"/>
              <w:tabs>
                <w:tab w:val="right" w:leader="dot" w:pos="4680"/>
              </w:tabs>
              <w:rPr>
                <w:rStyle w:val="FontStyle23"/>
                <w:rFonts w:ascii="Times New Roman" w:hAnsi="Times New Roman" w:cs="Times New Roman"/>
                <w:b w:val="0"/>
                <w:bCs w:val="0"/>
                <w:sz w:val="22"/>
              </w:rPr>
            </w:pPr>
            <w:r w:rsidRPr="00FD7D38">
              <w:rPr>
                <w:rStyle w:val="FontStyle22"/>
                <w:rFonts w:ascii="Times New Roman" w:hAnsi="Times New Roman" w:cs="Times New Roman"/>
                <w:b w:val="0"/>
                <w:bCs w:val="0"/>
                <w:sz w:val="22"/>
              </w:rPr>
              <w:t xml:space="preserve">Exceeds Two </w:t>
            </w:r>
            <w:r w:rsidRPr="00FD7D38">
              <w:rPr>
                <w:rStyle w:val="FontStyle23"/>
                <w:rFonts w:ascii="Times New Roman" w:hAnsi="Times New Roman" w:cs="Times New Roman"/>
                <w:b w:val="0"/>
                <w:bCs w:val="0"/>
                <w:sz w:val="22"/>
              </w:rPr>
              <w:t>thousand pounds</w:t>
            </w:r>
            <w:r w:rsidR="008A6CAD">
              <w:rPr>
                <w:rStyle w:val="FontStyle23"/>
                <w:rFonts w:ascii="Times New Roman" w:hAnsi="Times New Roman" w:cs="Times New Roman"/>
                <w:b w:val="0"/>
                <w:bCs w:val="0"/>
                <w:sz w:val="22"/>
              </w:rPr>
              <w:tab/>
            </w:r>
          </w:p>
        </w:tc>
        <w:tc>
          <w:tcPr>
            <w:tcW w:w="22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07450" w:rsidRPr="00FD7D38" w:rsidRDefault="00A07450" w:rsidP="002C3A3F">
            <w:pPr>
              <w:pStyle w:val="Style12"/>
              <w:spacing w:before="60"/>
              <w:ind w:left="288" w:hanging="288"/>
              <w:jc w:val="both"/>
              <w:rPr>
                <w:rStyle w:val="FontStyle23"/>
                <w:rFonts w:ascii="Times New Roman" w:hAnsi="Times New Roman" w:cs="Times New Roman"/>
                <w:b w:val="0"/>
                <w:bCs w:val="0"/>
                <w:sz w:val="22"/>
              </w:rPr>
            </w:pPr>
            <w:r w:rsidRPr="00FD7D38">
              <w:rPr>
                <w:rStyle w:val="FontStyle22"/>
                <w:rFonts w:ascii="Times New Roman" w:hAnsi="Times New Roman" w:cs="Times New Roman"/>
                <w:b w:val="0"/>
                <w:bCs w:val="0"/>
                <w:sz w:val="22"/>
              </w:rPr>
              <w:t xml:space="preserve">One </w:t>
            </w:r>
            <w:r w:rsidRPr="00FD7D38">
              <w:rPr>
                <w:rStyle w:val="FontStyle23"/>
                <w:rFonts w:ascii="Times New Roman" w:hAnsi="Times New Roman" w:cs="Times New Roman"/>
                <w:b w:val="0"/>
                <w:bCs w:val="0"/>
                <w:sz w:val="22"/>
              </w:rPr>
              <w:t xml:space="preserve">pound, together with an </w:t>
            </w:r>
            <w:r w:rsidRPr="00FD7D38">
              <w:rPr>
                <w:rStyle w:val="FontStyle22"/>
                <w:rFonts w:ascii="Times New Roman" w:hAnsi="Times New Roman" w:cs="Times New Roman"/>
                <w:b w:val="0"/>
                <w:bCs w:val="0"/>
                <w:sz w:val="22"/>
              </w:rPr>
              <w:t>addi</w:t>
            </w:r>
            <w:r w:rsidRPr="00FD7D38">
              <w:rPr>
                <w:rStyle w:val="FontStyle23"/>
                <w:rFonts w:ascii="Times New Roman" w:hAnsi="Times New Roman" w:cs="Times New Roman"/>
                <w:b w:val="0"/>
                <w:bCs w:val="0"/>
                <w:sz w:val="22"/>
              </w:rPr>
              <w:t xml:space="preserve">tional percentage </w:t>
            </w:r>
            <w:r w:rsidRPr="00FD7D38">
              <w:rPr>
                <w:rStyle w:val="FontStyle22"/>
                <w:rFonts w:ascii="Times New Roman" w:hAnsi="Times New Roman" w:cs="Times New Roman"/>
                <w:b w:val="0"/>
                <w:bCs w:val="0"/>
                <w:sz w:val="22"/>
              </w:rPr>
              <w:t xml:space="preserve">of </w:t>
            </w:r>
            <w:r w:rsidRPr="00FD7D38">
              <w:rPr>
                <w:rStyle w:val="FontStyle23"/>
                <w:rFonts w:ascii="Times New Roman" w:hAnsi="Times New Roman" w:cs="Times New Roman"/>
                <w:b w:val="0"/>
                <w:bCs w:val="0"/>
                <w:sz w:val="22"/>
              </w:rPr>
              <w:t xml:space="preserve">one-fifth </w:t>
            </w:r>
            <w:r w:rsidRPr="00FD7D38">
              <w:rPr>
                <w:rStyle w:val="FontStyle22"/>
                <w:rFonts w:ascii="Times New Roman" w:hAnsi="Times New Roman" w:cs="Times New Roman"/>
                <w:b w:val="0"/>
                <w:bCs w:val="0"/>
                <w:sz w:val="22"/>
              </w:rPr>
              <w:t xml:space="preserve">of a </w:t>
            </w:r>
            <w:r w:rsidRPr="00FD7D38">
              <w:rPr>
                <w:rStyle w:val="FontStyle23"/>
                <w:rFonts w:ascii="Times New Roman" w:hAnsi="Times New Roman" w:cs="Times New Roman"/>
                <w:b w:val="0"/>
                <w:bCs w:val="0"/>
                <w:sz w:val="22"/>
              </w:rPr>
              <w:t xml:space="preserve">pound </w:t>
            </w:r>
            <w:r w:rsidRPr="00FD7D38">
              <w:rPr>
                <w:rStyle w:val="FontStyle22"/>
                <w:rFonts w:ascii="Times New Roman" w:hAnsi="Times New Roman" w:cs="Times New Roman"/>
                <w:b w:val="0"/>
                <w:bCs w:val="0"/>
                <w:sz w:val="22"/>
              </w:rPr>
              <w:t xml:space="preserve">for </w:t>
            </w:r>
            <w:r w:rsidRPr="00FD7D38">
              <w:rPr>
                <w:rStyle w:val="FontStyle23"/>
                <w:rFonts w:ascii="Times New Roman" w:hAnsi="Times New Roman" w:cs="Times New Roman"/>
                <w:b w:val="0"/>
                <w:bCs w:val="0"/>
                <w:sz w:val="22"/>
              </w:rPr>
              <w:t xml:space="preserve">every </w:t>
            </w:r>
            <w:r w:rsidRPr="00FD7D38">
              <w:rPr>
                <w:rStyle w:val="FontStyle22"/>
                <w:rFonts w:ascii="Times New Roman" w:hAnsi="Times New Roman" w:cs="Times New Roman"/>
                <w:b w:val="0"/>
                <w:bCs w:val="0"/>
                <w:sz w:val="22"/>
              </w:rPr>
              <w:t xml:space="preserve">One </w:t>
            </w:r>
            <w:r w:rsidRPr="00FD7D38">
              <w:rPr>
                <w:rStyle w:val="FontStyle23"/>
                <w:rFonts w:ascii="Times New Roman" w:hAnsi="Times New Roman" w:cs="Times New Roman"/>
                <w:b w:val="0"/>
                <w:bCs w:val="0"/>
                <w:sz w:val="22"/>
              </w:rPr>
              <w:t xml:space="preserve">thousand pounds or part </w:t>
            </w:r>
            <w:r w:rsidRPr="00FD7D38">
              <w:rPr>
                <w:rStyle w:val="FontStyle22"/>
                <w:rFonts w:ascii="Times New Roman" w:hAnsi="Times New Roman" w:cs="Times New Roman"/>
                <w:b w:val="0"/>
                <w:bCs w:val="0"/>
                <w:sz w:val="22"/>
              </w:rPr>
              <w:t xml:space="preserve">of One </w:t>
            </w:r>
            <w:r w:rsidRPr="00FD7D38">
              <w:rPr>
                <w:rStyle w:val="FontStyle23"/>
                <w:rFonts w:ascii="Times New Roman" w:hAnsi="Times New Roman" w:cs="Times New Roman"/>
                <w:b w:val="0"/>
                <w:bCs w:val="0"/>
                <w:sz w:val="22"/>
              </w:rPr>
              <w:t xml:space="preserve">thousand pounds in excess </w:t>
            </w:r>
            <w:r w:rsidRPr="00FD7D38">
              <w:rPr>
                <w:rStyle w:val="FontStyle22"/>
                <w:rFonts w:ascii="Times New Roman" w:hAnsi="Times New Roman" w:cs="Times New Roman"/>
                <w:b w:val="0"/>
                <w:bCs w:val="0"/>
                <w:sz w:val="22"/>
              </w:rPr>
              <w:t xml:space="preserve">of </w:t>
            </w:r>
            <w:r w:rsidRPr="00FD7D38">
              <w:rPr>
                <w:rStyle w:val="FontStyle23"/>
                <w:rFonts w:ascii="Times New Roman" w:hAnsi="Times New Roman" w:cs="Times New Roman"/>
                <w:b w:val="0"/>
                <w:bCs w:val="0"/>
                <w:sz w:val="22"/>
              </w:rPr>
              <w:t xml:space="preserve">the </w:t>
            </w:r>
            <w:r w:rsidRPr="00FD7D38">
              <w:rPr>
                <w:rStyle w:val="FontStyle22"/>
                <w:rFonts w:ascii="Times New Roman" w:hAnsi="Times New Roman" w:cs="Times New Roman"/>
                <w:b w:val="0"/>
                <w:bCs w:val="0"/>
                <w:sz w:val="22"/>
              </w:rPr>
              <w:t xml:space="preserve">sum of Two </w:t>
            </w:r>
            <w:r w:rsidRPr="00FD7D38">
              <w:rPr>
                <w:rStyle w:val="FontStyle23"/>
                <w:rFonts w:ascii="Times New Roman" w:hAnsi="Times New Roman" w:cs="Times New Roman"/>
                <w:b w:val="0"/>
                <w:bCs w:val="0"/>
                <w:sz w:val="22"/>
              </w:rPr>
              <w:t xml:space="preserve">thousand pounds, but so that the percentage shall not exceed </w:t>
            </w:r>
            <w:r w:rsidRPr="00FD7D38">
              <w:rPr>
                <w:rStyle w:val="FontStyle22"/>
                <w:rFonts w:ascii="Times New Roman" w:hAnsi="Times New Roman" w:cs="Times New Roman"/>
                <w:b w:val="0"/>
                <w:bCs w:val="0"/>
                <w:sz w:val="22"/>
              </w:rPr>
              <w:t xml:space="preserve">Fifteen </w:t>
            </w:r>
            <w:r w:rsidRPr="00FD7D38">
              <w:rPr>
                <w:rStyle w:val="FontStyle23"/>
                <w:rFonts w:ascii="Times New Roman" w:hAnsi="Times New Roman" w:cs="Times New Roman"/>
                <w:b w:val="0"/>
                <w:bCs w:val="0"/>
                <w:sz w:val="22"/>
              </w:rPr>
              <w:t>pounds.</w:t>
            </w:r>
          </w:p>
        </w:tc>
      </w:tr>
    </w:tbl>
    <w:p w:rsidR="00A07450" w:rsidRPr="00FD7D38" w:rsidRDefault="00A07450" w:rsidP="00FD7D38">
      <w:pPr>
        <w:rPr>
          <w:rFonts w:ascii="Times New Roman" w:hAnsi="Times New Roman" w:cs="Times New Roman"/>
          <w:sz w:val="22"/>
        </w:rPr>
      </w:pPr>
    </w:p>
    <w:sectPr w:rsidR="00A07450" w:rsidRPr="00FD7D38" w:rsidSect="00EE6140">
      <w:headerReference w:type="default" r:id="rId7"/>
      <w:type w:val="continuous"/>
      <w:pgSz w:w="11909" w:h="16834" w:code="9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CD2" w:rsidRDefault="00951CD2">
      <w:r>
        <w:separator/>
      </w:r>
    </w:p>
  </w:endnote>
  <w:endnote w:type="continuationSeparator" w:id="0">
    <w:p w:rsidR="00951CD2" w:rsidRDefault="0095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CD2" w:rsidRDefault="00951CD2">
      <w:r>
        <w:separator/>
      </w:r>
    </w:p>
  </w:footnote>
  <w:footnote w:type="continuationSeparator" w:id="0">
    <w:p w:rsidR="00951CD2" w:rsidRDefault="00951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D38" w:rsidRPr="00477CA2" w:rsidRDefault="00FD7D38" w:rsidP="00EE6140">
    <w:pPr>
      <w:pStyle w:val="Header"/>
      <w:tabs>
        <w:tab w:val="clear" w:pos="9360"/>
        <w:tab w:val="right" w:pos="9000"/>
      </w:tabs>
      <w:rPr>
        <w:rFonts w:ascii="Times New Roman" w:hAnsi="Times New Roman"/>
        <w:sz w:val="20"/>
      </w:rPr>
    </w:pPr>
    <w:r w:rsidRPr="00477CA2">
      <w:rPr>
        <w:rStyle w:val="FontStyle21"/>
        <w:rFonts w:ascii="Times New Roman" w:hAnsi="Times New Roman" w:cs="Times New Roman"/>
        <w:sz w:val="20"/>
      </w:rPr>
      <w:t>No. 25.</w:t>
    </w:r>
    <w:r w:rsidRPr="00477CA2">
      <w:rPr>
        <w:rFonts w:ascii="Times New Roman" w:hAnsi="Times New Roman"/>
        <w:sz w:val="20"/>
      </w:rPr>
      <w:ptab w:relativeTo="margin" w:alignment="center" w:leader="none"/>
    </w:r>
    <w:r w:rsidRPr="00477CA2">
      <w:rPr>
        <w:rStyle w:val="FontStyle19"/>
        <w:rFonts w:ascii="Times New Roman" w:hAnsi="Times New Roman" w:cs="Times New Roman"/>
        <w:sz w:val="20"/>
      </w:rPr>
      <w:t>Estate Duty.</w:t>
    </w:r>
    <w:r w:rsidRPr="00477CA2">
      <w:rPr>
        <w:rFonts w:ascii="Times New Roman" w:hAnsi="Times New Roman"/>
        <w:sz w:val="20"/>
      </w:rPr>
      <w:ptab w:relativeTo="margin" w:alignment="right" w:leader="none"/>
    </w:r>
    <w:r w:rsidRPr="00477CA2">
      <w:rPr>
        <w:rStyle w:val="FontStyle21"/>
        <w:rFonts w:ascii="Times New Roman" w:hAnsi="Times New Roman" w:cs="Times New Roman"/>
        <w:sz w:val="20"/>
      </w:rPr>
      <w:t>1914.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A11E9B"/>
    <w:rsid w:val="000018AF"/>
    <w:rsid w:val="000C5397"/>
    <w:rsid w:val="00245B36"/>
    <w:rsid w:val="002C3A3F"/>
    <w:rsid w:val="002F4E44"/>
    <w:rsid w:val="003676B3"/>
    <w:rsid w:val="003E2FCE"/>
    <w:rsid w:val="0043332B"/>
    <w:rsid w:val="00477CA2"/>
    <w:rsid w:val="0055661D"/>
    <w:rsid w:val="00567889"/>
    <w:rsid w:val="005F0EC7"/>
    <w:rsid w:val="006D3F5C"/>
    <w:rsid w:val="007C23CF"/>
    <w:rsid w:val="008314C8"/>
    <w:rsid w:val="008A6CAD"/>
    <w:rsid w:val="008C5FC2"/>
    <w:rsid w:val="00913A09"/>
    <w:rsid w:val="00951CD2"/>
    <w:rsid w:val="009A5268"/>
    <w:rsid w:val="009B1D57"/>
    <w:rsid w:val="009D09B7"/>
    <w:rsid w:val="00A01E21"/>
    <w:rsid w:val="00A07450"/>
    <w:rsid w:val="00A11E9B"/>
    <w:rsid w:val="00AD7A7C"/>
    <w:rsid w:val="00B13C84"/>
    <w:rsid w:val="00B2515B"/>
    <w:rsid w:val="00B25BD8"/>
    <w:rsid w:val="00BF3C63"/>
    <w:rsid w:val="00E1107D"/>
    <w:rsid w:val="00E22408"/>
    <w:rsid w:val="00E32F90"/>
    <w:rsid w:val="00E33F43"/>
    <w:rsid w:val="00EE6140"/>
    <w:rsid w:val="00F30206"/>
    <w:rsid w:val="00F31E59"/>
    <w:rsid w:val="00F87497"/>
    <w:rsid w:val="00FA584D"/>
    <w:rsid w:val="00FD7D38"/>
    <w:rsid w:val="00FE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BD8"/>
    <w:pPr>
      <w:widowControl w:val="0"/>
      <w:autoSpaceDE w:val="0"/>
      <w:autoSpaceDN w:val="0"/>
      <w:adjustRightInd w:val="0"/>
      <w:spacing w:after="0" w:line="240" w:lineRule="auto"/>
    </w:pPr>
    <w:rPr>
      <w:rFonts w:hAnsi="Century Schoolbook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25BD8"/>
  </w:style>
  <w:style w:type="paragraph" w:customStyle="1" w:styleId="Style2">
    <w:name w:val="Style2"/>
    <w:basedOn w:val="Normal"/>
    <w:uiPriority w:val="99"/>
    <w:rsid w:val="00B25BD8"/>
  </w:style>
  <w:style w:type="paragraph" w:customStyle="1" w:styleId="Style3">
    <w:name w:val="Style3"/>
    <w:basedOn w:val="Normal"/>
    <w:uiPriority w:val="99"/>
    <w:rsid w:val="00B25BD8"/>
  </w:style>
  <w:style w:type="paragraph" w:customStyle="1" w:styleId="Style4">
    <w:name w:val="Style4"/>
    <w:basedOn w:val="Normal"/>
    <w:uiPriority w:val="99"/>
    <w:rsid w:val="00B25BD8"/>
  </w:style>
  <w:style w:type="paragraph" w:customStyle="1" w:styleId="Style5">
    <w:name w:val="Style5"/>
    <w:basedOn w:val="Normal"/>
    <w:uiPriority w:val="99"/>
    <w:rsid w:val="00B25BD8"/>
  </w:style>
  <w:style w:type="paragraph" w:customStyle="1" w:styleId="Style6">
    <w:name w:val="Style6"/>
    <w:basedOn w:val="Normal"/>
    <w:uiPriority w:val="99"/>
    <w:rsid w:val="00B25BD8"/>
  </w:style>
  <w:style w:type="paragraph" w:customStyle="1" w:styleId="Style7">
    <w:name w:val="Style7"/>
    <w:basedOn w:val="Normal"/>
    <w:uiPriority w:val="99"/>
    <w:rsid w:val="00B25BD8"/>
  </w:style>
  <w:style w:type="paragraph" w:customStyle="1" w:styleId="Style8">
    <w:name w:val="Style8"/>
    <w:basedOn w:val="Normal"/>
    <w:uiPriority w:val="99"/>
    <w:rsid w:val="00B25BD8"/>
  </w:style>
  <w:style w:type="paragraph" w:customStyle="1" w:styleId="Style9">
    <w:name w:val="Style9"/>
    <w:basedOn w:val="Normal"/>
    <w:uiPriority w:val="99"/>
    <w:rsid w:val="00B25BD8"/>
  </w:style>
  <w:style w:type="paragraph" w:customStyle="1" w:styleId="Style10">
    <w:name w:val="Style10"/>
    <w:basedOn w:val="Normal"/>
    <w:uiPriority w:val="99"/>
    <w:rsid w:val="00B25BD8"/>
  </w:style>
  <w:style w:type="paragraph" w:customStyle="1" w:styleId="Style11">
    <w:name w:val="Style11"/>
    <w:basedOn w:val="Normal"/>
    <w:uiPriority w:val="99"/>
    <w:rsid w:val="00B25BD8"/>
  </w:style>
  <w:style w:type="paragraph" w:customStyle="1" w:styleId="Style12">
    <w:name w:val="Style12"/>
    <w:basedOn w:val="Normal"/>
    <w:uiPriority w:val="99"/>
    <w:rsid w:val="00B25BD8"/>
  </w:style>
  <w:style w:type="paragraph" w:customStyle="1" w:styleId="Style13">
    <w:name w:val="Style13"/>
    <w:basedOn w:val="Normal"/>
    <w:uiPriority w:val="99"/>
    <w:rsid w:val="00B25BD8"/>
  </w:style>
  <w:style w:type="character" w:customStyle="1" w:styleId="FontStyle15">
    <w:name w:val="Font Style15"/>
    <w:basedOn w:val="DefaultParagraphFont"/>
    <w:uiPriority w:val="99"/>
    <w:rsid w:val="00B25BD8"/>
    <w:rPr>
      <w:rFonts w:ascii="Century Schoolbook" w:hAnsi="Century Schoolbook" w:cs="Century Schoolbook"/>
      <w:sz w:val="28"/>
      <w:szCs w:val="28"/>
    </w:rPr>
  </w:style>
  <w:style w:type="character" w:customStyle="1" w:styleId="FontStyle16">
    <w:name w:val="Font Style16"/>
    <w:basedOn w:val="DefaultParagraphFont"/>
    <w:uiPriority w:val="99"/>
    <w:rsid w:val="00B25BD8"/>
    <w:rPr>
      <w:rFonts w:ascii="Century Schoolbook" w:hAnsi="Century Schoolbook" w:cs="Century Schoolbook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B25BD8"/>
    <w:rPr>
      <w:rFonts w:ascii="Century Schoolbook" w:hAnsi="Century Schoolbook" w:cs="Century Schoolbook"/>
      <w:sz w:val="22"/>
      <w:szCs w:val="22"/>
    </w:rPr>
  </w:style>
  <w:style w:type="character" w:customStyle="1" w:styleId="FontStyle18">
    <w:name w:val="Font Style18"/>
    <w:basedOn w:val="DefaultParagraphFont"/>
    <w:uiPriority w:val="99"/>
    <w:rsid w:val="00B25BD8"/>
    <w:rPr>
      <w:rFonts w:ascii="Century Schoolbook" w:hAnsi="Century Schoolbook" w:cs="Century Schoolbook"/>
      <w:sz w:val="44"/>
      <w:szCs w:val="44"/>
    </w:rPr>
  </w:style>
  <w:style w:type="character" w:customStyle="1" w:styleId="FontStyle19">
    <w:name w:val="Font Style19"/>
    <w:basedOn w:val="DefaultParagraphFont"/>
    <w:uiPriority w:val="99"/>
    <w:rsid w:val="00B25BD8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20">
    <w:name w:val="Font Style20"/>
    <w:basedOn w:val="DefaultParagraphFont"/>
    <w:uiPriority w:val="99"/>
    <w:rsid w:val="00B25BD8"/>
    <w:rPr>
      <w:rFonts w:ascii="Century Schoolbook" w:hAnsi="Century Schoolbook" w:cs="Century Schoolbook"/>
      <w:b/>
      <w:bCs/>
      <w:sz w:val="10"/>
      <w:szCs w:val="10"/>
    </w:rPr>
  </w:style>
  <w:style w:type="character" w:customStyle="1" w:styleId="FontStyle21">
    <w:name w:val="Font Style21"/>
    <w:basedOn w:val="DefaultParagraphFont"/>
    <w:uiPriority w:val="99"/>
    <w:rsid w:val="00B25BD8"/>
    <w:rPr>
      <w:rFonts w:ascii="Century Schoolbook" w:hAnsi="Century Schoolbook" w:cs="Century Schoolbook"/>
      <w:sz w:val="18"/>
      <w:szCs w:val="18"/>
    </w:rPr>
  </w:style>
  <w:style w:type="character" w:customStyle="1" w:styleId="FontStyle22">
    <w:name w:val="Font Style22"/>
    <w:basedOn w:val="DefaultParagraphFont"/>
    <w:uiPriority w:val="99"/>
    <w:rsid w:val="00B25BD8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23">
    <w:name w:val="Font Style23"/>
    <w:basedOn w:val="DefaultParagraphFont"/>
    <w:uiPriority w:val="99"/>
    <w:rsid w:val="00B25BD8"/>
    <w:rPr>
      <w:rFonts w:ascii="Century Schoolbook" w:hAnsi="Century Schoolbook" w:cs="Century Schoolbook"/>
      <w:b/>
      <w:bCs/>
      <w:sz w:val="12"/>
      <w:szCs w:val="12"/>
    </w:rPr>
  </w:style>
  <w:style w:type="paragraph" w:styleId="Header">
    <w:name w:val="header"/>
    <w:basedOn w:val="Normal"/>
    <w:link w:val="HeaderChar"/>
    <w:uiPriority w:val="99"/>
    <w:semiHidden/>
    <w:unhideWhenUsed/>
    <w:rsid w:val="00FD7D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7D38"/>
    <w:rPr>
      <w:rFonts w:hAnsi="Century Schoolbook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D7D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7D38"/>
    <w:rPr>
      <w:rFonts w:hAnsi="Century Schoolbook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7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209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Harper, Michael</cp:lastModifiedBy>
  <cp:revision>10</cp:revision>
  <dcterms:created xsi:type="dcterms:W3CDTF">2017-03-30T13:02:00Z</dcterms:created>
  <dcterms:modified xsi:type="dcterms:W3CDTF">2017-06-19T23:35:00Z</dcterms:modified>
</cp:coreProperties>
</file>