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D" w:rsidRPr="00B65BC5" w:rsidRDefault="00EA24ED" w:rsidP="00B65BC5">
      <w:pPr>
        <w:pStyle w:val="Style7"/>
        <w:widowControl/>
        <w:pBdr>
          <w:top w:val="single" w:sz="4" w:space="1" w:color="auto"/>
        </w:pBdr>
        <w:spacing w:before="6000" w:after="240"/>
        <w:ind w:left="3456" w:right="3600"/>
        <w:jc w:val="center"/>
        <w:rPr>
          <w:rStyle w:val="FontStyle16"/>
          <w:rFonts w:ascii="Times New Roman" w:hAnsi="Times New Roman" w:cs="Times New Roman"/>
          <w:sz w:val="10"/>
          <w:szCs w:val="24"/>
        </w:rPr>
      </w:pPr>
    </w:p>
    <w:p w:rsidR="000A0187" w:rsidRDefault="000A0187" w:rsidP="00B65BC5">
      <w:pPr>
        <w:pStyle w:val="Style7"/>
        <w:widowControl/>
        <w:spacing w:after="240"/>
        <w:jc w:val="center"/>
        <w:rPr>
          <w:rStyle w:val="FontStyle16"/>
          <w:rFonts w:ascii="Times New Roman" w:hAnsi="Times New Roman" w:cs="Times New Roman"/>
          <w:bCs/>
          <w:sz w:val="36"/>
          <w:szCs w:val="36"/>
        </w:rPr>
      </w:pPr>
      <w:r w:rsidRPr="00901031">
        <w:rPr>
          <w:rStyle w:val="FontStyle16"/>
          <w:rFonts w:ascii="Times New Roman" w:hAnsi="Times New Roman" w:cs="Times New Roman"/>
          <w:bCs/>
          <w:sz w:val="36"/>
          <w:szCs w:val="36"/>
        </w:rPr>
        <w:t>OFFICERS COMPENSATION.</w:t>
      </w:r>
    </w:p>
    <w:p w:rsidR="00B65BC5" w:rsidRPr="00B65BC5" w:rsidRDefault="00B65BC5" w:rsidP="00B65BC5">
      <w:pPr>
        <w:pStyle w:val="02"/>
        <w:pBdr>
          <w:top w:val="single" w:sz="2" w:space="1" w:color="auto"/>
        </w:pBdr>
        <w:spacing w:before="0" w:after="120"/>
        <w:ind w:left="4018" w:right="4018"/>
        <w:rPr>
          <w:sz w:val="10"/>
          <w:szCs w:val="2"/>
        </w:rPr>
      </w:pPr>
    </w:p>
    <w:p w:rsidR="000A0187" w:rsidRPr="00C648A8" w:rsidRDefault="000A0187" w:rsidP="00B65BC5">
      <w:pPr>
        <w:pStyle w:val="Style8"/>
        <w:widowControl/>
        <w:spacing w:after="12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C648A8">
        <w:rPr>
          <w:rStyle w:val="FontStyle17"/>
          <w:rFonts w:ascii="Times New Roman" w:hAnsi="Times New Roman" w:cs="Times New Roman"/>
          <w:sz w:val="28"/>
          <w:szCs w:val="28"/>
        </w:rPr>
        <w:t>No. 24 of 1909.</w:t>
      </w:r>
    </w:p>
    <w:p w:rsidR="000A0187" w:rsidRPr="001219BF" w:rsidRDefault="000A0187" w:rsidP="00BA3367">
      <w:pPr>
        <w:pStyle w:val="Style9"/>
        <w:widowControl/>
        <w:spacing w:after="120"/>
        <w:ind w:left="432" w:hanging="432"/>
        <w:jc w:val="both"/>
        <w:rPr>
          <w:rStyle w:val="FontStyle18"/>
          <w:rFonts w:ascii="Times New Roman" w:hAnsi="Times New Roman" w:cs="Times New Roman"/>
          <w:sz w:val="26"/>
          <w:szCs w:val="26"/>
          <w:lang w:eastAsia="de-DE"/>
        </w:rPr>
      </w:pPr>
      <w:r w:rsidRPr="001219BF">
        <w:rPr>
          <w:rStyle w:val="FontStyle18"/>
          <w:rFonts w:ascii="Times New Roman" w:hAnsi="Times New Roman" w:cs="Times New Roman"/>
          <w:spacing w:val="30"/>
          <w:sz w:val="26"/>
          <w:szCs w:val="26"/>
          <w:lang w:val="de-DE" w:eastAsia="de-DE"/>
        </w:rPr>
        <w:t>A</w:t>
      </w:r>
      <w:r w:rsidR="001219BF" w:rsidRPr="001219BF">
        <w:rPr>
          <w:rStyle w:val="FontStyle18"/>
          <w:rFonts w:ascii="Times New Roman" w:hAnsi="Times New Roman" w:cs="Times New Roman"/>
          <w:spacing w:val="30"/>
          <w:sz w:val="26"/>
          <w:szCs w:val="26"/>
          <w:lang w:val="de-DE" w:eastAsia="de-DE"/>
        </w:rPr>
        <w:t>n</w:t>
      </w:r>
      <w:r w:rsidRPr="001219BF">
        <w:rPr>
          <w:rStyle w:val="FontStyle18"/>
          <w:rFonts w:ascii="Times New Roman" w:hAnsi="Times New Roman" w:cs="Times New Roman"/>
          <w:sz w:val="26"/>
          <w:szCs w:val="26"/>
          <w:lang w:val="de-DE" w:eastAsia="de-DE"/>
        </w:rPr>
        <w:t xml:space="preserve"> </w:t>
      </w:r>
      <w:r w:rsidRPr="001219BF">
        <w:rPr>
          <w:rStyle w:val="FontStyle18"/>
          <w:rFonts w:ascii="Times New Roman" w:hAnsi="Times New Roman" w:cs="Times New Roman"/>
          <w:sz w:val="26"/>
          <w:szCs w:val="26"/>
          <w:lang w:eastAsia="de-DE"/>
        </w:rPr>
        <w:t>Act to provide for Compensation to be paid on Retirement or on Decease of certain Officers of the Commonwealth.</w:t>
      </w:r>
    </w:p>
    <w:p w:rsidR="001219BF" w:rsidRPr="001219BF" w:rsidRDefault="000A0187" w:rsidP="00901031">
      <w:pPr>
        <w:pStyle w:val="Style10"/>
        <w:widowControl/>
        <w:spacing w:after="120"/>
        <w:jc w:val="right"/>
        <w:rPr>
          <w:rStyle w:val="FontStyle18"/>
          <w:rFonts w:ascii="Times New Roman" w:hAnsi="Times New Roman" w:cs="Times New Roman"/>
          <w:sz w:val="26"/>
          <w:szCs w:val="26"/>
        </w:rPr>
      </w:pPr>
      <w:r w:rsidRPr="001219BF">
        <w:rPr>
          <w:rStyle w:val="FontStyle18"/>
          <w:rFonts w:ascii="Times New Roman" w:hAnsi="Times New Roman" w:cs="Times New Roman"/>
          <w:sz w:val="26"/>
          <w:szCs w:val="26"/>
        </w:rPr>
        <w:t>[Assented to 13th December, 1909.]</w:t>
      </w:r>
    </w:p>
    <w:p w:rsidR="000A0187" w:rsidRPr="00F74D48" w:rsidRDefault="000A0187" w:rsidP="00901031">
      <w:pPr>
        <w:pStyle w:val="Style4"/>
        <w:widowControl/>
        <w:spacing w:before="120" w:after="60"/>
        <w:rPr>
          <w:rStyle w:val="FontStyle13"/>
          <w:rFonts w:ascii="Times New Roman" w:hAnsi="Times New Roman" w:cs="Times New Roman"/>
          <w:sz w:val="24"/>
          <w:szCs w:val="24"/>
        </w:rPr>
      </w:pPr>
      <w:r w:rsidRPr="00901031">
        <w:rPr>
          <w:rStyle w:val="FontStyle13"/>
          <w:rFonts w:ascii="Times New Roman" w:hAnsi="Times New Roman" w:cs="Times New Roman"/>
          <w:sz w:val="20"/>
          <w:szCs w:val="20"/>
        </w:rPr>
        <w:t>Preamble</w:t>
      </w:r>
      <w:r w:rsidRPr="00F74D48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0A0187" w:rsidRPr="00D96B10" w:rsidRDefault="00901031" w:rsidP="00F74D48">
      <w:pPr>
        <w:pStyle w:val="Style2"/>
        <w:widowControl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D96B10">
        <w:rPr>
          <w:rStyle w:val="FontStyle15"/>
          <w:rFonts w:ascii="Times New Roman" w:hAnsi="Times New Roman" w:cs="Times New Roman"/>
          <w:sz w:val="22"/>
          <w:szCs w:val="22"/>
        </w:rPr>
        <w:t>B</w:t>
      </w:r>
      <w:r w:rsidR="000A0187" w:rsidRPr="00D96B10">
        <w:rPr>
          <w:rStyle w:val="FontStyle15"/>
          <w:rFonts w:ascii="Times New Roman" w:hAnsi="Times New Roman" w:cs="Times New Roman"/>
          <w:sz w:val="22"/>
          <w:szCs w:val="22"/>
        </w:rPr>
        <w:t>E it enacted by the King</w:t>
      </w:r>
      <w:r w:rsidR="00761B4B" w:rsidRPr="00D96B10">
        <w:rPr>
          <w:rStyle w:val="FontStyle15"/>
          <w:rFonts w:ascii="Times New Roman" w:hAnsi="Times New Roman" w:cs="Times New Roman"/>
          <w:sz w:val="22"/>
          <w:szCs w:val="22"/>
        </w:rPr>
        <w:t>’</w:t>
      </w:r>
      <w:r w:rsidR="000A0187" w:rsidRPr="00D96B10">
        <w:rPr>
          <w:rStyle w:val="FontStyle15"/>
          <w:rFonts w:ascii="Times New Roman" w:hAnsi="Times New Roman" w:cs="Times New Roman"/>
          <w:sz w:val="22"/>
          <w:szCs w:val="22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0A0187" w:rsidRPr="00901031" w:rsidRDefault="000A0187" w:rsidP="00901031">
      <w:pPr>
        <w:pStyle w:val="Style4"/>
        <w:widowControl/>
        <w:spacing w:before="120" w:after="60"/>
        <w:rPr>
          <w:rStyle w:val="FontStyle13"/>
          <w:rFonts w:ascii="Times New Roman" w:hAnsi="Times New Roman" w:cs="Times New Roman"/>
          <w:sz w:val="20"/>
          <w:szCs w:val="20"/>
        </w:rPr>
      </w:pPr>
      <w:r w:rsidRPr="00901031">
        <w:rPr>
          <w:rStyle w:val="FontStyle13"/>
          <w:rFonts w:ascii="Times New Roman" w:hAnsi="Times New Roman" w:cs="Times New Roman"/>
          <w:sz w:val="20"/>
          <w:szCs w:val="20"/>
        </w:rPr>
        <w:t>Short title.</w:t>
      </w:r>
    </w:p>
    <w:p w:rsidR="000A0187" w:rsidRPr="00FB3EFD" w:rsidRDefault="000A0187" w:rsidP="000E71B7">
      <w:pPr>
        <w:pStyle w:val="Style2"/>
        <w:widowControl/>
        <w:ind w:firstLine="288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FB3EFD">
        <w:rPr>
          <w:rStyle w:val="FontStyle20"/>
          <w:rFonts w:ascii="Times New Roman" w:hAnsi="Times New Roman" w:cs="Times New Roman"/>
          <w:sz w:val="22"/>
          <w:szCs w:val="22"/>
        </w:rPr>
        <w:t>1.</w:t>
      </w:r>
      <w:r w:rsidR="00BA3367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Pr="00FB3EFD">
        <w:rPr>
          <w:rStyle w:val="FontStyle15"/>
          <w:rFonts w:ascii="Times New Roman" w:hAnsi="Times New Roman" w:cs="Times New Roman"/>
          <w:sz w:val="22"/>
          <w:szCs w:val="22"/>
        </w:rPr>
        <w:t xml:space="preserve">This Act may be cited as the </w:t>
      </w:r>
      <w:r w:rsidRPr="00FB3EFD">
        <w:rPr>
          <w:rStyle w:val="FontStyle14"/>
          <w:rFonts w:ascii="Times New Roman" w:hAnsi="Times New Roman" w:cs="Times New Roman"/>
          <w:sz w:val="22"/>
          <w:szCs w:val="22"/>
        </w:rPr>
        <w:t xml:space="preserve">Officers Compensation Act </w:t>
      </w:r>
      <w:r w:rsidRPr="00FB3EFD">
        <w:rPr>
          <w:rStyle w:val="FontStyle15"/>
          <w:rFonts w:ascii="Times New Roman" w:hAnsi="Times New Roman" w:cs="Times New Roman"/>
          <w:sz w:val="22"/>
          <w:szCs w:val="22"/>
        </w:rPr>
        <w:t>1909.</w:t>
      </w:r>
    </w:p>
    <w:p w:rsidR="000A0187" w:rsidRPr="00901031" w:rsidRDefault="009A3010" w:rsidP="00901031">
      <w:pPr>
        <w:pStyle w:val="Style4"/>
        <w:widowControl/>
        <w:spacing w:before="120" w:after="60"/>
        <w:rPr>
          <w:rStyle w:val="FontStyle13"/>
          <w:rFonts w:ascii="Times New Roman" w:hAnsi="Times New Roman" w:cs="Times New Roman"/>
          <w:sz w:val="20"/>
          <w:szCs w:val="20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br w:type="page"/>
      </w:r>
      <w:r w:rsidR="000A0187" w:rsidRPr="00901031">
        <w:rPr>
          <w:rStyle w:val="FontStyle13"/>
          <w:rFonts w:ascii="Times New Roman" w:hAnsi="Times New Roman" w:cs="Times New Roman"/>
          <w:sz w:val="20"/>
          <w:szCs w:val="20"/>
        </w:rPr>
        <w:lastRenderedPageBreak/>
        <w:t>Payments to be made.</w:t>
      </w:r>
    </w:p>
    <w:p w:rsidR="00711CC1" w:rsidRPr="00FB3EFD" w:rsidRDefault="000A0187" w:rsidP="009C375D">
      <w:pPr>
        <w:pStyle w:val="Style5"/>
        <w:widowControl/>
        <w:spacing w:after="120"/>
        <w:ind w:firstLine="288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FB3EFD">
        <w:rPr>
          <w:rStyle w:val="FontStyle12"/>
          <w:rFonts w:ascii="Times New Roman" w:hAnsi="Times New Roman" w:cs="Times New Roman"/>
          <w:sz w:val="22"/>
          <w:szCs w:val="22"/>
        </w:rPr>
        <w:t>2.</w:t>
      </w:r>
      <w:r w:rsidR="00BA3367">
        <w:rPr>
          <w:rStyle w:val="FontStyle12"/>
          <w:rFonts w:ascii="Times New Roman" w:hAnsi="Times New Roman" w:cs="Times New Roman"/>
          <w:sz w:val="22"/>
          <w:szCs w:val="22"/>
        </w:rPr>
        <w:tab/>
      </w:r>
      <w:r w:rsidRPr="00FB3EFD">
        <w:rPr>
          <w:rStyle w:val="FontStyle15"/>
          <w:rFonts w:ascii="Times New Roman" w:hAnsi="Times New Roman" w:cs="Times New Roman"/>
          <w:sz w:val="22"/>
          <w:szCs w:val="22"/>
        </w:rPr>
        <w:t xml:space="preserve">There shall be paid out of the Consolidated </w:t>
      </w:r>
      <w:r w:rsidRPr="00FB3EFD">
        <w:rPr>
          <w:rStyle w:val="FontStyle15"/>
          <w:rFonts w:ascii="Times New Roman" w:hAnsi="Times New Roman" w:cs="Times New Roman"/>
          <w:sz w:val="22"/>
          <w:szCs w:val="22"/>
          <w:lang w:val="it-IT"/>
        </w:rPr>
        <w:t xml:space="preserve">Revenue </w:t>
      </w:r>
      <w:r w:rsidRPr="00FB3EFD">
        <w:rPr>
          <w:rStyle w:val="FontStyle15"/>
          <w:rFonts w:ascii="Times New Roman" w:hAnsi="Times New Roman" w:cs="Times New Roman"/>
          <w:sz w:val="22"/>
          <w:szCs w:val="22"/>
        </w:rPr>
        <w:t>Fun</w:t>
      </w:r>
      <w:r w:rsidR="00C00A3C" w:rsidRPr="00FB3EFD">
        <w:rPr>
          <w:rStyle w:val="FontStyle15"/>
          <w:rFonts w:ascii="Times New Roman" w:hAnsi="Times New Roman" w:cs="Times New Roman"/>
          <w:sz w:val="22"/>
          <w:szCs w:val="22"/>
        </w:rPr>
        <w:t xml:space="preserve">d, which is hereby appropriated </w:t>
      </w:r>
      <w:r w:rsidRPr="00FB3EFD">
        <w:rPr>
          <w:rStyle w:val="FontStyle15"/>
          <w:rFonts w:ascii="Times New Roman" w:hAnsi="Times New Roman" w:cs="Times New Roman"/>
          <w:sz w:val="22"/>
          <w:szCs w:val="22"/>
        </w:rPr>
        <w:t>accordingly, the following sums:—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21"/>
        <w:gridCol w:w="1124"/>
      </w:tblGrid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To widow of Sergeant-Major R. D.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Fraser,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formerly of the New South Wales Military Forces, in addition to </w:t>
            </w:r>
            <w:r w:rsidRPr="00FB3EFD">
              <w:rPr>
                <w:rStyle w:val="FontStyle15"/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a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gratuity of £30 granted under the </w:t>
            </w:r>
            <w:r w:rsidRPr="00FB3EFD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Officers Compensation Act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1908, No. 4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224E77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£510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John Hamilton, formerly Sergeant, Royal Australian Artillery, New South Wales</w:t>
            </w:r>
            <w:r w:rsidR="00BA336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224E77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Sergeant-Major W.H. Brenchley, formerly of the Military Forces, Victoria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224E77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Armourer-Sergeant Scrimgeour, formerly of the Military Forces, Victoria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224E77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R.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G. Jackson, formerly Bombardier, Royal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Australian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Artillery, Victoria</w:t>
            </w:r>
            <w:r w:rsidR="00901031"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24E77"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Captain Colquhoun,</w:t>
            </w:r>
            <w:r w:rsidRPr="00FB3EFD">
              <w:rPr>
                <w:rStyle w:val="FontStyle15"/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formerly Commandant, Naval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  <w:lang w:val="ca-ES"/>
              </w:rPr>
              <w:t xml:space="preserve">Forces,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Queensland</w:t>
            </w:r>
            <w:r w:rsidR="00BA336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William Javes, formerl</w:t>
            </w:r>
            <w:bookmarkStart w:id="0" w:name="_GoBack"/>
            <w:bookmarkEnd w:id="0"/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y Storeman, Military Forces, Queensland, in addition to £50 already paid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To widow of J.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  <w:lang w:val="nn-NO"/>
              </w:rPr>
              <w:t xml:space="preserve">Travers,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formerly Line Foreman, Postmaster-General</w:t>
            </w:r>
            <w:r w:rsidR="00761B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’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s Department, New South Wales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W. N. B. Cooke, formerly Lineman (on probation), Postmaster-General</w:t>
            </w:r>
            <w:r w:rsidR="00761B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’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s Department, New South Wales</w:t>
            </w:r>
            <w:r w:rsidRPr="00FB3EF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J. J. Crellin, formerly Lineman, Postmaster-General</w:t>
            </w:r>
            <w:r w:rsidR="00761B4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’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s Department, New South Wales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J. K. Carnegie, formerly 3rd class Examining Officer, Department of Trade and Customs, New South Wales</w:t>
            </w:r>
            <w:r w:rsidRPr="00FB3EF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Philip Browne, formerly Locker, Department of Trade and Customs, Queensland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</w:tr>
      <w:tr w:rsidR="00767CEA" w:rsidRPr="00B347F2" w:rsidTr="00901031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To widow of A. B. Cornell, formerly Clerk in Charge, Statistical Branch, Department of Trade and Customs, South Australia</w:t>
            </w: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" w:type="pct"/>
            <w:vAlign w:val="bottom"/>
          </w:tcPr>
          <w:p w:rsidR="00767CEA" w:rsidRPr="00FB3EFD" w:rsidRDefault="009864D9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</w:tr>
      <w:tr w:rsidR="00A21CE6" w:rsidRPr="00B347F2" w:rsidTr="00901031">
        <w:trPr>
          <w:trHeight w:val="144"/>
        </w:trPr>
        <w:tc>
          <w:tcPr>
            <w:tcW w:w="4392" w:type="pct"/>
            <w:vAlign w:val="center"/>
          </w:tcPr>
          <w:p w:rsidR="00A21CE6" w:rsidRPr="00FB3EFD" w:rsidRDefault="00A21CE6" w:rsidP="00BA3367">
            <w:pPr>
              <w:tabs>
                <w:tab w:val="left" w:leader="dot" w:pos="8010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To trustee (to be appointed by the Treasurer) for the benefit of Norman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Herrington </w:t>
            </w:r>
            <w:r w:rsidRPr="00FB3EF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Wiltshire and Roland Biera Wiltshire, children of the late David Wiltshire, formerly Clerk, 4th Class, Audit Office, Department of the Treasury, Victoria</w:t>
            </w:r>
            <w:r w:rsidR="00BA336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bottom"/>
          </w:tcPr>
          <w:p w:rsidR="00A21CE6" w:rsidRPr="00FB3EFD" w:rsidRDefault="00A21CE6" w:rsidP="0090103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</w:tr>
      <w:tr w:rsidR="00767CEA" w:rsidRPr="00B347F2" w:rsidTr="009C375D">
        <w:trPr>
          <w:trHeight w:val="144"/>
        </w:trPr>
        <w:tc>
          <w:tcPr>
            <w:tcW w:w="4392" w:type="pct"/>
            <w:vAlign w:val="center"/>
          </w:tcPr>
          <w:p w:rsidR="00767CEA" w:rsidRPr="00FB3EFD" w:rsidRDefault="00767CEA" w:rsidP="00984EC4">
            <w:pPr>
              <w:tabs>
                <w:tab w:val="left" w:leader="dot" w:pos="5587"/>
              </w:tabs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CEA" w:rsidRPr="00FB3EFD" w:rsidRDefault="00A21CE6" w:rsidP="00711CC1">
            <w:pPr>
              <w:tabs>
                <w:tab w:val="left" w:leader="dot" w:pos="5587"/>
              </w:tabs>
              <w:ind w:right="28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3E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£2,842</w:t>
            </w:r>
          </w:p>
        </w:tc>
      </w:tr>
    </w:tbl>
    <w:p w:rsidR="000A0187" w:rsidRPr="00F74D48" w:rsidRDefault="000A0187" w:rsidP="00C34AC0">
      <w:pPr>
        <w:jc w:val="both"/>
        <w:rPr>
          <w:rFonts w:ascii="Times New Roman" w:hAnsi="Times New Roman" w:cs="Times New Roman"/>
        </w:rPr>
      </w:pPr>
    </w:p>
    <w:sectPr w:rsidR="000A0187" w:rsidRPr="00F74D48" w:rsidSect="00A7512B">
      <w:headerReference w:type="default" r:id="rId7"/>
      <w:pgSz w:w="11909" w:h="16834" w:code="9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A4" w:rsidRDefault="00B349A4">
      <w:r>
        <w:separator/>
      </w:r>
    </w:p>
  </w:endnote>
  <w:endnote w:type="continuationSeparator" w:id="0">
    <w:p w:rsidR="00B349A4" w:rsidRDefault="00B3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A4" w:rsidRDefault="00B349A4">
      <w:r>
        <w:separator/>
      </w:r>
    </w:p>
  </w:footnote>
  <w:footnote w:type="continuationSeparator" w:id="0">
    <w:p w:rsidR="00B349A4" w:rsidRDefault="00B34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FD" w:rsidRPr="00FB3EFD" w:rsidRDefault="00FB3EFD" w:rsidP="00B65BC5">
    <w:pPr>
      <w:pStyle w:val="Header"/>
      <w:tabs>
        <w:tab w:val="left" w:pos="990"/>
      </w:tabs>
      <w:rPr>
        <w:rFonts w:ascii="Times New Roman" w:hAnsi="Times New Roman" w:cs="Times New Roman"/>
        <w:sz w:val="20"/>
        <w:szCs w:val="20"/>
      </w:rPr>
    </w:pPr>
    <w:r w:rsidRPr="00FB3EFD">
      <w:rPr>
        <w:rStyle w:val="FontStyle15"/>
        <w:rFonts w:ascii="Times New Roman" w:hAnsi="Times New Roman" w:cs="Times New Roman"/>
        <w:sz w:val="20"/>
        <w:szCs w:val="20"/>
      </w:rPr>
      <w:t>90</w:t>
    </w:r>
    <w:r w:rsidR="00B65BC5">
      <w:rPr>
        <w:rStyle w:val="FontStyle15"/>
        <w:rFonts w:ascii="Times New Roman" w:hAnsi="Times New Roman" w:cs="Times New Roman"/>
        <w:sz w:val="20"/>
        <w:szCs w:val="20"/>
      </w:rPr>
      <w:tab/>
    </w:r>
    <w:r w:rsidRPr="00FB3EFD">
      <w:rPr>
        <w:rStyle w:val="FontStyle15"/>
        <w:rFonts w:ascii="Times New Roman" w:hAnsi="Times New Roman" w:cs="Times New Roman"/>
        <w:sz w:val="20"/>
        <w:szCs w:val="20"/>
      </w:rPr>
      <w:t>No. 24.</w:t>
    </w:r>
    <w:r w:rsidRPr="00FB3EF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FB3EFD">
      <w:rPr>
        <w:rStyle w:val="FontStyle14"/>
        <w:rFonts w:ascii="Times New Roman" w:hAnsi="Times New Roman" w:cs="Times New Roman"/>
        <w:sz w:val="20"/>
        <w:szCs w:val="20"/>
      </w:rPr>
      <w:t>Officers Compensation.</w:t>
    </w:r>
    <w:r w:rsidRPr="00FB3EF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FB3EFD">
      <w:rPr>
        <w:rStyle w:val="FontStyle12"/>
        <w:rFonts w:ascii="Times New Roman" w:hAnsi="Times New Roman" w:cs="Times New Roman"/>
        <w:b w:val="0"/>
        <w:sz w:val="20"/>
        <w:szCs w:val="20"/>
      </w:rPr>
      <w:t>1909.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E2CA4"/>
    <w:rsid w:val="000A0187"/>
    <w:rsid w:val="000B3B11"/>
    <w:rsid w:val="000E71B7"/>
    <w:rsid w:val="001219BF"/>
    <w:rsid w:val="001A4CCC"/>
    <w:rsid w:val="001B524C"/>
    <w:rsid w:val="001B705F"/>
    <w:rsid w:val="0020224A"/>
    <w:rsid w:val="00224E77"/>
    <w:rsid w:val="0024687C"/>
    <w:rsid w:val="002B40BC"/>
    <w:rsid w:val="002C4803"/>
    <w:rsid w:val="002E2CA4"/>
    <w:rsid w:val="002F1380"/>
    <w:rsid w:val="00406E3D"/>
    <w:rsid w:val="00421C81"/>
    <w:rsid w:val="00497761"/>
    <w:rsid w:val="004C0036"/>
    <w:rsid w:val="004C5C88"/>
    <w:rsid w:val="004D2C38"/>
    <w:rsid w:val="00502DBE"/>
    <w:rsid w:val="005342D6"/>
    <w:rsid w:val="0059238F"/>
    <w:rsid w:val="005E58A2"/>
    <w:rsid w:val="00622D40"/>
    <w:rsid w:val="00623FE3"/>
    <w:rsid w:val="00627506"/>
    <w:rsid w:val="006867B1"/>
    <w:rsid w:val="00711CC1"/>
    <w:rsid w:val="00761B4B"/>
    <w:rsid w:val="00767CEA"/>
    <w:rsid w:val="00783952"/>
    <w:rsid w:val="007A54AC"/>
    <w:rsid w:val="007A7A7E"/>
    <w:rsid w:val="007B630B"/>
    <w:rsid w:val="007F2398"/>
    <w:rsid w:val="00801DCF"/>
    <w:rsid w:val="00834A05"/>
    <w:rsid w:val="008B56E4"/>
    <w:rsid w:val="00901031"/>
    <w:rsid w:val="00984EC4"/>
    <w:rsid w:val="009864D9"/>
    <w:rsid w:val="009A3010"/>
    <w:rsid w:val="009C375D"/>
    <w:rsid w:val="009D3134"/>
    <w:rsid w:val="00A21CE6"/>
    <w:rsid w:val="00A7512B"/>
    <w:rsid w:val="00A75F4B"/>
    <w:rsid w:val="00AC5C2A"/>
    <w:rsid w:val="00B347F2"/>
    <w:rsid w:val="00B349A4"/>
    <w:rsid w:val="00B65BC5"/>
    <w:rsid w:val="00BA3367"/>
    <w:rsid w:val="00C00A3C"/>
    <w:rsid w:val="00C34AC0"/>
    <w:rsid w:val="00C648A8"/>
    <w:rsid w:val="00C945F8"/>
    <w:rsid w:val="00D15117"/>
    <w:rsid w:val="00D738D2"/>
    <w:rsid w:val="00D96753"/>
    <w:rsid w:val="00D96B10"/>
    <w:rsid w:val="00EA24ED"/>
    <w:rsid w:val="00EC2279"/>
    <w:rsid w:val="00EF170D"/>
    <w:rsid w:val="00EF493B"/>
    <w:rsid w:val="00F3342D"/>
    <w:rsid w:val="00F74D48"/>
    <w:rsid w:val="00F76BC1"/>
    <w:rsid w:val="00FB3EFD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EastAsia" w:hAnsiTheme="minorHAnsi" w:cs="Times New Roman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C1"/>
    <w:pPr>
      <w:widowControl w:val="0"/>
      <w:autoSpaceDE w:val="0"/>
      <w:autoSpaceDN w:val="0"/>
      <w:adjustRightInd w:val="0"/>
      <w:spacing w:after="0" w:line="240" w:lineRule="auto"/>
    </w:pPr>
    <w:rPr>
      <w:rFonts w:hAnsi="Sylfaen" w:cstheme="minorBidi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76BC1"/>
  </w:style>
  <w:style w:type="paragraph" w:customStyle="1" w:styleId="Style2">
    <w:name w:val="Style2"/>
    <w:basedOn w:val="Normal"/>
    <w:uiPriority w:val="99"/>
    <w:rsid w:val="00F76BC1"/>
  </w:style>
  <w:style w:type="paragraph" w:customStyle="1" w:styleId="Style3">
    <w:name w:val="Style3"/>
    <w:basedOn w:val="Normal"/>
    <w:uiPriority w:val="99"/>
    <w:rsid w:val="00F76BC1"/>
  </w:style>
  <w:style w:type="paragraph" w:customStyle="1" w:styleId="Style4">
    <w:name w:val="Style4"/>
    <w:basedOn w:val="Normal"/>
    <w:uiPriority w:val="99"/>
    <w:rsid w:val="00F76BC1"/>
  </w:style>
  <w:style w:type="paragraph" w:customStyle="1" w:styleId="Style5">
    <w:name w:val="Style5"/>
    <w:basedOn w:val="Normal"/>
    <w:uiPriority w:val="99"/>
    <w:rsid w:val="00F76BC1"/>
  </w:style>
  <w:style w:type="paragraph" w:customStyle="1" w:styleId="Style6">
    <w:name w:val="Style6"/>
    <w:basedOn w:val="Normal"/>
    <w:uiPriority w:val="99"/>
    <w:rsid w:val="00F76BC1"/>
  </w:style>
  <w:style w:type="paragraph" w:customStyle="1" w:styleId="Style7">
    <w:name w:val="Style7"/>
    <w:basedOn w:val="Normal"/>
    <w:uiPriority w:val="99"/>
    <w:rsid w:val="00F76BC1"/>
  </w:style>
  <w:style w:type="paragraph" w:customStyle="1" w:styleId="Style8">
    <w:name w:val="Style8"/>
    <w:basedOn w:val="Normal"/>
    <w:uiPriority w:val="99"/>
    <w:rsid w:val="00F76BC1"/>
  </w:style>
  <w:style w:type="paragraph" w:customStyle="1" w:styleId="Style9">
    <w:name w:val="Style9"/>
    <w:basedOn w:val="Normal"/>
    <w:uiPriority w:val="99"/>
    <w:rsid w:val="00F76BC1"/>
  </w:style>
  <w:style w:type="paragraph" w:customStyle="1" w:styleId="Style10">
    <w:name w:val="Style10"/>
    <w:basedOn w:val="Normal"/>
    <w:uiPriority w:val="99"/>
    <w:rsid w:val="00F76BC1"/>
  </w:style>
  <w:style w:type="character" w:customStyle="1" w:styleId="FontStyle12">
    <w:name w:val="Font Style12"/>
    <w:basedOn w:val="DefaultParagraphFont"/>
    <w:uiPriority w:val="99"/>
    <w:rsid w:val="00F76BC1"/>
    <w:rPr>
      <w:rFonts w:ascii="Sylfaen" w:hAnsi="Sylfaen" w:cs="Sylfaen"/>
      <w:b/>
      <w:bCs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F76BC1"/>
    <w:rPr>
      <w:rFonts w:ascii="Sylfaen" w:hAnsi="Sylfaen" w:cs="Sylfae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F76BC1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F76BC1"/>
    <w:rPr>
      <w:rFonts w:ascii="Sylfaen" w:hAnsi="Sylfaen" w:cs="Sylfaen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F76BC1"/>
    <w:rPr>
      <w:rFonts w:ascii="Sylfaen" w:hAnsi="Sylfaen" w:cs="Sylfaen"/>
      <w:sz w:val="32"/>
      <w:szCs w:val="32"/>
    </w:rPr>
  </w:style>
  <w:style w:type="character" w:customStyle="1" w:styleId="FontStyle17">
    <w:name w:val="Font Style17"/>
    <w:basedOn w:val="DefaultParagraphFont"/>
    <w:uiPriority w:val="99"/>
    <w:rsid w:val="00F76BC1"/>
    <w:rPr>
      <w:rFonts w:ascii="Sylfaen" w:hAnsi="Sylfaen" w:cs="Sylfaen"/>
      <w:b/>
      <w:bCs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F76BC1"/>
    <w:rPr>
      <w:rFonts w:ascii="Sylfaen" w:hAnsi="Sylfaen" w:cs="Sylfaen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F76BC1"/>
    <w:rPr>
      <w:rFonts w:ascii="Sylfaen" w:hAnsi="Sylfaen" w:cs="Sylfaen"/>
      <w:sz w:val="50"/>
      <w:szCs w:val="50"/>
    </w:rPr>
  </w:style>
  <w:style w:type="character" w:customStyle="1" w:styleId="FontStyle20">
    <w:name w:val="Font Style20"/>
    <w:basedOn w:val="DefaultParagraphFont"/>
    <w:uiPriority w:val="99"/>
    <w:rsid w:val="00F76BC1"/>
    <w:rPr>
      <w:rFonts w:ascii="Palatino Linotype" w:hAnsi="Palatino Linotype" w:cs="Palatino Linotype"/>
      <w:b/>
      <w:bCs/>
      <w:spacing w:val="30"/>
      <w:sz w:val="18"/>
      <w:szCs w:val="18"/>
    </w:rPr>
  </w:style>
  <w:style w:type="table" w:styleId="TableGrid">
    <w:name w:val="Table Grid"/>
    <w:basedOn w:val="TableNormal"/>
    <w:uiPriority w:val="59"/>
    <w:rsid w:val="00711CC1"/>
    <w:pPr>
      <w:spacing w:after="0" w:line="240" w:lineRule="auto"/>
      <w:jc w:val="center"/>
    </w:pPr>
    <w:rPr>
      <w:rFonts w:asciiTheme="minorHAnsi" w:cstheme="minorBidi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B3E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EFD"/>
    <w:rPr>
      <w:rFonts w:hAnsi="Sylfaen" w:cstheme="minorBidi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B3E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EFD"/>
    <w:rPr>
      <w:rFonts w:hAnsi="Sylfaen" w:cstheme="minorBidi"/>
      <w:sz w:val="24"/>
      <w:szCs w:val="24"/>
      <w:lang w:val="en-US" w:eastAsia="en-US" w:bidi="ar-SA"/>
    </w:rPr>
  </w:style>
  <w:style w:type="paragraph" w:customStyle="1" w:styleId="02">
    <w:name w:val="02"/>
    <w:basedOn w:val="Normal"/>
    <w:qFormat/>
    <w:rsid w:val="00B65BC5"/>
    <w:pPr>
      <w:tabs>
        <w:tab w:val="left" w:leader="dot" w:pos="5760"/>
      </w:tabs>
      <w:spacing w:before="80"/>
      <w:jc w:val="center"/>
    </w:pPr>
    <w:rPr>
      <w:rFonts w:ascii="Times New Roman" w:eastAsia="Century Schoolbook" w:hAnsi="Times New Roman" w:cs="Times New Roman"/>
      <w:small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CS-07</dc:creator>
  <cp:lastModifiedBy>Harper, Michael</cp:lastModifiedBy>
  <cp:revision>13</cp:revision>
  <dcterms:created xsi:type="dcterms:W3CDTF">2017-03-28T07:04:00Z</dcterms:created>
  <dcterms:modified xsi:type="dcterms:W3CDTF">2017-06-13T05:05:00Z</dcterms:modified>
</cp:coreProperties>
</file>