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A7" w:rsidRPr="007434DA" w:rsidRDefault="00C80CA7" w:rsidP="007434DA">
      <w:pPr>
        <w:pBdr>
          <w:top w:val="single" w:sz="4" w:space="1" w:color="auto"/>
        </w:pBdr>
        <w:spacing w:before="3000"/>
        <w:ind w:left="4032" w:right="4032"/>
        <w:jc w:val="center"/>
        <w:rPr>
          <w:sz w:val="10"/>
          <w:szCs w:val="32"/>
          <w:lang w:val="en-US" w:eastAsia="en-US"/>
        </w:rPr>
      </w:pPr>
    </w:p>
    <w:p w:rsidR="001A5817" w:rsidRPr="00970C83" w:rsidRDefault="001A5817" w:rsidP="00591F5C">
      <w:pPr>
        <w:spacing w:before="240"/>
        <w:jc w:val="center"/>
        <w:rPr>
          <w:sz w:val="36"/>
          <w:szCs w:val="36"/>
        </w:rPr>
      </w:pPr>
      <w:r w:rsidRPr="00970C83">
        <w:rPr>
          <w:sz w:val="36"/>
          <w:szCs w:val="36"/>
          <w:lang w:val="en-US" w:eastAsia="en-US"/>
        </w:rPr>
        <w:t>JUDICIARY.</w:t>
      </w:r>
    </w:p>
    <w:p w:rsidR="00C80CA7" w:rsidRPr="007434DA" w:rsidRDefault="00C80CA7" w:rsidP="007434DA">
      <w:pPr>
        <w:pBdr>
          <w:top w:val="single" w:sz="4" w:space="1" w:color="auto"/>
        </w:pBdr>
        <w:spacing w:before="480" w:after="120"/>
        <w:ind w:left="3888" w:right="3888"/>
        <w:jc w:val="center"/>
        <w:rPr>
          <w:b/>
          <w:bCs/>
          <w:sz w:val="10"/>
          <w:szCs w:val="32"/>
          <w:lang w:val="en-US" w:eastAsia="en-US"/>
        </w:rPr>
      </w:pPr>
    </w:p>
    <w:p w:rsidR="001A5817" w:rsidRPr="002210A2" w:rsidRDefault="001A5817" w:rsidP="007434DA">
      <w:pPr>
        <w:spacing w:after="120"/>
        <w:jc w:val="center"/>
        <w:rPr>
          <w:sz w:val="28"/>
          <w:szCs w:val="28"/>
        </w:rPr>
      </w:pPr>
      <w:r w:rsidRPr="002210A2">
        <w:rPr>
          <w:b/>
          <w:bCs/>
          <w:sz w:val="28"/>
          <w:szCs w:val="28"/>
          <w:lang w:val="en-US" w:eastAsia="en-US"/>
        </w:rPr>
        <w:t>No. 8 of 1907.</w:t>
      </w:r>
    </w:p>
    <w:p w:rsidR="001A5817" w:rsidRPr="004D44F9" w:rsidRDefault="001A5817" w:rsidP="007434DA">
      <w:pPr>
        <w:spacing w:after="120"/>
        <w:jc w:val="center"/>
        <w:rPr>
          <w:sz w:val="26"/>
          <w:szCs w:val="26"/>
        </w:rPr>
      </w:pPr>
      <w:r w:rsidRPr="004D44F9">
        <w:rPr>
          <w:sz w:val="26"/>
          <w:szCs w:val="26"/>
          <w:lang w:val="en-US" w:eastAsia="en-US"/>
        </w:rPr>
        <w:t xml:space="preserve">An Act to amend the </w:t>
      </w:r>
      <w:r w:rsidRPr="004D44F9">
        <w:rPr>
          <w:i/>
          <w:iCs/>
          <w:sz w:val="26"/>
          <w:szCs w:val="26"/>
          <w:lang w:val="en-US" w:eastAsia="en-US"/>
        </w:rPr>
        <w:t xml:space="preserve">Judiciary Act </w:t>
      </w:r>
      <w:r w:rsidRPr="004D44F9">
        <w:rPr>
          <w:sz w:val="26"/>
          <w:szCs w:val="26"/>
          <w:lang w:val="en-US" w:eastAsia="en-US"/>
        </w:rPr>
        <w:t>1903.</w:t>
      </w:r>
    </w:p>
    <w:p w:rsidR="001A5817" w:rsidRPr="00BF54A2" w:rsidRDefault="001A5817" w:rsidP="006A594E">
      <w:pPr>
        <w:spacing w:before="240"/>
        <w:jc w:val="right"/>
      </w:pPr>
      <w:r w:rsidRPr="004D44F9">
        <w:rPr>
          <w:sz w:val="26"/>
          <w:szCs w:val="26"/>
          <w:lang w:val="en-US" w:eastAsia="en-US"/>
        </w:rPr>
        <w:t>[Assented to 14th October, 1907.]</w:t>
      </w:r>
    </w:p>
    <w:p w:rsidR="001A5817" w:rsidRPr="00851542" w:rsidRDefault="001A5817" w:rsidP="006A594E">
      <w:pPr>
        <w:spacing w:before="240"/>
        <w:jc w:val="both"/>
        <w:rPr>
          <w:sz w:val="22"/>
          <w:szCs w:val="22"/>
        </w:rPr>
      </w:pPr>
      <w:r w:rsidRPr="00851542">
        <w:rPr>
          <w:sz w:val="22"/>
          <w:szCs w:val="22"/>
          <w:lang w:val="en-US" w:eastAsia="en-US"/>
        </w:rPr>
        <w:t>BE it enacted by the King</w:t>
      </w:r>
      <w:r w:rsidR="00E46C59" w:rsidRPr="00851542">
        <w:rPr>
          <w:sz w:val="22"/>
          <w:szCs w:val="22"/>
          <w:lang w:val="en-US" w:eastAsia="en-US"/>
        </w:rPr>
        <w:t>’</w:t>
      </w:r>
      <w:r w:rsidRPr="00851542">
        <w:rPr>
          <w:sz w:val="22"/>
          <w:szCs w:val="22"/>
          <w:lang w:val="en-US" w:eastAsia="en-US"/>
        </w:rPr>
        <w:t>s Most Excellent Majesty, the Senate, and the House of Representatives of the Commonwealth of Australia, as follows:—</w:t>
      </w:r>
    </w:p>
    <w:p w:rsidR="001A5817" w:rsidRPr="00BF54A2" w:rsidRDefault="001A5817" w:rsidP="00EE048E">
      <w:pPr>
        <w:spacing w:before="120" w:after="60"/>
        <w:jc w:val="both"/>
        <w:rPr>
          <w:b/>
          <w:bCs/>
          <w:sz w:val="20"/>
          <w:szCs w:val="20"/>
        </w:rPr>
      </w:pPr>
      <w:r w:rsidRPr="00E24CD7">
        <w:rPr>
          <w:b/>
          <w:bCs/>
          <w:sz w:val="20"/>
          <w:szCs w:val="20"/>
          <w:lang w:val="en-US" w:eastAsia="en-US"/>
        </w:rPr>
        <w:t>Short title and citation.</w:t>
      </w:r>
    </w:p>
    <w:p w:rsidR="001A5817" w:rsidRPr="00BF54A2" w:rsidRDefault="001A5817" w:rsidP="00954AB9">
      <w:pPr>
        <w:tabs>
          <w:tab w:val="left" w:pos="630"/>
        </w:tabs>
        <w:ind w:firstLine="288"/>
        <w:jc w:val="both"/>
        <w:rPr>
          <w:sz w:val="22"/>
          <w:szCs w:val="22"/>
        </w:rPr>
      </w:pPr>
      <w:r w:rsidRPr="00FB4535">
        <w:rPr>
          <w:b/>
          <w:bCs/>
          <w:sz w:val="22"/>
          <w:szCs w:val="22"/>
          <w:lang w:val="en-US" w:eastAsia="en-US"/>
        </w:rPr>
        <w:t>1.</w:t>
      </w:r>
      <w:r w:rsidR="00954AB9">
        <w:rPr>
          <w:sz w:val="22"/>
          <w:szCs w:val="22"/>
          <w:lang w:val="en-US" w:eastAsia="en-US"/>
        </w:rPr>
        <w:tab/>
      </w:r>
      <w:r w:rsidRPr="004B2A2E">
        <w:rPr>
          <w:sz w:val="22"/>
          <w:szCs w:val="22"/>
          <w:lang w:val="en-US" w:eastAsia="en-US"/>
        </w:rPr>
        <w:t xml:space="preserve">This Act may be cited as the </w:t>
      </w:r>
      <w:r w:rsidRPr="004B2A2E">
        <w:rPr>
          <w:i/>
          <w:iCs/>
          <w:sz w:val="22"/>
          <w:szCs w:val="22"/>
          <w:lang w:val="en-US" w:eastAsia="en-US"/>
        </w:rPr>
        <w:t xml:space="preserve">Judiciary Act </w:t>
      </w:r>
      <w:r w:rsidRPr="004B2A2E">
        <w:rPr>
          <w:sz w:val="22"/>
          <w:szCs w:val="22"/>
          <w:lang w:val="en-US" w:eastAsia="en-US"/>
        </w:rPr>
        <w:t xml:space="preserve">1907, and the </w:t>
      </w:r>
      <w:r w:rsidRPr="004B2A2E">
        <w:rPr>
          <w:i/>
          <w:iCs/>
          <w:sz w:val="22"/>
          <w:szCs w:val="22"/>
          <w:lang w:val="en-US" w:eastAsia="en-US"/>
        </w:rPr>
        <w:t xml:space="preserve">Judiciary Act </w:t>
      </w:r>
      <w:r w:rsidRPr="004B2A2E">
        <w:rPr>
          <w:sz w:val="22"/>
          <w:szCs w:val="22"/>
          <w:lang w:val="en-US" w:eastAsia="en-US"/>
        </w:rPr>
        <w:t xml:space="preserve">1903 (in this Act called the Principal Act) as amended by the </w:t>
      </w:r>
      <w:r w:rsidRPr="004B2A2E">
        <w:rPr>
          <w:i/>
          <w:iCs/>
          <w:sz w:val="22"/>
          <w:szCs w:val="22"/>
          <w:lang w:val="en-US" w:eastAsia="en-US"/>
        </w:rPr>
        <w:t xml:space="preserve">Judiciary Act </w:t>
      </w:r>
      <w:r w:rsidRPr="004B2A2E">
        <w:rPr>
          <w:sz w:val="22"/>
          <w:szCs w:val="22"/>
          <w:lang w:val="en-US" w:eastAsia="en-US"/>
        </w:rPr>
        <w:t xml:space="preserve">1906 and by this Act, may be cited as the </w:t>
      </w:r>
      <w:r w:rsidRPr="004B2A2E">
        <w:rPr>
          <w:i/>
          <w:iCs/>
          <w:sz w:val="22"/>
          <w:szCs w:val="22"/>
          <w:lang w:val="en-US" w:eastAsia="en-US"/>
        </w:rPr>
        <w:t xml:space="preserve">Judiciary Act </w:t>
      </w:r>
      <w:r w:rsidRPr="004B2A2E">
        <w:rPr>
          <w:sz w:val="22"/>
          <w:szCs w:val="22"/>
          <w:lang w:val="en-US" w:eastAsia="en-US"/>
        </w:rPr>
        <w:t>1903–1907.</w:t>
      </w:r>
    </w:p>
    <w:p w:rsidR="001A5817" w:rsidRPr="00BF54A2" w:rsidRDefault="001A5817" w:rsidP="00EE048E">
      <w:pPr>
        <w:spacing w:before="120" w:after="60"/>
        <w:jc w:val="both"/>
        <w:rPr>
          <w:b/>
          <w:bCs/>
          <w:sz w:val="20"/>
          <w:szCs w:val="20"/>
        </w:rPr>
      </w:pPr>
      <w:r w:rsidRPr="004B2A2E">
        <w:rPr>
          <w:b/>
          <w:bCs/>
          <w:sz w:val="20"/>
          <w:szCs w:val="20"/>
          <w:lang w:val="en-US" w:eastAsia="en-US"/>
        </w:rPr>
        <w:t>Matter in which jurisdiction of High Court is exclusive of jurisdiction of State Supreme Courts.</w:t>
      </w:r>
    </w:p>
    <w:p w:rsidR="001A5817" w:rsidRPr="00BF54A2" w:rsidRDefault="001A5817" w:rsidP="00954AB9">
      <w:pPr>
        <w:tabs>
          <w:tab w:val="left" w:pos="630"/>
        </w:tabs>
        <w:ind w:firstLine="288"/>
        <w:jc w:val="both"/>
        <w:rPr>
          <w:sz w:val="22"/>
          <w:szCs w:val="22"/>
        </w:rPr>
      </w:pPr>
      <w:r w:rsidRPr="00FB4535">
        <w:rPr>
          <w:b/>
          <w:bCs/>
          <w:sz w:val="22"/>
          <w:szCs w:val="22"/>
          <w:lang w:val="en-US" w:eastAsia="en-US"/>
        </w:rPr>
        <w:t>2.</w:t>
      </w:r>
      <w:r w:rsidR="00954AB9">
        <w:rPr>
          <w:sz w:val="22"/>
          <w:szCs w:val="22"/>
          <w:lang w:val="en-US" w:eastAsia="en-US"/>
        </w:rPr>
        <w:tab/>
      </w:r>
      <w:r w:rsidRPr="004B2A2E">
        <w:rPr>
          <w:sz w:val="22"/>
          <w:szCs w:val="22"/>
          <w:lang w:val="en-US" w:eastAsia="en-US"/>
        </w:rPr>
        <w:t>After section thirty-eight of the Principal Act the following</w:t>
      </w:r>
      <w:r w:rsidR="00262289">
        <w:rPr>
          <w:sz w:val="22"/>
          <w:szCs w:val="22"/>
          <w:lang w:val="en-US" w:eastAsia="en-US"/>
        </w:rPr>
        <w:t xml:space="preserve"> </w:t>
      </w:r>
      <w:r w:rsidRPr="004B2A2E">
        <w:rPr>
          <w:sz w:val="22"/>
          <w:szCs w:val="22"/>
          <w:lang w:val="en-US" w:eastAsia="en-US"/>
        </w:rPr>
        <w:t>section is inserted:—</w:t>
      </w:r>
    </w:p>
    <w:p w:rsidR="004B2A2E" w:rsidRPr="004B2A2E" w:rsidRDefault="00E46C59" w:rsidP="009A6A64">
      <w:pPr>
        <w:ind w:firstLine="288"/>
        <w:jc w:val="both"/>
        <w:rPr>
          <w:sz w:val="22"/>
          <w:szCs w:val="22"/>
          <w:lang w:val="en-US" w:eastAsia="en-US"/>
        </w:rPr>
      </w:pPr>
      <w:r>
        <w:rPr>
          <w:sz w:val="22"/>
          <w:szCs w:val="22"/>
          <w:lang w:val="en-US" w:eastAsia="en-US"/>
        </w:rPr>
        <w:t>“</w:t>
      </w:r>
      <w:r w:rsidR="001A5817" w:rsidRPr="004B2A2E">
        <w:rPr>
          <w:sz w:val="22"/>
          <w:szCs w:val="22"/>
          <w:lang w:val="en-US" w:eastAsia="en-US"/>
        </w:rPr>
        <w:t xml:space="preserve"> 38</w:t>
      </w:r>
      <w:r w:rsidR="001A5817" w:rsidRPr="00262289">
        <w:rPr>
          <w:bCs/>
          <w:smallCaps/>
          <w:sz w:val="22"/>
          <w:szCs w:val="22"/>
          <w:lang w:val="en-US" w:eastAsia="en-US"/>
        </w:rPr>
        <w:t>a</w:t>
      </w:r>
      <w:r w:rsidR="001A5817" w:rsidRPr="004B2A2E">
        <w:rPr>
          <w:sz w:val="22"/>
          <w:szCs w:val="22"/>
          <w:lang w:val="en-US" w:eastAsia="en-US"/>
        </w:rPr>
        <w:t xml:space="preserve">. In matters (other than trials of indictable offences) involving any question, however arising, as to the limits </w:t>
      </w:r>
      <w:r w:rsidR="001A5817" w:rsidRPr="004B2A2E">
        <w:rPr>
          <w:i/>
          <w:iCs/>
          <w:sz w:val="22"/>
          <w:szCs w:val="22"/>
          <w:lang w:val="en-US" w:eastAsia="en-US"/>
        </w:rPr>
        <w:t xml:space="preserve">inter </w:t>
      </w:r>
      <w:r w:rsidR="001A5817" w:rsidRPr="004B2A2E">
        <w:rPr>
          <w:i/>
          <w:iCs/>
          <w:sz w:val="22"/>
          <w:szCs w:val="22"/>
          <w:lang w:val="fr-FR" w:eastAsia="fr-FR"/>
        </w:rPr>
        <w:t xml:space="preserve">se </w:t>
      </w:r>
      <w:r w:rsidR="001A5817" w:rsidRPr="004B2A2E">
        <w:rPr>
          <w:sz w:val="22"/>
          <w:szCs w:val="22"/>
          <w:lang w:val="en-US" w:eastAsia="en-US"/>
        </w:rPr>
        <w:t xml:space="preserve">of the constitutional powers of the Commonwealth and those of any State or States, or as to the limits </w:t>
      </w:r>
      <w:r w:rsidR="001A5817" w:rsidRPr="004B2A2E">
        <w:rPr>
          <w:i/>
          <w:iCs/>
          <w:sz w:val="22"/>
          <w:szCs w:val="22"/>
          <w:lang w:val="en-US" w:eastAsia="en-US"/>
        </w:rPr>
        <w:t xml:space="preserve">inter </w:t>
      </w:r>
      <w:r w:rsidR="001A5817" w:rsidRPr="004B2A2E">
        <w:rPr>
          <w:i/>
          <w:iCs/>
          <w:sz w:val="22"/>
          <w:szCs w:val="22"/>
          <w:lang w:val="fr-FR" w:eastAsia="fr-FR"/>
        </w:rPr>
        <w:t xml:space="preserve">se </w:t>
      </w:r>
      <w:r w:rsidR="001A5817" w:rsidRPr="004B2A2E">
        <w:rPr>
          <w:sz w:val="22"/>
          <w:szCs w:val="22"/>
          <w:lang w:val="en-US" w:eastAsia="en-US"/>
        </w:rPr>
        <w:t>of the constitutional powers of any two or more States, the jurisdiction of the High Court shall be exclusive of the jurisdiction of the Supreme Courts of the States; so that the Supreme Court of a State shall not have jurisdiction to entertain or determine any such matter, either as a Court of first instance or as a Court of Appeal from an inferior Court.</w:t>
      </w:r>
      <w:r>
        <w:rPr>
          <w:sz w:val="22"/>
          <w:szCs w:val="22"/>
          <w:lang w:val="en-US" w:eastAsia="en-US"/>
        </w:rPr>
        <w:t>”</w:t>
      </w:r>
    </w:p>
    <w:p w:rsidR="004B2A2E" w:rsidRDefault="004B2A2E" w:rsidP="006A594E">
      <w:pPr>
        <w:widowControl/>
        <w:autoSpaceDE/>
        <w:autoSpaceDN/>
        <w:adjustRightInd/>
        <w:jc w:val="both"/>
        <w:rPr>
          <w:sz w:val="20"/>
          <w:lang w:val="en-US" w:eastAsia="en-US"/>
        </w:rPr>
      </w:pPr>
      <w:r>
        <w:rPr>
          <w:sz w:val="20"/>
          <w:lang w:val="en-US" w:eastAsia="en-US"/>
        </w:rPr>
        <w:br w:type="page"/>
      </w:r>
    </w:p>
    <w:p w:rsidR="001A5817" w:rsidRPr="00BF54A2" w:rsidRDefault="001A5817" w:rsidP="00EE048E">
      <w:pPr>
        <w:spacing w:before="120" w:after="60"/>
        <w:jc w:val="both"/>
        <w:rPr>
          <w:b/>
          <w:bCs/>
          <w:sz w:val="20"/>
          <w:szCs w:val="20"/>
        </w:rPr>
      </w:pPr>
      <w:r w:rsidRPr="00D25611">
        <w:rPr>
          <w:b/>
          <w:bCs/>
          <w:sz w:val="20"/>
          <w:szCs w:val="20"/>
          <w:lang w:val="en-US" w:eastAsia="en-US"/>
        </w:rPr>
        <w:lastRenderedPageBreak/>
        <w:t>Federal jurisdiction of State Courts.</w:t>
      </w:r>
    </w:p>
    <w:p w:rsidR="001A5817" w:rsidRPr="00BF54A2" w:rsidRDefault="001A5817" w:rsidP="006C0237">
      <w:pPr>
        <w:tabs>
          <w:tab w:val="left" w:pos="630"/>
        </w:tabs>
        <w:ind w:firstLine="288"/>
        <w:jc w:val="both"/>
        <w:rPr>
          <w:sz w:val="22"/>
          <w:szCs w:val="22"/>
        </w:rPr>
      </w:pPr>
      <w:r w:rsidRPr="00FB4535">
        <w:rPr>
          <w:b/>
          <w:bCs/>
          <w:sz w:val="22"/>
          <w:szCs w:val="22"/>
          <w:lang w:val="en-US" w:eastAsia="en-US"/>
        </w:rPr>
        <w:t>3.</w:t>
      </w:r>
      <w:r w:rsidR="006C0237">
        <w:rPr>
          <w:sz w:val="22"/>
          <w:szCs w:val="22"/>
          <w:lang w:val="en-US" w:eastAsia="en-US"/>
        </w:rPr>
        <w:tab/>
      </w:r>
      <w:r w:rsidRPr="00D25611">
        <w:rPr>
          <w:sz w:val="22"/>
          <w:szCs w:val="22"/>
          <w:lang w:val="en-US" w:eastAsia="en-US"/>
        </w:rPr>
        <w:t xml:space="preserve">Section thirty-nine of the Principal Act is amended by omitting the words </w:t>
      </w:r>
      <w:r w:rsidR="00E46C59">
        <w:rPr>
          <w:sz w:val="22"/>
          <w:szCs w:val="22"/>
          <w:lang w:val="en-US" w:eastAsia="en-US"/>
        </w:rPr>
        <w:t>“</w:t>
      </w:r>
      <w:r w:rsidRPr="00D25611">
        <w:rPr>
          <w:sz w:val="22"/>
          <w:szCs w:val="22"/>
          <w:lang w:val="en-US" w:eastAsia="en-US"/>
        </w:rPr>
        <w:t>in matters not mentioned in the last preceding section,</w:t>
      </w:r>
      <w:r w:rsidR="00E46C59">
        <w:rPr>
          <w:sz w:val="22"/>
          <w:szCs w:val="22"/>
          <w:lang w:val="en-US" w:eastAsia="en-US"/>
        </w:rPr>
        <w:t>”</w:t>
      </w:r>
      <w:r w:rsidRPr="00D25611">
        <w:rPr>
          <w:sz w:val="22"/>
          <w:szCs w:val="22"/>
          <w:lang w:val="en-US" w:eastAsia="en-US"/>
        </w:rPr>
        <w:t xml:space="preserve"> and inserting in lieu thereof the words </w:t>
      </w:r>
      <w:r w:rsidR="00E46C59">
        <w:rPr>
          <w:sz w:val="22"/>
          <w:szCs w:val="22"/>
          <w:lang w:val="en-US" w:eastAsia="en-US"/>
        </w:rPr>
        <w:t>“</w:t>
      </w:r>
      <w:r w:rsidRPr="00D25611">
        <w:rPr>
          <w:sz w:val="22"/>
          <w:szCs w:val="22"/>
          <w:lang w:val="en-US" w:eastAsia="en-US"/>
        </w:rPr>
        <w:t xml:space="preserve"> so far as it is not exclusive of the jurisdiction of any Court of a State by virtue of either of the last two preceding sections.</w:t>
      </w:r>
      <w:r w:rsidR="00E46C59">
        <w:rPr>
          <w:sz w:val="22"/>
          <w:szCs w:val="22"/>
          <w:lang w:val="en-US" w:eastAsia="en-US"/>
        </w:rPr>
        <w:t>”</w:t>
      </w:r>
    </w:p>
    <w:p w:rsidR="001A5817" w:rsidRPr="00BF54A2" w:rsidRDefault="001A5817" w:rsidP="00EE048E">
      <w:pPr>
        <w:spacing w:before="120" w:after="60"/>
        <w:jc w:val="both"/>
        <w:rPr>
          <w:b/>
          <w:bCs/>
          <w:sz w:val="20"/>
          <w:szCs w:val="20"/>
        </w:rPr>
      </w:pPr>
      <w:r w:rsidRPr="00D25611">
        <w:rPr>
          <w:b/>
          <w:bCs/>
          <w:sz w:val="20"/>
          <w:szCs w:val="20"/>
          <w:lang w:val="en-US" w:eastAsia="en-US"/>
        </w:rPr>
        <w:t xml:space="preserve">Removal by order of the High Court. </w:t>
      </w:r>
    </w:p>
    <w:p w:rsidR="001A5817" w:rsidRPr="00BF54A2" w:rsidRDefault="001A5817" w:rsidP="00973734">
      <w:pPr>
        <w:tabs>
          <w:tab w:val="left" w:pos="630"/>
        </w:tabs>
        <w:ind w:firstLine="288"/>
        <w:jc w:val="both"/>
        <w:rPr>
          <w:sz w:val="22"/>
          <w:szCs w:val="22"/>
        </w:rPr>
      </w:pPr>
      <w:r w:rsidRPr="00FB4535">
        <w:rPr>
          <w:b/>
          <w:bCs/>
          <w:sz w:val="22"/>
          <w:szCs w:val="22"/>
          <w:lang w:val="en-US" w:eastAsia="en-US"/>
        </w:rPr>
        <w:t>4.</w:t>
      </w:r>
      <w:r w:rsidR="00973734">
        <w:rPr>
          <w:sz w:val="22"/>
          <w:szCs w:val="22"/>
          <w:lang w:val="en-US" w:eastAsia="en-US"/>
        </w:rPr>
        <w:tab/>
      </w:r>
      <w:r w:rsidRPr="00D25611">
        <w:rPr>
          <w:sz w:val="22"/>
          <w:szCs w:val="22"/>
          <w:lang w:val="en-US" w:eastAsia="en-US"/>
        </w:rPr>
        <w:t>Section forty of the Principal Act is amended—</w:t>
      </w:r>
    </w:p>
    <w:p w:rsidR="001A5817" w:rsidRPr="00BF54A2" w:rsidRDefault="001A5817" w:rsidP="006A594E">
      <w:pPr>
        <w:ind w:firstLine="426"/>
        <w:jc w:val="both"/>
        <w:rPr>
          <w:sz w:val="22"/>
          <w:szCs w:val="22"/>
        </w:rPr>
      </w:pPr>
      <w:r w:rsidRPr="00D25611">
        <w:rPr>
          <w:sz w:val="22"/>
          <w:szCs w:val="22"/>
          <w:lang w:val="en-US" w:eastAsia="en-US"/>
        </w:rPr>
        <w:t>(</w:t>
      </w:r>
      <w:r w:rsidRPr="00D25611">
        <w:rPr>
          <w:i/>
          <w:iCs/>
          <w:sz w:val="22"/>
          <w:szCs w:val="22"/>
          <w:lang w:val="en-US" w:eastAsia="en-US"/>
        </w:rPr>
        <w:t>a</w:t>
      </w:r>
      <w:r w:rsidRPr="00D25611">
        <w:rPr>
          <w:sz w:val="22"/>
          <w:szCs w:val="22"/>
          <w:lang w:val="en-US" w:eastAsia="en-US"/>
        </w:rPr>
        <w:t xml:space="preserve">) by omitting the words </w:t>
      </w:r>
      <w:r w:rsidR="00E46C59">
        <w:rPr>
          <w:sz w:val="22"/>
          <w:szCs w:val="22"/>
          <w:lang w:val="en-US" w:eastAsia="en-US"/>
        </w:rPr>
        <w:t>“</w:t>
      </w:r>
      <w:r w:rsidRPr="00D25611">
        <w:rPr>
          <w:sz w:val="22"/>
          <w:szCs w:val="22"/>
          <w:lang w:val="en-US" w:eastAsia="en-US"/>
        </w:rPr>
        <w:t>on appeal</w:t>
      </w:r>
      <w:r w:rsidR="00E46C59">
        <w:rPr>
          <w:sz w:val="22"/>
          <w:szCs w:val="22"/>
          <w:lang w:val="en-US" w:eastAsia="en-US"/>
        </w:rPr>
        <w:t>”</w:t>
      </w:r>
      <w:r w:rsidRPr="00D25611">
        <w:rPr>
          <w:sz w:val="22"/>
          <w:szCs w:val="22"/>
          <w:lang w:val="en-US" w:eastAsia="en-US"/>
        </w:rPr>
        <w:t>;</w:t>
      </w:r>
    </w:p>
    <w:p w:rsidR="001A5817" w:rsidRPr="00BF54A2" w:rsidRDefault="001A5817" w:rsidP="006A594E">
      <w:pPr>
        <w:ind w:left="851" w:hanging="425"/>
        <w:jc w:val="both"/>
        <w:rPr>
          <w:sz w:val="22"/>
          <w:szCs w:val="22"/>
        </w:rPr>
      </w:pPr>
      <w:r w:rsidRPr="00D25611">
        <w:rPr>
          <w:sz w:val="22"/>
          <w:szCs w:val="22"/>
          <w:lang w:val="en-US" w:eastAsia="en-US"/>
        </w:rPr>
        <w:t>(</w:t>
      </w:r>
      <w:r w:rsidRPr="00D25611">
        <w:rPr>
          <w:i/>
          <w:iCs/>
          <w:sz w:val="22"/>
          <w:szCs w:val="22"/>
          <w:lang w:val="en-US" w:eastAsia="en-US"/>
        </w:rPr>
        <w:t>b</w:t>
      </w:r>
      <w:r w:rsidRPr="00D25611">
        <w:rPr>
          <w:sz w:val="22"/>
          <w:szCs w:val="22"/>
          <w:lang w:val="en-US" w:eastAsia="en-US"/>
        </w:rPr>
        <w:t xml:space="preserve">) by omitting the words </w:t>
      </w:r>
      <w:r w:rsidR="00E46C59">
        <w:rPr>
          <w:sz w:val="22"/>
          <w:szCs w:val="22"/>
          <w:lang w:val="en-US" w:eastAsia="en-US"/>
        </w:rPr>
        <w:t>“</w:t>
      </w:r>
      <w:r w:rsidRPr="00D25611">
        <w:rPr>
          <w:sz w:val="22"/>
          <w:szCs w:val="22"/>
          <w:lang w:val="en-US" w:eastAsia="en-US"/>
        </w:rPr>
        <w:t>which may, for special cause shown, upon application by any party, or by or on behalf of the Attorney-General of the Commonwealth or of a State, be made on such terms as the Court thinks fit,</w:t>
      </w:r>
      <w:r w:rsidR="00E46C59">
        <w:rPr>
          <w:sz w:val="22"/>
          <w:szCs w:val="22"/>
          <w:lang w:val="en-US" w:eastAsia="en-US"/>
        </w:rPr>
        <w:t>”</w:t>
      </w:r>
      <w:r w:rsidRPr="00D25611">
        <w:rPr>
          <w:sz w:val="22"/>
          <w:szCs w:val="22"/>
          <w:lang w:val="en-US" w:eastAsia="en-US"/>
        </w:rPr>
        <w:t xml:space="preserve"> and inserting in lieu thereof the words </w:t>
      </w:r>
      <w:r w:rsidR="00E46C59">
        <w:rPr>
          <w:sz w:val="22"/>
          <w:szCs w:val="22"/>
          <w:lang w:val="en-US" w:eastAsia="en-US"/>
        </w:rPr>
        <w:t>“</w:t>
      </w:r>
      <w:r w:rsidRPr="00D25611">
        <w:rPr>
          <w:sz w:val="22"/>
          <w:szCs w:val="22"/>
          <w:lang w:val="en-US" w:eastAsia="en-US"/>
        </w:rPr>
        <w:t xml:space="preserve"> which may, upon the application of any party for sufficient cause shown, be made on such terms as the Court thinks fit, and shall be made as of course upon motion in open Court by or on behalf of the Attorney-General of the Commonwealth or the Attorney-General of a State.</w:t>
      </w:r>
      <w:r w:rsidR="00E46C59">
        <w:rPr>
          <w:sz w:val="22"/>
          <w:szCs w:val="22"/>
          <w:lang w:val="en-US" w:eastAsia="en-US"/>
        </w:rPr>
        <w:t>”</w:t>
      </w:r>
    </w:p>
    <w:p w:rsidR="001A5817" w:rsidRPr="00BF54A2" w:rsidRDefault="001A5817" w:rsidP="00EE048E">
      <w:pPr>
        <w:spacing w:before="120" w:after="60"/>
        <w:jc w:val="both"/>
        <w:rPr>
          <w:b/>
          <w:bCs/>
          <w:sz w:val="20"/>
          <w:szCs w:val="20"/>
        </w:rPr>
      </w:pPr>
      <w:r w:rsidRPr="00D25611">
        <w:rPr>
          <w:b/>
          <w:bCs/>
          <w:sz w:val="20"/>
          <w:szCs w:val="20"/>
          <w:lang w:val="en-US" w:eastAsia="en-US"/>
        </w:rPr>
        <w:t>Removal by virtue of this Act.</w:t>
      </w:r>
    </w:p>
    <w:p w:rsidR="001A5817" w:rsidRPr="00BF54A2" w:rsidRDefault="001A5817" w:rsidP="007567BD">
      <w:pPr>
        <w:tabs>
          <w:tab w:val="left" w:pos="630"/>
        </w:tabs>
        <w:ind w:firstLine="288"/>
        <w:jc w:val="both"/>
        <w:rPr>
          <w:sz w:val="22"/>
          <w:szCs w:val="22"/>
        </w:rPr>
      </w:pPr>
      <w:r w:rsidRPr="00FB4535">
        <w:rPr>
          <w:b/>
          <w:bCs/>
          <w:sz w:val="22"/>
          <w:szCs w:val="22"/>
          <w:lang w:val="en-US" w:eastAsia="en-US"/>
        </w:rPr>
        <w:t>5.</w:t>
      </w:r>
      <w:r w:rsidR="007567BD">
        <w:rPr>
          <w:sz w:val="22"/>
          <w:szCs w:val="22"/>
          <w:lang w:val="en-US" w:eastAsia="en-US"/>
        </w:rPr>
        <w:tab/>
      </w:r>
      <w:r w:rsidRPr="00D25611">
        <w:rPr>
          <w:sz w:val="22"/>
          <w:szCs w:val="22"/>
          <w:lang w:val="en-US" w:eastAsia="en-US"/>
        </w:rPr>
        <w:t>After section forty of the Principal Act the following section is inserted:—</w:t>
      </w:r>
    </w:p>
    <w:p w:rsidR="001A5817" w:rsidRPr="00BF54A2" w:rsidRDefault="00E46C59" w:rsidP="009A6A64">
      <w:pPr>
        <w:ind w:firstLine="288"/>
        <w:jc w:val="both"/>
        <w:rPr>
          <w:sz w:val="22"/>
          <w:szCs w:val="22"/>
        </w:rPr>
      </w:pPr>
      <w:r>
        <w:rPr>
          <w:sz w:val="22"/>
          <w:szCs w:val="22"/>
          <w:lang w:val="en-US" w:eastAsia="en-US"/>
        </w:rPr>
        <w:t>“</w:t>
      </w:r>
      <w:r w:rsidR="001A5817" w:rsidRPr="00D25611">
        <w:rPr>
          <w:sz w:val="22"/>
          <w:szCs w:val="22"/>
          <w:lang w:val="en-US" w:eastAsia="en-US"/>
        </w:rPr>
        <w:t>40</w:t>
      </w:r>
      <w:r w:rsidR="001A5817" w:rsidRPr="00567CE9">
        <w:rPr>
          <w:bCs/>
          <w:smallCaps/>
          <w:spacing w:val="10"/>
          <w:sz w:val="22"/>
          <w:szCs w:val="22"/>
          <w:lang w:val="en-US" w:eastAsia="en-US"/>
        </w:rPr>
        <w:t>a</w:t>
      </w:r>
      <w:r w:rsidR="001A5817" w:rsidRPr="00D25611">
        <w:rPr>
          <w:b/>
          <w:bCs/>
          <w:smallCaps/>
          <w:spacing w:val="10"/>
          <w:sz w:val="22"/>
          <w:szCs w:val="22"/>
          <w:lang w:val="en-US" w:eastAsia="en-US"/>
        </w:rPr>
        <w:t>.—</w:t>
      </w:r>
      <w:r w:rsidR="001A5817" w:rsidRPr="00D25611">
        <w:rPr>
          <w:sz w:val="22"/>
          <w:szCs w:val="22"/>
          <w:lang w:val="en-US" w:eastAsia="en-US"/>
        </w:rPr>
        <w:t xml:space="preserve">(1.) When, in any </w:t>
      </w:r>
      <w:proofErr w:type="spellStart"/>
      <w:r w:rsidR="001A5817" w:rsidRPr="00D25611">
        <w:rPr>
          <w:sz w:val="22"/>
          <w:szCs w:val="22"/>
          <w:lang w:val="en-US" w:eastAsia="en-US"/>
        </w:rPr>
        <w:t>cause</w:t>
      </w:r>
      <w:proofErr w:type="spellEnd"/>
      <w:r w:rsidR="001A5817" w:rsidRPr="00D25611">
        <w:rPr>
          <w:sz w:val="22"/>
          <w:szCs w:val="22"/>
          <w:lang w:val="en-US" w:eastAsia="en-US"/>
        </w:rPr>
        <w:t xml:space="preserve"> pending in the Supreme Court of a State, there arises any question as to the limits </w:t>
      </w:r>
      <w:r w:rsidR="001A5817" w:rsidRPr="00D25611">
        <w:rPr>
          <w:i/>
          <w:iCs/>
          <w:sz w:val="22"/>
          <w:szCs w:val="22"/>
          <w:lang w:val="en-US" w:eastAsia="en-US"/>
        </w:rPr>
        <w:t xml:space="preserve">inter </w:t>
      </w:r>
      <w:r w:rsidR="001A5817" w:rsidRPr="00D25611">
        <w:rPr>
          <w:i/>
          <w:iCs/>
          <w:sz w:val="22"/>
          <w:szCs w:val="22"/>
          <w:lang w:val="fr-FR" w:eastAsia="fr-FR"/>
        </w:rPr>
        <w:t xml:space="preserve">se </w:t>
      </w:r>
      <w:r w:rsidR="001A5817" w:rsidRPr="00D25611">
        <w:rPr>
          <w:sz w:val="22"/>
          <w:szCs w:val="22"/>
          <w:lang w:val="en-US" w:eastAsia="en-US"/>
        </w:rPr>
        <w:t xml:space="preserve">of the constitutional powers of the Commonwealth and those of any State or States, or as to the limits </w:t>
      </w:r>
      <w:r w:rsidR="001A5817" w:rsidRPr="00D25611">
        <w:rPr>
          <w:i/>
          <w:iCs/>
          <w:sz w:val="22"/>
          <w:szCs w:val="22"/>
          <w:lang w:val="en-US" w:eastAsia="en-US"/>
        </w:rPr>
        <w:t xml:space="preserve">inter </w:t>
      </w:r>
      <w:r w:rsidR="001A5817" w:rsidRPr="00D25611">
        <w:rPr>
          <w:i/>
          <w:iCs/>
          <w:sz w:val="22"/>
          <w:szCs w:val="22"/>
          <w:lang w:val="fr-FR" w:eastAsia="fr-FR"/>
        </w:rPr>
        <w:t xml:space="preserve">se </w:t>
      </w:r>
      <w:r w:rsidR="001A5817" w:rsidRPr="00D25611">
        <w:rPr>
          <w:sz w:val="22"/>
          <w:szCs w:val="22"/>
          <w:lang w:val="en-US" w:eastAsia="en-US"/>
        </w:rPr>
        <w:t>of the constitutional powers of any two or more States, it shall be the duty of the Court to proceed no further in the cause, and the cause shall be by virtue of this Act, and without any order of the High Court, removed to the High Court.</w:t>
      </w:r>
    </w:p>
    <w:p w:rsidR="001A5817" w:rsidRPr="00BF54A2" w:rsidRDefault="001A5817" w:rsidP="00377BF9">
      <w:pPr>
        <w:widowControl/>
        <w:tabs>
          <w:tab w:val="left" w:pos="907"/>
        </w:tabs>
        <w:ind w:firstLine="432"/>
        <w:jc w:val="both"/>
        <w:rPr>
          <w:sz w:val="22"/>
          <w:szCs w:val="22"/>
        </w:rPr>
      </w:pPr>
      <w:r w:rsidRPr="00D25611">
        <w:rPr>
          <w:sz w:val="22"/>
          <w:szCs w:val="22"/>
          <w:lang w:val="en-US" w:eastAsia="en-US"/>
        </w:rPr>
        <w:t>(2.)</w:t>
      </w:r>
      <w:r w:rsidR="00377BF9">
        <w:rPr>
          <w:sz w:val="22"/>
          <w:szCs w:val="22"/>
          <w:lang w:val="en-US" w:eastAsia="en-US"/>
        </w:rPr>
        <w:tab/>
      </w:r>
      <w:r w:rsidRPr="00D25611">
        <w:rPr>
          <w:sz w:val="22"/>
          <w:szCs w:val="22"/>
          <w:lang w:val="en-US" w:eastAsia="en-US"/>
        </w:rPr>
        <w:t xml:space="preserve">Thereupon the proceedings in the cause, and such documents if any relating thereto as are filed of record in the Supreme Court of the State, shall be transmitted by the Registrar, </w:t>
      </w:r>
      <w:proofErr w:type="spellStart"/>
      <w:r w:rsidRPr="00D25611">
        <w:rPr>
          <w:sz w:val="22"/>
          <w:szCs w:val="22"/>
          <w:lang w:val="en-US" w:eastAsia="en-US"/>
        </w:rPr>
        <w:t>Prothonotary</w:t>
      </w:r>
      <w:proofErr w:type="spellEnd"/>
      <w:r w:rsidRPr="00D25611">
        <w:rPr>
          <w:sz w:val="22"/>
          <w:szCs w:val="22"/>
          <w:lang w:val="en-US" w:eastAsia="en-US"/>
        </w:rPr>
        <w:t>, or other proper officer of the Court, to the Registry of the High Court in the State; or if there are more Registries than one in the State, to such Registry as is prescribed by Rules of Court.</w:t>
      </w:r>
      <w:r w:rsidR="00E46C59">
        <w:rPr>
          <w:sz w:val="22"/>
          <w:szCs w:val="22"/>
          <w:lang w:val="en-US" w:eastAsia="en-US"/>
        </w:rPr>
        <w:t>”</w:t>
      </w:r>
    </w:p>
    <w:p w:rsidR="001A5817" w:rsidRPr="00BF54A2" w:rsidRDefault="001A5817" w:rsidP="00A90468">
      <w:pPr>
        <w:tabs>
          <w:tab w:val="left" w:pos="630"/>
        </w:tabs>
        <w:spacing w:before="120"/>
        <w:ind w:firstLine="288"/>
        <w:jc w:val="both"/>
        <w:rPr>
          <w:sz w:val="22"/>
          <w:szCs w:val="22"/>
        </w:rPr>
      </w:pPr>
      <w:r w:rsidRPr="00FB4535">
        <w:rPr>
          <w:b/>
          <w:bCs/>
          <w:sz w:val="22"/>
          <w:szCs w:val="22"/>
          <w:lang w:val="en-US" w:eastAsia="en-US"/>
        </w:rPr>
        <w:t>6.</w:t>
      </w:r>
      <w:r w:rsidR="00A90468">
        <w:rPr>
          <w:sz w:val="22"/>
          <w:szCs w:val="22"/>
          <w:lang w:val="en-US" w:eastAsia="en-US"/>
        </w:rPr>
        <w:tab/>
      </w:r>
      <w:r w:rsidRPr="00D25611">
        <w:rPr>
          <w:sz w:val="22"/>
          <w:szCs w:val="22"/>
          <w:lang w:val="en-US" w:eastAsia="en-US"/>
        </w:rPr>
        <w:t>Section forty-one of the Principal Act is amended by adding at the end thereof the following proviso:—</w:t>
      </w:r>
      <w:bookmarkStart w:id="0" w:name="_GoBack"/>
      <w:bookmarkEnd w:id="0"/>
    </w:p>
    <w:p w:rsidR="001A5817" w:rsidRPr="00BF54A2" w:rsidRDefault="00E46C59" w:rsidP="009A6A64">
      <w:pPr>
        <w:ind w:firstLine="288"/>
        <w:jc w:val="both"/>
        <w:rPr>
          <w:sz w:val="22"/>
          <w:szCs w:val="22"/>
        </w:rPr>
      </w:pPr>
      <w:r>
        <w:rPr>
          <w:sz w:val="22"/>
          <w:szCs w:val="22"/>
          <w:lang w:val="en-US" w:eastAsia="en-US"/>
        </w:rPr>
        <w:t>“</w:t>
      </w:r>
      <w:r w:rsidR="001A5817" w:rsidRPr="00D25611">
        <w:rPr>
          <w:sz w:val="22"/>
          <w:szCs w:val="22"/>
          <w:lang w:val="en-US" w:eastAsia="en-US"/>
        </w:rPr>
        <w:t>Provided that, where the trial of any person for an indictable offence against the law of the Commonwealth or of a State is removed from any Court of a State into the High Court, the trial in the High Court shall be, as nearly as may be, according to the course and practice of the Court from which the trial was removed; and to that end the laws of the State relating to the trial and conviction of persons charged with indictable offences against the laws of the State shall extend and apply to the trial as if the trial were proceeding in the Court of the State.</w:t>
      </w:r>
      <w:r>
        <w:rPr>
          <w:sz w:val="22"/>
          <w:szCs w:val="22"/>
          <w:lang w:val="en-US" w:eastAsia="en-US"/>
        </w:rPr>
        <w:t>”</w:t>
      </w:r>
    </w:p>
    <w:p w:rsidR="001A5817" w:rsidRPr="00BF54A2" w:rsidRDefault="001A5817" w:rsidP="00EE048E">
      <w:pPr>
        <w:spacing w:before="120" w:after="60"/>
        <w:jc w:val="both"/>
        <w:rPr>
          <w:b/>
          <w:bCs/>
          <w:sz w:val="20"/>
          <w:szCs w:val="20"/>
        </w:rPr>
      </w:pPr>
      <w:r w:rsidRPr="00F70D14">
        <w:rPr>
          <w:b/>
          <w:bCs/>
          <w:sz w:val="20"/>
          <w:szCs w:val="20"/>
          <w:lang w:val="en-US" w:eastAsia="en-US"/>
        </w:rPr>
        <w:t>Records</w:t>
      </w:r>
      <w:r w:rsidRPr="00F70D14">
        <w:rPr>
          <w:b/>
          <w:bCs/>
          <w:spacing w:val="-10"/>
          <w:sz w:val="20"/>
          <w:szCs w:val="20"/>
          <w:lang w:val="fr-FR" w:eastAsia="fr-FR"/>
        </w:rPr>
        <w:t>.</w:t>
      </w:r>
    </w:p>
    <w:p w:rsidR="008549F1" w:rsidRPr="004D44F9" w:rsidRDefault="001A5817" w:rsidP="00A90468">
      <w:pPr>
        <w:tabs>
          <w:tab w:val="left" w:pos="630"/>
        </w:tabs>
        <w:ind w:firstLine="288"/>
        <w:jc w:val="both"/>
        <w:rPr>
          <w:rStyle w:val="FontStyle18"/>
          <w:sz w:val="22"/>
          <w:szCs w:val="22"/>
        </w:rPr>
      </w:pPr>
      <w:r w:rsidRPr="00FB4535">
        <w:rPr>
          <w:b/>
          <w:bCs/>
          <w:sz w:val="22"/>
          <w:szCs w:val="22"/>
          <w:lang w:val="en-US" w:eastAsia="en-US"/>
        </w:rPr>
        <w:t>7.</w:t>
      </w:r>
      <w:r w:rsidR="00A90468">
        <w:rPr>
          <w:sz w:val="22"/>
          <w:szCs w:val="22"/>
          <w:lang w:val="en-US" w:eastAsia="en-US"/>
        </w:rPr>
        <w:tab/>
      </w:r>
      <w:r w:rsidRPr="00D25611">
        <w:rPr>
          <w:sz w:val="22"/>
          <w:szCs w:val="22"/>
          <w:lang w:val="en-US" w:eastAsia="en-US"/>
        </w:rPr>
        <w:t xml:space="preserve">Section forty-three of the Principal Act is amended by inserting after the words </w:t>
      </w:r>
      <w:r w:rsidR="00E46C59">
        <w:rPr>
          <w:sz w:val="22"/>
          <w:szCs w:val="22"/>
          <w:lang w:val="en-US" w:eastAsia="en-US"/>
        </w:rPr>
        <w:t>“</w:t>
      </w:r>
      <w:r w:rsidRPr="00D25611">
        <w:rPr>
          <w:sz w:val="22"/>
          <w:szCs w:val="22"/>
          <w:lang w:val="en-US" w:eastAsia="en-US"/>
        </w:rPr>
        <w:t>When a cause is,</w:t>
      </w:r>
      <w:r w:rsidR="00E46C59">
        <w:rPr>
          <w:sz w:val="22"/>
          <w:szCs w:val="22"/>
          <w:lang w:val="en-US" w:eastAsia="en-US"/>
        </w:rPr>
        <w:t>”</w:t>
      </w:r>
      <w:r w:rsidRPr="00D25611">
        <w:rPr>
          <w:sz w:val="22"/>
          <w:szCs w:val="22"/>
          <w:lang w:val="en-US" w:eastAsia="en-US"/>
        </w:rPr>
        <w:t xml:space="preserve"> the words </w:t>
      </w:r>
      <w:r w:rsidR="00E46C59">
        <w:rPr>
          <w:sz w:val="22"/>
          <w:szCs w:val="22"/>
          <w:lang w:val="en-US" w:eastAsia="en-US"/>
        </w:rPr>
        <w:t>“</w:t>
      </w:r>
      <w:r w:rsidRPr="00D25611">
        <w:rPr>
          <w:sz w:val="22"/>
          <w:szCs w:val="22"/>
          <w:lang w:val="en-US" w:eastAsia="en-US"/>
        </w:rPr>
        <w:t>or ought to be.</w:t>
      </w:r>
      <w:r w:rsidR="00E46C59">
        <w:rPr>
          <w:sz w:val="22"/>
          <w:szCs w:val="22"/>
          <w:lang w:val="en-US" w:eastAsia="en-US"/>
        </w:rPr>
        <w:t>”</w:t>
      </w:r>
    </w:p>
    <w:sectPr w:rsidR="008549F1" w:rsidRPr="004D44F9" w:rsidSect="00C80CA7">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0A" w:rsidRDefault="0065550A">
      <w:r>
        <w:separator/>
      </w:r>
    </w:p>
  </w:endnote>
  <w:endnote w:type="continuationSeparator" w:id="0">
    <w:p w:rsidR="0065550A" w:rsidRDefault="0065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0A" w:rsidRDefault="0065550A">
      <w:r>
        <w:separator/>
      </w:r>
    </w:p>
  </w:footnote>
  <w:footnote w:type="continuationSeparator" w:id="0">
    <w:p w:rsidR="0065550A" w:rsidRDefault="0065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A7" w:rsidRPr="00C80CA7" w:rsidRDefault="00C80CA7" w:rsidP="0043421C">
    <w:pPr>
      <w:pStyle w:val="Header"/>
      <w:tabs>
        <w:tab w:val="left" w:pos="1080"/>
      </w:tabs>
      <w:rPr>
        <w:sz w:val="20"/>
        <w:szCs w:val="20"/>
      </w:rPr>
    </w:pPr>
    <w:r w:rsidRPr="00C80CA7">
      <w:rPr>
        <w:sz w:val="20"/>
        <w:szCs w:val="20"/>
      </w:rPr>
      <w:t>No. 8.</w:t>
    </w:r>
    <w:r w:rsidRPr="00C80CA7">
      <w:rPr>
        <w:sz w:val="20"/>
        <w:szCs w:val="20"/>
      </w:rPr>
      <w:ptab w:relativeTo="margin" w:alignment="center" w:leader="none"/>
    </w:r>
    <w:r w:rsidRPr="00C80CA7">
      <w:rPr>
        <w:i/>
        <w:iCs/>
        <w:sz w:val="20"/>
        <w:szCs w:val="20"/>
      </w:rPr>
      <w:t>Judiciary</w:t>
    </w:r>
    <w:r w:rsidRPr="00C80CA7">
      <w:rPr>
        <w:sz w:val="20"/>
        <w:szCs w:val="20"/>
      </w:rPr>
      <w:t>.</w:t>
    </w:r>
    <w:r w:rsidRPr="00C80CA7">
      <w:rPr>
        <w:sz w:val="20"/>
        <w:szCs w:val="20"/>
      </w:rPr>
      <w:ptab w:relativeTo="margin" w:alignment="right" w:leader="none"/>
    </w:r>
    <w:r w:rsidRPr="00C80CA7">
      <w:rPr>
        <w:sz w:val="20"/>
        <w:szCs w:val="20"/>
      </w:rPr>
      <w:t>1907.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2E" w:rsidRPr="004D44F9" w:rsidRDefault="004D44F9">
    <w:pPr>
      <w:pStyle w:val="Header"/>
      <w:rPr>
        <w:sz w:val="22"/>
        <w:szCs w:val="22"/>
      </w:rPr>
    </w:pPr>
    <w:r w:rsidRPr="004D44F9">
      <w:rPr>
        <w:sz w:val="22"/>
        <w:szCs w:val="22"/>
        <w:lang w:val="en-US" w:eastAsia="en-US"/>
      </w:rPr>
      <w:t xml:space="preserve">8   </w:t>
    </w:r>
    <w:r w:rsidR="00D25611" w:rsidRPr="004D44F9">
      <w:rPr>
        <w:sz w:val="22"/>
        <w:szCs w:val="22"/>
        <w:lang w:val="en-US" w:eastAsia="en-US"/>
      </w:rPr>
      <w:t>No. 8.</w:t>
    </w:r>
    <w:r w:rsidR="004B2A2E" w:rsidRPr="004D44F9">
      <w:rPr>
        <w:sz w:val="22"/>
        <w:szCs w:val="22"/>
      </w:rPr>
      <w:ptab w:relativeTo="margin" w:alignment="center" w:leader="none"/>
    </w:r>
    <w:r w:rsidR="00D25611" w:rsidRPr="004D44F9">
      <w:rPr>
        <w:i/>
        <w:iCs/>
        <w:sz w:val="22"/>
        <w:szCs w:val="22"/>
        <w:lang w:val="en-US" w:eastAsia="en-US"/>
      </w:rPr>
      <w:t>Judiciary.</w:t>
    </w:r>
    <w:r w:rsidR="004B2A2E" w:rsidRPr="004D44F9">
      <w:rPr>
        <w:sz w:val="22"/>
        <w:szCs w:val="22"/>
      </w:rPr>
      <w:ptab w:relativeTo="margin" w:alignment="right" w:leader="none"/>
    </w:r>
    <w:r w:rsidR="00D25611" w:rsidRPr="004D44F9">
      <w:rPr>
        <w:sz w:val="22"/>
        <w:szCs w:val="22"/>
        <w:lang w:val="en-US" w:eastAsia="en-US"/>
      </w:rPr>
      <w:t>1907.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4508C"/>
    <w:rsid w:val="00062FE6"/>
    <w:rsid w:val="000C23B9"/>
    <w:rsid w:val="000E5A0E"/>
    <w:rsid w:val="00130800"/>
    <w:rsid w:val="001A5817"/>
    <w:rsid w:val="001E4F89"/>
    <w:rsid w:val="001F755E"/>
    <w:rsid w:val="002210A2"/>
    <w:rsid w:val="00262289"/>
    <w:rsid w:val="003172AA"/>
    <w:rsid w:val="00377BF9"/>
    <w:rsid w:val="003C59BA"/>
    <w:rsid w:val="00406B03"/>
    <w:rsid w:val="004173DA"/>
    <w:rsid w:val="0043421C"/>
    <w:rsid w:val="0046065A"/>
    <w:rsid w:val="00480CA1"/>
    <w:rsid w:val="004A346E"/>
    <w:rsid w:val="004B2A2E"/>
    <w:rsid w:val="004D44F9"/>
    <w:rsid w:val="004E7C73"/>
    <w:rsid w:val="004F6F9F"/>
    <w:rsid w:val="00511833"/>
    <w:rsid w:val="00534FD9"/>
    <w:rsid w:val="00562BEB"/>
    <w:rsid w:val="00567CE9"/>
    <w:rsid w:val="00591F5C"/>
    <w:rsid w:val="005D6E7D"/>
    <w:rsid w:val="005F37F0"/>
    <w:rsid w:val="00601E99"/>
    <w:rsid w:val="0065550A"/>
    <w:rsid w:val="006A594E"/>
    <w:rsid w:val="006B24B3"/>
    <w:rsid w:val="006C0237"/>
    <w:rsid w:val="006C611C"/>
    <w:rsid w:val="007070A6"/>
    <w:rsid w:val="007434DA"/>
    <w:rsid w:val="007567BD"/>
    <w:rsid w:val="00790D9B"/>
    <w:rsid w:val="007C30D1"/>
    <w:rsid w:val="007D0B2F"/>
    <w:rsid w:val="0080455C"/>
    <w:rsid w:val="00813A8D"/>
    <w:rsid w:val="00851542"/>
    <w:rsid w:val="00853C0F"/>
    <w:rsid w:val="008549F1"/>
    <w:rsid w:val="00855DD0"/>
    <w:rsid w:val="00954AB9"/>
    <w:rsid w:val="00970C83"/>
    <w:rsid w:val="00973734"/>
    <w:rsid w:val="009A6A64"/>
    <w:rsid w:val="009B6D37"/>
    <w:rsid w:val="00A40A56"/>
    <w:rsid w:val="00A90468"/>
    <w:rsid w:val="00AA1505"/>
    <w:rsid w:val="00AC54E3"/>
    <w:rsid w:val="00AF4E79"/>
    <w:rsid w:val="00B049C7"/>
    <w:rsid w:val="00B35D7F"/>
    <w:rsid w:val="00B719DE"/>
    <w:rsid w:val="00C71746"/>
    <w:rsid w:val="00C80CA7"/>
    <w:rsid w:val="00C963A0"/>
    <w:rsid w:val="00C97D69"/>
    <w:rsid w:val="00CC7395"/>
    <w:rsid w:val="00D25611"/>
    <w:rsid w:val="00D60718"/>
    <w:rsid w:val="00D84B95"/>
    <w:rsid w:val="00D853C1"/>
    <w:rsid w:val="00DD078D"/>
    <w:rsid w:val="00E00A50"/>
    <w:rsid w:val="00E24CD7"/>
    <w:rsid w:val="00E46C59"/>
    <w:rsid w:val="00EB381A"/>
    <w:rsid w:val="00EE048E"/>
    <w:rsid w:val="00EF035E"/>
    <w:rsid w:val="00F70D14"/>
    <w:rsid w:val="00F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4B2A2E"/>
    <w:rPr>
      <w:rFonts w:ascii="Tahoma" w:hAnsi="Tahoma" w:cs="Tahoma"/>
      <w:sz w:val="16"/>
      <w:szCs w:val="16"/>
    </w:rPr>
  </w:style>
  <w:style w:type="character" w:customStyle="1" w:styleId="BalloonTextChar">
    <w:name w:val="Balloon Text Char"/>
    <w:basedOn w:val="DefaultParagraphFont"/>
    <w:link w:val="BalloonText"/>
    <w:uiPriority w:val="99"/>
    <w:semiHidden/>
    <w:rsid w:val="004B2A2E"/>
    <w:rPr>
      <w:rFonts w:ascii="Tahoma" w:hAnsi="Tahoma" w:cs="Tahoma"/>
      <w:sz w:val="16"/>
      <w:szCs w:val="16"/>
    </w:rPr>
  </w:style>
  <w:style w:type="paragraph" w:styleId="ListParagraph">
    <w:name w:val="List Paragraph"/>
    <w:basedOn w:val="Normal"/>
    <w:uiPriority w:val="34"/>
    <w:qFormat/>
    <w:rsid w:val="00954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B0215-03F1-4D4B-98CF-97D1FE72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740</Words>
  <Characters>3337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38</cp:revision>
  <dcterms:created xsi:type="dcterms:W3CDTF">2017-03-14T11:02:00Z</dcterms:created>
  <dcterms:modified xsi:type="dcterms:W3CDTF">2017-06-02T06:30:00Z</dcterms:modified>
</cp:coreProperties>
</file>