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E75" w:rsidRDefault="00F93E75" w:rsidP="00ED7F4F">
      <w:pPr>
        <w:pBdr>
          <w:top w:val="single" w:sz="4" w:space="1" w:color="auto"/>
        </w:pBdr>
        <w:spacing w:before="7080" w:after="120" w:line="240" w:lineRule="auto"/>
        <w:ind w:left="2880" w:right="2880"/>
        <w:jc w:val="center"/>
        <w:rPr>
          <w:rFonts w:ascii="Times New Roman" w:hAnsi="Times New Roman"/>
          <w:sz w:val="36"/>
          <w:szCs w:val="36"/>
        </w:rPr>
      </w:pPr>
    </w:p>
    <w:p w:rsidR="00A631B3" w:rsidRDefault="00A631B3" w:rsidP="00ED7F4F">
      <w:pPr>
        <w:spacing w:after="120" w:line="240" w:lineRule="auto"/>
        <w:jc w:val="center"/>
        <w:rPr>
          <w:rFonts w:ascii="Times New Roman" w:hAnsi="Times New Roman"/>
          <w:sz w:val="36"/>
          <w:szCs w:val="36"/>
        </w:rPr>
      </w:pPr>
      <w:r w:rsidRPr="00240165">
        <w:rPr>
          <w:rFonts w:ascii="Times New Roman" w:hAnsi="Times New Roman"/>
          <w:sz w:val="36"/>
          <w:szCs w:val="36"/>
        </w:rPr>
        <w:t>POST AND TELEGRAPH RATES.</w:t>
      </w:r>
    </w:p>
    <w:p w:rsidR="0097518C" w:rsidRPr="00E263E5" w:rsidRDefault="0097518C" w:rsidP="00ED7F4F">
      <w:pPr>
        <w:pBdr>
          <w:top w:val="single" w:sz="4" w:space="1" w:color="auto"/>
        </w:pBdr>
        <w:spacing w:before="120" w:after="120" w:line="240" w:lineRule="auto"/>
        <w:ind w:left="4032" w:right="4032"/>
        <w:jc w:val="center"/>
        <w:rPr>
          <w:rFonts w:ascii="Times New Roman" w:hAnsi="Times New Roman"/>
          <w:sz w:val="20"/>
          <w:szCs w:val="20"/>
        </w:rPr>
      </w:pPr>
    </w:p>
    <w:p w:rsidR="00F93E75" w:rsidRPr="0097518C" w:rsidRDefault="007856C3" w:rsidP="00ED7F4F">
      <w:pPr>
        <w:spacing w:before="120" w:after="120" w:line="240" w:lineRule="auto"/>
        <w:jc w:val="center"/>
        <w:rPr>
          <w:rFonts w:ascii="Times New Roman" w:hAnsi="Times New Roman"/>
          <w:b/>
          <w:sz w:val="28"/>
          <w:szCs w:val="28"/>
        </w:rPr>
      </w:pPr>
      <w:r w:rsidRPr="0097518C">
        <w:rPr>
          <w:rFonts w:ascii="Times New Roman" w:hAnsi="Times New Roman"/>
          <w:b/>
          <w:sz w:val="28"/>
          <w:szCs w:val="28"/>
        </w:rPr>
        <w:t>No. 13 of 1902.</w:t>
      </w:r>
    </w:p>
    <w:p w:rsidR="00F93E75" w:rsidRPr="0097518C" w:rsidRDefault="007856C3" w:rsidP="00ED7F4F">
      <w:pPr>
        <w:spacing w:before="120" w:after="120" w:line="240" w:lineRule="auto"/>
        <w:rPr>
          <w:rFonts w:ascii="Times New Roman" w:hAnsi="Times New Roman"/>
          <w:sz w:val="26"/>
          <w:szCs w:val="26"/>
        </w:rPr>
      </w:pPr>
      <w:r w:rsidRPr="0097518C">
        <w:rPr>
          <w:rFonts w:ascii="Times New Roman" w:hAnsi="Times New Roman"/>
          <w:sz w:val="26"/>
          <w:szCs w:val="26"/>
        </w:rPr>
        <w:t>An Act relating to Postal and Telegraphic Rates.</w:t>
      </w:r>
    </w:p>
    <w:p w:rsidR="00F93E75" w:rsidRPr="0097518C" w:rsidRDefault="007856C3" w:rsidP="00ED7F4F">
      <w:pPr>
        <w:spacing w:before="120" w:after="120" w:line="240" w:lineRule="auto"/>
        <w:jc w:val="right"/>
        <w:rPr>
          <w:rFonts w:ascii="Times New Roman" w:hAnsi="Times New Roman"/>
          <w:sz w:val="26"/>
          <w:szCs w:val="26"/>
        </w:rPr>
      </w:pPr>
      <w:r w:rsidRPr="0097518C">
        <w:rPr>
          <w:rFonts w:ascii="Times New Roman" w:hAnsi="Times New Roman"/>
          <w:sz w:val="26"/>
          <w:szCs w:val="26"/>
        </w:rPr>
        <w:t>[Assented to 9th September, 1902.]</w:t>
      </w:r>
    </w:p>
    <w:p w:rsidR="00F93E75" w:rsidRPr="0097518C" w:rsidRDefault="007856C3" w:rsidP="006F2B6B">
      <w:pPr>
        <w:spacing w:after="0" w:line="240" w:lineRule="auto"/>
        <w:jc w:val="both"/>
        <w:rPr>
          <w:rFonts w:ascii="Times New Roman" w:hAnsi="Times New Roman"/>
          <w:sz w:val="24"/>
          <w:szCs w:val="24"/>
        </w:rPr>
      </w:pPr>
      <w:r w:rsidRPr="0097518C">
        <w:rPr>
          <w:rFonts w:ascii="Times New Roman" w:hAnsi="Times New Roman"/>
          <w:sz w:val="24"/>
          <w:szCs w:val="24"/>
        </w:rPr>
        <w:t>BE it enacted by the King</w:t>
      </w:r>
      <w:r w:rsidR="005A370F">
        <w:rPr>
          <w:rFonts w:ascii="Times New Roman" w:hAnsi="Times New Roman"/>
          <w:sz w:val="24"/>
          <w:szCs w:val="24"/>
        </w:rPr>
        <w:t>’</w:t>
      </w:r>
      <w:r w:rsidRPr="0097518C">
        <w:rPr>
          <w:rFonts w:ascii="Times New Roman" w:hAnsi="Times New Roman"/>
          <w:sz w:val="24"/>
          <w:szCs w:val="24"/>
        </w:rPr>
        <w:t>s Most Excellent Majesty, the Senate, and the House of Representatives of the Commonwealth of Australia, as follows:—</w:t>
      </w:r>
    </w:p>
    <w:p w:rsidR="00287370" w:rsidRPr="00A14636" w:rsidRDefault="00287370" w:rsidP="006F2B6B">
      <w:pPr>
        <w:spacing w:before="120" w:after="60" w:line="240" w:lineRule="auto"/>
        <w:jc w:val="both"/>
        <w:rPr>
          <w:rFonts w:ascii="Times New Roman" w:hAnsi="Times New Roman"/>
          <w:b/>
          <w:sz w:val="20"/>
          <w:szCs w:val="20"/>
        </w:rPr>
      </w:pPr>
      <w:r w:rsidRPr="00A14636">
        <w:rPr>
          <w:rFonts w:ascii="Times New Roman" w:hAnsi="Times New Roman"/>
          <w:b/>
          <w:sz w:val="20"/>
          <w:szCs w:val="20"/>
        </w:rPr>
        <w:t>Short title.</w:t>
      </w:r>
    </w:p>
    <w:p w:rsidR="00F93E75" w:rsidRPr="0064568F" w:rsidRDefault="00EE462D" w:rsidP="006F2B6B">
      <w:pPr>
        <w:tabs>
          <w:tab w:val="left" w:pos="630"/>
        </w:tabs>
        <w:spacing w:after="120" w:line="240" w:lineRule="auto"/>
        <w:ind w:firstLine="288"/>
        <w:jc w:val="both"/>
        <w:rPr>
          <w:rFonts w:ascii="Times New Roman" w:hAnsi="Times New Roman"/>
        </w:rPr>
      </w:pPr>
      <w:r w:rsidRPr="00EE462D">
        <w:rPr>
          <w:rFonts w:ascii="Times New Roman" w:hAnsi="Times New Roman"/>
          <w:b/>
        </w:rPr>
        <w:t>1.</w:t>
      </w:r>
      <w:r>
        <w:rPr>
          <w:rFonts w:ascii="Times New Roman" w:hAnsi="Times New Roman"/>
        </w:rPr>
        <w:tab/>
      </w:r>
      <w:r w:rsidR="007856C3" w:rsidRPr="0064568F">
        <w:rPr>
          <w:rFonts w:ascii="Times New Roman" w:hAnsi="Times New Roman"/>
        </w:rPr>
        <w:t xml:space="preserve">This Act may be cited as the </w:t>
      </w:r>
      <w:r w:rsidR="00997691" w:rsidRPr="0064568F">
        <w:rPr>
          <w:rFonts w:ascii="Times New Roman" w:hAnsi="Times New Roman"/>
          <w:i/>
        </w:rPr>
        <w:t xml:space="preserve">Post and Telegraph Rates Act </w:t>
      </w:r>
      <w:r w:rsidR="007856C3" w:rsidRPr="0064568F">
        <w:rPr>
          <w:rFonts w:ascii="Times New Roman" w:hAnsi="Times New Roman"/>
        </w:rPr>
        <w:t>1902.</w:t>
      </w:r>
    </w:p>
    <w:p w:rsidR="00287370" w:rsidRPr="00C24E6B" w:rsidRDefault="00287370" w:rsidP="006F2B6B">
      <w:pPr>
        <w:spacing w:before="120" w:after="60" w:line="240" w:lineRule="auto"/>
        <w:jc w:val="both"/>
        <w:rPr>
          <w:rFonts w:ascii="Times New Roman" w:hAnsi="Times New Roman"/>
          <w:b/>
          <w:sz w:val="20"/>
          <w:szCs w:val="20"/>
        </w:rPr>
      </w:pPr>
      <w:r w:rsidRPr="00C24E6B">
        <w:rPr>
          <w:rFonts w:ascii="Times New Roman" w:hAnsi="Times New Roman"/>
          <w:b/>
          <w:sz w:val="20"/>
          <w:szCs w:val="20"/>
        </w:rPr>
        <w:t>Commencement.</w:t>
      </w:r>
    </w:p>
    <w:p w:rsidR="00F93E75" w:rsidRPr="00997691" w:rsidRDefault="00A14636" w:rsidP="006F2B6B">
      <w:pPr>
        <w:tabs>
          <w:tab w:val="left" w:pos="630"/>
        </w:tabs>
        <w:spacing w:after="120" w:line="240" w:lineRule="auto"/>
        <w:ind w:firstLine="288"/>
        <w:jc w:val="both"/>
        <w:rPr>
          <w:rFonts w:ascii="Times New Roman" w:hAnsi="Times New Roman"/>
        </w:rPr>
      </w:pPr>
      <w:r>
        <w:rPr>
          <w:rFonts w:ascii="Times New Roman" w:hAnsi="Times New Roman"/>
          <w:b/>
        </w:rPr>
        <w:t>2.</w:t>
      </w:r>
      <w:r w:rsidR="0064568F">
        <w:rPr>
          <w:rFonts w:ascii="Times New Roman" w:hAnsi="Times New Roman"/>
          <w:b/>
        </w:rPr>
        <w:tab/>
      </w:r>
      <w:r w:rsidR="007856C3" w:rsidRPr="00997691">
        <w:rPr>
          <w:rFonts w:ascii="Times New Roman" w:hAnsi="Times New Roman"/>
        </w:rPr>
        <w:t>This Act shall commence on a day to be fixed by proclamation.*</w:t>
      </w:r>
    </w:p>
    <w:p w:rsidR="00287370" w:rsidRPr="00C24E6B" w:rsidRDefault="00287370" w:rsidP="006F2B6B">
      <w:pPr>
        <w:spacing w:before="120" w:after="60" w:line="240" w:lineRule="auto"/>
        <w:jc w:val="both"/>
        <w:rPr>
          <w:rFonts w:ascii="Times New Roman" w:hAnsi="Times New Roman"/>
          <w:b/>
          <w:sz w:val="20"/>
          <w:szCs w:val="20"/>
        </w:rPr>
      </w:pPr>
      <w:r w:rsidRPr="00C24E6B">
        <w:rPr>
          <w:rFonts w:ascii="Times New Roman" w:hAnsi="Times New Roman"/>
          <w:b/>
          <w:sz w:val="20"/>
          <w:szCs w:val="20"/>
        </w:rPr>
        <w:t>Incorporation.</w:t>
      </w:r>
    </w:p>
    <w:p w:rsidR="00F93E75" w:rsidRDefault="00997691" w:rsidP="006F2B6B">
      <w:pPr>
        <w:tabs>
          <w:tab w:val="left" w:pos="630"/>
        </w:tabs>
        <w:spacing w:after="60" w:line="240" w:lineRule="auto"/>
        <w:ind w:firstLine="288"/>
        <w:jc w:val="both"/>
        <w:rPr>
          <w:rFonts w:ascii="Times New Roman" w:hAnsi="Times New Roman"/>
        </w:rPr>
      </w:pPr>
      <w:r w:rsidRPr="00997691">
        <w:rPr>
          <w:rFonts w:ascii="Times New Roman" w:hAnsi="Times New Roman"/>
          <w:b/>
        </w:rPr>
        <w:t>3.</w:t>
      </w:r>
      <w:r w:rsidR="0064568F">
        <w:rPr>
          <w:rFonts w:ascii="Times New Roman" w:hAnsi="Times New Roman"/>
          <w:b/>
        </w:rPr>
        <w:tab/>
      </w:r>
      <w:r w:rsidR="007856C3" w:rsidRPr="00997691">
        <w:rPr>
          <w:rFonts w:ascii="Times New Roman" w:hAnsi="Times New Roman"/>
        </w:rPr>
        <w:t xml:space="preserve">This Act shall be incorporated and read as one with the </w:t>
      </w:r>
      <w:r w:rsidRPr="00997691">
        <w:rPr>
          <w:rFonts w:ascii="Times New Roman" w:hAnsi="Times New Roman"/>
          <w:i/>
        </w:rPr>
        <w:t xml:space="preserve">Post and Telegraph Act </w:t>
      </w:r>
      <w:r w:rsidR="007856C3" w:rsidRPr="00997691">
        <w:rPr>
          <w:rFonts w:ascii="Times New Roman" w:hAnsi="Times New Roman"/>
        </w:rPr>
        <w:t>1901.</w:t>
      </w:r>
    </w:p>
    <w:p w:rsidR="00C13B64" w:rsidRPr="004A5E34" w:rsidRDefault="00C13B64" w:rsidP="00ED7F4F">
      <w:pPr>
        <w:pBdr>
          <w:top w:val="single" w:sz="4" w:space="1" w:color="000000"/>
        </w:pBdr>
        <w:spacing w:after="0" w:line="240" w:lineRule="auto"/>
        <w:jc w:val="center"/>
        <w:rPr>
          <w:rFonts w:ascii="Times New Roman" w:hAnsi="Times New Roman"/>
          <w:sz w:val="20"/>
          <w:szCs w:val="18"/>
        </w:rPr>
      </w:pPr>
      <w:r w:rsidRPr="004A5E34">
        <w:rPr>
          <w:rFonts w:ascii="Times New Roman" w:hAnsi="Times New Roman"/>
          <w:sz w:val="20"/>
          <w:szCs w:val="18"/>
        </w:rPr>
        <w:t xml:space="preserve">*Proclaimed to commence </w:t>
      </w:r>
      <w:r w:rsidR="004A5E34">
        <w:rPr>
          <w:rFonts w:ascii="Times New Roman" w:hAnsi="Times New Roman"/>
          <w:sz w:val="20"/>
          <w:szCs w:val="18"/>
        </w:rPr>
        <w:t>1</w:t>
      </w:r>
      <w:r w:rsidRPr="004A5E34">
        <w:rPr>
          <w:rFonts w:ascii="Times New Roman" w:hAnsi="Times New Roman"/>
          <w:sz w:val="20"/>
          <w:szCs w:val="18"/>
        </w:rPr>
        <w:t xml:space="preserve">st November, 1902. See </w:t>
      </w:r>
      <w:r w:rsidRPr="004A5E34">
        <w:rPr>
          <w:rFonts w:ascii="Times New Roman" w:hAnsi="Times New Roman"/>
          <w:i/>
          <w:sz w:val="20"/>
          <w:szCs w:val="18"/>
        </w:rPr>
        <w:t>Ga</w:t>
      </w:r>
      <w:r w:rsidR="004A5E34" w:rsidRPr="004A5E34">
        <w:rPr>
          <w:rFonts w:ascii="Times New Roman" w:hAnsi="Times New Roman"/>
          <w:i/>
          <w:sz w:val="20"/>
          <w:szCs w:val="18"/>
        </w:rPr>
        <w:t>z</w:t>
      </w:r>
      <w:r w:rsidRPr="004A5E34">
        <w:rPr>
          <w:rFonts w:ascii="Times New Roman" w:hAnsi="Times New Roman"/>
          <w:i/>
          <w:sz w:val="20"/>
          <w:szCs w:val="18"/>
        </w:rPr>
        <w:t>ette</w:t>
      </w:r>
      <w:r w:rsidRPr="004A5E34">
        <w:rPr>
          <w:rFonts w:ascii="Times New Roman" w:hAnsi="Times New Roman"/>
          <w:sz w:val="20"/>
          <w:szCs w:val="18"/>
        </w:rPr>
        <w:t>, 26</w:t>
      </w:r>
      <w:r w:rsidRPr="004A5E34">
        <w:rPr>
          <w:rFonts w:ascii="Times New Roman" w:hAnsi="Times New Roman"/>
          <w:sz w:val="20"/>
          <w:szCs w:val="18"/>
          <w:vertAlign w:val="superscript"/>
        </w:rPr>
        <w:t>th</w:t>
      </w:r>
      <w:r w:rsidRPr="004A5E34">
        <w:rPr>
          <w:rFonts w:ascii="Times New Roman" w:hAnsi="Times New Roman"/>
          <w:sz w:val="20"/>
          <w:szCs w:val="18"/>
        </w:rPr>
        <w:t xml:space="preserve"> September, 1902.</w:t>
      </w:r>
    </w:p>
    <w:p w:rsidR="00EF48E5" w:rsidRPr="00E63F02" w:rsidRDefault="007856C3" w:rsidP="006F2B6B">
      <w:pPr>
        <w:spacing w:after="60" w:line="240" w:lineRule="auto"/>
        <w:jc w:val="both"/>
        <w:rPr>
          <w:rFonts w:ascii="Times New Roman" w:hAnsi="Times New Roman"/>
          <w:b/>
          <w:sz w:val="20"/>
          <w:szCs w:val="20"/>
        </w:rPr>
      </w:pPr>
      <w:r>
        <w:rPr>
          <w:rFonts w:ascii="Times New Roman" w:hAnsi="Times New Roman"/>
        </w:rPr>
        <w:br w:type="page"/>
      </w:r>
      <w:r w:rsidR="00EF48E5" w:rsidRPr="00E63F02">
        <w:rPr>
          <w:rFonts w:ascii="Times New Roman" w:hAnsi="Times New Roman"/>
          <w:b/>
          <w:sz w:val="20"/>
          <w:szCs w:val="20"/>
        </w:rPr>
        <w:lastRenderedPageBreak/>
        <w:t>Definition.</w:t>
      </w:r>
    </w:p>
    <w:p w:rsidR="00F93E75" w:rsidRPr="00997691" w:rsidRDefault="00997691" w:rsidP="006F2B6B">
      <w:pPr>
        <w:tabs>
          <w:tab w:val="left" w:pos="630"/>
        </w:tabs>
        <w:spacing w:after="60" w:line="240" w:lineRule="auto"/>
        <w:ind w:firstLine="288"/>
        <w:jc w:val="both"/>
        <w:rPr>
          <w:rFonts w:ascii="Times New Roman" w:hAnsi="Times New Roman"/>
        </w:rPr>
      </w:pPr>
      <w:r w:rsidRPr="00997691">
        <w:rPr>
          <w:rFonts w:ascii="Times New Roman" w:hAnsi="Times New Roman"/>
          <w:b/>
        </w:rPr>
        <w:t>4.</w:t>
      </w:r>
      <w:r w:rsidR="00ED06E7">
        <w:rPr>
          <w:rFonts w:ascii="Times New Roman" w:hAnsi="Times New Roman"/>
          <w:b/>
        </w:rPr>
        <w:tab/>
      </w:r>
      <w:r w:rsidR="007856C3" w:rsidRPr="00997691">
        <w:rPr>
          <w:rFonts w:ascii="Times New Roman" w:hAnsi="Times New Roman"/>
        </w:rPr>
        <w:t>In this Act unless the contrary intention appears—</w:t>
      </w:r>
    </w:p>
    <w:p w:rsidR="00F93E75" w:rsidRPr="00256982" w:rsidRDefault="0036009B" w:rsidP="006F2B6B">
      <w:pPr>
        <w:spacing w:after="120" w:line="240" w:lineRule="auto"/>
        <w:ind w:firstLine="576"/>
        <w:jc w:val="both"/>
        <w:rPr>
          <w:rFonts w:ascii="Times New Roman" w:hAnsi="Times New Roman"/>
        </w:rPr>
      </w:pPr>
      <w:r>
        <w:rPr>
          <w:rFonts w:ascii="Times New Roman" w:hAnsi="Times New Roman"/>
        </w:rPr>
        <w:t>“</w:t>
      </w:r>
      <w:r w:rsidR="007856C3" w:rsidRPr="00256982">
        <w:rPr>
          <w:rFonts w:ascii="Times New Roman" w:hAnsi="Times New Roman"/>
        </w:rPr>
        <w:t>Rate</w:t>
      </w:r>
      <w:r>
        <w:rPr>
          <w:rFonts w:ascii="Times New Roman" w:hAnsi="Times New Roman"/>
        </w:rPr>
        <w:t>”</w:t>
      </w:r>
      <w:r w:rsidR="007856C3" w:rsidRPr="00256982">
        <w:rPr>
          <w:rFonts w:ascii="Times New Roman" w:hAnsi="Times New Roman"/>
        </w:rPr>
        <w:t xml:space="preserve"> means the fee or charge for the performance of any postal or telegraphic service.</w:t>
      </w:r>
    </w:p>
    <w:p w:rsidR="00EF48E5" w:rsidRPr="00E63F02" w:rsidRDefault="00EF48E5" w:rsidP="006F2B6B">
      <w:pPr>
        <w:spacing w:before="120" w:after="60" w:line="240" w:lineRule="auto"/>
        <w:jc w:val="both"/>
        <w:rPr>
          <w:rFonts w:ascii="Times New Roman" w:hAnsi="Times New Roman"/>
          <w:b/>
          <w:sz w:val="20"/>
          <w:szCs w:val="20"/>
        </w:rPr>
      </w:pPr>
      <w:r w:rsidRPr="00E63F02">
        <w:rPr>
          <w:rFonts w:ascii="Times New Roman" w:hAnsi="Times New Roman"/>
          <w:b/>
          <w:sz w:val="20"/>
          <w:szCs w:val="20"/>
        </w:rPr>
        <w:t>Rates to be paid on Government correspondence.</w:t>
      </w:r>
    </w:p>
    <w:p w:rsidR="00F93E75" w:rsidRPr="00997691" w:rsidRDefault="00997691" w:rsidP="006F2B6B">
      <w:pPr>
        <w:tabs>
          <w:tab w:val="left" w:pos="630"/>
        </w:tabs>
        <w:spacing w:after="60" w:line="240" w:lineRule="auto"/>
        <w:ind w:firstLine="288"/>
        <w:jc w:val="both"/>
        <w:rPr>
          <w:rFonts w:ascii="Times New Roman" w:hAnsi="Times New Roman"/>
        </w:rPr>
      </w:pPr>
      <w:r w:rsidRPr="00997691">
        <w:rPr>
          <w:rFonts w:ascii="Times New Roman" w:hAnsi="Times New Roman"/>
          <w:b/>
        </w:rPr>
        <w:t>5.</w:t>
      </w:r>
      <w:r w:rsidR="00ED06E7">
        <w:rPr>
          <w:rFonts w:ascii="Times New Roman" w:hAnsi="Times New Roman"/>
        </w:rPr>
        <w:tab/>
      </w:r>
      <w:r w:rsidR="007856C3" w:rsidRPr="00997691">
        <w:rPr>
          <w:rFonts w:ascii="Times New Roman" w:hAnsi="Times New Roman"/>
        </w:rPr>
        <w:t>Telegrams, letters, and postal articles transmitted or posted on behalf of the King, the Commonwealth Government, or any State Government shall, unless exempted by some Act, be subject to the postal and telegraphic rates for the time being in force. Subject to such regulations as the Governor-General may prescribe telegrams may be transmitted without charge on behalf of the Meteorological Department of or subsidized by a State until the establishment of a Commonwealth Meteorological Department.</w:t>
      </w:r>
    </w:p>
    <w:p w:rsidR="00EF48E5" w:rsidRPr="00E63F02" w:rsidRDefault="00EF48E5" w:rsidP="006F2B6B">
      <w:pPr>
        <w:spacing w:before="120" w:after="60" w:line="240" w:lineRule="auto"/>
        <w:jc w:val="both"/>
        <w:rPr>
          <w:rFonts w:ascii="Times New Roman" w:hAnsi="Times New Roman"/>
          <w:b/>
          <w:sz w:val="20"/>
          <w:szCs w:val="20"/>
        </w:rPr>
      </w:pPr>
      <w:r w:rsidRPr="00E63F02">
        <w:rPr>
          <w:rFonts w:ascii="Times New Roman" w:hAnsi="Times New Roman"/>
          <w:b/>
          <w:sz w:val="20"/>
          <w:szCs w:val="20"/>
        </w:rPr>
        <w:t>Newspaper rates.</w:t>
      </w:r>
    </w:p>
    <w:p w:rsidR="00F93E75" w:rsidRPr="00997691" w:rsidRDefault="00997691" w:rsidP="006F2B6B">
      <w:pPr>
        <w:tabs>
          <w:tab w:val="left" w:pos="630"/>
        </w:tabs>
        <w:spacing w:after="60" w:line="240" w:lineRule="auto"/>
        <w:ind w:firstLine="288"/>
        <w:jc w:val="both"/>
        <w:rPr>
          <w:rFonts w:ascii="Times New Roman" w:hAnsi="Times New Roman"/>
        </w:rPr>
      </w:pPr>
      <w:r w:rsidRPr="00997691">
        <w:rPr>
          <w:rFonts w:ascii="Times New Roman" w:hAnsi="Times New Roman"/>
          <w:b/>
        </w:rPr>
        <w:t>6.</w:t>
      </w:r>
      <w:r w:rsidR="00ED06E7">
        <w:rPr>
          <w:rFonts w:ascii="Times New Roman" w:hAnsi="Times New Roman"/>
        </w:rPr>
        <w:tab/>
      </w:r>
      <w:r w:rsidR="007856C3" w:rsidRPr="00997691">
        <w:rPr>
          <w:rFonts w:ascii="Times New Roman" w:hAnsi="Times New Roman"/>
        </w:rPr>
        <w:t>The rates for the conveyance of newspapers posted within the Commonwealth shall be as set out in the First Schedule to this Act.</w:t>
      </w:r>
    </w:p>
    <w:p w:rsidR="00EF48E5" w:rsidRPr="00E63F02" w:rsidRDefault="00EF48E5" w:rsidP="006F2B6B">
      <w:pPr>
        <w:spacing w:before="120" w:after="60" w:line="240" w:lineRule="auto"/>
        <w:jc w:val="both"/>
        <w:rPr>
          <w:rFonts w:ascii="Times New Roman" w:hAnsi="Times New Roman"/>
          <w:b/>
          <w:sz w:val="20"/>
          <w:szCs w:val="20"/>
        </w:rPr>
      </w:pPr>
      <w:r w:rsidRPr="00E63F02">
        <w:rPr>
          <w:rFonts w:ascii="Times New Roman" w:hAnsi="Times New Roman"/>
          <w:b/>
          <w:sz w:val="20"/>
          <w:szCs w:val="20"/>
        </w:rPr>
        <w:t>Telegraphic rates.</w:t>
      </w:r>
    </w:p>
    <w:p w:rsidR="00F93E75" w:rsidRPr="00997691" w:rsidRDefault="00997691" w:rsidP="006F2B6B">
      <w:pPr>
        <w:tabs>
          <w:tab w:val="left" w:pos="630"/>
        </w:tabs>
        <w:spacing w:after="60" w:line="240" w:lineRule="auto"/>
        <w:ind w:firstLine="288"/>
        <w:jc w:val="both"/>
        <w:rPr>
          <w:rFonts w:ascii="Times New Roman" w:hAnsi="Times New Roman"/>
        </w:rPr>
      </w:pPr>
      <w:r w:rsidRPr="00997691">
        <w:rPr>
          <w:rFonts w:ascii="Times New Roman" w:hAnsi="Times New Roman"/>
          <w:b/>
        </w:rPr>
        <w:t>7.</w:t>
      </w:r>
      <w:r w:rsidR="00ED06E7">
        <w:rPr>
          <w:rFonts w:ascii="Times New Roman" w:hAnsi="Times New Roman"/>
        </w:rPr>
        <w:tab/>
      </w:r>
      <w:r w:rsidR="007856C3" w:rsidRPr="00997691">
        <w:rPr>
          <w:rFonts w:ascii="Times New Roman" w:hAnsi="Times New Roman"/>
        </w:rPr>
        <w:t>The rates for the transmission of telegrams within the Commonwealth shall be as set out in the Second Schedule to this Act.</w:t>
      </w:r>
    </w:p>
    <w:p w:rsidR="00EF48E5" w:rsidRPr="00E63F02" w:rsidRDefault="00EF48E5" w:rsidP="006F2B6B">
      <w:pPr>
        <w:spacing w:before="120" w:after="60" w:line="240" w:lineRule="auto"/>
        <w:jc w:val="both"/>
        <w:rPr>
          <w:rFonts w:ascii="Times New Roman" w:hAnsi="Times New Roman"/>
          <w:b/>
          <w:sz w:val="20"/>
          <w:szCs w:val="20"/>
        </w:rPr>
      </w:pPr>
      <w:r w:rsidRPr="00E63F02">
        <w:rPr>
          <w:rFonts w:ascii="Times New Roman" w:hAnsi="Times New Roman"/>
          <w:b/>
          <w:sz w:val="20"/>
          <w:szCs w:val="20"/>
        </w:rPr>
        <w:t>Braille and Moon postal articles free.</w:t>
      </w:r>
    </w:p>
    <w:p w:rsidR="00F93E75" w:rsidRPr="00997691" w:rsidRDefault="00997691" w:rsidP="006F2B6B">
      <w:pPr>
        <w:tabs>
          <w:tab w:val="left" w:pos="630"/>
        </w:tabs>
        <w:spacing w:after="60" w:line="240" w:lineRule="auto"/>
        <w:ind w:firstLine="288"/>
        <w:jc w:val="both"/>
        <w:rPr>
          <w:rFonts w:ascii="Times New Roman" w:hAnsi="Times New Roman"/>
        </w:rPr>
      </w:pPr>
      <w:r w:rsidRPr="00997691">
        <w:rPr>
          <w:rFonts w:ascii="Times New Roman" w:hAnsi="Times New Roman"/>
          <w:b/>
        </w:rPr>
        <w:t>8.</w:t>
      </w:r>
      <w:r w:rsidR="00ED06E7">
        <w:rPr>
          <w:rFonts w:ascii="Times New Roman" w:hAnsi="Times New Roman"/>
          <w:b/>
        </w:rPr>
        <w:tab/>
      </w:r>
      <w:r w:rsidR="007856C3" w:rsidRPr="00997691">
        <w:rPr>
          <w:rFonts w:ascii="Times New Roman" w:hAnsi="Times New Roman"/>
        </w:rPr>
        <w:t>All Braille and Moon postal articles shall be conveyed without charge under Departmental regulations.</w:t>
      </w:r>
    </w:p>
    <w:p w:rsidR="00EF48E5" w:rsidRPr="00E63F02" w:rsidRDefault="00EF48E5" w:rsidP="006F2B6B">
      <w:pPr>
        <w:spacing w:before="120" w:after="60" w:line="240" w:lineRule="auto"/>
        <w:jc w:val="both"/>
        <w:rPr>
          <w:rFonts w:ascii="Times New Roman" w:hAnsi="Times New Roman"/>
          <w:b/>
          <w:sz w:val="20"/>
          <w:szCs w:val="20"/>
        </w:rPr>
      </w:pPr>
      <w:r w:rsidRPr="00E63F02">
        <w:rPr>
          <w:rFonts w:ascii="Times New Roman" w:hAnsi="Times New Roman"/>
          <w:b/>
          <w:sz w:val="20"/>
          <w:szCs w:val="20"/>
        </w:rPr>
        <w:t>Limits of town and suburban telegraph rates.</w:t>
      </w:r>
    </w:p>
    <w:p w:rsidR="00F93E75" w:rsidRPr="00997691" w:rsidRDefault="00997691" w:rsidP="006F2B6B">
      <w:pPr>
        <w:tabs>
          <w:tab w:val="left" w:pos="630"/>
        </w:tabs>
        <w:spacing w:after="60" w:line="240" w:lineRule="auto"/>
        <w:ind w:firstLine="288"/>
        <w:jc w:val="both"/>
        <w:rPr>
          <w:rFonts w:ascii="Times New Roman" w:hAnsi="Times New Roman"/>
        </w:rPr>
      </w:pPr>
      <w:r w:rsidRPr="00997691">
        <w:rPr>
          <w:rFonts w:ascii="Times New Roman" w:hAnsi="Times New Roman"/>
          <w:b/>
        </w:rPr>
        <w:t>9.</w:t>
      </w:r>
      <w:r w:rsidR="00ED06E7">
        <w:rPr>
          <w:rFonts w:ascii="Times New Roman" w:hAnsi="Times New Roman"/>
          <w:b/>
        </w:rPr>
        <w:tab/>
      </w:r>
      <w:r w:rsidR="007856C3" w:rsidRPr="00997691">
        <w:rPr>
          <w:rFonts w:ascii="Times New Roman" w:hAnsi="Times New Roman"/>
        </w:rPr>
        <w:t xml:space="preserve">The power of the Governor-General under section ninety-seven of the </w:t>
      </w:r>
      <w:r w:rsidRPr="00997691">
        <w:rPr>
          <w:rFonts w:ascii="Times New Roman" w:hAnsi="Times New Roman"/>
          <w:i/>
        </w:rPr>
        <w:t xml:space="preserve">Post and Telegraph Act </w:t>
      </w:r>
      <w:r w:rsidR="007856C3" w:rsidRPr="00997691">
        <w:rPr>
          <w:rFonts w:ascii="Times New Roman" w:hAnsi="Times New Roman"/>
        </w:rPr>
        <w:t>1901 to make regulations shall include the power to make regulations for prescribing the limits within which the rates for town and suburban telegrams and letters shall have effect, and for prescribing charges for the porterage of telegrams.</w:t>
      </w:r>
    </w:p>
    <w:p w:rsidR="00EB27AC" w:rsidRPr="004D7FD9" w:rsidRDefault="00EB27AC" w:rsidP="00ED7F4F">
      <w:pPr>
        <w:pBdr>
          <w:top w:val="single" w:sz="4" w:space="1" w:color="auto"/>
        </w:pBdr>
        <w:spacing w:before="480" w:after="120" w:line="240" w:lineRule="auto"/>
        <w:ind w:left="4032" w:right="4032"/>
        <w:jc w:val="center"/>
        <w:rPr>
          <w:rFonts w:ascii="Times New Roman" w:hAnsi="Times New Roman"/>
          <w:b/>
          <w:sz w:val="20"/>
          <w:szCs w:val="20"/>
        </w:rPr>
      </w:pPr>
      <w:bookmarkStart w:id="0" w:name="_GoBack"/>
      <w:bookmarkEnd w:id="0"/>
    </w:p>
    <w:p w:rsidR="00F93E75" w:rsidRPr="00395E1F" w:rsidRDefault="007856C3" w:rsidP="00ED7F4F">
      <w:pPr>
        <w:spacing w:before="120" w:after="120" w:line="240" w:lineRule="auto"/>
        <w:jc w:val="center"/>
        <w:rPr>
          <w:rFonts w:ascii="Times New Roman" w:hAnsi="Times New Roman"/>
          <w:sz w:val="24"/>
          <w:szCs w:val="24"/>
        </w:rPr>
      </w:pPr>
      <w:r w:rsidRPr="00395E1F">
        <w:rPr>
          <w:rFonts w:ascii="Times New Roman" w:hAnsi="Times New Roman"/>
          <w:sz w:val="24"/>
          <w:szCs w:val="24"/>
        </w:rPr>
        <w:t>SCHEDULES.</w:t>
      </w:r>
    </w:p>
    <w:p w:rsidR="00EB27AC" w:rsidRPr="004D7FD9" w:rsidRDefault="00EB27AC" w:rsidP="00ED7F4F">
      <w:pPr>
        <w:pBdr>
          <w:top w:val="single" w:sz="4" w:space="1" w:color="auto"/>
        </w:pBdr>
        <w:spacing w:before="120" w:after="0" w:line="240" w:lineRule="auto"/>
        <w:ind w:left="4320" w:right="4320"/>
        <w:jc w:val="center"/>
        <w:rPr>
          <w:rFonts w:ascii="Times New Roman" w:hAnsi="Times New Roman"/>
          <w:b/>
          <w:sz w:val="20"/>
          <w:szCs w:val="20"/>
        </w:rPr>
      </w:pPr>
    </w:p>
    <w:p w:rsidR="00F93E75" w:rsidRPr="00EB27AC" w:rsidRDefault="007856C3" w:rsidP="00ED7F4F">
      <w:pPr>
        <w:spacing w:before="120" w:after="120" w:line="240" w:lineRule="auto"/>
        <w:jc w:val="center"/>
        <w:rPr>
          <w:rFonts w:ascii="Times New Roman" w:hAnsi="Times New Roman"/>
          <w:sz w:val="24"/>
          <w:szCs w:val="24"/>
        </w:rPr>
      </w:pPr>
      <w:r w:rsidRPr="00EB27AC">
        <w:rPr>
          <w:rFonts w:ascii="Times New Roman" w:hAnsi="Times New Roman"/>
          <w:sz w:val="24"/>
          <w:szCs w:val="24"/>
        </w:rPr>
        <w:t>FIRST SCHEDULE.</w:t>
      </w:r>
    </w:p>
    <w:p w:rsidR="00F93E75" w:rsidRPr="004B11C3" w:rsidRDefault="007856C3" w:rsidP="00ED7F4F">
      <w:pPr>
        <w:spacing w:before="120" w:after="120" w:line="240" w:lineRule="auto"/>
        <w:jc w:val="center"/>
        <w:rPr>
          <w:rFonts w:ascii="Times New Roman" w:hAnsi="Times New Roman"/>
          <w:smallCaps/>
          <w:sz w:val="20"/>
          <w:szCs w:val="20"/>
        </w:rPr>
      </w:pPr>
      <w:r w:rsidRPr="004B11C3">
        <w:rPr>
          <w:rFonts w:ascii="Times New Roman" w:hAnsi="Times New Roman"/>
          <w:smallCaps/>
          <w:sz w:val="20"/>
          <w:szCs w:val="20"/>
        </w:rPr>
        <w:t>Newspapers.</w:t>
      </w:r>
    </w:p>
    <w:tbl>
      <w:tblPr>
        <w:tblW w:w="5000" w:type="pct"/>
        <w:tblBorders>
          <w:top w:val="single" w:sz="4" w:space="0" w:color="000000"/>
          <w:bottom w:val="single" w:sz="4" w:space="0" w:color="000000"/>
        </w:tblBorders>
        <w:tblLook w:val="04A0" w:firstRow="1" w:lastRow="0" w:firstColumn="1" w:lastColumn="0" w:noHBand="0" w:noVBand="1"/>
      </w:tblPr>
      <w:tblGrid>
        <w:gridCol w:w="4014"/>
        <w:gridCol w:w="5231"/>
      </w:tblGrid>
      <w:tr w:rsidR="0088605A" w:rsidRPr="00405D39" w:rsidTr="00405D39">
        <w:tc>
          <w:tcPr>
            <w:tcW w:w="2171" w:type="pct"/>
            <w:shd w:val="clear" w:color="auto" w:fill="auto"/>
          </w:tcPr>
          <w:p w:rsidR="0088605A" w:rsidRPr="00405D39" w:rsidRDefault="0088605A" w:rsidP="006F2B6B">
            <w:pPr>
              <w:spacing w:before="240" w:after="120" w:line="240" w:lineRule="auto"/>
              <w:ind w:left="288" w:hanging="288"/>
              <w:jc w:val="both"/>
              <w:rPr>
                <w:rFonts w:ascii="Times New Roman" w:hAnsi="Times New Roman"/>
              </w:rPr>
            </w:pPr>
            <w:r w:rsidRPr="00405D39">
              <w:rPr>
                <w:rFonts w:ascii="Times New Roman" w:hAnsi="Times New Roman"/>
              </w:rPr>
              <w:t>On all newspapers posted for delivery within the Commonwealth (without condition as to the number contained in each addressed wrapper), by registered newspaper proprietors, or by newsvendors, or returned by an agent or newsvendor to the publishing office</w:t>
            </w:r>
          </w:p>
        </w:tc>
        <w:tc>
          <w:tcPr>
            <w:tcW w:w="2829" w:type="pct"/>
            <w:shd w:val="clear" w:color="auto" w:fill="auto"/>
          </w:tcPr>
          <w:p w:rsidR="0088605A" w:rsidRPr="00405D39" w:rsidRDefault="0088605A" w:rsidP="006F2B6B">
            <w:pPr>
              <w:spacing w:before="240" w:after="120" w:line="240" w:lineRule="auto"/>
              <w:ind w:left="288" w:hanging="288"/>
              <w:jc w:val="both"/>
              <w:rPr>
                <w:rFonts w:ascii="Times New Roman" w:hAnsi="Times New Roman"/>
              </w:rPr>
            </w:pPr>
            <w:r w:rsidRPr="00405D39">
              <w:rPr>
                <w:rFonts w:ascii="Times New Roman" w:hAnsi="Times New Roman"/>
              </w:rPr>
              <w:t>One penny per twenty ounces on the aggregate weight of newspapers so posted by any one person at any one time.</w:t>
            </w:r>
          </w:p>
        </w:tc>
      </w:tr>
      <w:tr w:rsidR="0088605A" w:rsidRPr="00405D39" w:rsidTr="00405D39">
        <w:tc>
          <w:tcPr>
            <w:tcW w:w="2171" w:type="pct"/>
            <w:shd w:val="clear" w:color="auto" w:fill="auto"/>
          </w:tcPr>
          <w:p w:rsidR="0088605A" w:rsidRPr="00405D39" w:rsidRDefault="0088605A" w:rsidP="006F2B6B">
            <w:pPr>
              <w:spacing w:before="120" w:after="240" w:line="240" w:lineRule="auto"/>
              <w:ind w:left="288" w:hanging="288"/>
              <w:jc w:val="both"/>
              <w:rPr>
                <w:rFonts w:ascii="Times New Roman" w:hAnsi="Times New Roman"/>
              </w:rPr>
            </w:pPr>
            <w:r w:rsidRPr="00405D39">
              <w:rPr>
                <w:rFonts w:ascii="Times New Roman" w:hAnsi="Times New Roman"/>
              </w:rPr>
              <w:t>On all other newspapers posted within the Commonwealth for delivery therein</w:t>
            </w:r>
          </w:p>
        </w:tc>
        <w:tc>
          <w:tcPr>
            <w:tcW w:w="2829" w:type="pct"/>
            <w:shd w:val="clear" w:color="auto" w:fill="auto"/>
          </w:tcPr>
          <w:p w:rsidR="0088605A" w:rsidRPr="00405D39" w:rsidRDefault="0088605A" w:rsidP="006F2B6B">
            <w:pPr>
              <w:spacing w:before="120" w:after="240" w:line="240" w:lineRule="auto"/>
              <w:ind w:left="288" w:hanging="288"/>
              <w:jc w:val="both"/>
              <w:rPr>
                <w:rFonts w:ascii="Times New Roman" w:hAnsi="Times New Roman"/>
              </w:rPr>
            </w:pPr>
            <w:r w:rsidRPr="00405D39">
              <w:rPr>
                <w:rFonts w:ascii="Times New Roman" w:hAnsi="Times New Roman"/>
              </w:rPr>
              <w:t>For each newspaper. — One halfpenny per ten ounces, or fraction of ten ounces, avoirdupois weight.</w:t>
            </w:r>
          </w:p>
        </w:tc>
      </w:tr>
    </w:tbl>
    <w:p w:rsidR="007856C3" w:rsidRPr="00B06FBC" w:rsidRDefault="007856C3" w:rsidP="00952114">
      <w:pPr>
        <w:spacing w:line="240" w:lineRule="auto"/>
        <w:jc w:val="center"/>
        <w:rPr>
          <w:rFonts w:ascii="Times New Roman" w:hAnsi="Times New Roman"/>
          <w:sz w:val="24"/>
          <w:szCs w:val="24"/>
        </w:rPr>
      </w:pPr>
      <w:r>
        <w:rPr>
          <w:rFonts w:ascii="Times New Roman" w:hAnsi="Times New Roman"/>
        </w:rPr>
        <w:br w:type="page"/>
      </w:r>
      <w:r w:rsidRPr="00B06FBC">
        <w:rPr>
          <w:rFonts w:ascii="Times New Roman" w:hAnsi="Times New Roman"/>
          <w:sz w:val="24"/>
          <w:szCs w:val="24"/>
        </w:rPr>
        <w:lastRenderedPageBreak/>
        <w:t>SECOND SCHEDULE.</w:t>
      </w:r>
    </w:p>
    <w:p w:rsidR="007856C3" w:rsidRPr="00723E50" w:rsidRDefault="007856C3" w:rsidP="00952114">
      <w:pPr>
        <w:spacing w:before="120" w:after="120" w:line="240" w:lineRule="auto"/>
        <w:jc w:val="center"/>
        <w:rPr>
          <w:rFonts w:ascii="Times New Roman" w:hAnsi="Times New Roman"/>
          <w:smallCaps/>
          <w:sz w:val="20"/>
          <w:szCs w:val="20"/>
        </w:rPr>
      </w:pPr>
      <w:r w:rsidRPr="00723E50">
        <w:rPr>
          <w:rFonts w:ascii="Times New Roman" w:hAnsi="Times New Roman"/>
          <w:smallCaps/>
          <w:sz w:val="20"/>
          <w:szCs w:val="20"/>
        </w:rPr>
        <w:t>Part I.—Ordinary Telegrams.</w:t>
      </w:r>
    </w:p>
    <w:tbl>
      <w:tblPr>
        <w:tblW w:w="5000" w:type="pct"/>
        <w:tblCellMar>
          <w:left w:w="40" w:type="dxa"/>
          <w:right w:w="40" w:type="dxa"/>
        </w:tblCellMar>
        <w:tblLook w:val="0000" w:firstRow="0" w:lastRow="0" w:firstColumn="0" w:lastColumn="0" w:noHBand="0" w:noVBand="0"/>
      </w:tblPr>
      <w:tblGrid>
        <w:gridCol w:w="3095"/>
        <w:gridCol w:w="2153"/>
        <w:gridCol w:w="1924"/>
        <w:gridCol w:w="1937"/>
      </w:tblGrid>
      <w:tr w:rsidR="007856C3" w:rsidRPr="00405D39" w:rsidTr="00395E1F">
        <w:trPr>
          <w:trHeight w:val="20"/>
        </w:trPr>
        <w:tc>
          <w:tcPr>
            <w:tcW w:w="1699" w:type="pct"/>
            <w:tcBorders>
              <w:top w:val="single" w:sz="6" w:space="0" w:color="auto"/>
              <w:bottom w:val="single" w:sz="6" w:space="0" w:color="auto"/>
              <w:right w:val="single" w:sz="6" w:space="0" w:color="auto"/>
            </w:tcBorders>
          </w:tcPr>
          <w:p w:rsidR="007856C3" w:rsidRPr="00405D39" w:rsidRDefault="007856C3" w:rsidP="00ED7F4F">
            <w:pPr>
              <w:spacing w:beforeLines="120" w:before="288" w:afterLines="120" w:after="288" w:line="240" w:lineRule="auto"/>
              <w:rPr>
                <w:rFonts w:ascii="Times New Roman" w:hAnsi="Times New Roman"/>
                <w:szCs w:val="20"/>
              </w:rPr>
            </w:pPr>
          </w:p>
        </w:tc>
        <w:tc>
          <w:tcPr>
            <w:tcW w:w="1182" w:type="pct"/>
            <w:tcBorders>
              <w:top w:val="single" w:sz="6" w:space="0" w:color="auto"/>
              <w:left w:val="single" w:sz="6" w:space="0" w:color="auto"/>
              <w:bottom w:val="single" w:sz="6" w:space="0" w:color="auto"/>
              <w:right w:val="single" w:sz="6" w:space="0" w:color="auto"/>
            </w:tcBorders>
          </w:tcPr>
          <w:p w:rsidR="007856C3" w:rsidRPr="00405D39" w:rsidRDefault="007856C3" w:rsidP="00ED7F4F">
            <w:pPr>
              <w:spacing w:beforeLines="120" w:before="288" w:afterLines="120" w:after="288" w:line="240" w:lineRule="auto"/>
              <w:jc w:val="center"/>
              <w:rPr>
                <w:rFonts w:ascii="Times New Roman" w:hAnsi="Times New Roman"/>
                <w:szCs w:val="20"/>
              </w:rPr>
            </w:pPr>
            <w:r w:rsidRPr="00405D39">
              <w:rPr>
                <w:rFonts w:ascii="Times New Roman" w:hAnsi="Times New Roman"/>
                <w:szCs w:val="20"/>
              </w:rPr>
              <w:t>Town and Suburban, within prescribed limits, or within fifteen miles from the sending station.</w:t>
            </w:r>
          </w:p>
        </w:tc>
        <w:tc>
          <w:tcPr>
            <w:tcW w:w="1056" w:type="pct"/>
            <w:tcBorders>
              <w:top w:val="single" w:sz="6" w:space="0" w:color="auto"/>
              <w:left w:val="single" w:sz="6" w:space="0" w:color="auto"/>
              <w:bottom w:val="single" w:sz="6" w:space="0" w:color="auto"/>
              <w:right w:val="single" w:sz="6" w:space="0" w:color="auto"/>
            </w:tcBorders>
          </w:tcPr>
          <w:p w:rsidR="007856C3" w:rsidRPr="00405D39" w:rsidRDefault="007856C3" w:rsidP="00ED7F4F">
            <w:pPr>
              <w:spacing w:beforeLines="120" w:before="288" w:afterLines="120" w:after="288" w:line="240" w:lineRule="auto"/>
              <w:jc w:val="center"/>
              <w:rPr>
                <w:rFonts w:ascii="Times New Roman" w:hAnsi="Times New Roman"/>
                <w:szCs w:val="20"/>
              </w:rPr>
            </w:pPr>
            <w:r w:rsidRPr="00405D39">
              <w:rPr>
                <w:rFonts w:ascii="Times New Roman" w:hAnsi="Times New Roman"/>
                <w:szCs w:val="20"/>
              </w:rPr>
              <w:t>Other places within the State, except Town and Suburban.</w:t>
            </w:r>
          </w:p>
        </w:tc>
        <w:tc>
          <w:tcPr>
            <w:tcW w:w="1064" w:type="pct"/>
            <w:tcBorders>
              <w:top w:val="single" w:sz="6" w:space="0" w:color="auto"/>
              <w:left w:val="single" w:sz="6" w:space="0" w:color="auto"/>
              <w:bottom w:val="single" w:sz="6" w:space="0" w:color="auto"/>
            </w:tcBorders>
          </w:tcPr>
          <w:p w:rsidR="007856C3" w:rsidRPr="00405D39" w:rsidRDefault="007856C3" w:rsidP="0090495C">
            <w:pPr>
              <w:spacing w:beforeLines="120" w:before="288" w:afterLines="120" w:after="288" w:line="240" w:lineRule="auto"/>
              <w:jc w:val="center"/>
              <w:rPr>
                <w:rFonts w:ascii="Times New Roman" w:hAnsi="Times New Roman"/>
                <w:szCs w:val="20"/>
              </w:rPr>
            </w:pPr>
            <w:r w:rsidRPr="00405D39">
              <w:rPr>
                <w:rFonts w:ascii="Times New Roman" w:hAnsi="Times New Roman"/>
                <w:szCs w:val="20"/>
              </w:rPr>
              <w:t xml:space="preserve">Inter-State, </w:t>
            </w:r>
            <w:r w:rsidRPr="00405D39">
              <w:rPr>
                <w:rFonts w:ascii="Times New Roman" w:hAnsi="Times New Roman"/>
                <w:i/>
                <w:szCs w:val="20"/>
              </w:rPr>
              <w:t xml:space="preserve">i.e., </w:t>
            </w:r>
            <w:r w:rsidRPr="00405D39">
              <w:rPr>
                <w:rFonts w:ascii="Times New Roman" w:hAnsi="Times New Roman"/>
                <w:szCs w:val="20"/>
              </w:rPr>
              <w:t>from any one State to any other State.</w:t>
            </w:r>
          </w:p>
        </w:tc>
      </w:tr>
      <w:tr w:rsidR="007856C3" w:rsidRPr="00405D39" w:rsidTr="00395E1F">
        <w:trPr>
          <w:trHeight w:val="20"/>
        </w:trPr>
        <w:tc>
          <w:tcPr>
            <w:tcW w:w="1699" w:type="pct"/>
            <w:tcBorders>
              <w:top w:val="single" w:sz="6" w:space="0" w:color="auto"/>
              <w:right w:val="single" w:sz="6" w:space="0" w:color="auto"/>
            </w:tcBorders>
          </w:tcPr>
          <w:p w:rsidR="007856C3" w:rsidRPr="00405D39" w:rsidRDefault="007856C3" w:rsidP="00ED7F4F">
            <w:pPr>
              <w:spacing w:before="60" w:after="0" w:line="240" w:lineRule="auto"/>
              <w:jc w:val="center"/>
              <w:rPr>
                <w:rFonts w:ascii="Times New Roman" w:hAnsi="Times New Roman"/>
                <w:szCs w:val="20"/>
              </w:rPr>
            </w:pPr>
            <w:r w:rsidRPr="00405D39">
              <w:rPr>
                <w:rFonts w:ascii="Times New Roman" w:hAnsi="Times New Roman"/>
                <w:szCs w:val="20"/>
              </w:rPr>
              <w:t>Including address and signature—</w:t>
            </w:r>
          </w:p>
        </w:tc>
        <w:tc>
          <w:tcPr>
            <w:tcW w:w="1182" w:type="pct"/>
            <w:tcBorders>
              <w:top w:val="single" w:sz="6" w:space="0" w:color="auto"/>
              <w:left w:val="single" w:sz="6" w:space="0" w:color="auto"/>
              <w:right w:val="single" w:sz="6" w:space="0" w:color="auto"/>
            </w:tcBorders>
          </w:tcPr>
          <w:p w:rsidR="007856C3" w:rsidRPr="00405D39" w:rsidRDefault="007856C3" w:rsidP="00ED7F4F">
            <w:pPr>
              <w:spacing w:before="60" w:after="0" w:line="240" w:lineRule="auto"/>
              <w:rPr>
                <w:rFonts w:ascii="Times New Roman" w:hAnsi="Times New Roman"/>
                <w:szCs w:val="20"/>
              </w:rPr>
            </w:pPr>
          </w:p>
        </w:tc>
        <w:tc>
          <w:tcPr>
            <w:tcW w:w="1056" w:type="pct"/>
            <w:tcBorders>
              <w:top w:val="single" w:sz="6" w:space="0" w:color="auto"/>
              <w:left w:val="single" w:sz="6" w:space="0" w:color="auto"/>
              <w:right w:val="single" w:sz="6" w:space="0" w:color="auto"/>
            </w:tcBorders>
          </w:tcPr>
          <w:p w:rsidR="007856C3" w:rsidRPr="00405D39" w:rsidRDefault="007856C3" w:rsidP="00ED7F4F">
            <w:pPr>
              <w:spacing w:before="60" w:after="0" w:line="240" w:lineRule="auto"/>
              <w:rPr>
                <w:rFonts w:ascii="Times New Roman" w:hAnsi="Times New Roman"/>
                <w:szCs w:val="20"/>
              </w:rPr>
            </w:pPr>
          </w:p>
        </w:tc>
        <w:tc>
          <w:tcPr>
            <w:tcW w:w="1064" w:type="pct"/>
            <w:tcBorders>
              <w:top w:val="single" w:sz="6" w:space="0" w:color="auto"/>
              <w:left w:val="single" w:sz="6" w:space="0" w:color="auto"/>
            </w:tcBorders>
          </w:tcPr>
          <w:p w:rsidR="007856C3" w:rsidRPr="00405D39" w:rsidRDefault="007856C3" w:rsidP="00ED7F4F">
            <w:pPr>
              <w:spacing w:before="60" w:after="0" w:line="240" w:lineRule="auto"/>
              <w:rPr>
                <w:rFonts w:ascii="Times New Roman" w:hAnsi="Times New Roman"/>
                <w:szCs w:val="20"/>
              </w:rPr>
            </w:pPr>
          </w:p>
        </w:tc>
      </w:tr>
      <w:tr w:rsidR="007856C3" w:rsidRPr="00405D39" w:rsidTr="00395E1F">
        <w:trPr>
          <w:trHeight w:val="20"/>
        </w:trPr>
        <w:tc>
          <w:tcPr>
            <w:tcW w:w="1699" w:type="pct"/>
            <w:tcBorders>
              <w:right w:val="single" w:sz="6" w:space="0" w:color="auto"/>
            </w:tcBorders>
          </w:tcPr>
          <w:p w:rsidR="007856C3" w:rsidRPr="00405D39" w:rsidRDefault="007856C3" w:rsidP="00ED7F4F">
            <w:pPr>
              <w:spacing w:before="120" w:after="120" w:line="240" w:lineRule="auto"/>
              <w:rPr>
                <w:rFonts w:ascii="Times New Roman" w:hAnsi="Times New Roman"/>
                <w:szCs w:val="20"/>
              </w:rPr>
            </w:pPr>
            <w:r w:rsidRPr="00405D39">
              <w:rPr>
                <w:rFonts w:ascii="Times New Roman" w:hAnsi="Times New Roman"/>
                <w:szCs w:val="20"/>
              </w:rPr>
              <w:t>Not exceeding sixteen words</w:t>
            </w:r>
            <w:r w:rsidR="0090495C">
              <w:rPr>
                <w:rFonts w:ascii="Times New Roman" w:hAnsi="Times New Roman"/>
                <w:szCs w:val="20"/>
              </w:rPr>
              <w:t>...</w:t>
            </w:r>
          </w:p>
        </w:tc>
        <w:tc>
          <w:tcPr>
            <w:tcW w:w="1182" w:type="pct"/>
            <w:tcBorders>
              <w:left w:val="single" w:sz="6" w:space="0" w:color="auto"/>
              <w:right w:val="single" w:sz="6" w:space="0" w:color="auto"/>
            </w:tcBorders>
          </w:tcPr>
          <w:p w:rsidR="007856C3" w:rsidRPr="00405D39" w:rsidRDefault="007856C3" w:rsidP="00ED7F4F">
            <w:pPr>
              <w:tabs>
                <w:tab w:val="right" w:leader="dot" w:pos="1813"/>
              </w:tabs>
              <w:spacing w:before="120" w:after="120" w:line="240" w:lineRule="auto"/>
              <w:rPr>
                <w:rFonts w:ascii="Times New Roman" w:hAnsi="Times New Roman"/>
                <w:szCs w:val="20"/>
              </w:rPr>
            </w:pPr>
            <w:r w:rsidRPr="00405D39">
              <w:rPr>
                <w:rFonts w:ascii="Times New Roman" w:hAnsi="Times New Roman"/>
                <w:szCs w:val="20"/>
              </w:rPr>
              <w:t>Sixpence</w:t>
            </w:r>
            <w:r w:rsidR="00DE2FB1" w:rsidRPr="00405D39">
              <w:rPr>
                <w:rFonts w:ascii="Times New Roman" w:hAnsi="Times New Roman"/>
                <w:szCs w:val="20"/>
              </w:rPr>
              <w:tab/>
            </w:r>
          </w:p>
        </w:tc>
        <w:tc>
          <w:tcPr>
            <w:tcW w:w="1056" w:type="pct"/>
            <w:tcBorders>
              <w:left w:val="single" w:sz="6" w:space="0" w:color="auto"/>
              <w:right w:val="single" w:sz="6" w:space="0" w:color="auto"/>
            </w:tcBorders>
          </w:tcPr>
          <w:p w:rsidR="007856C3" w:rsidRPr="00405D39" w:rsidRDefault="007856C3" w:rsidP="00ED7F4F">
            <w:pPr>
              <w:tabs>
                <w:tab w:val="right" w:leader="dot" w:pos="1813"/>
              </w:tabs>
              <w:spacing w:before="120" w:after="120" w:line="240" w:lineRule="auto"/>
              <w:rPr>
                <w:rFonts w:ascii="Times New Roman" w:hAnsi="Times New Roman"/>
                <w:szCs w:val="20"/>
              </w:rPr>
            </w:pPr>
            <w:proofErr w:type="spellStart"/>
            <w:r w:rsidRPr="00405D39">
              <w:rPr>
                <w:rFonts w:ascii="Times New Roman" w:hAnsi="Times New Roman"/>
                <w:szCs w:val="20"/>
              </w:rPr>
              <w:t>Ninepence</w:t>
            </w:r>
            <w:proofErr w:type="spellEnd"/>
            <w:r w:rsidR="00DE2FB1" w:rsidRPr="00405D39">
              <w:rPr>
                <w:rFonts w:ascii="Times New Roman" w:hAnsi="Times New Roman"/>
                <w:szCs w:val="20"/>
              </w:rPr>
              <w:tab/>
            </w:r>
          </w:p>
        </w:tc>
        <w:tc>
          <w:tcPr>
            <w:tcW w:w="1064" w:type="pct"/>
            <w:tcBorders>
              <w:left w:val="single" w:sz="6" w:space="0" w:color="auto"/>
            </w:tcBorders>
          </w:tcPr>
          <w:p w:rsidR="007856C3" w:rsidRPr="00405D39" w:rsidRDefault="007856C3" w:rsidP="00ED7F4F">
            <w:pPr>
              <w:tabs>
                <w:tab w:val="right" w:leader="dot" w:pos="1813"/>
              </w:tabs>
              <w:spacing w:before="120" w:after="120" w:line="240" w:lineRule="auto"/>
              <w:rPr>
                <w:rFonts w:ascii="Times New Roman" w:hAnsi="Times New Roman"/>
                <w:szCs w:val="20"/>
              </w:rPr>
            </w:pPr>
            <w:r w:rsidRPr="00405D39">
              <w:rPr>
                <w:rFonts w:ascii="Times New Roman" w:hAnsi="Times New Roman"/>
                <w:szCs w:val="20"/>
              </w:rPr>
              <w:t>One shilling</w:t>
            </w:r>
          </w:p>
        </w:tc>
      </w:tr>
      <w:tr w:rsidR="007856C3" w:rsidRPr="00405D39" w:rsidTr="009C3DFE">
        <w:trPr>
          <w:trHeight w:val="351"/>
        </w:trPr>
        <w:tc>
          <w:tcPr>
            <w:tcW w:w="1699" w:type="pct"/>
            <w:tcBorders>
              <w:bottom w:val="single" w:sz="6" w:space="0" w:color="auto"/>
              <w:right w:val="single" w:sz="6" w:space="0" w:color="auto"/>
            </w:tcBorders>
          </w:tcPr>
          <w:p w:rsidR="007856C3" w:rsidRPr="00405D39" w:rsidRDefault="007856C3" w:rsidP="00ED7F4F">
            <w:pPr>
              <w:tabs>
                <w:tab w:val="right" w:leader="dot" w:pos="2745"/>
              </w:tabs>
              <w:spacing w:after="60" w:line="240" w:lineRule="auto"/>
              <w:rPr>
                <w:rFonts w:ascii="Times New Roman" w:hAnsi="Times New Roman"/>
                <w:szCs w:val="20"/>
              </w:rPr>
            </w:pPr>
            <w:r w:rsidRPr="00405D39">
              <w:rPr>
                <w:rFonts w:ascii="Times New Roman" w:hAnsi="Times New Roman"/>
                <w:szCs w:val="20"/>
              </w:rPr>
              <w:t>Each</w:t>
            </w:r>
            <w:r w:rsidR="005A370F" w:rsidRPr="00405D39">
              <w:rPr>
                <w:rFonts w:ascii="Times New Roman" w:hAnsi="Times New Roman"/>
                <w:szCs w:val="20"/>
              </w:rPr>
              <w:t xml:space="preserve"> </w:t>
            </w:r>
            <w:r w:rsidRPr="00405D39">
              <w:rPr>
                <w:rFonts w:ascii="Times New Roman" w:hAnsi="Times New Roman"/>
                <w:szCs w:val="20"/>
              </w:rPr>
              <w:t>additional word</w:t>
            </w:r>
            <w:r w:rsidR="009C3DFE" w:rsidRPr="00405D39">
              <w:rPr>
                <w:rFonts w:ascii="Times New Roman" w:hAnsi="Times New Roman"/>
                <w:szCs w:val="20"/>
              </w:rPr>
              <w:tab/>
            </w:r>
          </w:p>
        </w:tc>
        <w:tc>
          <w:tcPr>
            <w:tcW w:w="1182" w:type="pct"/>
            <w:tcBorders>
              <w:left w:val="single" w:sz="6" w:space="0" w:color="auto"/>
              <w:bottom w:val="single" w:sz="6" w:space="0" w:color="auto"/>
              <w:right w:val="single" w:sz="6" w:space="0" w:color="auto"/>
            </w:tcBorders>
          </w:tcPr>
          <w:p w:rsidR="007856C3" w:rsidRPr="00405D39" w:rsidRDefault="007856C3" w:rsidP="00ED7F4F">
            <w:pPr>
              <w:tabs>
                <w:tab w:val="right" w:leader="dot" w:pos="2745"/>
              </w:tabs>
              <w:spacing w:after="60" w:line="240" w:lineRule="auto"/>
              <w:rPr>
                <w:rFonts w:ascii="Times New Roman" w:hAnsi="Times New Roman"/>
                <w:szCs w:val="20"/>
              </w:rPr>
            </w:pPr>
            <w:r w:rsidRPr="00405D39">
              <w:rPr>
                <w:rFonts w:ascii="Times New Roman" w:hAnsi="Times New Roman"/>
                <w:szCs w:val="20"/>
              </w:rPr>
              <w:t>One penny</w:t>
            </w:r>
            <w:r w:rsidR="00DE2FB1" w:rsidRPr="00405D39">
              <w:rPr>
                <w:rFonts w:ascii="Times New Roman" w:hAnsi="Times New Roman"/>
                <w:szCs w:val="20"/>
              </w:rPr>
              <w:tab/>
            </w:r>
          </w:p>
        </w:tc>
        <w:tc>
          <w:tcPr>
            <w:tcW w:w="1056" w:type="pct"/>
            <w:tcBorders>
              <w:left w:val="single" w:sz="6" w:space="0" w:color="auto"/>
              <w:bottom w:val="single" w:sz="6" w:space="0" w:color="auto"/>
              <w:right w:val="single" w:sz="6" w:space="0" w:color="auto"/>
            </w:tcBorders>
          </w:tcPr>
          <w:p w:rsidR="007856C3" w:rsidRPr="00405D39" w:rsidRDefault="007856C3" w:rsidP="00ED7F4F">
            <w:pPr>
              <w:tabs>
                <w:tab w:val="right" w:leader="dot" w:pos="2745"/>
              </w:tabs>
              <w:spacing w:after="60" w:line="240" w:lineRule="auto"/>
              <w:rPr>
                <w:rFonts w:ascii="Times New Roman" w:hAnsi="Times New Roman"/>
                <w:szCs w:val="20"/>
              </w:rPr>
            </w:pPr>
            <w:r w:rsidRPr="00405D39">
              <w:rPr>
                <w:rFonts w:ascii="Times New Roman" w:hAnsi="Times New Roman"/>
                <w:szCs w:val="20"/>
              </w:rPr>
              <w:t>One penny</w:t>
            </w:r>
            <w:r w:rsidR="00DE2FB1" w:rsidRPr="00405D39">
              <w:rPr>
                <w:rFonts w:ascii="Times New Roman" w:hAnsi="Times New Roman"/>
                <w:szCs w:val="20"/>
              </w:rPr>
              <w:tab/>
            </w:r>
          </w:p>
        </w:tc>
        <w:tc>
          <w:tcPr>
            <w:tcW w:w="1064" w:type="pct"/>
            <w:tcBorders>
              <w:left w:val="single" w:sz="6" w:space="0" w:color="auto"/>
              <w:bottom w:val="single" w:sz="6" w:space="0" w:color="auto"/>
            </w:tcBorders>
          </w:tcPr>
          <w:p w:rsidR="007856C3" w:rsidRPr="00405D39" w:rsidRDefault="007856C3" w:rsidP="00ED7F4F">
            <w:pPr>
              <w:tabs>
                <w:tab w:val="right" w:leader="dot" w:pos="2745"/>
              </w:tabs>
              <w:spacing w:after="60" w:line="240" w:lineRule="auto"/>
              <w:rPr>
                <w:rFonts w:ascii="Times New Roman" w:hAnsi="Times New Roman"/>
                <w:szCs w:val="20"/>
              </w:rPr>
            </w:pPr>
            <w:r w:rsidRPr="00405D39">
              <w:rPr>
                <w:rFonts w:ascii="Times New Roman" w:hAnsi="Times New Roman"/>
                <w:szCs w:val="20"/>
              </w:rPr>
              <w:t>One penny</w:t>
            </w:r>
          </w:p>
        </w:tc>
      </w:tr>
    </w:tbl>
    <w:p w:rsidR="007856C3" w:rsidRPr="00997691" w:rsidRDefault="007856C3" w:rsidP="00BC19BE">
      <w:pPr>
        <w:spacing w:before="120" w:after="0" w:line="240" w:lineRule="auto"/>
        <w:ind w:firstLine="288"/>
        <w:jc w:val="both"/>
        <w:rPr>
          <w:rFonts w:ascii="Times New Roman" w:hAnsi="Times New Roman"/>
        </w:rPr>
      </w:pPr>
      <w:r w:rsidRPr="00997691">
        <w:rPr>
          <w:rFonts w:ascii="Times New Roman" w:hAnsi="Times New Roman"/>
        </w:rPr>
        <w:t>On telegrams from and to Tasmania the charges to be those mentioned above with cable charges added.</w:t>
      </w:r>
    </w:p>
    <w:p w:rsidR="007856C3" w:rsidRPr="00997691" w:rsidRDefault="007856C3" w:rsidP="00BC19BE">
      <w:pPr>
        <w:spacing w:after="0" w:line="240" w:lineRule="auto"/>
        <w:ind w:firstLine="288"/>
        <w:jc w:val="both"/>
        <w:rPr>
          <w:rFonts w:ascii="Times New Roman" w:hAnsi="Times New Roman"/>
        </w:rPr>
      </w:pPr>
      <w:r w:rsidRPr="00997691">
        <w:rPr>
          <w:rFonts w:ascii="Times New Roman" w:hAnsi="Times New Roman"/>
        </w:rPr>
        <w:t xml:space="preserve">Double the foregoing rates to be charged for the transmission of telegrams on Sunday, Christmas Day, and Good Friday, and for </w:t>
      </w:r>
      <w:r w:rsidR="0063031C">
        <w:rPr>
          <w:rFonts w:ascii="Times New Roman" w:hAnsi="Times New Roman"/>
        </w:rPr>
        <w:t>“</w:t>
      </w:r>
      <w:r w:rsidRPr="00997691">
        <w:rPr>
          <w:rFonts w:ascii="Times New Roman" w:hAnsi="Times New Roman"/>
        </w:rPr>
        <w:t>urgent</w:t>
      </w:r>
      <w:r w:rsidR="0063031C">
        <w:rPr>
          <w:rFonts w:ascii="Times New Roman" w:hAnsi="Times New Roman"/>
        </w:rPr>
        <w:t>”</w:t>
      </w:r>
      <w:r w:rsidRPr="00997691">
        <w:rPr>
          <w:rFonts w:ascii="Times New Roman" w:hAnsi="Times New Roman"/>
        </w:rPr>
        <w:t xml:space="preserve"> telegrams.</w:t>
      </w:r>
    </w:p>
    <w:p w:rsidR="007856C3" w:rsidRPr="00997691" w:rsidRDefault="007856C3" w:rsidP="00BC19BE">
      <w:pPr>
        <w:spacing w:after="120" w:line="240" w:lineRule="auto"/>
        <w:ind w:firstLine="288"/>
        <w:jc w:val="both"/>
        <w:rPr>
          <w:rFonts w:ascii="Times New Roman" w:hAnsi="Times New Roman"/>
        </w:rPr>
      </w:pPr>
      <w:r w:rsidRPr="00997691">
        <w:rPr>
          <w:rFonts w:ascii="Times New Roman" w:hAnsi="Times New Roman"/>
        </w:rPr>
        <w:t>The foregoing rates are exclusive of porterage charges.</w:t>
      </w:r>
    </w:p>
    <w:p w:rsidR="007856C3" w:rsidRPr="00723E50" w:rsidRDefault="007856C3" w:rsidP="00ED7F4F">
      <w:pPr>
        <w:spacing w:before="240" w:after="120" w:line="240" w:lineRule="auto"/>
        <w:jc w:val="center"/>
        <w:rPr>
          <w:rFonts w:ascii="Times New Roman" w:hAnsi="Times New Roman"/>
          <w:smallCaps/>
          <w:sz w:val="20"/>
          <w:szCs w:val="20"/>
        </w:rPr>
      </w:pPr>
      <w:r w:rsidRPr="00723E50">
        <w:rPr>
          <w:rFonts w:ascii="Times New Roman" w:hAnsi="Times New Roman"/>
          <w:smallCaps/>
          <w:sz w:val="20"/>
          <w:szCs w:val="20"/>
        </w:rPr>
        <w:t>Part II.—Press Telegrams.</w:t>
      </w:r>
    </w:p>
    <w:tbl>
      <w:tblPr>
        <w:tblW w:w="5000" w:type="pct"/>
        <w:tblCellMar>
          <w:left w:w="40" w:type="dxa"/>
          <w:right w:w="40" w:type="dxa"/>
        </w:tblCellMar>
        <w:tblLook w:val="0000" w:firstRow="0" w:lastRow="0" w:firstColumn="0" w:lastColumn="0" w:noHBand="0" w:noVBand="0"/>
      </w:tblPr>
      <w:tblGrid>
        <w:gridCol w:w="3251"/>
        <w:gridCol w:w="2172"/>
        <w:gridCol w:w="1997"/>
        <w:gridCol w:w="1689"/>
      </w:tblGrid>
      <w:tr w:rsidR="002E7A73" w:rsidRPr="00405D39" w:rsidTr="003954E9">
        <w:trPr>
          <w:trHeight w:val="2235"/>
        </w:trPr>
        <w:tc>
          <w:tcPr>
            <w:tcW w:w="1785" w:type="pct"/>
            <w:tcBorders>
              <w:top w:val="single" w:sz="6" w:space="0" w:color="auto"/>
              <w:bottom w:val="single" w:sz="6" w:space="0" w:color="auto"/>
              <w:right w:val="single" w:sz="6" w:space="0" w:color="auto"/>
            </w:tcBorders>
          </w:tcPr>
          <w:p w:rsidR="007856C3" w:rsidRPr="00405D39" w:rsidRDefault="007856C3" w:rsidP="00ED7F4F">
            <w:pPr>
              <w:spacing w:after="0" w:line="240" w:lineRule="auto"/>
              <w:rPr>
                <w:rFonts w:ascii="Times New Roman" w:hAnsi="Times New Roman"/>
                <w:szCs w:val="20"/>
              </w:rPr>
            </w:pPr>
          </w:p>
        </w:tc>
        <w:tc>
          <w:tcPr>
            <w:tcW w:w="1192" w:type="pct"/>
            <w:tcBorders>
              <w:top w:val="single" w:sz="6" w:space="0" w:color="auto"/>
              <w:left w:val="single" w:sz="6" w:space="0" w:color="auto"/>
              <w:bottom w:val="single" w:sz="6" w:space="0" w:color="auto"/>
              <w:right w:val="single" w:sz="6" w:space="0" w:color="auto"/>
            </w:tcBorders>
            <w:vAlign w:val="center"/>
          </w:tcPr>
          <w:p w:rsidR="007856C3" w:rsidRPr="00405D39" w:rsidRDefault="0090495C" w:rsidP="00ED7F4F">
            <w:pPr>
              <w:spacing w:after="360" w:line="240" w:lineRule="auto"/>
              <w:jc w:val="center"/>
              <w:rPr>
                <w:rFonts w:ascii="Times New Roman" w:hAnsi="Times New Roman"/>
                <w:szCs w:val="20"/>
              </w:rPr>
            </w:pPr>
            <w:r>
              <w:rPr>
                <w:rFonts w:ascii="Times New Roman" w:hAnsi="Times New Roman"/>
                <w:szCs w:val="20"/>
              </w:rPr>
              <w:t>W</w:t>
            </w:r>
            <w:r w:rsidR="007856C3" w:rsidRPr="00405D39">
              <w:rPr>
                <w:rFonts w:ascii="Times New Roman" w:hAnsi="Times New Roman"/>
                <w:szCs w:val="20"/>
              </w:rPr>
              <w:t>ithin any State.</w:t>
            </w:r>
          </w:p>
        </w:tc>
        <w:tc>
          <w:tcPr>
            <w:tcW w:w="1096" w:type="pct"/>
            <w:tcBorders>
              <w:top w:val="single" w:sz="6" w:space="0" w:color="auto"/>
              <w:left w:val="single" w:sz="6" w:space="0" w:color="auto"/>
              <w:bottom w:val="single" w:sz="6" w:space="0" w:color="auto"/>
              <w:right w:val="single" w:sz="6" w:space="0" w:color="auto"/>
            </w:tcBorders>
            <w:vAlign w:val="center"/>
          </w:tcPr>
          <w:p w:rsidR="007856C3" w:rsidRPr="00405D39" w:rsidRDefault="007856C3" w:rsidP="00ED7F4F">
            <w:pPr>
              <w:spacing w:after="0" w:line="240" w:lineRule="auto"/>
              <w:jc w:val="center"/>
              <w:rPr>
                <w:rFonts w:ascii="Times New Roman" w:hAnsi="Times New Roman"/>
                <w:szCs w:val="20"/>
              </w:rPr>
            </w:pPr>
            <w:r w:rsidRPr="00405D39">
              <w:rPr>
                <w:rFonts w:ascii="Times New Roman" w:hAnsi="Times New Roman"/>
                <w:szCs w:val="20"/>
              </w:rPr>
              <w:t xml:space="preserve">Inter-State, </w:t>
            </w:r>
            <w:r w:rsidRPr="00405D39">
              <w:rPr>
                <w:rFonts w:ascii="Times New Roman" w:hAnsi="Times New Roman"/>
                <w:i/>
                <w:szCs w:val="20"/>
              </w:rPr>
              <w:t xml:space="preserve">i.e., </w:t>
            </w:r>
            <w:r w:rsidRPr="00405D39">
              <w:rPr>
                <w:rFonts w:ascii="Times New Roman" w:hAnsi="Times New Roman"/>
                <w:szCs w:val="20"/>
              </w:rPr>
              <w:t>from any one State to any other State.</w:t>
            </w:r>
          </w:p>
        </w:tc>
        <w:tc>
          <w:tcPr>
            <w:tcW w:w="927" w:type="pct"/>
            <w:tcBorders>
              <w:top w:val="single" w:sz="6" w:space="0" w:color="auto"/>
              <w:left w:val="single" w:sz="6" w:space="0" w:color="auto"/>
              <w:bottom w:val="single" w:sz="6" w:space="0" w:color="auto"/>
            </w:tcBorders>
            <w:vAlign w:val="center"/>
          </w:tcPr>
          <w:p w:rsidR="007856C3" w:rsidRPr="00405D39" w:rsidRDefault="007856C3" w:rsidP="00ED7F4F">
            <w:pPr>
              <w:spacing w:after="0" w:line="240" w:lineRule="auto"/>
              <w:jc w:val="center"/>
              <w:rPr>
                <w:rFonts w:ascii="Times New Roman" w:hAnsi="Times New Roman"/>
                <w:szCs w:val="20"/>
              </w:rPr>
            </w:pPr>
            <w:r w:rsidRPr="00405D39">
              <w:rPr>
                <w:rFonts w:ascii="Times New Roman" w:hAnsi="Times New Roman"/>
                <w:szCs w:val="20"/>
              </w:rPr>
              <w:t>Relating to Parliamentary, Executive, Departmental, and other Commonwealth</w:t>
            </w:r>
            <w:r w:rsidR="006340A0" w:rsidRPr="00405D39">
              <w:rPr>
                <w:rFonts w:ascii="Times New Roman" w:hAnsi="Times New Roman"/>
                <w:szCs w:val="20"/>
              </w:rPr>
              <w:t xml:space="preserve"> </w:t>
            </w:r>
            <w:r w:rsidRPr="00405D39">
              <w:rPr>
                <w:rFonts w:ascii="Times New Roman" w:hAnsi="Times New Roman"/>
                <w:szCs w:val="20"/>
              </w:rPr>
              <w:t>Proceedings as may be prescribed.</w:t>
            </w:r>
          </w:p>
        </w:tc>
      </w:tr>
      <w:tr w:rsidR="002E7A73" w:rsidRPr="00405D39" w:rsidTr="002E7A73">
        <w:trPr>
          <w:trHeight w:val="20"/>
        </w:trPr>
        <w:tc>
          <w:tcPr>
            <w:tcW w:w="1785" w:type="pct"/>
            <w:tcBorders>
              <w:top w:val="single" w:sz="6" w:space="0" w:color="auto"/>
              <w:right w:val="single" w:sz="6" w:space="0" w:color="auto"/>
            </w:tcBorders>
          </w:tcPr>
          <w:p w:rsidR="007856C3" w:rsidRPr="00405D39" w:rsidRDefault="007856C3" w:rsidP="00ED7F4F">
            <w:pPr>
              <w:tabs>
                <w:tab w:val="right" w:leader="dot" w:pos="2826"/>
              </w:tabs>
              <w:spacing w:after="0" w:line="240" w:lineRule="auto"/>
              <w:rPr>
                <w:rFonts w:ascii="Times New Roman" w:hAnsi="Times New Roman"/>
                <w:szCs w:val="20"/>
              </w:rPr>
            </w:pPr>
            <w:r w:rsidRPr="00405D39">
              <w:rPr>
                <w:rFonts w:ascii="Times New Roman" w:hAnsi="Times New Roman"/>
                <w:szCs w:val="20"/>
              </w:rPr>
              <w:t>Not exceeding 25 words</w:t>
            </w:r>
            <w:r w:rsidR="009C3DFE" w:rsidRPr="00405D39">
              <w:rPr>
                <w:rFonts w:ascii="Times New Roman" w:hAnsi="Times New Roman"/>
                <w:szCs w:val="20"/>
              </w:rPr>
              <w:tab/>
            </w:r>
          </w:p>
        </w:tc>
        <w:tc>
          <w:tcPr>
            <w:tcW w:w="1192" w:type="pct"/>
            <w:tcBorders>
              <w:top w:val="single" w:sz="6" w:space="0" w:color="auto"/>
              <w:left w:val="single" w:sz="6" w:space="0" w:color="auto"/>
              <w:right w:val="single" w:sz="6" w:space="0" w:color="auto"/>
            </w:tcBorders>
          </w:tcPr>
          <w:p w:rsidR="007856C3" w:rsidRPr="00405D39" w:rsidRDefault="007856C3" w:rsidP="00ED7F4F">
            <w:pPr>
              <w:tabs>
                <w:tab w:val="right" w:leader="dot" w:pos="1813"/>
              </w:tabs>
              <w:spacing w:after="0" w:line="240" w:lineRule="auto"/>
              <w:rPr>
                <w:rFonts w:ascii="Times New Roman" w:hAnsi="Times New Roman"/>
                <w:szCs w:val="20"/>
              </w:rPr>
            </w:pPr>
            <w:r w:rsidRPr="00405D39">
              <w:rPr>
                <w:rFonts w:ascii="Times New Roman" w:hAnsi="Times New Roman"/>
                <w:szCs w:val="20"/>
              </w:rPr>
              <w:t>Sixpence</w:t>
            </w:r>
            <w:r w:rsidR="00DE2FB1" w:rsidRPr="00405D39">
              <w:rPr>
                <w:rFonts w:ascii="Times New Roman" w:hAnsi="Times New Roman"/>
                <w:szCs w:val="20"/>
              </w:rPr>
              <w:tab/>
            </w:r>
          </w:p>
        </w:tc>
        <w:tc>
          <w:tcPr>
            <w:tcW w:w="1096" w:type="pct"/>
            <w:tcBorders>
              <w:top w:val="single" w:sz="6" w:space="0" w:color="auto"/>
              <w:left w:val="single" w:sz="6" w:space="0" w:color="auto"/>
              <w:right w:val="single" w:sz="6" w:space="0" w:color="auto"/>
            </w:tcBorders>
          </w:tcPr>
          <w:p w:rsidR="007856C3" w:rsidRPr="00405D39" w:rsidRDefault="007856C3" w:rsidP="00ED7F4F">
            <w:pPr>
              <w:spacing w:after="0" w:line="240" w:lineRule="auto"/>
              <w:rPr>
                <w:rFonts w:ascii="Times New Roman" w:hAnsi="Times New Roman"/>
                <w:szCs w:val="20"/>
              </w:rPr>
            </w:pPr>
            <w:r w:rsidRPr="00405D39">
              <w:rPr>
                <w:rFonts w:ascii="Times New Roman" w:hAnsi="Times New Roman"/>
                <w:szCs w:val="20"/>
              </w:rPr>
              <w:t>One shilling</w:t>
            </w:r>
          </w:p>
        </w:tc>
        <w:tc>
          <w:tcPr>
            <w:tcW w:w="927" w:type="pct"/>
            <w:tcBorders>
              <w:top w:val="single" w:sz="6" w:space="0" w:color="auto"/>
              <w:left w:val="single" w:sz="6" w:space="0" w:color="auto"/>
            </w:tcBorders>
          </w:tcPr>
          <w:p w:rsidR="007856C3" w:rsidRPr="00405D39" w:rsidRDefault="007856C3" w:rsidP="00ED7F4F">
            <w:pPr>
              <w:spacing w:after="0" w:line="240" w:lineRule="auto"/>
              <w:rPr>
                <w:rFonts w:ascii="Times New Roman" w:hAnsi="Times New Roman"/>
                <w:szCs w:val="20"/>
              </w:rPr>
            </w:pPr>
          </w:p>
        </w:tc>
      </w:tr>
      <w:tr w:rsidR="002E7A73" w:rsidRPr="00405D39" w:rsidTr="002E7A73">
        <w:trPr>
          <w:trHeight w:val="20"/>
        </w:trPr>
        <w:tc>
          <w:tcPr>
            <w:tcW w:w="1785" w:type="pct"/>
            <w:tcBorders>
              <w:right w:val="single" w:sz="6" w:space="0" w:color="auto"/>
            </w:tcBorders>
          </w:tcPr>
          <w:p w:rsidR="007856C3" w:rsidRPr="00405D39" w:rsidRDefault="002E7A73" w:rsidP="00ED7F4F">
            <w:pPr>
              <w:spacing w:after="0" w:line="240" w:lineRule="auto"/>
              <w:ind w:left="288" w:hanging="288"/>
              <w:rPr>
                <w:rFonts w:ascii="Times New Roman" w:hAnsi="Times New Roman"/>
                <w:szCs w:val="20"/>
              </w:rPr>
            </w:pPr>
            <w:r w:rsidRPr="00405D39">
              <w:rPr>
                <w:rFonts w:ascii="Times New Roman" w:hAnsi="Times New Roman"/>
                <w:szCs w:val="20"/>
              </w:rPr>
              <w:t>Exceeding 25, but not ex</w:t>
            </w:r>
            <w:r w:rsidR="007856C3" w:rsidRPr="00405D39">
              <w:rPr>
                <w:rFonts w:ascii="Times New Roman" w:hAnsi="Times New Roman"/>
                <w:szCs w:val="20"/>
              </w:rPr>
              <w:t>ceeding 50 words</w:t>
            </w:r>
          </w:p>
        </w:tc>
        <w:tc>
          <w:tcPr>
            <w:tcW w:w="1192" w:type="pct"/>
            <w:tcBorders>
              <w:left w:val="single" w:sz="6" w:space="0" w:color="auto"/>
              <w:right w:val="single" w:sz="6" w:space="0" w:color="auto"/>
            </w:tcBorders>
          </w:tcPr>
          <w:p w:rsidR="007856C3" w:rsidRPr="00405D39" w:rsidRDefault="007856C3" w:rsidP="00ED7F4F">
            <w:pPr>
              <w:tabs>
                <w:tab w:val="right" w:leader="dot" w:pos="1813"/>
              </w:tabs>
              <w:spacing w:after="0" w:line="240" w:lineRule="auto"/>
              <w:rPr>
                <w:rFonts w:ascii="Times New Roman" w:hAnsi="Times New Roman"/>
                <w:szCs w:val="20"/>
              </w:rPr>
            </w:pPr>
            <w:proofErr w:type="spellStart"/>
            <w:r w:rsidRPr="00405D39">
              <w:rPr>
                <w:rFonts w:ascii="Times New Roman" w:hAnsi="Times New Roman"/>
                <w:szCs w:val="20"/>
              </w:rPr>
              <w:t>Ninepence</w:t>
            </w:r>
            <w:proofErr w:type="spellEnd"/>
            <w:r w:rsidR="00DE2FB1" w:rsidRPr="00405D39">
              <w:rPr>
                <w:rFonts w:ascii="Times New Roman" w:hAnsi="Times New Roman"/>
                <w:szCs w:val="20"/>
              </w:rPr>
              <w:tab/>
            </w:r>
          </w:p>
        </w:tc>
        <w:tc>
          <w:tcPr>
            <w:tcW w:w="1096" w:type="pct"/>
            <w:tcBorders>
              <w:left w:val="single" w:sz="6" w:space="0" w:color="auto"/>
              <w:right w:val="single" w:sz="6" w:space="0" w:color="auto"/>
            </w:tcBorders>
          </w:tcPr>
          <w:p w:rsidR="007856C3" w:rsidRPr="00405D39" w:rsidRDefault="007856C3" w:rsidP="00ED7F4F">
            <w:pPr>
              <w:spacing w:after="0" w:line="240" w:lineRule="auto"/>
              <w:ind w:left="288" w:hanging="288"/>
              <w:rPr>
                <w:rFonts w:ascii="Times New Roman" w:hAnsi="Times New Roman"/>
                <w:szCs w:val="20"/>
              </w:rPr>
            </w:pPr>
            <w:r w:rsidRPr="00405D39">
              <w:rPr>
                <w:rFonts w:ascii="Times New Roman" w:hAnsi="Times New Roman"/>
                <w:szCs w:val="20"/>
              </w:rPr>
              <w:t>One shilling and sixpence</w:t>
            </w:r>
          </w:p>
        </w:tc>
        <w:tc>
          <w:tcPr>
            <w:tcW w:w="927" w:type="pct"/>
            <w:tcBorders>
              <w:left w:val="single" w:sz="6" w:space="0" w:color="auto"/>
            </w:tcBorders>
          </w:tcPr>
          <w:p w:rsidR="007856C3" w:rsidRPr="00405D39" w:rsidRDefault="007856C3" w:rsidP="00ED7F4F">
            <w:pPr>
              <w:spacing w:after="0" w:line="240" w:lineRule="auto"/>
              <w:rPr>
                <w:rFonts w:ascii="Times New Roman" w:hAnsi="Times New Roman"/>
                <w:szCs w:val="20"/>
              </w:rPr>
            </w:pPr>
          </w:p>
        </w:tc>
      </w:tr>
      <w:tr w:rsidR="002E7A73" w:rsidRPr="00405D39" w:rsidTr="002E7A73">
        <w:trPr>
          <w:trHeight w:val="20"/>
        </w:trPr>
        <w:tc>
          <w:tcPr>
            <w:tcW w:w="1785" w:type="pct"/>
            <w:tcBorders>
              <w:right w:val="single" w:sz="6" w:space="0" w:color="auto"/>
            </w:tcBorders>
          </w:tcPr>
          <w:p w:rsidR="007856C3" w:rsidRPr="00405D39" w:rsidRDefault="007856C3" w:rsidP="00ED7F4F">
            <w:pPr>
              <w:spacing w:after="0" w:line="240" w:lineRule="auto"/>
              <w:ind w:left="288" w:hanging="288"/>
              <w:rPr>
                <w:rFonts w:ascii="Times New Roman" w:hAnsi="Times New Roman"/>
                <w:szCs w:val="20"/>
              </w:rPr>
            </w:pPr>
            <w:r w:rsidRPr="00405D39">
              <w:rPr>
                <w:rFonts w:ascii="Times New Roman" w:hAnsi="Times New Roman"/>
                <w:szCs w:val="20"/>
              </w:rPr>
              <w:t>Exceeding 50, but not exceeding 100 words</w:t>
            </w:r>
          </w:p>
        </w:tc>
        <w:tc>
          <w:tcPr>
            <w:tcW w:w="1192" w:type="pct"/>
            <w:tcBorders>
              <w:left w:val="single" w:sz="6" w:space="0" w:color="auto"/>
              <w:right w:val="single" w:sz="6" w:space="0" w:color="auto"/>
            </w:tcBorders>
          </w:tcPr>
          <w:p w:rsidR="007856C3" w:rsidRPr="00405D39" w:rsidRDefault="007856C3" w:rsidP="00ED7F4F">
            <w:pPr>
              <w:spacing w:after="0" w:line="240" w:lineRule="auto"/>
              <w:rPr>
                <w:rFonts w:ascii="Times New Roman" w:hAnsi="Times New Roman"/>
                <w:szCs w:val="20"/>
              </w:rPr>
            </w:pPr>
            <w:r w:rsidRPr="00405D39">
              <w:rPr>
                <w:rFonts w:ascii="Times New Roman" w:hAnsi="Times New Roman"/>
                <w:szCs w:val="20"/>
              </w:rPr>
              <w:t>One shilling and sixpence</w:t>
            </w:r>
          </w:p>
        </w:tc>
        <w:tc>
          <w:tcPr>
            <w:tcW w:w="1096" w:type="pct"/>
            <w:tcBorders>
              <w:left w:val="single" w:sz="6" w:space="0" w:color="auto"/>
              <w:right w:val="single" w:sz="6" w:space="0" w:color="auto"/>
            </w:tcBorders>
          </w:tcPr>
          <w:p w:rsidR="007856C3" w:rsidRPr="00405D39" w:rsidRDefault="007856C3" w:rsidP="00ED7F4F">
            <w:pPr>
              <w:spacing w:after="0" w:line="240" w:lineRule="auto"/>
              <w:rPr>
                <w:rFonts w:ascii="Times New Roman" w:hAnsi="Times New Roman"/>
                <w:szCs w:val="20"/>
              </w:rPr>
            </w:pPr>
            <w:r w:rsidRPr="00405D39">
              <w:rPr>
                <w:rFonts w:ascii="Times New Roman" w:hAnsi="Times New Roman"/>
                <w:szCs w:val="20"/>
              </w:rPr>
              <w:t>Three shillings</w:t>
            </w:r>
          </w:p>
        </w:tc>
        <w:tc>
          <w:tcPr>
            <w:tcW w:w="927" w:type="pct"/>
            <w:tcBorders>
              <w:left w:val="single" w:sz="6" w:space="0" w:color="auto"/>
            </w:tcBorders>
          </w:tcPr>
          <w:p w:rsidR="007856C3" w:rsidRPr="00405D39" w:rsidRDefault="007856C3" w:rsidP="00ED7F4F">
            <w:pPr>
              <w:spacing w:after="0" w:line="240" w:lineRule="auto"/>
              <w:rPr>
                <w:rFonts w:ascii="Times New Roman" w:hAnsi="Times New Roman"/>
                <w:szCs w:val="20"/>
              </w:rPr>
            </w:pPr>
          </w:p>
        </w:tc>
      </w:tr>
      <w:tr w:rsidR="002E7A73" w:rsidRPr="00405D39" w:rsidTr="002E7A73">
        <w:trPr>
          <w:trHeight w:val="20"/>
        </w:trPr>
        <w:tc>
          <w:tcPr>
            <w:tcW w:w="1785" w:type="pct"/>
            <w:tcBorders>
              <w:bottom w:val="single" w:sz="6" w:space="0" w:color="auto"/>
              <w:right w:val="single" w:sz="6" w:space="0" w:color="auto"/>
            </w:tcBorders>
          </w:tcPr>
          <w:p w:rsidR="007856C3" w:rsidRPr="00405D39" w:rsidRDefault="007856C3" w:rsidP="00ED7F4F">
            <w:pPr>
              <w:spacing w:after="0" w:line="240" w:lineRule="auto"/>
              <w:ind w:left="288" w:hanging="288"/>
              <w:rPr>
                <w:rFonts w:ascii="Times New Roman" w:hAnsi="Times New Roman"/>
                <w:szCs w:val="20"/>
              </w:rPr>
            </w:pPr>
            <w:r w:rsidRPr="00405D39">
              <w:rPr>
                <w:rFonts w:ascii="Times New Roman" w:hAnsi="Times New Roman"/>
                <w:szCs w:val="20"/>
              </w:rPr>
              <w:t>Every additional 50 words or portion of 50 words</w:t>
            </w:r>
          </w:p>
        </w:tc>
        <w:tc>
          <w:tcPr>
            <w:tcW w:w="1192" w:type="pct"/>
            <w:tcBorders>
              <w:left w:val="single" w:sz="6" w:space="0" w:color="auto"/>
              <w:bottom w:val="single" w:sz="6" w:space="0" w:color="auto"/>
              <w:right w:val="single" w:sz="6" w:space="0" w:color="auto"/>
            </w:tcBorders>
          </w:tcPr>
          <w:p w:rsidR="007856C3" w:rsidRPr="00405D39" w:rsidRDefault="007856C3" w:rsidP="00ED7F4F">
            <w:pPr>
              <w:tabs>
                <w:tab w:val="right" w:leader="dot" w:pos="1813"/>
              </w:tabs>
              <w:spacing w:after="0" w:line="240" w:lineRule="auto"/>
              <w:rPr>
                <w:rFonts w:ascii="Times New Roman" w:hAnsi="Times New Roman"/>
                <w:szCs w:val="20"/>
              </w:rPr>
            </w:pPr>
            <w:r w:rsidRPr="00405D39">
              <w:rPr>
                <w:rFonts w:ascii="Times New Roman" w:hAnsi="Times New Roman"/>
                <w:szCs w:val="20"/>
              </w:rPr>
              <w:t>Sixpence</w:t>
            </w:r>
            <w:r w:rsidR="00DE2FB1" w:rsidRPr="00405D39">
              <w:rPr>
                <w:rFonts w:ascii="Times New Roman" w:hAnsi="Times New Roman"/>
                <w:szCs w:val="20"/>
              </w:rPr>
              <w:tab/>
            </w:r>
          </w:p>
        </w:tc>
        <w:tc>
          <w:tcPr>
            <w:tcW w:w="1096" w:type="pct"/>
            <w:tcBorders>
              <w:left w:val="single" w:sz="6" w:space="0" w:color="auto"/>
              <w:bottom w:val="single" w:sz="6" w:space="0" w:color="auto"/>
              <w:right w:val="single" w:sz="6" w:space="0" w:color="auto"/>
            </w:tcBorders>
          </w:tcPr>
          <w:p w:rsidR="007856C3" w:rsidRPr="00405D39" w:rsidRDefault="007856C3" w:rsidP="00ED7F4F">
            <w:pPr>
              <w:spacing w:after="0" w:line="240" w:lineRule="auto"/>
              <w:rPr>
                <w:rFonts w:ascii="Times New Roman" w:hAnsi="Times New Roman"/>
                <w:szCs w:val="20"/>
              </w:rPr>
            </w:pPr>
            <w:r w:rsidRPr="00405D39">
              <w:rPr>
                <w:rFonts w:ascii="Times New Roman" w:hAnsi="Times New Roman"/>
                <w:szCs w:val="20"/>
              </w:rPr>
              <w:t>One shilling</w:t>
            </w:r>
          </w:p>
        </w:tc>
        <w:tc>
          <w:tcPr>
            <w:tcW w:w="927" w:type="pct"/>
            <w:tcBorders>
              <w:left w:val="single" w:sz="6" w:space="0" w:color="auto"/>
            </w:tcBorders>
          </w:tcPr>
          <w:p w:rsidR="007856C3" w:rsidRPr="00405D39" w:rsidRDefault="007856C3" w:rsidP="00ED7F4F">
            <w:pPr>
              <w:spacing w:after="0" w:line="240" w:lineRule="auto"/>
              <w:rPr>
                <w:rFonts w:ascii="Times New Roman" w:hAnsi="Times New Roman"/>
                <w:szCs w:val="20"/>
              </w:rPr>
            </w:pPr>
          </w:p>
        </w:tc>
      </w:tr>
      <w:tr w:rsidR="007856C3" w:rsidRPr="00405D39" w:rsidTr="002E7A73">
        <w:trPr>
          <w:trHeight w:val="20"/>
        </w:trPr>
        <w:tc>
          <w:tcPr>
            <w:tcW w:w="4073" w:type="pct"/>
            <w:gridSpan w:val="3"/>
            <w:tcBorders>
              <w:top w:val="single" w:sz="6" w:space="0" w:color="auto"/>
              <w:right w:val="single" w:sz="6" w:space="0" w:color="auto"/>
            </w:tcBorders>
          </w:tcPr>
          <w:p w:rsidR="007856C3" w:rsidRPr="00405D39" w:rsidRDefault="007856C3" w:rsidP="00ED7F4F">
            <w:pPr>
              <w:spacing w:before="120" w:after="60" w:line="240" w:lineRule="auto"/>
              <w:jc w:val="center"/>
              <w:rPr>
                <w:rFonts w:ascii="Times New Roman" w:hAnsi="Times New Roman"/>
                <w:szCs w:val="20"/>
              </w:rPr>
            </w:pPr>
            <w:r w:rsidRPr="00405D39">
              <w:rPr>
                <w:rFonts w:ascii="Times New Roman" w:hAnsi="Times New Roman"/>
                <w:i/>
                <w:szCs w:val="20"/>
              </w:rPr>
              <w:t>Within the Commonwealth.</w:t>
            </w:r>
          </w:p>
        </w:tc>
        <w:tc>
          <w:tcPr>
            <w:tcW w:w="927" w:type="pct"/>
            <w:tcBorders>
              <w:left w:val="single" w:sz="6" w:space="0" w:color="auto"/>
            </w:tcBorders>
          </w:tcPr>
          <w:p w:rsidR="007856C3" w:rsidRPr="00405D39" w:rsidRDefault="007856C3" w:rsidP="00ED7F4F">
            <w:pPr>
              <w:spacing w:after="0" w:line="240" w:lineRule="auto"/>
              <w:rPr>
                <w:rFonts w:ascii="Times New Roman" w:hAnsi="Times New Roman"/>
                <w:szCs w:val="20"/>
              </w:rPr>
            </w:pPr>
          </w:p>
        </w:tc>
      </w:tr>
      <w:tr w:rsidR="007856C3" w:rsidRPr="00405D39" w:rsidTr="002E7A73">
        <w:trPr>
          <w:trHeight w:val="20"/>
        </w:trPr>
        <w:tc>
          <w:tcPr>
            <w:tcW w:w="4073" w:type="pct"/>
            <w:gridSpan w:val="3"/>
            <w:tcBorders>
              <w:right w:val="single" w:sz="6" w:space="0" w:color="auto"/>
            </w:tcBorders>
          </w:tcPr>
          <w:p w:rsidR="007856C3" w:rsidRPr="00405D39" w:rsidRDefault="007856C3" w:rsidP="00ED7F4F">
            <w:pPr>
              <w:tabs>
                <w:tab w:val="right" w:leader="dot" w:pos="6480"/>
              </w:tabs>
              <w:spacing w:after="0" w:line="240" w:lineRule="auto"/>
              <w:rPr>
                <w:rFonts w:ascii="Times New Roman" w:hAnsi="Times New Roman"/>
                <w:szCs w:val="20"/>
              </w:rPr>
            </w:pPr>
            <w:r w:rsidRPr="00405D39">
              <w:rPr>
                <w:rFonts w:ascii="Times New Roman" w:hAnsi="Times New Roman"/>
                <w:szCs w:val="20"/>
              </w:rPr>
              <w:t>Not exceeding 25 words</w:t>
            </w:r>
            <w:r w:rsidR="0026453D" w:rsidRPr="00405D39">
              <w:rPr>
                <w:rFonts w:ascii="Times New Roman" w:hAnsi="Times New Roman"/>
                <w:szCs w:val="20"/>
              </w:rPr>
              <w:tab/>
            </w:r>
          </w:p>
        </w:tc>
        <w:tc>
          <w:tcPr>
            <w:tcW w:w="927" w:type="pct"/>
            <w:tcBorders>
              <w:left w:val="single" w:sz="6" w:space="0" w:color="auto"/>
            </w:tcBorders>
          </w:tcPr>
          <w:p w:rsidR="007856C3" w:rsidRPr="00405D39" w:rsidRDefault="007856C3" w:rsidP="00ED7F4F">
            <w:pPr>
              <w:spacing w:after="0" w:line="240" w:lineRule="auto"/>
              <w:rPr>
                <w:rFonts w:ascii="Times New Roman" w:hAnsi="Times New Roman"/>
                <w:szCs w:val="20"/>
              </w:rPr>
            </w:pPr>
            <w:r w:rsidRPr="00405D39">
              <w:rPr>
                <w:rFonts w:ascii="Times New Roman" w:hAnsi="Times New Roman"/>
                <w:szCs w:val="20"/>
              </w:rPr>
              <w:t>One shilling</w:t>
            </w:r>
          </w:p>
        </w:tc>
      </w:tr>
      <w:tr w:rsidR="007856C3" w:rsidRPr="00405D39" w:rsidTr="002E7A73">
        <w:trPr>
          <w:trHeight w:val="20"/>
        </w:trPr>
        <w:tc>
          <w:tcPr>
            <w:tcW w:w="4073" w:type="pct"/>
            <w:gridSpan w:val="3"/>
            <w:tcBorders>
              <w:right w:val="single" w:sz="6" w:space="0" w:color="auto"/>
            </w:tcBorders>
          </w:tcPr>
          <w:p w:rsidR="007856C3" w:rsidRPr="00405D39" w:rsidRDefault="007856C3" w:rsidP="00ED7F4F">
            <w:pPr>
              <w:tabs>
                <w:tab w:val="right" w:leader="dot" w:pos="6480"/>
              </w:tabs>
              <w:spacing w:after="0" w:line="240" w:lineRule="auto"/>
              <w:rPr>
                <w:rFonts w:ascii="Times New Roman" w:hAnsi="Times New Roman"/>
                <w:szCs w:val="20"/>
              </w:rPr>
            </w:pPr>
            <w:r w:rsidRPr="00405D39">
              <w:rPr>
                <w:rFonts w:ascii="Times New Roman" w:hAnsi="Times New Roman"/>
                <w:szCs w:val="20"/>
              </w:rPr>
              <w:t>Exceeding 25, but not exceeding 100 words</w:t>
            </w:r>
            <w:r w:rsidR="0026453D" w:rsidRPr="00405D39">
              <w:rPr>
                <w:rFonts w:ascii="Times New Roman" w:hAnsi="Times New Roman"/>
                <w:szCs w:val="20"/>
              </w:rPr>
              <w:tab/>
            </w:r>
          </w:p>
        </w:tc>
        <w:tc>
          <w:tcPr>
            <w:tcW w:w="927" w:type="pct"/>
            <w:tcBorders>
              <w:left w:val="single" w:sz="6" w:space="0" w:color="auto"/>
            </w:tcBorders>
          </w:tcPr>
          <w:p w:rsidR="007856C3" w:rsidRPr="00405D39" w:rsidRDefault="007856C3" w:rsidP="00ED7F4F">
            <w:pPr>
              <w:spacing w:after="0" w:line="240" w:lineRule="auto"/>
              <w:ind w:left="288" w:hanging="288"/>
              <w:rPr>
                <w:rFonts w:ascii="Times New Roman" w:hAnsi="Times New Roman"/>
                <w:szCs w:val="20"/>
              </w:rPr>
            </w:pPr>
            <w:r w:rsidRPr="00405D39">
              <w:rPr>
                <w:rFonts w:ascii="Times New Roman" w:hAnsi="Times New Roman"/>
                <w:szCs w:val="20"/>
              </w:rPr>
              <w:t>One shilling and sixpence</w:t>
            </w:r>
          </w:p>
        </w:tc>
      </w:tr>
      <w:tr w:rsidR="007856C3" w:rsidRPr="00405D39" w:rsidTr="0026453D">
        <w:trPr>
          <w:trHeight w:val="387"/>
        </w:trPr>
        <w:tc>
          <w:tcPr>
            <w:tcW w:w="4073" w:type="pct"/>
            <w:gridSpan w:val="3"/>
            <w:tcBorders>
              <w:right w:val="single" w:sz="6" w:space="0" w:color="auto"/>
            </w:tcBorders>
          </w:tcPr>
          <w:p w:rsidR="007856C3" w:rsidRPr="00405D39" w:rsidRDefault="007856C3" w:rsidP="00ED7F4F">
            <w:pPr>
              <w:tabs>
                <w:tab w:val="right" w:leader="dot" w:pos="6480"/>
              </w:tabs>
              <w:spacing w:after="120" w:line="240" w:lineRule="auto"/>
              <w:rPr>
                <w:rFonts w:ascii="Times New Roman" w:hAnsi="Times New Roman"/>
                <w:szCs w:val="20"/>
              </w:rPr>
            </w:pPr>
            <w:r w:rsidRPr="00405D39">
              <w:rPr>
                <w:rFonts w:ascii="Times New Roman" w:hAnsi="Times New Roman"/>
                <w:szCs w:val="20"/>
              </w:rPr>
              <w:t>Every additional 50 words or portion of 50 words</w:t>
            </w:r>
            <w:r w:rsidR="0026453D" w:rsidRPr="00405D39">
              <w:rPr>
                <w:rFonts w:ascii="Times New Roman" w:hAnsi="Times New Roman"/>
                <w:szCs w:val="20"/>
              </w:rPr>
              <w:tab/>
            </w:r>
          </w:p>
        </w:tc>
        <w:tc>
          <w:tcPr>
            <w:tcW w:w="927" w:type="pct"/>
            <w:tcBorders>
              <w:left w:val="single" w:sz="6" w:space="0" w:color="auto"/>
            </w:tcBorders>
          </w:tcPr>
          <w:p w:rsidR="007856C3" w:rsidRPr="00405D39" w:rsidRDefault="007856C3" w:rsidP="00ED7F4F">
            <w:pPr>
              <w:spacing w:after="120" w:line="240" w:lineRule="auto"/>
              <w:rPr>
                <w:rFonts w:ascii="Times New Roman" w:hAnsi="Times New Roman"/>
                <w:szCs w:val="20"/>
              </w:rPr>
            </w:pPr>
            <w:r w:rsidRPr="00405D39">
              <w:rPr>
                <w:rFonts w:ascii="Times New Roman" w:hAnsi="Times New Roman"/>
                <w:szCs w:val="20"/>
              </w:rPr>
              <w:t>Sixpence</w:t>
            </w:r>
          </w:p>
        </w:tc>
      </w:tr>
    </w:tbl>
    <w:p w:rsidR="007856C3" w:rsidRPr="00997691" w:rsidRDefault="007856C3" w:rsidP="00BC19BE">
      <w:pPr>
        <w:pBdr>
          <w:top w:val="single" w:sz="4" w:space="1" w:color="000000"/>
        </w:pBdr>
        <w:spacing w:before="60" w:after="0" w:line="240" w:lineRule="auto"/>
        <w:ind w:firstLine="288"/>
        <w:jc w:val="both"/>
        <w:rPr>
          <w:rFonts w:ascii="Times New Roman" w:hAnsi="Times New Roman"/>
        </w:rPr>
      </w:pPr>
      <w:r w:rsidRPr="00997691">
        <w:rPr>
          <w:rFonts w:ascii="Times New Roman" w:hAnsi="Times New Roman"/>
        </w:rPr>
        <w:t>The foregoing rates are exclusive of porterage charges.</w:t>
      </w:r>
    </w:p>
    <w:p w:rsidR="007856C3" w:rsidRPr="00997691" w:rsidRDefault="007856C3" w:rsidP="00BC19BE">
      <w:pPr>
        <w:spacing w:after="0" w:line="240" w:lineRule="auto"/>
        <w:ind w:firstLine="288"/>
        <w:jc w:val="both"/>
        <w:rPr>
          <w:rFonts w:ascii="Times New Roman" w:hAnsi="Times New Roman"/>
        </w:rPr>
      </w:pPr>
      <w:r w:rsidRPr="00997691">
        <w:rPr>
          <w:rFonts w:ascii="Times New Roman" w:hAnsi="Times New Roman"/>
        </w:rPr>
        <w:t>On telegrams from and to Tasmania the charges to be those mentioned above with cable charges added.</w:t>
      </w:r>
    </w:p>
    <w:sectPr w:rsidR="007856C3" w:rsidRPr="00997691" w:rsidSect="006A47EF">
      <w:headerReference w:type="even" r:id="rId9"/>
      <w:headerReference w:type="default" r:id="rId10"/>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D5A" w:rsidRDefault="00CC4D5A" w:rsidP="003D6BBA">
      <w:pPr>
        <w:spacing w:after="0" w:line="240" w:lineRule="auto"/>
      </w:pPr>
      <w:r>
        <w:separator/>
      </w:r>
    </w:p>
  </w:endnote>
  <w:endnote w:type="continuationSeparator" w:id="0">
    <w:p w:rsidR="00CC4D5A" w:rsidRDefault="00CC4D5A" w:rsidP="003D6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D5A" w:rsidRDefault="00CC4D5A" w:rsidP="003D6BBA">
      <w:pPr>
        <w:spacing w:after="0" w:line="240" w:lineRule="auto"/>
      </w:pPr>
      <w:r>
        <w:separator/>
      </w:r>
    </w:p>
  </w:footnote>
  <w:footnote w:type="continuationSeparator" w:id="0">
    <w:p w:rsidR="00CC4D5A" w:rsidRDefault="00CC4D5A" w:rsidP="003D6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BBA" w:rsidRPr="003805C1" w:rsidRDefault="003D6BBA" w:rsidP="00C13B64">
    <w:pPr>
      <w:tabs>
        <w:tab w:val="left" w:pos="3132"/>
        <w:tab w:val="left" w:pos="8100"/>
      </w:tabs>
      <w:spacing w:after="0" w:line="240" w:lineRule="auto"/>
      <w:rPr>
        <w:rFonts w:ascii="Times New Roman" w:hAnsi="Times New Roman"/>
        <w:sz w:val="20"/>
        <w:szCs w:val="20"/>
      </w:rPr>
    </w:pPr>
    <w:r w:rsidRPr="003805C1">
      <w:rPr>
        <w:rFonts w:ascii="Times New Roman" w:hAnsi="Times New Roman"/>
        <w:sz w:val="20"/>
        <w:szCs w:val="20"/>
      </w:rPr>
      <w:t>190</w:t>
    </w:r>
    <w:r w:rsidR="00256982" w:rsidRPr="003805C1">
      <w:rPr>
        <w:rFonts w:ascii="Times New Roman" w:hAnsi="Times New Roman"/>
        <w:sz w:val="20"/>
        <w:szCs w:val="20"/>
      </w:rPr>
      <w:t>2</w:t>
    </w:r>
    <w:r w:rsidRPr="003805C1">
      <w:rPr>
        <w:rFonts w:ascii="Times New Roman" w:hAnsi="Times New Roman"/>
        <w:sz w:val="20"/>
        <w:szCs w:val="20"/>
      </w:rPr>
      <w:t>.</w:t>
    </w:r>
    <w:r w:rsidRPr="003805C1">
      <w:rPr>
        <w:rFonts w:ascii="Times New Roman" w:hAnsi="Times New Roman"/>
        <w:sz w:val="20"/>
        <w:szCs w:val="20"/>
      </w:rPr>
      <w:tab/>
    </w:r>
    <w:r w:rsidRPr="003805C1">
      <w:rPr>
        <w:rFonts w:ascii="Times New Roman" w:hAnsi="Times New Roman"/>
        <w:i/>
        <w:sz w:val="20"/>
        <w:szCs w:val="20"/>
      </w:rPr>
      <w:t>Post and Telegraph Rates.</w:t>
    </w:r>
    <w:r w:rsidR="00C13B64" w:rsidRPr="003805C1">
      <w:rPr>
        <w:rFonts w:ascii="Times New Roman" w:hAnsi="Times New Roman"/>
        <w:i/>
        <w:sz w:val="20"/>
        <w:szCs w:val="20"/>
      </w:rPr>
      <w:tab/>
    </w:r>
    <w:r w:rsidRPr="003805C1">
      <w:rPr>
        <w:rFonts w:ascii="Times New Roman" w:hAnsi="Times New Roman"/>
        <w:sz w:val="20"/>
        <w:szCs w:val="20"/>
      </w:rPr>
      <w:t>No. 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BBA" w:rsidRPr="00A01B86" w:rsidRDefault="009D26C9" w:rsidP="0053184D">
    <w:pPr>
      <w:tabs>
        <w:tab w:val="left" w:pos="990"/>
        <w:tab w:val="left" w:pos="3780"/>
        <w:tab w:val="left" w:pos="7830"/>
        <w:tab w:val="left" w:pos="8100"/>
      </w:tabs>
      <w:spacing w:after="0" w:line="240" w:lineRule="auto"/>
      <w:rPr>
        <w:rFonts w:ascii="Times New Roman" w:hAnsi="Times New Roman"/>
        <w:sz w:val="20"/>
        <w:szCs w:val="20"/>
      </w:rPr>
    </w:pPr>
    <w:r w:rsidRPr="00A01B86">
      <w:rPr>
        <w:rFonts w:ascii="Times New Roman" w:hAnsi="Times New Roman"/>
        <w:sz w:val="20"/>
        <w:szCs w:val="20"/>
      </w:rPr>
      <w:t>No. 13.</w:t>
    </w:r>
    <w:r w:rsidR="00AB50A6">
      <w:rPr>
        <w:rFonts w:ascii="Times New Roman" w:hAnsi="Times New Roman"/>
        <w:sz w:val="20"/>
        <w:szCs w:val="20"/>
      </w:rPr>
      <w:tab/>
    </w:r>
    <w:r w:rsidR="00C13B64" w:rsidRPr="00A01B86">
      <w:rPr>
        <w:rFonts w:ascii="Times New Roman" w:hAnsi="Times New Roman"/>
        <w:sz w:val="20"/>
        <w:szCs w:val="20"/>
      </w:rPr>
      <w:tab/>
    </w:r>
    <w:r w:rsidR="003D6BBA" w:rsidRPr="00A01B86">
      <w:rPr>
        <w:rFonts w:ascii="Times New Roman" w:hAnsi="Times New Roman"/>
        <w:i/>
        <w:sz w:val="20"/>
        <w:szCs w:val="20"/>
      </w:rPr>
      <w:t>Post and Telegraph Rates.</w:t>
    </w:r>
    <w:r w:rsidR="00C13B64" w:rsidRPr="00A01B86">
      <w:rPr>
        <w:rFonts w:ascii="Times New Roman" w:hAnsi="Times New Roman"/>
        <w:i/>
        <w:sz w:val="20"/>
        <w:szCs w:val="20"/>
      </w:rPr>
      <w:tab/>
    </w:r>
    <w:r w:rsidR="003D6BBA" w:rsidRPr="00A01B86">
      <w:rPr>
        <w:rFonts w:ascii="Times New Roman" w:hAnsi="Times New Roman"/>
        <w:sz w:val="20"/>
        <w:szCs w:val="20"/>
      </w:rPr>
      <w:t>1902.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F2EDC"/>
    <w:multiLevelType w:val="hybridMultilevel"/>
    <w:tmpl w:val="847C0B70"/>
    <w:lvl w:ilvl="0" w:tplc="7DAC9C9C">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696F6B"/>
    <w:multiLevelType w:val="hybridMultilevel"/>
    <w:tmpl w:val="DB1EA302"/>
    <w:lvl w:ilvl="0" w:tplc="B7CCAC84">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NotTrackMoves/>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4F1"/>
    <w:rsid w:val="00092908"/>
    <w:rsid w:val="00180271"/>
    <w:rsid w:val="001D5353"/>
    <w:rsid w:val="001F0A75"/>
    <w:rsid w:val="00240165"/>
    <w:rsid w:val="002473D8"/>
    <w:rsid w:val="00256982"/>
    <w:rsid w:val="0026453D"/>
    <w:rsid w:val="002779DD"/>
    <w:rsid w:val="00287370"/>
    <w:rsid w:val="002B1719"/>
    <w:rsid w:val="002E7A73"/>
    <w:rsid w:val="002F52D4"/>
    <w:rsid w:val="003324D2"/>
    <w:rsid w:val="00341F2D"/>
    <w:rsid w:val="0036009B"/>
    <w:rsid w:val="00371459"/>
    <w:rsid w:val="003805C1"/>
    <w:rsid w:val="003954E9"/>
    <w:rsid w:val="00395E1F"/>
    <w:rsid w:val="003A44A1"/>
    <w:rsid w:val="003C0EC5"/>
    <w:rsid w:val="003D1626"/>
    <w:rsid w:val="003D6BBA"/>
    <w:rsid w:val="003E0765"/>
    <w:rsid w:val="00405D39"/>
    <w:rsid w:val="004060BA"/>
    <w:rsid w:val="00442AE8"/>
    <w:rsid w:val="00455B25"/>
    <w:rsid w:val="004A5E34"/>
    <w:rsid w:val="004B11C3"/>
    <w:rsid w:val="004D7FD9"/>
    <w:rsid w:val="0053184D"/>
    <w:rsid w:val="005339AF"/>
    <w:rsid w:val="005A370F"/>
    <w:rsid w:val="005D08EF"/>
    <w:rsid w:val="0060546A"/>
    <w:rsid w:val="0061499C"/>
    <w:rsid w:val="0063031C"/>
    <w:rsid w:val="00632703"/>
    <w:rsid w:val="006340A0"/>
    <w:rsid w:val="0064568F"/>
    <w:rsid w:val="006A47EF"/>
    <w:rsid w:val="006F2B6B"/>
    <w:rsid w:val="006F3E33"/>
    <w:rsid w:val="00723E50"/>
    <w:rsid w:val="007454ED"/>
    <w:rsid w:val="00752974"/>
    <w:rsid w:val="007856C3"/>
    <w:rsid w:val="007D525F"/>
    <w:rsid w:val="007E6F07"/>
    <w:rsid w:val="008126AB"/>
    <w:rsid w:val="00846689"/>
    <w:rsid w:val="00846777"/>
    <w:rsid w:val="0088605A"/>
    <w:rsid w:val="008D2F88"/>
    <w:rsid w:val="008F08C9"/>
    <w:rsid w:val="008F313C"/>
    <w:rsid w:val="00901A74"/>
    <w:rsid w:val="0090495C"/>
    <w:rsid w:val="009221F8"/>
    <w:rsid w:val="00952114"/>
    <w:rsid w:val="0097518C"/>
    <w:rsid w:val="00995152"/>
    <w:rsid w:val="00997691"/>
    <w:rsid w:val="009A2001"/>
    <w:rsid w:val="009A58D7"/>
    <w:rsid w:val="009C3DFE"/>
    <w:rsid w:val="009D26C9"/>
    <w:rsid w:val="00A01B86"/>
    <w:rsid w:val="00A14636"/>
    <w:rsid w:val="00A24698"/>
    <w:rsid w:val="00A34687"/>
    <w:rsid w:val="00A446B2"/>
    <w:rsid w:val="00A5166C"/>
    <w:rsid w:val="00A631B3"/>
    <w:rsid w:val="00AB50A6"/>
    <w:rsid w:val="00AD3499"/>
    <w:rsid w:val="00AF17BE"/>
    <w:rsid w:val="00B06FBC"/>
    <w:rsid w:val="00B44DAD"/>
    <w:rsid w:val="00B677EB"/>
    <w:rsid w:val="00BB34F1"/>
    <w:rsid w:val="00BC19BE"/>
    <w:rsid w:val="00C13B64"/>
    <w:rsid w:val="00C16D9D"/>
    <w:rsid w:val="00C17911"/>
    <w:rsid w:val="00C24E6B"/>
    <w:rsid w:val="00C30AA4"/>
    <w:rsid w:val="00CC4D5A"/>
    <w:rsid w:val="00D00457"/>
    <w:rsid w:val="00D32483"/>
    <w:rsid w:val="00D67799"/>
    <w:rsid w:val="00D74B93"/>
    <w:rsid w:val="00D85A0D"/>
    <w:rsid w:val="00D92CBF"/>
    <w:rsid w:val="00DA00D8"/>
    <w:rsid w:val="00DA0E42"/>
    <w:rsid w:val="00DD19A8"/>
    <w:rsid w:val="00DD6904"/>
    <w:rsid w:val="00DE2FB1"/>
    <w:rsid w:val="00DE3DE7"/>
    <w:rsid w:val="00E1773A"/>
    <w:rsid w:val="00E263E5"/>
    <w:rsid w:val="00E63F02"/>
    <w:rsid w:val="00EA384E"/>
    <w:rsid w:val="00EB27AC"/>
    <w:rsid w:val="00ED06E7"/>
    <w:rsid w:val="00ED7F4F"/>
    <w:rsid w:val="00EE462D"/>
    <w:rsid w:val="00EE7CF5"/>
    <w:rsid w:val="00EF48E5"/>
    <w:rsid w:val="00F80F0F"/>
    <w:rsid w:val="00F90B63"/>
    <w:rsid w:val="00F93E75"/>
    <w:rsid w:val="00FD5644"/>
    <w:rsid w:val="00FE6F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99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4">
    <w:name w:val="Style64"/>
    <w:basedOn w:val="Normal"/>
    <w:rsid w:val="0061499C"/>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61499C"/>
    <w:pPr>
      <w:spacing w:after="0" w:line="240" w:lineRule="auto"/>
    </w:pPr>
    <w:rPr>
      <w:rFonts w:ascii="Century Schoolbook" w:eastAsia="Century Schoolbook" w:hAnsi="Century Schoolbook" w:cs="Century Schoolbook"/>
      <w:sz w:val="20"/>
      <w:szCs w:val="20"/>
    </w:rPr>
  </w:style>
  <w:style w:type="paragraph" w:customStyle="1" w:styleId="Style159">
    <w:name w:val="Style159"/>
    <w:basedOn w:val="Normal"/>
    <w:rsid w:val="0061499C"/>
    <w:pPr>
      <w:spacing w:after="0" w:line="240" w:lineRule="auto"/>
    </w:pPr>
    <w:rPr>
      <w:rFonts w:ascii="Century Schoolbook" w:eastAsia="Century Schoolbook" w:hAnsi="Century Schoolbook" w:cs="Century Schoolbook"/>
      <w:sz w:val="20"/>
      <w:szCs w:val="20"/>
    </w:rPr>
  </w:style>
  <w:style w:type="paragraph" w:customStyle="1" w:styleId="Style160">
    <w:name w:val="Style160"/>
    <w:basedOn w:val="Normal"/>
    <w:rsid w:val="0061499C"/>
    <w:pPr>
      <w:spacing w:after="0" w:line="240" w:lineRule="auto"/>
    </w:pPr>
    <w:rPr>
      <w:rFonts w:ascii="Century Schoolbook" w:eastAsia="Century Schoolbook" w:hAnsi="Century Schoolbook" w:cs="Century Schoolbook"/>
      <w:sz w:val="20"/>
      <w:szCs w:val="20"/>
    </w:rPr>
  </w:style>
  <w:style w:type="paragraph" w:customStyle="1" w:styleId="Style161">
    <w:name w:val="Style161"/>
    <w:basedOn w:val="Normal"/>
    <w:rsid w:val="0061499C"/>
    <w:pPr>
      <w:spacing w:after="0" w:line="240" w:lineRule="auto"/>
    </w:pPr>
    <w:rPr>
      <w:rFonts w:ascii="Century Schoolbook" w:eastAsia="Century Schoolbook" w:hAnsi="Century Schoolbook" w:cs="Century Schoolbook"/>
      <w:sz w:val="20"/>
      <w:szCs w:val="20"/>
    </w:rPr>
  </w:style>
  <w:style w:type="paragraph" w:customStyle="1" w:styleId="Style162">
    <w:name w:val="Style162"/>
    <w:basedOn w:val="Normal"/>
    <w:rsid w:val="0061499C"/>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61499C"/>
    <w:pPr>
      <w:spacing w:after="0" w:line="240" w:lineRule="auto"/>
    </w:pPr>
    <w:rPr>
      <w:rFonts w:ascii="Century Schoolbook" w:eastAsia="Century Schoolbook" w:hAnsi="Century Schoolbook" w:cs="Century Schoolbook"/>
      <w:sz w:val="20"/>
      <w:szCs w:val="20"/>
    </w:rPr>
  </w:style>
  <w:style w:type="paragraph" w:customStyle="1" w:styleId="Style166">
    <w:name w:val="Style166"/>
    <w:basedOn w:val="Normal"/>
    <w:rsid w:val="0061499C"/>
    <w:pPr>
      <w:spacing w:after="0" w:line="240" w:lineRule="auto"/>
    </w:pPr>
    <w:rPr>
      <w:rFonts w:ascii="Century Schoolbook" w:eastAsia="Century Schoolbook" w:hAnsi="Century Schoolbook" w:cs="Century Schoolbook"/>
      <w:sz w:val="20"/>
      <w:szCs w:val="20"/>
    </w:rPr>
  </w:style>
  <w:style w:type="paragraph" w:customStyle="1" w:styleId="Style169">
    <w:name w:val="Style169"/>
    <w:basedOn w:val="Normal"/>
    <w:rsid w:val="0061499C"/>
    <w:pPr>
      <w:spacing w:after="0" w:line="240" w:lineRule="auto"/>
    </w:pPr>
    <w:rPr>
      <w:rFonts w:ascii="Century Schoolbook" w:eastAsia="Century Schoolbook" w:hAnsi="Century Schoolbook" w:cs="Century Schoolbook"/>
      <w:sz w:val="20"/>
      <w:szCs w:val="20"/>
    </w:rPr>
  </w:style>
  <w:style w:type="paragraph" w:customStyle="1" w:styleId="Style170">
    <w:name w:val="Style170"/>
    <w:basedOn w:val="Normal"/>
    <w:rsid w:val="0061499C"/>
    <w:pPr>
      <w:spacing w:after="0" w:line="240" w:lineRule="auto"/>
    </w:pPr>
    <w:rPr>
      <w:rFonts w:ascii="Century Schoolbook" w:eastAsia="Century Schoolbook" w:hAnsi="Century Schoolbook" w:cs="Century Schoolbook"/>
      <w:sz w:val="20"/>
      <w:szCs w:val="20"/>
    </w:rPr>
  </w:style>
  <w:style w:type="paragraph" w:customStyle="1" w:styleId="Style186">
    <w:name w:val="Style186"/>
    <w:basedOn w:val="Normal"/>
    <w:rsid w:val="0061499C"/>
    <w:pPr>
      <w:spacing w:after="0" w:line="240" w:lineRule="auto"/>
    </w:pPr>
    <w:rPr>
      <w:rFonts w:ascii="Century Schoolbook" w:eastAsia="Century Schoolbook" w:hAnsi="Century Schoolbook" w:cs="Century Schoolbook"/>
      <w:sz w:val="20"/>
      <w:szCs w:val="20"/>
    </w:rPr>
  </w:style>
  <w:style w:type="paragraph" w:customStyle="1" w:styleId="Style172">
    <w:name w:val="Style172"/>
    <w:basedOn w:val="Normal"/>
    <w:rsid w:val="0061499C"/>
    <w:pPr>
      <w:spacing w:after="0" w:line="240" w:lineRule="auto"/>
    </w:pPr>
    <w:rPr>
      <w:rFonts w:ascii="Century Schoolbook" w:eastAsia="Century Schoolbook" w:hAnsi="Century Schoolbook" w:cs="Century Schoolbook"/>
      <w:sz w:val="20"/>
      <w:szCs w:val="20"/>
    </w:rPr>
  </w:style>
  <w:style w:type="paragraph" w:customStyle="1" w:styleId="Style185">
    <w:name w:val="Style185"/>
    <w:basedOn w:val="Normal"/>
    <w:rsid w:val="0061499C"/>
    <w:pPr>
      <w:spacing w:after="0" w:line="240" w:lineRule="auto"/>
    </w:pPr>
    <w:rPr>
      <w:rFonts w:ascii="Century Schoolbook" w:eastAsia="Century Schoolbook" w:hAnsi="Century Schoolbook" w:cs="Century Schoolbook"/>
      <w:sz w:val="20"/>
      <w:szCs w:val="20"/>
    </w:rPr>
  </w:style>
  <w:style w:type="paragraph" w:customStyle="1" w:styleId="Style196">
    <w:name w:val="Style196"/>
    <w:basedOn w:val="Normal"/>
    <w:rsid w:val="0061499C"/>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61499C"/>
    <w:pPr>
      <w:spacing w:after="0" w:line="240" w:lineRule="auto"/>
    </w:pPr>
    <w:rPr>
      <w:rFonts w:ascii="Century Schoolbook" w:eastAsia="Century Schoolbook" w:hAnsi="Century Schoolbook" w:cs="Century Schoolbook"/>
      <w:sz w:val="20"/>
      <w:szCs w:val="20"/>
    </w:rPr>
  </w:style>
  <w:style w:type="paragraph" w:customStyle="1" w:styleId="Style243">
    <w:name w:val="Style243"/>
    <w:basedOn w:val="Normal"/>
    <w:rsid w:val="0061499C"/>
    <w:pPr>
      <w:spacing w:after="0" w:line="240" w:lineRule="auto"/>
    </w:pPr>
    <w:rPr>
      <w:rFonts w:ascii="Century Schoolbook" w:eastAsia="Century Schoolbook" w:hAnsi="Century Schoolbook" w:cs="Century Schoolbook"/>
      <w:sz w:val="20"/>
      <w:szCs w:val="20"/>
    </w:rPr>
  </w:style>
  <w:style w:type="paragraph" w:customStyle="1" w:styleId="Style208">
    <w:name w:val="Style208"/>
    <w:basedOn w:val="Normal"/>
    <w:rsid w:val="0061499C"/>
    <w:pPr>
      <w:spacing w:after="0" w:line="240" w:lineRule="auto"/>
    </w:pPr>
    <w:rPr>
      <w:rFonts w:ascii="Century Schoolbook" w:eastAsia="Century Schoolbook" w:hAnsi="Century Schoolbook" w:cs="Century Schoolbook"/>
      <w:sz w:val="20"/>
      <w:szCs w:val="20"/>
    </w:rPr>
  </w:style>
  <w:style w:type="paragraph" w:customStyle="1" w:styleId="Style233">
    <w:name w:val="Style233"/>
    <w:basedOn w:val="Normal"/>
    <w:rsid w:val="0061499C"/>
    <w:pPr>
      <w:spacing w:after="0" w:line="240" w:lineRule="auto"/>
    </w:pPr>
    <w:rPr>
      <w:rFonts w:ascii="Century Schoolbook" w:eastAsia="Century Schoolbook" w:hAnsi="Century Schoolbook" w:cs="Century Schoolbook"/>
      <w:sz w:val="20"/>
      <w:szCs w:val="20"/>
    </w:rPr>
  </w:style>
  <w:style w:type="paragraph" w:customStyle="1" w:styleId="Style191">
    <w:name w:val="Style191"/>
    <w:basedOn w:val="Normal"/>
    <w:rsid w:val="0061499C"/>
    <w:pPr>
      <w:spacing w:after="0" w:line="240" w:lineRule="auto"/>
    </w:pPr>
    <w:rPr>
      <w:rFonts w:ascii="Century Schoolbook" w:eastAsia="Century Schoolbook" w:hAnsi="Century Schoolbook" w:cs="Century Schoolbook"/>
      <w:sz w:val="20"/>
      <w:szCs w:val="20"/>
    </w:rPr>
  </w:style>
  <w:style w:type="character" w:customStyle="1" w:styleId="CharStyle85">
    <w:name w:val="CharStyle85"/>
    <w:rsid w:val="0061499C"/>
    <w:rPr>
      <w:rFonts w:ascii="Century Schoolbook" w:eastAsia="Century Schoolbook" w:hAnsi="Century Schoolbook" w:cs="Century Schoolbook"/>
      <w:b w:val="0"/>
      <w:bCs w:val="0"/>
      <w:i w:val="0"/>
      <w:iCs w:val="0"/>
      <w:smallCaps w:val="0"/>
      <w:sz w:val="30"/>
      <w:szCs w:val="30"/>
    </w:rPr>
  </w:style>
  <w:style w:type="character" w:customStyle="1" w:styleId="CharStyle86">
    <w:name w:val="CharStyle86"/>
    <w:rsid w:val="0061499C"/>
    <w:rPr>
      <w:rFonts w:ascii="Century Schoolbook" w:eastAsia="Century Schoolbook" w:hAnsi="Century Schoolbook" w:cs="Century Schoolbook"/>
      <w:b/>
      <w:bCs/>
      <w:i w:val="0"/>
      <w:iCs w:val="0"/>
      <w:smallCaps w:val="0"/>
      <w:sz w:val="22"/>
      <w:szCs w:val="22"/>
    </w:rPr>
  </w:style>
  <w:style w:type="character" w:customStyle="1" w:styleId="CharStyle87">
    <w:name w:val="CharStyle87"/>
    <w:rsid w:val="0061499C"/>
    <w:rPr>
      <w:rFonts w:ascii="Century Schoolbook" w:eastAsia="Century Schoolbook" w:hAnsi="Century Schoolbook" w:cs="Century Schoolbook"/>
      <w:b w:val="0"/>
      <w:bCs w:val="0"/>
      <w:i w:val="0"/>
      <w:iCs w:val="0"/>
      <w:smallCaps w:val="0"/>
      <w:sz w:val="24"/>
      <w:szCs w:val="24"/>
    </w:rPr>
  </w:style>
  <w:style w:type="character" w:customStyle="1" w:styleId="CharStyle89">
    <w:name w:val="CharStyle89"/>
    <w:rsid w:val="0061499C"/>
    <w:rPr>
      <w:rFonts w:ascii="Century Schoolbook" w:eastAsia="Century Schoolbook" w:hAnsi="Century Schoolbook" w:cs="Century Schoolbook"/>
      <w:b w:val="0"/>
      <w:bCs w:val="0"/>
      <w:i w:val="0"/>
      <w:iCs w:val="0"/>
      <w:smallCaps w:val="0"/>
      <w:sz w:val="44"/>
      <w:szCs w:val="44"/>
    </w:rPr>
  </w:style>
  <w:style w:type="character" w:customStyle="1" w:styleId="CharStyle90">
    <w:name w:val="CharStyle90"/>
    <w:rsid w:val="0061499C"/>
    <w:rPr>
      <w:rFonts w:ascii="Century Schoolbook" w:eastAsia="Century Schoolbook" w:hAnsi="Century Schoolbook" w:cs="Century Schoolbook"/>
      <w:b w:val="0"/>
      <w:bCs w:val="0"/>
      <w:i/>
      <w:iCs/>
      <w:smallCaps w:val="0"/>
      <w:sz w:val="18"/>
      <w:szCs w:val="18"/>
    </w:rPr>
  </w:style>
  <w:style w:type="character" w:customStyle="1" w:styleId="CharStyle92">
    <w:name w:val="CharStyle92"/>
    <w:rsid w:val="0061499C"/>
    <w:rPr>
      <w:rFonts w:ascii="Bookman Old Style" w:eastAsia="Bookman Old Style" w:hAnsi="Bookman Old Style" w:cs="Bookman Old Style"/>
      <w:b/>
      <w:bCs/>
      <w:i w:val="0"/>
      <w:iCs w:val="0"/>
      <w:smallCaps w:val="0"/>
      <w:sz w:val="18"/>
      <w:szCs w:val="18"/>
    </w:rPr>
  </w:style>
  <w:style w:type="character" w:customStyle="1" w:styleId="CharStyle93">
    <w:name w:val="CharStyle93"/>
    <w:rsid w:val="0061499C"/>
    <w:rPr>
      <w:rFonts w:ascii="Franklin Gothic Heavy" w:eastAsia="Franklin Gothic Heavy" w:hAnsi="Franklin Gothic Heavy" w:cs="Franklin Gothic Heavy"/>
      <w:b w:val="0"/>
      <w:bCs w:val="0"/>
      <w:i w:val="0"/>
      <w:iCs w:val="0"/>
      <w:smallCaps w:val="0"/>
      <w:sz w:val="18"/>
      <w:szCs w:val="18"/>
    </w:rPr>
  </w:style>
  <w:style w:type="character" w:customStyle="1" w:styleId="CharStyle101">
    <w:name w:val="CharStyle101"/>
    <w:rsid w:val="0061499C"/>
    <w:rPr>
      <w:rFonts w:ascii="Century Schoolbook" w:eastAsia="Century Schoolbook" w:hAnsi="Century Schoolbook" w:cs="Century Schoolbook"/>
      <w:b w:val="0"/>
      <w:bCs w:val="0"/>
      <w:i w:val="0"/>
      <w:iCs w:val="0"/>
      <w:smallCaps w:val="0"/>
      <w:sz w:val="18"/>
      <w:szCs w:val="18"/>
    </w:rPr>
  </w:style>
  <w:style w:type="character" w:customStyle="1" w:styleId="CharStyle105">
    <w:name w:val="CharStyle105"/>
    <w:rsid w:val="0061499C"/>
    <w:rPr>
      <w:rFonts w:ascii="Century Schoolbook" w:eastAsia="Century Schoolbook" w:hAnsi="Century Schoolbook" w:cs="Century Schoolbook"/>
      <w:b/>
      <w:bCs/>
      <w:i w:val="0"/>
      <w:iCs w:val="0"/>
      <w:smallCaps w:val="0"/>
      <w:sz w:val="10"/>
      <w:szCs w:val="10"/>
    </w:rPr>
  </w:style>
  <w:style w:type="character" w:customStyle="1" w:styleId="CharStyle106">
    <w:name w:val="CharStyle106"/>
    <w:rsid w:val="0061499C"/>
    <w:rPr>
      <w:rFonts w:ascii="Georgia" w:eastAsia="Georgia" w:hAnsi="Georgia" w:cs="Georgia"/>
      <w:b/>
      <w:bCs/>
      <w:i w:val="0"/>
      <w:iCs w:val="0"/>
      <w:smallCaps w:val="0"/>
      <w:sz w:val="18"/>
      <w:szCs w:val="18"/>
    </w:rPr>
  </w:style>
  <w:style w:type="character" w:customStyle="1" w:styleId="CharStyle113">
    <w:name w:val="CharStyle113"/>
    <w:rsid w:val="0061499C"/>
    <w:rPr>
      <w:rFonts w:ascii="Century Schoolbook" w:eastAsia="Century Schoolbook" w:hAnsi="Century Schoolbook" w:cs="Century Schoolbook"/>
      <w:b/>
      <w:bCs/>
      <w:i w:val="0"/>
      <w:iCs w:val="0"/>
      <w:smallCaps/>
      <w:sz w:val="12"/>
      <w:szCs w:val="12"/>
    </w:rPr>
  </w:style>
  <w:style w:type="character" w:customStyle="1" w:styleId="CharStyle118">
    <w:name w:val="CharStyle118"/>
    <w:rsid w:val="0061499C"/>
    <w:rPr>
      <w:rFonts w:ascii="Century Schoolbook" w:eastAsia="Century Schoolbook" w:hAnsi="Century Schoolbook" w:cs="Century Schoolbook"/>
      <w:b/>
      <w:bCs/>
      <w:i w:val="0"/>
      <w:iCs w:val="0"/>
      <w:smallCaps w:val="0"/>
      <w:sz w:val="12"/>
      <w:szCs w:val="12"/>
    </w:rPr>
  </w:style>
  <w:style w:type="character" w:customStyle="1" w:styleId="CharStyle119">
    <w:name w:val="CharStyle119"/>
    <w:rsid w:val="0061499C"/>
    <w:rPr>
      <w:rFonts w:ascii="Century Schoolbook" w:eastAsia="Century Schoolbook" w:hAnsi="Century Schoolbook" w:cs="Century Schoolbook"/>
      <w:b/>
      <w:bCs/>
      <w:i/>
      <w:iCs/>
      <w:smallCaps w:val="0"/>
      <w:sz w:val="12"/>
      <w:szCs w:val="12"/>
    </w:rPr>
  </w:style>
  <w:style w:type="table" w:styleId="TableGrid">
    <w:name w:val="Table Grid"/>
    <w:basedOn w:val="TableNormal"/>
    <w:uiPriority w:val="39"/>
    <w:rsid w:val="008860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4568F"/>
    <w:pPr>
      <w:ind w:left="720"/>
      <w:contextualSpacing/>
    </w:pPr>
  </w:style>
  <w:style w:type="paragraph" w:styleId="Header">
    <w:name w:val="header"/>
    <w:basedOn w:val="Normal"/>
    <w:link w:val="HeaderChar"/>
    <w:uiPriority w:val="99"/>
    <w:unhideWhenUsed/>
    <w:rsid w:val="003D6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BBA"/>
  </w:style>
  <w:style w:type="paragraph" w:styleId="Footer">
    <w:name w:val="footer"/>
    <w:basedOn w:val="Normal"/>
    <w:link w:val="FooterChar"/>
    <w:uiPriority w:val="99"/>
    <w:unhideWhenUsed/>
    <w:rsid w:val="003D6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B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1391925-0200-40DE-B0E2-3A97EC85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Continuum Solutions</dc:creator>
  <cp:keywords/>
  <cp:lastModifiedBy>Harper, Michael</cp:lastModifiedBy>
  <cp:revision>13</cp:revision>
  <dcterms:created xsi:type="dcterms:W3CDTF">2017-03-23T08:14:00Z</dcterms:created>
  <dcterms:modified xsi:type="dcterms:W3CDTF">2017-05-08T06:05:00Z</dcterms:modified>
</cp:coreProperties>
</file>